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31" w:rsidRDefault="00BA69F7" w:rsidP="00BA69F7">
      <w:pPr>
        <w:ind w:left="0"/>
        <w:jc w:val="left"/>
      </w:pPr>
      <w:r w:rsidRPr="00BA69F7">
        <w:rPr>
          <w:b/>
          <w:i/>
        </w:rPr>
        <w:t>Agriculture for Development</w:t>
      </w:r>
      <w:r>
        <w:t xml:space="preserve">    No 18, </w:t>
      </w:r>
      <w:proofErr w:type="gramStart"/>
      <w:r>
        <w:t>Spring</w:t>
      </w:r>
      <w:proofErr w:type="gramEnd"/>
      <w:r>
        <w:t xml:space="preserve"> 2013</w:t>
      </w:r>
      <w:r>
        <w:tab/>
      </w:r>
      <w:r>
        <w:tab/>
      </w:r>
      <w:r>
        <w:tab/>
      </w:r>
      <w:r>
        <w:tab/>
        <w:t xml:space="preserve">       </w:t>
      </w:r>
      <w:r w:rsidR="00B06B6C">
        <w:t>BOOK REVIEW</w:t>
      </w:r>
    </w:p>
    <w:p w:rsidR="00B06B6C" w:rsidRDefault="00B06B6C" w:rsidP="00B06B6C">
      <w:pPr>
        <w:ind w:left="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AAC9" wp14:editId="27DBBD1C">
                <wp:simplePos x="0" y="0"/>
                <wp:positionH relativeFrom="column">
                  <wp:posOffset>4714848</wp:posOffset>
                </wp:positionH>
                <wp:positionV relativeFrom="paragraph">
                  <wp:posOffset>154940</wp:posOffset>
                </wp:positionV>
                <wp:extent cx="993775" cy="1208405"/>
                <wp:effectExtent l="0" t="0" r="1587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20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B6C" w:rsidRDefault="00B06B6C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65EAD2" wp14:editId="57EE764B">
                                  <wp:extent cx="804545" cy="110671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1106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2.2pt;width:78.25pt;height:9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" fillcolor="white [3201]" strokeweight=".5pt">
                <v:textbox>
                  <w:txbxContent>
                    <w:p w:rsidR="00B06B6C" w:rsidRDefault="00B06B6C">
                      <w:pPr>
                        <w:ind w:left="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65EAD2" wp14:editId="57EE764B">
                            <wp:extent cx="804545" cy="110671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1106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6B6C" w:rsidRPr="00BA69F7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" w:hAnsi="GillSans" w:cs="GillSans"/>
          <w:b/>
          <w:color w:val="231F20"/>
          <w:sz w:val="19"/>
          <w:szCs w:val="19"/>
          <w:u w:val="single"/>
        </w:rPr>
      </w:pPr>
      <w:r w:rsidRPr="00BA69F7">
        <w:rPr>
          <w:rFonts w:ascii="GillSans" w:hAnsi="GillSans" w:cs="GillSans"/>
          <w:b/>
          <w:color w:val="231F20"/>
          <w:sz w:val="19"/>
          <w:szCs w:val="19"/>
          <w:u w:val="single"/>
        </w:rPr>
        <w:t>Living with the Trees of Life:</w:t>
      </w:r>
      <w:r w:rsidRPr="00BA69F7">
        <w:rPr>
          <w:rFonts w:ascii="GillSans" w:hAnsi="GillSans" w:cs="GillSans"/>
          <w:b/>
          <w:color w:val="231F20"/>
          <w:sz w:val="19"/>
          <w:szCs w:val="19"/>
          <w:u w:val="single"/>
        </w:rPr>
        <w:t xml:space="preserve"> </w:t>
      </w:r>
      <w:r w:rsidRPr="00BA69F7">
        <w:rPr>
          <w:rFonts w:ascii="GillSans" w:hAnsi="GillSans" w:cs="GillSans"/>
          <w:b/>
          <w:color w:val="231F20"/>
          <w:sz w:val="19"/>
          <w:szCs w:val="19"/>
          <w:u w:val="single"/>
        </w:rPr>
        <w:t>Towards the tran</w:t>
      </w:r>
      <w:bookmarkStart w:id="0" w:name="_GoBack"/>
      <w:bookmarkEnd w:id="0"/>
      <w:r w:rsidRPr="00BA69F7">
        <w:rPr>
          <w:rFonts w:ascii="GillSans" w:hAnsi="GillSans" w:cs="GillSans"/>
          <w:b/>
          <w:color w:val="231F20"/>
          <w:sz w:val="19"/>
          <w:szCs w:val="19"/>
          <w:u w:val="single"/>
        </w:rPr>
        <w:t>sformation</w:t>
      </w:r>
      <w:r w:rsidRPr="00BA69F7">
        <w:rPr>
          <w:rFonts w:ascii="GillSans" w:hAnsi="GillSans" w:cs="GillSans"/>
          <w:b/>
          <w:color w:val="231F20"/>
          <w:sz w:val="19"/>
          <w:szCs w:val="19"/>
          <w:u w:val="single"/>
        </w:rPr>
        <w:t xml:space="preserve"> </w:t>
      </w:r>
      <w:r w:rsidRPr="00BA69F7">
        <w:rPr>
          <w:rFonts w:ascii="GillSans" w:hAnsi="GillSans" w:cs="GillSans"/>
          <w:b/>
          <w:color w:val="231F20"/>
          <w:sz w:val="19"/>
          <w:szCs w:val="19"/>
          <w:u w:val="single"/>
        </w:rPr>
        <w:t>of tropical agriculture</w:t>
      </w:r>
    </w:p>
    <w:p w:rsidR="00B06B6C" w:rsidRPr="00BA69F7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" w:hAnsi="GillSans" w:cs="GillSans"/>
          <w:color w:val="231F20"/>
          <w:sz w:val="19"/>
          <w:szCs w:val="19"/>
          <w:u w:val="single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" w:hAnsi="GillSans" w:cs="GillSans"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" w:hAnsi="GillSans" w:cs="GillSans"/>
          <w:color w:val="231F20"/>
          <w:sz w:val="19"/>
          <w:szCs w:val="19"/>
        </w:rPr>
      </w:pPr>
      <w:r>
        <w:rPr>
          <w:rFonts w:ascii="GillSans" w:hAnsi="GillSans" w:cs="GillSans"/>
          <w:color w:val="231F20"/>
          <w:sz w:val="19"/>
          <w:szCs w:val="19"/>
        </w:rPr>
        <w:t>Roger Leakey, 2012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" w:hAnsi="GillSans" w:cs="GillSans"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Italic" w:hAnsi="GillSans-Italic" w:cs="GillSans-Italic"/>
          <w:i/>
          <w:iCs/>
          <w:color w:val="231F20"/>
          <w:sz w:val="19"/>
          <w:szCs w:val="19"/>
        </w:rPr>
      </w:pPr>
      <w:r>
        <w:rPr>
          <w:rFonts w:ascii="GillSans-Italic" w:hAnsi="GillSans-Italic" w:cs="GillSans-Italic"/>
          <w:i/>
          <w:iCs/>
          <w:color w:val="231F20"/>
          <w:sz w:val="19"/>
          <w:szCs w:val="19"/>
        </w:rPr>
        <w:t>CABI, Wallingford, Oxfordshire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Italic" w:hAnsi="GillSans-Italic" w:cs="GillSans-Italic"/>
          <w:i/>
          <w:iCs/>
          <w:color w:val="231F20"/>
          <w:sz w:val="19"/>
          <w:szCs w:val="19"/>
        </w:rPr>
      </w:pPr>
      <w:r>
        <w:rPr>
          <w:rFonts w:ascii="GillSans-Italic" w:hAnsi="GillSans-Italic" w:cs="GillSans-Italic"/>
          <w:i/>
          <w:iCs/>
          <w:color w:val="231F20"/>
          <w:sz w:val="19"/>
          <w:szCs w:val="19"/>
        </w:rPr>
        <w:t>ISBN 9781780640983 (PBK)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Italic" w:hAnsi="GillSans-Italic" w:cs="GillSans-Italic"/>
          <w:i/>
          <w:iCs/>
          <w:color w:val="231F20"/>
          <w:sz w:val="19"/>
          <w:szCs w:val="19"/>
        </w:rPr>
      </w:pPr>
      <w:r>
        <w:rPr>
          <w:rFonts w:ascii="GillSans-Italic" w:hAnsi="GillSans-Italic" w:cs="GillSans-Italic"/>
          <w:i/>
          <w:iCs/>
          <w:color w:val="231F20"/>
          <w:sz w:val="19"/>
          <w:szCs w:val="19"/>
        </w:rPr>
        <w:t>200 pages, £27.50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Italic" w:hAnsi="GillSans-Italic" w:cs="GillSans-Italic"/>
          <w:i/>
          <w:iCs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Italic" w:hAnsi="GillSans-Italic" w:cs="GillSans-Italic"/>
          <w:i/>
          <w:iCs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r>
        <w:rPr>
          <w:rFonts w:ascii="GillSans-Light" w:hAnsi="GillSans-Light" w:cs="GillSans-Light"/>
          <w:color w:val="231F20"/>
          <w:sz w:val="19"/>
          <w:szCs w:val="19"/>
        </w:rPr>
        <w:t>This is Roger Leakey’s first-hand account of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how agroforestry has the potential to redress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many of the wrongs that have been inflicted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on smallholder farmers in developing countries.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The goal is to restore their food sovereignty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and security and to bring them into the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global market on their own terms. Thirty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years of experience are packed into the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story and there are accounts of an array of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soil and water conservation possibilities for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trees from alley cropping to improved fallows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to hillside contour barriers, fertilizer trees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proofErr w:type="gramStart"/>
      <w:r>
        <w:rPr>
          <w:rFonts w:ascii="GillSans-Light" w:hAnsi="GillSans-Light" w:cs="GillSans-Light"/>
          <w:color w:val="231F20"/>
          <w:sz w:val="19"/>
          <w:szCs w:val="19"/>
        </w:rPr>
        <w:t>and</w:t>
      </w:r>
      <w:proofErr w:type="gramEnd"/>
      <w:r>
        <w:rPr>
          <w:rFonts w:ascii="GillSans-Light" w:hAnsi="GillSans-Light" w:cs="GillSans-Light"/>
          <w:color w:val="231F20"/>
          <w:sz w:val="19"/>
          <w:szCs w:val="19"/>
        </w:rPr>
        <w:t xml:space="preserve"> much more. 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r>
        <w:rPr>
          <w:rFonts w:ascii="GillSans-Light" w:hAnsi="GillSans-Light" w:cs="GillSans-Light"/>
          <w:color w:val="231F20"/>
          <w:sz w:val="19"/>
          <w:szCs w:val="19"/>
        </w:rPr>
        <w:t xml:space="preserve">The </w:t>
      </w:r>
      <w:r>
        <w:rPr>
          <w:rFonts w:ascii="GillSans-LightItalic" w:hAnsi="GillSans-LightItalic" w:cs="GillSans-LightItalic"/>
          <w:i/>
          <w:iCs/>
          <w:color w:val="231F20"/>
          <w:sz w:val="19"/>
          <w:szCs w:val="19"/>
        </w:rPr>
        <w:t xml:space="preserve">Trees of Life </w:t>
      </w:r>
      <w:r>
        <w:rPr>
          <w:rFonts w:ascii="GillSans-Light" w:hAnsi="GillSans-Light" w:cs="GillSans-Light"/>
          <w:color w:val="231F20"/>
          <w:sz w:val="19"/>
          <w:szCs w:val="19"/>
        </w:rPr>
        <w:t>of the title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are indigenous species producing multiple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useful products which poor </w:t>
      </w:r>
      <w:r>
        <w:rPr>
          <w:rFonts w:ascii="GillSans-Light" w:hAnsi="GillSans-Light" w:cs="GillSans-Light"/>
          <w:color w:val="231F20"/>
          <w:sz w:val="19"/>
          <w:szCs w:val="19"/>
        </w:rPr>
        <w:t>s</w:t>
      </w:r>
      <w:r>
        <w:rPr>
          <w:rFonts w:ascii="GillSans-Light" w:hAnsi="GillSans-Light" w:cs="GillSans-Light"/>
          <w:color w:val="231F20"/>
          <w:sz w:val="19"/>
          <w:szCs w:val="19"/>
        </w:rPr>
        <w:t>mallholder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farmers can incorporate into their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multifunctional agroforestry systems. One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example is </w:t>
      </w:r>
      <w:proofErr w:type="spellStart"/>
      <w:r>
        <w:rPr>
          <w:rFonts w:ascii="GillSans-LightItalic" w:hAnsi="GillSans-LightItalic" w:cs="GillSans-LightItalic"/>
          <w:i/>
          <w:iCs/>
          <w:color w:val="231F20"/>
          <w:sz w:val="19"/>
          <w:szCs w:val="19"/>
        </w:rPr>
        <w:t>Garcinia</w:t>
      </w:r>
      <w:proofErr w:type="spellEnd"/>
      <w:r>
        <w:rPr>
          <w:rFonts w:ascii="GillSans-LightItalic" w:hAnsi="GillSans-LightItalic" w:cs="GillSans-LightItalic"/>
          <w:i/>
          <w:iCs/>
          <w:color w:val="231F20"/>
          <w:sz w:val="19"/>
          <w:szCs w:val="19"/>
        </w:rPr>
        <w:t xml:space="preserve"> kola </w:t>
      </w:r>
      <w:r>
        <w:rPr>
          <w:rFonts w:ascii="GillSans-Light" w:hAnsi="GillSans-Light" w:cs="GillSans-Light"/>
          <w:color w:val="231F20"/>
          <w:sz w:val="19"/>
          <w:szCs w:val="19"/>
        </w:rPr>
        <w:t>which provides,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Italic" w:hAnsi="GillSans-LightItalic" w:cs="GillSans-LightItalic"/>
          <w:i/>
          <w:iCs/>
          <w:color w:val="231F20"/>
          <w:sz w:val="19"/>
          <w:szCs w:val="19"/>
        </w:rPr>
        <w:t>inter alia</w:t>
      </w:r>
      <w:r>
        <w:rPr>
          <w:rFonts w:ascii="GillSans-Light" w:hAnsi="GillSans-Light" w:cs="GillSans-Light"/>
          <w:color w:val="231F20"/>
          <w:sz w:val="19"/>
          <w:szCs w:val="19"/>
        </w:rPr>
        <w:t>: bactericidal twigs to be used as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toothbrushes; nuts to cure bronchial infections;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fruit flesh used as a purgative; bark for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leather tanning; gum to cure gonorrhoea;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proofErr w:type="gramStart"/>
      <w:r>
        <w:rPr>
          <w:rFonts w:ascii="GillSans-Light" w:hAnsi="GillSans-Light" w:cs="GillSans-Light"/>
          <w:color w:val="231F20"/>
          <w:sz w:val="19"/>
          <w:szCs w:val="19"/>
        </w:rPr>
        <w:t>latex</w:t>
      </w:r>
      <w:proofErr w:type="gramEnd"/>
      <w:r>
        <w:rPr>
          <w:rFonts w:ascii="GillSans-Light" w:hAnsi="GillSans-Light" w:cs="GillSans-Light"/>
          <w:color w:val="231F20"/>
          <w:sz w:val="19"/>
          <w:szCs w:val="19"/>
        </w:rPr>
        <w:t xml:space="preserve"> for cuts and wounds; and sap for skin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diseases and parasites.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r>
        <w:rPr>
          <w:rFonts w:ascii="GillSans-Light" w:hAnsi="GillSans-Light" w:cs="GillSans-Light"/>
          <w:color w:val="231F20"/>
          <w:sz w:val="19"/>
          <w:szCs w:val="19"/>
        </w:rPr>
        <w:t>Trees on farms not only provide fuel, wood,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food, medicines and timber, but they also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provide environmental services such as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shade, wind protection, erosion control and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soil fertility maintenance. For these reasons,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the book explores the ways and means of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selecting the best (‘plus’) trees and the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proofErr w:type="gramStart"/>
      <w:r>
        <w:rPr>
          <w:rFonts w:ascii="GillSans-Light" w:hAnsi="GillSans-Light" w:cs="GillSans-Light"/>
          <w:color w:val="231F20"/>
          <w:sz w:val="19"/>
          <w:szCs w:val="19"/>
        </w:rPr>
        <w:t>methods</w:t>
      </w:r>
      <w:proofErr w:type="gramEnd"/>
      <w:r>
        <w:rPr>
          <w:rFonts w:ascii="GillSans-Light" w:hAnsi="GillSans-Light" w:cs="GillSans-Light"/>
          <w:color w:val="231F20"/>
          <w:sz w:val="19"/>
          <w:szCs w:val="19"/>
        </w:rPr>
        <w:t xml:space="preserve"> of vegetative propagation and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multiplication. It is the ability to propagate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‘plus’ trees vegetatively that is the key to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enriching agroforestry systems and opening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up opportunities for generating income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proofErr w:type="gramStart"/>
      <w:r>
        <w:rPr>
          <w:rFonts w:ascii="GillSans-Light" w:hAnsi="GillSans-Light" w:cs="GillSans-Light"/>
          <w:color w:val="231F20"/>
          <w:sz w:val="19"/>
          <w:szCs w:val="19"/>
        </w:rPr>
        <w:t>from</w:t>
      </w:r>
      <w:proofErr w:type="gramEnd"/>
      <w:r>
        <w:rPr>
          <w:rFonts w:ascii="GillSans-Light" w:hAnsi="GillSans-Light" w:cs="GillSans-Light"/>
          <w:color w:val="231F20"/>
          <w:sz w:val="19"/>
          <w:szCs w:val="19"/>
        </w:rPr>
        <w:t xml:space="preserve"> village-level tree nurseries. The book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goes to great lengths to give case studies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and to discuss the need for good marketing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strategies for tree products which safeguard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the interests of smallholder farmers, who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need to be protected against </w:t>
      </w:r>
      <w:proofErr w:type="spellStart"/>
      <w:r>
        <w:rPr>
          <w:rFonts w:ascii="GillSans-Light" w:hAnsi="GillSans-Light" w:cs="GillSans-Light"/>
          <w:color w:val="231F20"/>
          <w:sz w:val="19"/>
          <w:szCs w:val="19"/>
        </w:rPr>
        <w:t>biopiracy</w:t>
      </w:r>
      <w:proofErr w:type="spellEnd"/>
      <w:r>
        <w:rPr>
          <w:rFonts w:ascii="GillSans-Light" w:hAnsi="GillSans-Light" w:cs="GillSans-Light"/>
          <w:color w:val="231F20"/>
          <w:sz w:val="19"/>
          <w:szCs w:val="19"/>
        </w:rPr>
        <w:t xml:space="preserve"> and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its subsequent unfair competition. It would,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for example, be grossly unfair for a company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to recognize the potential in a particular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agroforestry product and then to develop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monocultural plantations in a location with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 similar climate, but no law would prevent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it at the moment. Fortunately, ethical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approaches are being seen as good business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by some multinational companies; the case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of Brazilian-built Mercedes cars is one positive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example which shows how the production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of materials for incorporation into cars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through small-scale agroforestry is feasible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and profitable for all.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  <w:r>
        <w:rPr>
          <w:rFonts w:ascii="GillSans-Light" w:hAnsi="GillSans-Light" w:cs="GillSans-Light"/>
          <w:color w:val="231F20"/>
          <w:sz w:val="19"/>
          <w:szCs w:val="19"/>
        </w:rPr>
        <w:t>There are now 1.2 billion smallholder farmers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incorporating agroforestry in their production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systems and, by doing so, are increasing the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number of trees in the environment with all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the attendant benefits that this implies. If, as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seems likely, agroforestry can contribute to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the necessary goal of doubling food output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for the planet’s predicted population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increase, using far less water, less land, less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energy and less fertilizer, then this richly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informative and thought-provoking book</w:t>
      </w:r>
      <w:r>
        <w:rPr>
          <w:rFonts w:ascii="GillSans-Light" w:hAnsi="GillSans-Light" w:cs="GillSans-Light"/>
          <w:color w:val="231F20"/>
          <w:sz w:val="19"/>
          <w:szCs w:val="19"/>
        </w:rPr>
        <w:t xml:space="preserve"> </w:t>
      </w:r>
      <w:r>
        <w:rPr>
          <w:rFonts w:ascii="GillSans-Light" w:hAnsi="GillSans-Light" w:cs="GillSans-Light"/>
          <w:color w:val="231F20"/>
          <w:sz w:val="19"/>
          <w:szCs w:val="19"/>
        </w:rPr>
        <w:t>points the way.</w:t>
      </w: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</w:p>
    <w:p w:rsidR="00B06B6C" w:rsidRDefault="00B06B6C" w:rsidP="00B06B6C">
      <w:pPr>
        <w:autoSpaceDE w:val="0"/>
        <w:autoSpaceDN w:val="0"/>
        <w:adjustRightInd w:val="0"/>
        <w:ind w:left="0"/>
        <w:jc w:val="left"/>
        <w:rPr>
          <w:rFonts w:ascii="GillSans-Light" w:hAnsi="GillSans-Light" w:cs="GillSans-Light"/>
          <w:color w:val="231F20"/>
          <w:sz w:val="19"/>
          <w:szCs w:val="19"/>
        </w:rPr>
      </w:pPr>
    </w:p>
    <w:p w:rsidR="00B06B6C" w:rsidRDefault="00B06B6C" w:rsidP="00B06B6C">
      <w:pPr>
        <w:ind w:left="0"/>
        <w:jc w:val="both"/>
        <w:rPr>
          <w:rFonts w:ascii="GillSans" w:hAnsi="GillSans" w:cs="GillSans"/>
          <w:color w:val="231F20"/>
          <w:sz w:val="19"/>
          <w:szCs w:val="19"/>
        </w:rPr>
      </w:pPr>
      <w:r>
        <w:rPr>
          <w:rFonts w:ascii="GillSans" w:hAnsi="GillSans" w:cs="GillSans"/>
          <w:color w:val="231F20"/>
          <w:sz w:val="19"/>
          <w:szCs w:val="19"/>
        </w:rPr>
        <w:t>Brian Sims</w:t>
      </w:r>
    </w:p>
    <w:p w:rsidR="00B06B6C" w:rsidRDefault="00B06B6C" w:rsidP="00B06B6C">
      <w:pPr>
        <w:ind w:left="0"/>
        <w:jc w:val="both"/>
      </w:pPr>
      <w:r>
        <w:rPr>
          <w:rFonts w:ascii="GillSans" w:hAnsi="GillSans" w:cs="GillSans"/>
          <w:color w:val="231F20"/>
          <w:sz w:val="19"/>
          <w:szCs w:val="19"/>
        </w:rPr>
        <w:t>Tropical Agriculture Association, UK.</w:t>
      </w:r>
    </w:p>
    <w:sectPr w:rsidR="00B06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C"/>
    <w:rsid w:val="001A0D31"/>
    <w:rsid w:val="00B06B6C"/>
    <w:rsid w:val="00B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2013-04-26T15:40:00Z</dcterms:created>
  <dcterms:modified xsi:type="dcterms:W3CDTF">2013-04-26T15:40:00Z</dcterms:modified>
</cp:coreProperties>
</file>