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charts/chart1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A4C" w:rsidRPr="0016118E" w:rsidRDefault="00356A4C" w:rsidP="00356A4C">
      <w:pPr>
        <w:pStyle w:val="Title"/>
        <w:rPr>
          <w:lang w:val="en-US"/>
        </w:rPr>
      </w:pPr>
      <w:r w:rsidRPr="0016118E">
        <w:rPr>
          <w:lang w:val="en-US"/>
        </w:rPr>
        <w:t>Current Market Situation for Jute and Kenaf; Sisal and Henequen; Abaca and Coir</w:t>
      </w:r>
    </w:p>
    <w:p w:rsidR="00356A4C" w:rsidRPr="00E21498" w:rsidRDefault="00356A4C" w:rsidP="00356A4C">
      <w:pPr>
        <w:rPr>
          <w:rFonts w:ascii="Cambria" w:hAnsi="Cambria" w:cs="Cambria"/>
          <w:b/>
          <w:bCs/>
          <w:lang w:val="en-US"/>
        </w:rPr>
      </w:pPr>
      <w:r w:rsidRPr="00E21498">
        <w:rPr>
          <w:rFonts w:ascii="Cambria" w:hAnsi="Cambria" w:cs="Cambria"/>
          <w:b/>
          <w:bCs/>
          <w:lang w:val="en-US"/>
        </w:rPr>
        <w:t xml:space="preserve">Introduction </w:t>
      </w:r>
    </w:p>
    <w:p w:rsidR="00F9328C" w:rsidRDefault="00356A4C" w:rsidP="00356A4C">
      <w:pPr>
        <w:rPr>
          <w:rFonts w:ascii="Cambria" w:hAnsi="Cambria" w:cs="Cambria"/>
          <w:lang w:val="en-US"/>
        </w:rPr>
      </w:pPr>
      <w:r w:rsidRPr="006534F9">
        <w:rPr>
          <w:rFonts w:ascii="Cambria" w:hAnsi="Cambria" w:cs="Cambria"/>
          <w:lang w:val="en-US"/>
        </w:rPr>
        <w:t>Th</w:t>
      </w:r>
      <w:r>
        <w:rPr>
          <w:rFonts w:ascii="Cambria" w:hAnsi="Cambria" w:cs="Cambria"/>
          <w:lang w:val="en-US"/>
        </w:rPr>
        <w:t xml:space="preserve">is note provides an analysis of recent developments to assist the Joint Meeting in evaluating market conditions and prospects for the coming season.  </w:t>
      </w:r>
      <w:r w:rsidR="00F9328C">
        <w:rPr>
          <w:rFonts w:ascii="Cambria" w:hAnsi="Cambria" w:cs="Cambria"/>
          <w:lang w:val="en-US"/>
        </w:rPr>
        <w:t>Data was compiled from the annual questionnaires for jute and hard fibres. However, the response rate, while improving is still poor at about 35 percent.</w:t>
      </w:r>
    </w:p>
    <w:p w:rsidR="00F9328C" w:rsidRDefault="00356A4C" w:rsidP="00356A4C">
      <w:pPr>
        <w:rPr>
          <w:rFonts w:ascii="Cambria" w:hAnsi="Cambria" w:cs="Cambria"/>
          <w:lang w:val="en-US"/>
        </w:rPr>
      </w:pPr>
      <w:r>
        <w:rPr>
          <w:rFonts w:ascii="Cambria" w:hAnsi="Cambria" w:cs="Cambria"/>
          <w:lang w:val="en-US"/>
        </w:rPr>
        <w:t xml:space="preserve">Further data are included in the Statistical Bulletin CCP: JU/HF/ST/2013/1.  </w:t>
      </w:r>
    </w:p>
    <w:p w:rsidR="00F9328C" w:rsidRDefault="00F9328C" w:rsidP="00356A4C">
      <w:pPr>
        <w:rPr>
          <w:rFonts w:ascii="Cambria" w:hAnsi="Cambria" w:cs="Cambria"/>
          <w:lang w:val="en-US"/>
        </w:rPr>
      </w:pPr>
      <w:r>
        <w:rPr>
          <w:rFonts w:ascii="Cambria" w:hAnsi="Cambria" w:cs="Cambria"/>
          <w:lang w:val="en-US"/>
        </w:rPr>
        <w:t>Delegates are invited to supplement information pertaining to their countries and are particularly invited to update forecast for the current and next season.</w:t>
      </w:r>
    </w:p>
    <w:p w:rsidR="00F9328C" w:rsidRDefault="00356A4C" w:rsidP="00356A4C">
      <w:pPr>
        <w:rPr>
          <w:rFonts w:ascii="Cambria" w:hAnsi="Cambria" w:cs="Cambria"/>
          <w:lang w:val="en-US"/>
        </w:rPr>
      </w:pPr>
      <w:r>
        <w:rPr>
          <w:rFonts w:ascii="Cambria" w:hAnsi="Cambria" w:cs="Cambria"/>
          <w:lang w:val="en-US"/>
        </w:rPr>
        <w:t>Aside from</w:t>
      </w:r>
      <w:r w:rsidR="00F9328C">
        <w:rPr>
          <w:rFonts w:ascii="Cambria" w:hAnsi="Cambria" w:cs="Cambria"/>
          <w:lang w:val="en-US"/>
        </w:rPr>
        <w:t xml:space="preserve"> their traditional applications</w:t>
      </w:r>
      <w:r>
        <w:rPr>
          <w:rFonts w:ascii="Cambria" w:hAnsi="Cambria" w:cs="Cambria"/>
          <w:lang w:val="en-US"/>
        </w:rPr>
        <w:t xml:space="preserve"> t</w:t>
      </w:r>
      <w:r w:rsidRPr="00677AB9">
        <w:rPr>
          <w:rFonts w:ascii="Cambria" w:hAnsi="Cambria" w:cs="Cambria"/>
          <w:lang w:val="en-US"/>
        </w:rPr>
        <w:t xml:space="preserve">here has been a growing interest in using </w:t>
      </w:r>
      <w:r>
        <w:rPr>
          <w:rFonts w:ascii="Cambria" w:hAnsi="Cambria" w:cs="Cambria"/>
          <w:lang w:val="en-US"/>
        </w:rPr>
        <w:t xml:space="preserve">natural fibres in various innovative industrial uses.  This interest was stimulated by rising prices of synthetic materials and growing recognition of the technical and environmental properties </w:t>
      </w:r>
      <w:r w:rsidR="00F9328C">
        <w:rPr>
          <w:rFonts w:ascii="Cambria" w:hAnsi="Cambria" w:cs="Cambria"/>
          <w:lang w:val="en-US"/>
        </w:rPr>
        <w:t xml:space="preserve">of </w:t>
      </w:r>
      <w:r>
        <w:rPr>
          <w:rFonts w:ascii="Cambria" w:hAnsi="Cambria" w:cs="Cambria"/>
          <w:lang w:val="en-US"/>
        </w:rPr>
        <w:t xml:space="preserve">natural fibres. </w:t>
      </w:r>
    </w:p>
    <w:p w:rsidR="00356A4C" w:rsidRDefault="00ED2C50" w:rsidP="00356A4C">
      <w:pPr>
        <w:rPr>
          <w:rFonts w:asciiTheme="majorHAnsi" w:hAnsiTheme="majorHAnsi"/>
        </w:rPr>
      </w:pPr>
      <w:r w:rsidRPr="00A86ED1">
        <w:rPr>
          <w:rFonts w:asciiTheme="majorHAnsi" w:hAnsiTheme="majorHAnsi"/>
        </w:rPr>
        <w:t xml:space="preserve">Global production of jute, abaca, coir, kenaf and sisal (JACKS) declined by 4 percent to 4.29 million tonnes in 2012, compared to output of these fibres in 2011.  </w:t>
      </w:r>
    </w:p>
    <w:p w:rsidR="001359B4" w:rsidRPr="001359B4" w:rsidRDefault="001359B4" w:rsidP="00356A4C">
      <w:pPr>
        <w:rPr>
          <w:rFonts w:asciiTheme="majorHAnsi" w:hAnsiTheme="majorHAnsi"/>
        </w:rPr>
      </w:pPr>
      <w:r w:rsidRPr="001359B4">
        <w:rPr>
          <w:rFonts w:asciiTheme="majorHAnsi" w:hAnsiTheme="majorHAnsi"/>
        </w:rPr>
        <w:t>Figure1:</w:t>
      </w:r>
      <w:r>
        <w:rPr>
          <w:rFonts w:asciiTheme="majorHAnsi" w:hAnsiTheme="majorHAnsi"/>
        </w:rPr>
        <w:t xml:space="preserve"> </w:t>
      </w:r>
      <w:r w:rsidRPr="001359B4">
        <w:rPr>
          <w:rFonts w:asciiTheme="majorHAnsi" w:hAnsiTheme="majorHAnsi"/>
        </w:rPr>
        <w:t xml:space="preserve"> World Production of Jute/Kenaf and Hard Fibres</w:t>
      </w:r>
    </w:p>
    <w:p w:rsidR="00BC217C" w:rsidRPr="00A86ED1" w:rsidRDefault="00BC217C" w:rsidP="00356A4C">
      <w:pPr>
        <w:rPr>
          <w:rFonts w:asciiTheme="majorHAnsi" w:hAnsiTheme="majorHAnsi" w:cs="Cambria"/>
          <w:lang w:val="en-US"/>
        </w:rPr>
      </w:pPr>
      <w:r>
        <w:rPr>
          <w:noProof/>
          <w:lang w:val="en-US"/>
        </w:rPr>
        <w:drawing>
          <wp:inline distT="0" distB="0" distL="0" distR="0">
            <wp:extent cx="5274310" cy="3552834"/>
            <wp:effectExtent l="0" t="0" r="2159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22B6C" w:rsidRPr="00950596" w:rsidRDefault="00434E55" w:rsidP="00356A4C">
      <w:pPr>
        <w:rPr>
          <w:rFonts w:asciiTheme="majorHAnsi" w:hAnsiTheme="majorHAnsi"/>
          <w:b/>
          <w:sz w:val="16"/>
          <w:szCs w:val="16"/>
        </w:rPr>
      </w:pPr>
      <w:r w:rsidRPr="00434E55">
        <w:rPr>
          <w:rFonts w:asciiTheme="majorHAnsi" w:hAnsiTheme="majorHAnsi"/>
          <w:sz w:val="16"/>
          <w:szCs w:val="16"/>
        </w:rPr>
        <w:t>1/ For jute</w:t>
      </w:r>
      <w:r w:rsidR="00BC217C">
        <w:rPr>
          <w:rFonts w:asciiTheme="majorHAnsi" w:hAnsiTheme="majorHAnsi"/>
          <w:sz w:val="16"/>
          <w:szCs w:val="16"/>
        </w:rPr>
        <w:t>/kenaf</w:t>
      </w:r>
      <w:r w:rsidRPr="00434E55">
        <w:rPr>
          <w:rFonts w:asciiTheme="majorHAnsi" w:hAnsiTheme="majorHAnsi"/>
          <w:sz w:val="16"/>
          <w:szCs w:val="16"/>
        </w:rPr>
        <w:t xml:space="preserve"> crop year (July-June) beginning in year shown</w:t>
      </w:r>
    </w:p>
    <w:p w:rsidR="00F5696F" w:rsidRDefault="00356A4C" w:rsidP="00356A4C">
      <w:pPr>
        <w:rPr>
          <w:rFonts w:asciiTheme="majorHAnsi" w:hAnsiTheme="majorHAnsi"/>
        </w:rPr>
      </w:pPr>
      <w:r w:rsidRPr="00A86ED1">
        <w:rPr>
          <w:rFonts w:asciiTheme="majorHAnsi" w:hAnsiTheme="majorHAnsi"/>
        </w:rPr>
        <w:lastRenderedPageBreak/>
        <w:t>Jute</w:t>
      </w:r>
      <w:r w:rsidR="005E0AF5">
        <w:rPr>
          <w:rFonts w:asciiTheme="majorHAnsi" w:hAnsiTheme="majorHAnsi"/>
        </w:rPr>
        <w:t xml:space="preserve"> and kenaf</w:t>
      </w:r>
      <w:r w:rsidRPr="00A86ED1">
        <w:rPr>
          <w:rFonts w:asciiTheme="majorHAnsi" w:hAnsiTheme="majorHAnsi"/>
        </w:rPr>
        <w:t xml:space="preserve"> accounted for the largest share of production, followed by coir, sisal and </w:t>
      </w:r>
      <w:r w:rsidR="00ED2C50" w:rsidRPr="00A86ED1">
        <w:rPr>
          <w:rFonts w:asciiTheme="majorHAnsi" w:hAnsiTheme="majorHAnsi"/>
        </w:rPr>
        <w:t xml:space="preserve">similar fibres </w:t>
      </w:r>
      <w:r w:rsidRPr="00A86ED1">
        <w:rPr>
          <w:rFonts w:asciiTheme="majorHAnsi" w:hAnsiTheme="majorHAnsi"/>
        </w:rPr>
        <w:t>such as henequen and fique</w:t>
      </w:r>
      <w:r w:rsidR="00ED2C50" w:rsidRPr="00A86ED1">
        <w:rPr>
          <w:rFonts w:asciiTheme="majorHAnsi" w:hAnsiTheme="majorHAnsi"/>
        </w:rPr>
        <w:t>;</w:t>
      </w:r>
      <w:r w:rsidRPr="00A86ED1">
        <w:rPr>
          <w:rFonts w:asciiTheme="majorHAnsi" w:hAnsiTheme="majorHAnsi"/>
        </w:rPr>
        <w:t xml:space="preserve"> and abaca.  </w:t>
      </w:r>
    </w:p>
    <w:p w:rsidR="001359B4" w:rsidRPr="00A86ED1" w:rsidRDefault="001359B4" w:rsidP="00356A4C">
      <w:pPr>
        <w:rPr>
          <w:rFonts w:asciiTheme="majorHAnsi" w:hAnsiTheme="majorHAnsi"/>
        </w:rPr>
      </w:pPr>
      <w:r>
        <w:rPr>
          <w:rFonts w:asciiTheme="majorHAnsi" w:hAnsiTheme="majorHAnsi"/>
        </w:rPr>
        <w:t xml:space="preserve">Figure 2:  Percentage Share of </w:t>
      </w:r>
      <w:r w:rsidR="00F5696F">
        <w:rPr>
          <w:rFonts w:asciiTheme="majorHAnsi" w:hAnsiTheme="majorHAnsi"/>
        </w:rPr>
        <w:t xml:space="preserve">Global </w:t>
      </w:r>
      <w:r>
        <w:rPr>
          <w:rFonts w:asciiTheme="majorHAnsi" w:hAnsiTheme="majorHAnsi"/>
        </w:rPr>
        <w:t>Production of Jute/Kenaf and Hard Fibres</w:t>
      </w:r>
      <w:r w:rsidR="00882C70">
        <w:rPr>
          <w:rFonts w:asciiTheme="majorHAnsi" w:hAnsiTheme="majorHAnsi"/>
        </w:rPr>
        <w:t xml:space="preserve"> </w:t>
      </w:r>
      <w:r w:rsidR="00950596">
        <w:rPr>
          <w:rFonts w:asciiTheme="majorHAnsi" w:hAnsiTheme="majorHAnsi"/>
        </w:rPr>
        <w:t>in 2012</w:t>
      </w:r>
    </w:p>
    <w:p w:rsidR="00122B6C" w:rsidRDefault="00434E55" w:rsidP="00356A4C">
      <w:pPr>
        <w:autoSpaceDE w:val="0"/>
        <w:autoSpaceDN w:val="0"/>
        <w:adjustRightInd w:val="0"/>
        <w:spacing w:after="0" w:line="240" w:lineRule="auto"/>
        <w:rPr>
          <w:rFonts w:asciiTheme="majorHAnsi" w:hAnsiTheme="majorHAnsi" w:cs="Cambria"/>
          <w:b/>
          <w:bCs/>
          <w:lang w:val="en-US"/>
        </w:rPr>
      </w:pPr>
      <w:r>
        <w:rPr>
          <w:noProof/>
          <w:lang w:val="en-US"/>
        </w:rPr>
        <w:drawing>
          <wp:inline distT="0" distB="0" distL="0" distR="0">
            <wp:extent cx="5274310" cy="3491957"/>
            <wp:effectExtent l="38100" t="38100" r="40640" b="514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22B6C" w:rsidRDefault="00122B6C" w:rsidP="00356A4C">
      <w:pPr>
        <w:autoSpaceDE w:val="0"/>
        <w:autoSpaceDN w:val="0"/>
        <w:adjustRightInd w:val="0"/>
        <w:spacing w:after="0" w:line="240" w:lineRule="auto"/>
        <w:rPr>
          <w:rFonts w:asciiTheme="majorHAnsi" w:hAnsiTheme="majorHAnsi" w:cs="Cambria"/>
          <w:b/>
          <w:bCs/>
          <w:lang w:val="en-US"/>
        </w:rPr>
      </w:pPr>
    </w:p>
    <w:p w:rsidR="00356A4C" w:rsidRPr="00A86ED1" w:rsidRDefault="00356A4C" w:rsidP="00356A4C">
      <w:pPr>
        <w:autoSpaceDE w:val="0"/>
        <w:autoSpaceDN w:val="0"/>
        <w:adjustRightInd w:val="0"/>
        <w:spacing w:after="0" w:line="240" w:lineRule="auto"/>
        <w:rPr>
          <w:rFonts w:asciiTheme="majorHAnsi" w:hAnsiTheme="majorHAnsi" w:cs="Cambria"/>
          <w:b/>
          <w:bCs/>
          <w:lang w:val="en-US"/>
        </w:rPr>
      </w:pPr>
      <w:r w:rsidRPr="00A86ED1">
        <w:rPr>
          <w:rFonts w:asciiTheme="majorHAnsi" w:hAnsiTheme="majorHAnsi" w:cs="Cambria"/>
          <w:b/>
          <w:bCs/>
          <w:lang w:val="en-US"/>
        </w:rPr>
        <w:t>Market position of competing synthetics</w:t>
      </w:r>
    </w:p>
    <w:p w:rsidR="00356A4C" w:rsidRPr="00A86ED1" w:rsidRDefault="00356A4C" w:rsidP="00356A4C">
      <w:pPr>
        <w:autoSpaceDE w:val="0"/>
        <w:autoSpaceDN w:val="0"/>
        <w:adjustRightInd w:val="0"/>
        <w:spacing w:after="0" w:line="240" w:lineRule="auto"/>
        <w:rPr>
          <w:rFonts w:asciiTheme="majorHAnsi" w:hAnsiTheme="majorHAnsi" w:cs="Cambria"/>
          <w:b/>
          <w:bCs/>
          <w:lang w:val="en-US"/>
        </w:rPr>
      </w:pPr>
    </w:p>
    <w:p w:rsidR="00356A4C" w:rsidRPr="00A86ED1" w:rsidRDefault="00356A4C" w:rsidP="005A219A">
      <w:pPr>
        <w:autoSpaceDE w:val="0"/>
        <w:autoSpaceDN w:val="0"/>
        <w:adjustRightInd w:val="0"/>
        <w:spacing w:after="0" w:line="360" w:lineRule="auto"/>
        <w:rPr>
          <w:rFonts w:asciiTheme="majorHAnsi" w:hAnsiTheme="majorHAnsi" w:cs="Cambria"/>
          <w:lang w:val="en-US"/>
        </w:rPr>
      </w:pPr>
      <w:r w:rsidRPr="00A86ED1">
        <w:rPr>
          <w:rFonts w:asciiTheme="majorHAnsi" w:hAnsiTheme="majorHAnsi" w:cs="Cambria"/>
          <w:lang w:val="en-US"/>
        </w:rPr>
        <w:t xml:space="preserve">Generally, prices of polypropylene (the main synthetic petroleum-based fibre competing with jute) follow crude oil prices, though the extent of upward or downward variation depends on competitive conditions in individual markets.  </w:t>
      </w:r>
      <w:r w:rsidR="00AC2E00">
        <w:rPr>
          <w:rFonts w:asciiTheme="majorHAnsi" w:hAnsiTheme="majorHAnsi" w:cs="Cambria"/>
          <w:lang w:val="en-US"/>
        </w:rPr>
        <w:t>F</w:t>
      </w:r>
      <w:r w:rsidRPr="00A86ED1">
        <w:rPr>
          <w:rFonts w:asciiTheme="majorHAnsi" w:hAnsiTheme="majorHAnsi" w:cs="Cambria"/>
          <w:lang w:val="en-US"/>
        </w:rPr>
        <w:t xml:space="preserve">or example, in markets where PP fabrics are in close competition with jute fabrics, upward movements in crude oil prices tend to be absorbed with very little impact on the price of PP fibre applications.  Nevertheless, crude oil prices have continued to rise steadily </w:t>
      </w:r>
      <w:r w:rsidR="00CF578E">
        <w:rPr>
          <w:rFonts w:asciiTheme="majorHAnsi" w:hAnsiTheme="majorHAnsi" w:cs="Cambria"/>
          <w:lang w:val="en-US"/>
        </w:rPr>
        <w:t>over the last decade and by</w:t>
      </w:r>
      <w:r w:rsidRPr="00A86ED1">
        <w:rPr>
          <w:rFonts w:asciiTheme="majorHAnsi" w:hAnsiTheme="majorHAnsi" w:cs="Cambria"/>
          <w:lang w:val="en-US"/>
        </w:rPr>
        <w:t xml:space="preserve"> 2011</w:t>
      </w:r>
      <w:r w:rsidR="00CF578E">
        <w:rPr>
          <w:rFonts w:asciiTheme="majorHAnsi" w:hAnsiTheme="majorHAnsi" w:cs="Cambria"/>
          <w:lang w:val="en-US"/>
        </w:rPr>
        <w:t xml:space="preserve">, </w:t>
      </w:r>
      <w:r w:rsidRPr="00A86ED1">
        <w:rPr>
          <w:rFonts w:asciiTheme="majorHAnsi" w:hAnsiTheme="majorHAnsi" w:cs="Cambria"/>
          <w:lang w:val="en-US"/>
        </w:rPr>
        <w:t>prices of crude oil were at levels more than double those of 2005 and more than four times those of 2000</w:t>
      </w:r>
      <w:r w:rsidR="00AC2E00">
        <w:rPr>
          <w:rFonts w:asciiTheme="majorHAnsi" w:hAnsiTheme="majorHAnsi" w:cs="Cambria"/>
          <w:lang w:val="en-US"/>
        </w:rPr>
        <w:t>.</w:t>
      </w:r>
    </w:p>
    <w:p w:rsidR="00E63C44" w:rsidRPr="00A86ED1" w:rsidRDefault="00E63C44" w:rsidP="005A219A">
      <w:pPr>
        <w:autoSpaceDE w:val="0"/>
        <w:autoSpaceDN w:val="0"/>
        <w:adjustRightInd w:val="0"/>
        <w:spacing w:after="0" w:line="360" w:lineRule="auto"/>
        <w:rPr>
          <w:rFonts w:asciiTheme="majorHAnsi" w:hAnsiTheme="majorHAnsi" w:cs="Cambria"/>
          <w:lang w:val="en-US"/>
        </w:rPr>
      </w:pPr>
    </w:p>
    <w:p w:rsidR="00356A4C" w:rsidRDefault="00356A4C" w:rsidP="005A219A">
      <w:pPr>
        <w:autoSpaceDE w:val="0"/>
        <w:autoSpaceDN w:val="0"/>
        <w:adjustRightInd w:val="0"/>
        <w:spacing w:after="0" w:line="360" w:lineRule="auto"/>
        <w:rPr>
          <w:rFonts w:ascii="Cambria" w:hAnsi="Cambria" w:cs="Cambria"/>
          <w:lang w:val="en-US"/>
        </w:rPr>
      </w:pPr>
      <w:r w:rsidRPr="00044999">
        <w:rPr>
          <w:rFonts w:asciiTheme="majorHAnsi" w:hAnsiTheme="majorHAnsi" w:cs="Cambria"/>
          <w:lang w:val="en-US"/>
        </w:rPr>
        <w:t>Prices of propylene</w:t>
      </w:r>
      <w:r w:rsidR="00434E55" w:rsidRPr="00044999">
        <w:rPr>
          <w:rFonts w:asciiTheme="majorHAnsi" w:hAnsiTheme="majorHAnsi" w:cs="Cambria"/>
          <w:vertAlign w:val="superscript"/>
          <w:lang w:val="en-US"/>
        </w:rPr>
        <w:t>1</w:t>
      </w:r>
      <w:r w:rsidRPr="00044999">
        <w:rPr>
          <w:rFonts w:asciiTheme="majorHAnsi" w:hAnsiTheme="majorHAnsi" w:cs="Cambria"/>
          <w:lang w:val="en-US"/>
        </w:rPr>
        <w:t xml:space="preserve"> moved in line with crude oil prices reaching USD1</w:t>
      </w:r>
      <w:r w:rsidR="000136FA" w:rsidRPr="00044999">
        <w:rPr>
          <w:rFonts w:asciiTheme="majorHAnsi" w:hAnsiTheme="majorHAnsi" w:cs="Cambria"/>
          <w:lang w:val="en-US"/>
        </w:rPr>
        <w:t>7</w:t>
      </w:r>
      <w:r w:rsidRPr="00044999">
        <w:rPr>
          <w:rFonts w:asciiTheme="majorHAnsi" w:hAnsiTheme="majorHAnsi" w:cs="Cambria"/>
          <w:lang w:val="en-US"/>
        </w:rPr>
        <w:t>00 per tonne</w:t>
      </w:r>
      <w:r w:rsidR="00024C0C" w:rsidRPr="00044999">
        <w:rPr>
          <w:rFonts w:asciiTheme="majorHAnsi" w:hAnsiTheme="majorHAnsi" w:cs="Cambria"/>
          <w:lang w:val="en-US"/>
        </w:rPr>
        <w:t xml:space="preserve"> in 2011</w:t>
      </w:r>
      <w:r w:rsidRPr="00044999">
        <w:rPr>
          <w:rFonts w:asciiTheme="majorHAnsi" w:hAnsiTheme="majorHAnsi" w:cs="Cambria"/>
          <w:lang w:val="en-US"/>
        </w:rPr>
        <w:t>, compared to about USD900 in 2005 and USD515 in 2000.   Under these circumstances, it would appear that the underlying conditions of competition between natural and synthetic fibres have been modified in favour</w:t>
      </w:r>
      <w:r w:rsidRPr="00A86ED1">
        <w:rPr>
          <w:rFonts w:asciiTheme="majorHAnsi" w:hAnsiTheme="majorHAnsi" w:cs="Cambria"/>
          <w:lang w:val="en-US"/>
        </w:rPr>
        <w:t xml:space="preserve"> </w:t>
      </w:r>
      <w:r w:rsidRPr="00A86ED1">
        <w:rPr>
          <w:rFonts w:asciiTheme="majorHAnsi" w:hAnsiTheme="majorHAnsi" w:cs="Cambria"/>
          <w:lang w:val="en-US"/>
        </w:rPr>
        <w:lastRenderedPageBreak/>
        <w:t>of the former.  The</w:t>
      </w:r>
      <w:r>
        <w:rPr>
          <w:rFonts w:ascii="Cambria" w:hAnsi="Cambria" w:cs="Cambria"/>
          <w:lang w:val="en-US"/>
        </w:rPr>
        <w:t xml:space="preserve"> price levels at which competition takes place more closely reflect the true economic costs of crude-oil based products.  </w:t>
      </w:r>
      <w:r w:rsidR="00434E55">
        <w:rPr>
          <w:rStyle w:val="FootnoteReference"/>
          <w:rFonts w:ascii="Cambria" w:hAnsi="Cambria" w:cs="Cambria"/>
          <w:lang w:val="en-US"/>
        </w:rPr>
        <w:footnoteReference w:id="1"/>
      </w:r>
    </w:p>
    <w:p w:rsidR="00E63C44" w:rsidRDefault="00E63C44" w:rsidP="005A219A">
      <w:pPr>
        <w:autoSpaceDE w:val="0"/>
        <w:autoSpaceDN w:val="0"/>
        <w:adjustRightInd w:val="0"/>
        <w:spacing w:after="0" w:line="360" w:lineRule="auto"/>
        <w:rPr>
          <w:rFonts w:ascii="Cambria" w:hAnsi="Cambria" w:cs="Cambria"/>
          <w:lang w:val="en-US"/>
        </w:rPr>
      </w:pPr>
    </w:p>
    <w:p w:rsidR="001359B4" w:rsidRDefault="001359B4" w:rsidP="005A219A">
      <w:pPr>
        <w:autoSpaceDE w:val="0"/>
        <w:autoSpaceDN w:val="0"/>
        <w:adjustRightInd w:val="0"/>
        <w:spacing w:after="0" w:line="360" w:lineRule="auto"/>
        <w:rPr>
          <w:rFonts w:ascii="Cambria" w:hAnsi="Cambria" w:cs="Cambria"/>
          <w:lang w:val="en-US"/>
        </w:rPr>
      </w:pPr>
      <w:r>
        <w:rPr>
          <w:rFonts w:ascii="Cambria" w:hAnsi="Cambria" w:cs="Cambria"/>
          <w:lang w:val="en-US"/>
        </w:rPr>
        <w:t xml:space="preserve">Figure 3:  Propylene EU Contract Prices </w:t>
      </w:r>
    </w:p>
    <w:p w:rsidR="00356A4C" w:rsidRDefault="000136FA" w:rsidP="005A219A">
      <w:pPr>
        <w:autoSpaceDE w:val="0"/>
        <w:autoSpaceDN w:val="0"/>
        <w:adjustRightInd w:val="0"/>
        <w:spacing w:after="0" w:line="360" w:lineRule="auto"/>
        <w:rPr>
          <w:rFonts w:ascii="Cambria" w:hAnsi="Cambria" w:cs="Times-Bold"/>
          <w:bCs/>
          <w:sz w:val="18"/>
          <w:szCs w:val="18"/>
          <w:lang w:val="en-US"/>
        </w:rPr>
      </w:pPr>
      <w:r>
        <w:rPr>
          <w:noProof/>
          <w:lang w:val="en-US"/>
        </w:rPr>
        <w:drawing>
          <wp:inline distT="0" distB="0" distL="0" distR="0">
            <wp:extent cx="5274310" cy="3199023"/>
            <wp:effectExtent l="0" t="0" r="21590" b="209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59D8" w:rsidRDefault="006659D8" w:rsidP="005A219A">
      <w:pPr>
        <w:autoSpaceDE w:val="0"/>
        <w:autoSpaceDN w:val="0"/>
        <w:adjustRightInd w:val="0"/>
        <w:spacing w:after="0" w:line="360" w:lineRule="auto"/>
        <w:rPr>
          <w:rFonts w:ascii="Cambria" w:hAnsi="Cambria" w:cs="Cambria"/>
          <w:b/>
          <w:bCs/>
          <w:lang w:val="en-US"/>
        </w:rPr>
      </w:pPr>
    </w:p>
    <w:p w:rsidR="00356A4C" w:rsidRDefault="00356A4C" w:rsidP="005A219A">
      <w:pPr>
        <w:autoSpaceDE w:val="0"/>
        <w:autoSpaceDN w:val="0"/>
        <w:adjustRightInd w:val="0"/>
        <w:spacing w:after="0" w:line="360" w:lineRule="auto"/>
        <w:rPr>
          <w:rFonts w:ascii="Cambria" w:hAnsi="Cambria" w:cs="Cambria"/>
          <w:b/>
          <w:bCs/>
          <w:lang w:val="en-US"/>
        </w:rPr>
      </w:pPr>
      <w:r w:rsidRPr="00C31663">
        <w:rPr>
          <w:rFonts w:ascii="Cambria" w:hAnsi="Cambria" w:cs="Cambria"/>
          <w:b/>
          <w:bCs/>
          <w:lang w:val="en-US"/>
        </w:rPr>
        <w:t>JUTE, KENAF, and ALLIED FIBRES</w:t>
      </w:r>
    </w:p>
    <w:p w:rsidR="00356A4C" w:rsidRDefault="00356A4C" w:rsidP="005A219A">
      <w:pPr>
        <w:autoSpaceDE w:val="0"/>
        <w:autoSpaceDN w:val="0"/>
        <w:adjustRightInd w:val="0"/>
        <w:spacing w:after="0" w:line="360" w:lineRule="auto"/>
        <w:rPr>
          <w:rFonts w:ascii="Cambria" w:hAnsi="Cambria" w:cs="Cambria"/>
          <w:lang w:val="en-US"/>
        </w:rPr>
      </w:pPr>
      <w:r w:rsidRPr="00044999">
        <w:rPr>
          <w:rFonts w:ascii="Cambria" w:hAnsi="Cambria" w:cs="Cambria"/>
          <w:lang w:val="en-US"/>
        </w:rPr>
        <w:t xml:space="preserve">Jute </w:t>
      </w:r>
      <w:r w:rsidR="00C77BCF" w:rsidRPr="00044999">
        <w:rPr>
          <w:rFonts w:ascii="Cambria" w:hAnsi="Cambria" w:cs="Cambria"/>
          <w:lang w:val="en-US"/>
        </w:rPr>
        <w:t xml:space="preserve">and kenaf </w:t>
      </w:r>
      <w:r w:rsidRPr="00044999">
        <w:rPr>
          <w:rFonts w:ascii="Cambria" w:hAnsi="Cambria" w:cs="Cambria"/>
          <w:lang w:val="en-US"/>
        </w:rPr>
        <w:t xml:space="preserve">production </w:t>
      </w:r>
      <w:r w:rsidR="006659D8" w:rsidRPr="00044999">
        <w:rPr>
          <w:rFonts w:ascii="Cambria" w:hAnsi="Cambria" w:cs="Cambria"/>
          <w:lang w:val="en-US"/>
        </w:rPr>
        <w:t xml:space="preserve">declined slightly </w:t>
      </w:r>
      <w:r w:rsidRPr="00044999">
        <w:rPr>
          <w:rFonts w:ascii="Cambria" w:hAnsi="Cambria" w:cs="Cambria"/>
          <w:lang w:val="en-US"/>
        </w:rPr>
        <w:t>in 201</w:t>
      </w:r>
      <w:r w:rsidR="00E63C44" w:rsidRPr="00044999">
        <w:rPr>
          <w:rFonts w:ascii="Cambria" w:hAnsi="Cambria" w:cs="Cambria"/>
          <w:lang w:val="en-US"/>
        </w:rPr>
        <w:t>2/13</w:t>
      </w:r>
      <w:r w:rsidRPr="00044999">
        <w:rPr>
          <w:rFonts w:ascii="Cambria" w:hAnsi="Cambria" w:cs="Cambria"/>
          <w:lang w:val="en-US"/>
        </w:rPr>
        <w:t xml:space="preserve"> </w:t>
      </w:r>
      <w:r w:rsidR="003C5446" w:rsidRPr="00044999">
        <w:rPr>
          <w:rFonts w:ascii="Cambria" w:hAnsi="Cambria" w:cs="Cambria"/>
          <w:lang w:val="en-US"/>
        </w:rPr>
        <w:t xml:space="preserve">reaching </w:t>
      </w:r>
      <w:r w:rsidRPr="00044999">
        <w:rPr>
          <w:rFonts w:ascii="Cambria" w:hAnsi="Cambria" w:cs="Cambria"/>
          <w:lang w:val="en-US"/>
        </w:rPr>
        <w:t>3</w:t>
      </w:r>
      <w:r w:rsidR="00E63C44" w:rsidRPr="00044999">
        <w:rPr>
          <w:rFonts w:ascii="Cambria" w:hAnsi="Cambria" w:cs="Cambria"/>
          <w:lang w:val="en-US"/>
        </w:rPr>
        <w:t>.2</w:t>
      </w:r>
      <w:r w:rsidRPr="00044999">
        <w:rPr>
          <w:rFonts w:ascii="Cambria" w:hAnsi="Cambria" w:cs="Cambria"/>
          <w:lang w:val="en-US"/>
        </w:rPr>
        <w:t xml:space="preserve"> million tonnes compared to 3.3</w:t>
      </w:r>
      <w:r w:rsidR="00E63C44" w:rsidRPr="00044999">
        <w:rPr>
          <w:rFonts w:ascii="Cambria" w:hAnsi="Cambria" w:cs="Cambria"/>
          <w:lang w:val="en-US"/>
        </w:rPr>
        <w:t>4</w:t>
      </w:r>
      <w:r w:rsidRPr="00044999">
        <w:rPr>
          <w:rFonts w:ascii="Cambria" w:hAnsi="Cambria" w:cs="Cambria"/>
          <w:lang w:val="en-US"/>
        </w:rPr>
        <w:t xml:space="preserve"> </w:t>
      </w:r>
      <w:r w:rsidR="006659D8" w:rsidRPr="00044999">
        <w:rPr>
          <w:rFonts w:ascii="Cambria" w:hAnsi="Cambria" w:cs="Cambria"/>
          <w:lang w:val="en-US"/>
        </w:rPr>
        <w:t xml:space="preserve">million </w:t>
      </w:r>
      <w:r w:rsidRPr="00044999">
        <w:rPr>
          <w:rFonts w:ascii="Cambria" w:hAnsi="Cambria" w:cs="Cambria"/>
          <w:lang w:val="en-US"/>
        </w:rPr>
        <w:t xml:space="preserve">tonnes in </w:t>
      </w:r>
      <w:r w:rsidR="003C5446" w:rsidRPr="00044999">
        <w:rPr>
          <w:rFonts w:ascii="Cambria" w:hAnsi="Cambria" w:cs="Cambria"/>
          <w:lang w:val="en-US"/>
        </w:rPr>
        <w:t xml:space="preserve">the previous year. Despite this fall, output was still </w:t>
      </w:r>
      <w:r w:rsidRPr="00044999">
        <w:rPr>
          <w:rFonts w:ascii="Cambria" w:hAnsi="Cambria" w:cs="Cambria"/>
          <w:lang w:val="en-US"/>
        </w:rPr>
        <w:t>significant</w:t>
      </w:r>
      <w:r w:rsidR="003C5446" w:rsidRPr="00044999">
        <w:rPr>
          <w:rFonts w:ascii="Cambria" w:hAnsi="Cambria" w:cs="Cambria"/>
          <w:lang w:val="en-US"/>
        </w:rPr>
        <w:t xml:space="preserve">ly higher than the </w:t>
      </w:r>
      <w:r w:rsidRPr="00044999">
        <w:rPr>
          <w:rFonts w:ascii="Cambria" w:hAnsi="Cambria" w:cs="Cambria"/>
          <w:lang w:val="en-US"/>
        </w:rPr>
        <w:t>2.6 million tonnes</w:t>
      </w:r>
      <w:r w:rsidR="007A2ECC" w:rsidRPr="00044999">
        <w:rPr>
          <w:rFonts w:ascii="Cambria" w:hAnsi="Cambria" w:cs="Cambria"/>
          <w:lang w:val="en-US"/>
        </w:rPr>
        <w:t xml:space="preserve"> and 2.9 million tonnes reached in </w:t>
      </w:r>
      <w:r w:rsidRPr="00044999">
        <w:rPr>
          <w:rFonts w:ascii="Cambria" w:hAnsi="Cambria" w:cs="Cambria"/>
          <w:lang w:val="en-US"/>
        </w:rPr>
        <w:t>2008/09 and 2009/10</w:t>
      </w:r>
      <w:r w:rsidR="007A2ECC" w:rsidRPr="00044999">
        <w:rPr>
          <w:rFonts w:ascii="Cambria" w:hAnsi="Cambria" w:cs="Cambria"/>
          <w:lang w:val="en-US"/>
        </w:rPr>
        <w:t>, respectively</w:t>
      </w:r>
      <w:r w:rsidR="006659D8" w:rsidRPr="00044999">
        <w:rPr>
          <w:rFonts w:ascii="Cambria" w:hAnsi="Cambria" w:cs="Cambria"/>
          <w:lang w:val="en-US"/>
        </w:rPr>
        <w:t xml:space="preserve">, when </w:t>
      </w:r>
      <w:r w:rsidR="003C5446" w:rsidRPr="00044999">
        <w:rPr>
          <w:rFonts w:ascii="Cambria" w:hAnsi="Cambria" w:cs="Cambria"/>
          <w:lang w:val="en-US"/>
        </w:rPr>
        <w:t>demand</w:t>
      </w:r>
      <w:r w:rsidR="003C5446">
        <w:rPr>
          <w:rFonts w:ascii="Cambria" w:hAnsi="Cambria" w:cs="Cambria"/>
          <w:lang w:val="en-US"/>
        </w:rPr>
        <w:t xml:space="preserve"> was dampened with the global economic downturn</w:t>
      </w:r>
      <w:r>
        <w:rPr>
          <w:rFonts w:ascii="Cambria" w:hAnsi="Cambria" w:cs="Cambria"/>
          <w:lang w:val="en-US"/>
        </w:rPr>
        <w:t xml:space="preserve">. </w:t>
      </w:r>
    </w:p>
    <w:p w:rsidR="001359B4" w:rsidRDefault="001359B4" w:rsidP="005A219A">
      <w:pPr>
        <w:autoSpaceDE w:val="0"/>
        <w:autoSpaceDN w:val="0"/>
        <w:adjustRightInd w:val="0"/>
        <w:spacing w:after="0" w:line="360" w:lineRule="auto"/>
        <w:rPr>
          <w:rFonts w:ascii="Cambria" w:hAnsi="Cambria" w:cs="Cambria"/>
          <w:lang w:val="en-US"/>
        </w:rPr>
      </w:pPr>
    </w:p>
    <w:p w:rsidR="001359B4" w:rsidRDefault="001359B4" w:rsidP="005A219A">
      <w:pPr>
        <w:autoSpaceDE w:val="0"/>
        <w:autoSpaceDN w:val="0"/>
        <w:adjustRightInd w:val="0"/>
        <w:spacing w:after="0" w:line="360" w:lineRule="auto"/>
        <w:rPr>
          <w:rFonts w:ascii="Cambria" w:hAnsi="Cambria" w:cs="Cambria"/>
          <w:lang w:val="en-US"/>
        </w:rPr>
      </w:pPr>
    </w:p>
    <w:p w:rsidR="00882C70" w:rsidRDefault="00882C70" w:rsidP="005A219A">
      <w:pPr>
        <w:autoSpaceDE w:val="0"/>
        <w:autoSpaceDN w:val="0"/>
        <w:adjustRightInd w:val="0"/>
        <w:spacing w:after="0" w:line="360" w:lineRule="auto"/>
        <w:rPr>
          <w:rFonts w:ascii="Cambria" w:hAnsi="Cambria" w:cs="Cambria"/>
          <w:lang w:val="en-US"/>
        </w:rPr>
      </w:pPr>
    </w:p>
    <w:p w:rsidR="00882C70" w:rsidRDefault="00882C70" w:rsidP="005A219A">
      <w:pPr>
        <w:autoSpaceDE w:val="0"/>
        <w:autoSpaceDN w:val="0"/>
        <w:adjustRightInd w:val="0"/>
        <w:spacing w:after="0" w:line="360" w:lineRule="auto"/>
        <w:rPr>
          <w:rFonts w:ascii="Cambria" w:hAnsi="Cambria" w:cs="Cambria"/>
          <w:lang w:val="en-US"/>
        </w:rPr>
      </w:pPr>
    </w:p>
    <w:p w:rsidR="00950596" w:rsidRDefault="00950596" w:rsidP="005A219A">
      <w:pPr>
        <w:autoSpaceDE w:val="0"/>
        <w:autoSpaceDN w:val="0"/>
        <w:adjustRightInd w:val="0"/>
        <w:spacing w:after="0" w:line="360" w:lineRule="auto"/>
        <w:rPr>
          <w:rFonts w:ascii="Cambria" w:hAnsi="Cambria" w:cs="Cambria"/>
          <w:lang w:val="en-US"/>
        </w:rPr>
      </w:pPr>
    </w:p>
    <w:p w:rsidR="00950596" w:rsidRDefault="00950596" w:rsidP="005A219A">
      <w:pPr>
        <w:autoSpaceDE w:val="0"/>
        <w:autoSpaceDN w:val="0"/>
        <w:adjustRightInd w:val="0"/>
        <w:spacing w:after="0" w:line="360" w:lineRule="auto"/>
        <w:rPr>
          <w:rFonts w:ascii="Cambria" w:hAnsi="Cambria" w:cs="Cambria"/>
          <w:lang w:val="en-US"/>
        </w:rPr>
      </w:pPr>
    </w:p>
    <w:p w:rsidR="00950596" w:rsidRDefault="00950596" w:rsidP="005A219A">
      <w:pPr>
        <w:autoSpaceDE w:val="0"/>
        <w:autoSpaceDN w:val="0"/>
        <w:adjustRightInd w:val="0"/>
        <w:spacing w:after="0" w:line="360" w:lineRule="auto"/>
        <w:rPr>
          <w:rFonts w:ascii="Cambria" w:hAnsi="Cambria" w:cs="Cambria"/>
          <w:lang w:val="en-US"/>
        </w:rPr>
      </w:pPr>
    </w:p>
    <w:p w:rsidR="00950596" w:rsidRDefault="00950596" w:rsidP="005A219A">
      <w:pPr>
        <w:autoSpaceDE w:val="0"/>
        <w:autoSpaceDN w:val="0"/>
        <w:adjustRightInd w:val="0"/>
        <w:spacing w:after="0" w:line="360" w:lineRule="auto"/>
        <w:rPr>
          <w:rFonts w:ascii="Cambria" w:hAnsi="Cambria" w:cs="Cambria"/>
          <w:lang w:val="en-US"/>
        </w:rPr>
      </w:pPr>
    </w:p>
    <w:p w:rsidR="001359B4" w:rsidRDefault="001359B4" w:rsidP="00356A4C">
      <w:pPr>
        <w:autoSpaceDE w:val="0"/>
        <w:autoSpaceDN w:val="0"/>
        <w:adjustRightInd w:val="0"/>
        <w:spacing w:after="0" w:line="240" w:lineRule="auto"/>
        <w:rPr>
          <w:rFonts w:ascii="Cambria" w:hAnsi="Cambria" w:cs="Cambria"/>
          <w:lang w:val="en-US"/>
        </w:rPr>
      </w:pPr>
      <w:r>
        <w:rPr>
          <w:rFonts w:ascii="Cambria" w:hAnsi="Cambria" w:cs="Cambria"/>
          <w:lang w:val="en-US"/>
        </w:rPr>
        <w:lastRenderedPageBreak/>
        <w:t>Figure 4:  World Production of Jute/Kenaf Fibre</w:t>
      </w:r>
    </w:p>
    <w:p w:rsidR="001359B4" w:rsidRDefault="001359B4" w:rsidP="00356A4C">
      <w:pPr>
        <w:autoSpaceDE w:val="0"/>
        <w:autoSpaceDN w:val="0"/>
        <w:adjustRightInd w:val="0"/>
        <w:spacing w:after="0" w:line="240" w:lineRule="auto"/>
        <w:rPr>
          <w:rFonts w:ascii="Cambria" w:hAnsi="Cambria" w:cs="Cambria"/>
          <w:lang w:val="en-US"/>
        </w:rPr>
      </w:pPr>
    </w:p>
    <w:p w:rsidR="002C65BC" w:rsidRDefault="007A2ECC" w:rsidP="00356A4C">
      <w:pPr>
        <w:autoSpaceDE w:val="0"/>
        <w:autoSpaceDN w:val="0"/>
        <w:adjustRightInd w:val="0"/>
        <w:spacing w:after="0" w:line="240" w:lineRule="auto"/>
        <w:rPr>
          <w:rFonts w:ascii="Cambria" w:hAnsi="Cambria" w:cs="Cambria"/>
          <w:lang w:val="en-US"/>
        </w:rPr>
      </w:pPr>
      <w:r>
        <w:rPr>
          <w:noProof/>
          <w:lang w:val="en-US"/>
        </w:rPr>
        <w:drawing>
          <wp:inline distT="0" distB="0" distL="0" distR="0">
            <wp:extent cx="5274310" cy="3570863"/>
            <wp:effectExtent l="0" t="0" r="21590"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2ECC" w:rsidRDefault="007A2ECC" w:rsidP="00356A4C">
      <w:pPr>
        <w:autoSpaceDE w:val="0"/>
        <w:autoSpaceDN w:val="0"/>
        <w:adjustRightInd w:val="0"/>
        <w:spacing w:after="0" w:line="240" w:lineRule="auto"/>
        <w:rPr>
          <w:rFonts w:ascii="Cambria" w:hAnsi="Cambria" w:cs="Cambria"/>
          <w:lang w:val="en-US"/>
        </w:rPr>
      </w:pPr>
    </w:p>
    <w:p w:rsidR="00356A4C" w:rsidRDefault="002C65BC" w:rsidP="00356A4C">
      <w:pPr>
        <w:autoSpaceDE w:val="0"/>
        <w:autoSpaceDN w:val="0"/>
        <w:adjustRightInd w:val="0"/>
        <w:spacing w:after="0" w:line="240" w:lineRule="auto"/>
        <w:rPr>
          <w:rFonts w:ascii="Cambria" w:hAnsi="Cambria" w:cs="Cambria"/>
          <w:lang w:val="en-US"/>
        </w:rPr>
      </w:pPr>
      <w:r>
        <w:rPr>
          <w:rFonts w:ascii="Cambria" w:hAnsi="Cambria" w:cs="Cambria"/>
          <w:lang w:val="en-US"/>
        </w:rPr>
        <w:t xml:space="preserve">Although prices were weaker in 2011/12 they recovered in 2013 and remained above the average for the decade as </w:t>
      </w:r>
      <w:r w:rsidR="00356A4C">
        <w:rPr>
          <w:rFonts w:ascii="Cambria" w:hAnsi="Cambria" w:cs="Cambria"/>
          <w:lang w:val="en-US"/>
        </w:rPr>
        <w:t xml:space="preserve">market contraction appears to have </w:t>
      </w:r>
      <w:r>
        <w:rPr>
          <w:rFonts w:ascii="Cambria" w:hAnsi="Cambria" w:cs="Cambria"/>
          <w:lang w:val="en-US"/>
        </w:rPr>
        <w:t xml:space="preserve">been </w:t>
      </w:r>
      <w:r w:rsidR="00356A4C">
        <w:rPr>
          <w:rFonts w:ascii="Cambria" w:hAnsi="Cambria" w:cs="Cambria"/>
          <w:lang w:val="en-US"/>
        </w:rPr>
        <w:t xml:space="preserve">halted.  </w:t>
      </w:r>
    </w:p>
    <w:p w:rsidR="00310B81" w:rsidRDefault="00310B81" w:rsidP="00356A4C">
      <w:pPr>
        <w:autoSpaceDE w:val="0"/>
        <w:autoSpaceDN w:val="0"/>
        <w:adjustRightInd w:val="0"/>
        <w:spacing w:after="0" w:line="240" w:lineRule="auto"/>
        <w:rPr>
          <w:rFonts w:ascii="Cambria" w:hAnsi="Cambria" w:cs="Cambria"/>
          <w:lang w:val="en-US"/>
        </w:rPr>
      </w:pPr>
    </w:p>
    <w:p w:rsidR="001359B4" w:rsidRDefault="001359B4" w:rsidP="00356A4C">
      <w:pPr>
        <w:autoSpaceDE w:val="0"/>
        <w:autoSpaceDN w:val="0"/>
        <w:adjustRightInd w:val="0"/>
        <w:spacing w:after="0" w:line="240" w:lineRule="auto"/>
        <w:rPr>
          <w:rFonts w:ascii="Cambria" w:hAnsi="Cambria" w:cs="Cambria"/>
          <w:lang w:val="en-US"/>
        </w:rPr>
      </w:pPr>
      <w:r>
        <w:rPr>
          <w:rFonts w:ascii="Cambria" w:hAnsi="Cambria" w:cs="Cambria"/>
          <w:lang w:val="en-US"/>
        </w:rPr>
        <w:t>Figure 5:  Jute Export Prices, FOB Bangladesh Port (2007-2013)</w:t>
      </w:r>
    </w:p>
    <w:p w:rsidR="001359B4" w:rsidRDefault="001359B4" w:rsidP="00356A4C">
      <w:pPr>
        <w:autoSpaceDE w:val="0"/>
        <w:autoSpaceDN w:val="0"/>
        <w:adjustRightInd w:val="0"/>
        <w:spacing w:after="0" w:line="240" w:lineRule="auto"/>
        <w:rPr>
          <w:rFonts w:ascii="Cambria" w:hAnsi="Cambria" w:cs="Cambria"/>
          <w:lang w:val="en-US"/>
        </w:rPr>
      </w:pPr>
    </w:p>
    <w:p w:rsidR="005A219A" w:rsidRDefault="00C77BCF" w:rsidP="00356A4C">
      <w:pPr>
        <w:autoSpaceDE w:val="0"/>
        <w:autoSpaceDN w:val="0"/>
        <w:adjustRightInd w:val="0"/>
        <w:spacing w:after="0" w:line="240" w:lineRule="auto"/>
        <w:rPr>
          <w:rFonts w:ascii="Cambria" w:hAnsi="Cambria" w:cs="Cambria"/>
          <w:lang w:val="en-US"/>
        </w:rPr>
      </w:pPr>
      <w:r>
        <w:rPr>
          <w:noProof/>
          <w:lang w:val="en-US"/>
        </w:rPr>
        <w:drawing>
          <wp:inline distT="0" distB="0" distL="0" distR="0">
            <wp:extent cx="5274310" cy="3447261"/>
            <wp:effectExtent l="0" t="0" r="21590" b="203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2C70" w:rsidRDefault="00882C70" w:rsidP="00356A4C">
      <w:pPr>
        <w:spacing w:after="0" w:line="240" w:lineRule="auto"/>
        <w:rPr>
          <w:rFonts w:ascii="Cambria" w:hAnsi="Cambria" w:cs="Cambria"/>
          <w:b/>
          <w:bCs/>
          <w:lang w:val="en-US"/>
        </w:rPr>
      </w:pPr>
    </w:p>
    <w:p w:rsidR="00356A4C" w:rsidRPr="00C31663" w:rsidRDefault="00356A4C" w:rsidP="00356A4C">
      <w:pPr>
        <w:spacing w:after="0" w:line="240" w:lineRule="auto"/>
        <w:rPr>
          <w:rFonts w:ascii="Cambria" w:hAnsi="Cambria" w:cs="Cambria"/>
          <w:b/>
          <w:bCs/>
          <w:lang w:val="en-US"/>
        </w:rPr>
      </w:pPr>
      <w:r w:rsidRPr="00C31663">
        <w:rPr>
          <w:rFonts w:ascii="Cambria" w:hAnsi="Cambria" w:cs="Cambria"/>
          <w:b/>
          <w:bCs/>
          <w:lang w:val="en-US"/>
        </w:rPr>
        <w:lastRenderedPageBreak/>
        <w:t>Trade</w:t>
      </w:r>
    </w:p>
    <w:p w:rsidR="00356A4C" w:rsidRPr="00C31663" w:rsidRDefault="00356A4C" w:rsidP="00356A4C">
      <w:pPr>
        <w:spacing w:after="0" w:line="240" w:lineRule="auto"/>
        <w:rPr>
          <w:rFonts w:ascii="Cambria" w:hAnsi="Cambria" w:cs="Cambria"/>
          <w:lang w:val="en-US"/>
        </w:rPr>
      </w:pPr>
    </w:p>
    <w:p w:rsidR="00160EB7" w:rsidRDefault="00356A4C" w:rsidP="00356A4C">
      <w:pPr>
        <w:rPr>
          <w:rFonts w:ascii="Cambria" w:hAnsi="Cambria" w:cs="Cambria"/>
          <w:lang w:val="en-US"/>
        </w:rPr>
      </w:pPr>
      <w:r w:rsidRPr="00044999">
        <w:rPr>
          <w:rFonts w:ascii="Cambria" w:hAnsi="Cambria" w:cs="Cambria"/>
          <w:lang w:val="en-US"/>
        </w:rPr>
        <w:t>World exports of jute fibre and goods</w:t>
      </w:r>
      <w:r w:rsidR="00747A2A" w:rsidRPr="00044999">
        <w:rPr>
          <w:rFonts w:ascii="Cambria" w:hAnsi="Cambria" w:cs="Cambria"/>
          <w:lang w:val="en-US"/>
        </w:rPr>
        <w:t xml:space="preserve"> declined</w:t>
      </w:r>
      <w:r w:rsidR="003D502E" w:rsidRPr="00044999">
        <w:rPr>
          <w:rFonts w:ascii="Cambria" w:hAnsi="Cambria" w:cs="Cambria"/>
          <w:lang w:val="en-US"/>
        </w:rPr>
        <w:t xml:space="preserve"> </w:t>
      </w:r>
      <w:r w:rsidR="00747A2A" w:rsidRPr="00044999">
        <w:rPr>
          <w:rFonts w:ascii="Cambria" w:hAnsi="Cambria" w:cs="Cambria"/>
          <w:lang w:val="en-US"/>
        </w:rPr>
        <w:t xml:space="preserve">respectively </w:t>
      </w:r>
      <w:r w:rsidR="003D502E" w:rsidRPr="00044999">
        <w:rPr>
          <w:rFonts w:ascii="Cambria" w:hAnsi="Cambria" w:cs="Cambria"/>
          <w:lang w:val="en-US"/>
        </w:rPr>
        <w:t xml:space="preserve">by </w:t>
      </w:r>
      <w:r w:rsidR="00747A2A" w:rsidRPr="00044999">
        <w:rPr>
          <w:rFonts w:ascii="Cambria" w:hAnsi="Cambria" w:cs="Cambria"/>
          <w:lang w:val="en-US"/>
        </w:rPr>
        <w:t>6.5</w:t>
      </w:r>
      <w:r w:rsidR="003D502E" w:rsidRPr="00044999">
        <w:rPr>
          <w:rFonts w:ascii="Cambria" w:hAnsi="Cambria" w:cs="Cambria"/>
          <w:lang w:val="en-US"/>
        </w:rPr>
        <w:t xml:space="preserve"> percent </w:t>
      </w:r>
      <w:r w:rsidR="00747A2A" w:rsidRPr="00044999">
        <w:rPr>
          <w:rFonts w:ascii="Cambria" w:hAnsi="Cambria" w:cs="Cambria"/>
          <w:lang w:val="en-US"/>
        </w:rPr>
        <w:t>and 7.9 percent in 2012/13, still reaching high levels</w:t>
      </w:r>
      <w:r w:rsidRPr="00044999">
        <w:rPr>
          <w:rFonts w:ascii="Cambria" w:hAnsi="Cambria" w:cs="Cambria"/>
          <w:lang w:val="en-US"/>
        </w:rPr>
        <w:t xml:space="preserve"> </w:t>
      </w:r>
      <w:r w:rsidR="003D502E" w:rsidRPr="00044999">
        <w:rPr>
          <w:rFonts w:ascii="Cambria" w:hAnsi="Cambria" w:cs="Cambria"/>
          <w:lang w:val="en-US"/>
        </w:rPr>
        <w:t xml:space="preserve">compared to levels attained </w:t>
      </w:r>
      <w:r w:rsidR="005A219A" w:rsidRPr="00044999">
        <w:rPr>
          <w:rFonts w:ascii="Cambria" w:hAnsi="Cambria" w:cs="Cambria"/>
          <w:lang w:val="en-US"/>
        </w:rPr>
        <w:t>the previous year</w:t>
      </w:r>
      <w:r w:rsidR="00747A2A" w:rsidRPr="00044999">
        <w:rPr>
          <w:rFonts w:ascii="Cambria" w:hAnsi="Cambria" w:cs="Cambria"/>
          <w:lang w:val="en-US"/>
        </w:rPr>
        <w:t>s</w:t>
      </w:r>
      <w:r w:rsidRPr="00C31663">
        <w:rPr>
          <w:rFonts w:ascii="Cambria" w:hAnsi="Cambria" w:cs="Cambria"/>
          <w:lang w:val="en-US"/>
        </w:rPr>
        <w:t xml:space="preserve">. </w:t>
      </w:r>
    </w:p>
    <w:p w:rsidR="001359B4" w:rsidRDefault="001359B4" w:rsidP="00356A4C">
      <w:pPr>
        <w:rPr>
          <w:rFonts w:ascii="Cambria" w:hAnsi="Cambria" w:cs="Cambria"/>
          <w:lang w:val="en-US"/>
        </w:rPr>
      </w:pPr>
      <w:r>
        <w:rPr>
          <w:rFonts w:ascii="Cambria" w:hAnsi="Cambria" w:cs="Cambria"/>
          <w:lang w:val="en-US"/>
        </w:rPr>
        <w:t>Figure 6:  Trend of E</w:t>
      </w:r>
      <w:r w:rsidR="00882C70">
        <w:rPr>
          <w:rFonts w:ascii="Cambria" w:hAnsi="Cambria" w:cs="Cambria"/>
          <w:lang w:val="en-US"/>
        </w:rPr>
        <w:t xml:space="preserve">xports of Jute Fibre and Goods </w:t>
      </w:r>
    </w:p>
    <w:p w:rsidR="00160EB7" w:rsidRDefault="00160EB7" w:rsidP="00356A4C">
      <w:pPr>
        <w:rPr>
          <w:rFonts w:ascii="Cambria" w:hAnsi="Cambria" w:cs="Cambria"/>
          <w:lang w:val="en-US"/>
        </w:rPr>
      </w:pPr>
      <w:r>
        <w:rPr>
          <w:noProof/>
          <w:lang w:val="en-US"/>
        </w:rPr>
        <w:drawing>
          <wp:inline distT="0" distB="0" distL="0" distR="0">
            <wp:extent cx="5274310" cy="3440041"/>
            <wp:effectExtent l="0" t="0" r="21590" b="273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10B9" w:rsidRPr="00044999" w:rsidRDefault="003D502E" w:rsidP="00356A4C">
      <w:pPr>
        <w:rPr>
          <w:rFonts w:ascii="Cambria" w:hAnsi="Cambria" w:cs="Cambria"/>
          <w:lang w:val="en-US"/>
        </w:rPr>
      </w:pPr>
      <w:r w:rsidRPr="00044999">
        <w:rPr>
          <w:rFonts w:ascii="Cambria" w:hAnsi="Cambria" w:cs="Cambria"/>
          <w:lang w:val="en-US"/>
        </w:rPr>
        <w:t xml:space="preserve">Bangladesh dominates world exports of </w:t>
      </w:r>
      <w:r w:rsidR="005A219A" w:rsidRPr="00044999">
        <w:rPr>
          <w:rFonts w:ascii="Cambria" w:hAnsi="Cambria" w:cs="Cambria"/>
          <w:lang w:val="en-US"/>
        </w:rPr>
        <w:t xml:space="preserve">jute, </w:t>
      </w:r>
      <w:r w:rsidRPr="00044999">
        <w:rPr>
          <w:rFonts w:ascii="Cambria" w:hAnsi="Cambria" w:cs="Cambria"/>
          <w:lang w:val="en-US"/>
        </w:rPr>
        <w:t>accounting for 9</w:t>
      </w:r>
      <w:r w:rsidR="009E4215" w:rsidRPr="00044999">
        <w:rPr>
          <w:rFonts w:ascii="Cambria" w:hAnsi="Cambria" w:cs="Cambria"/>
          <w:lang w:val="en-US"/>
        </w:rPr>
        <w:t>5</w:t>
      </w:r>
      <w:r w:rsidRPr="00044999">
        <w:rPr>
          <w:rFonts w:ascii="Cambria" w:hAnsi="Cambria" w:cs="Cambria"/>
          <w:lang w:val="en-US"/>
        </w:rPr>
        <w:t xml:space="preserve"> percent of the global </w:t>
      </w:r>
      <w:r w:rsidR="005E0AF5" w:rsidRPr="00044999">
        <w:rPr>
          <w:rFonts w:ascii="Cambria" w:hAnsi="Cambria" w:cs="Cambria"/>
          <w:lang w:val="en-US"/>
        </w:rPr>
        <w:t>exports</w:t>
      </w:r>
      <w:r w:rsidR="003B44D8" w:rsidRPr="00044999">
        <w:rPr>
          <w:rFonts w:ascii="Cambria" w:hAnsi="Cambria" w:cs="Cambria"/>
          <w:lang w:val="en-US"/>
        </w:rPr>
        <w:t xml:space="preserve"> of raw jute</w:t>
      </w:r>
      <w:r w:rsidR="005A219A" w:rsidRPr="00044999">
        <w:rPr>
          <w:rFonts w:ascii="Cambria" w:hAnsi="Cambria" w:cs="Cambria"/>
          <w:lang w:val="en-US"/>
        </w:rPr>
        <w:t xml:space="preserve"> and </w:t>
      </w:r>
      <w:r w:rsidR="003B44D8" w:rsidRPr="00044999">
        <w:rPr>
          <w:rFonts w:ascii="Cambria" w:hAnsi="Cambria" w:cs="Cambria"/>
          <w:lang w:val="en-US"/>
        </w:rPr>
        <w:t>70</w:t>
      </w:r>
      <w:r w:rsidR="005A219A" w:rsidRPr="00044999">
        <w:rPr>
          <w:rFonts w:ascii="Cambria" w:hAnsi="Cambria" w:cs="Cambria"/>
          <w:lang w:val="en-US"/>
        </w:rPr>
        <w:t xml:space="preserve"> percent of jute</w:t>
      </w:r>
      <w:r w:rsidR="00356A4C" w:rsidRPr="00044999">
        <w:rPr>
          <w:rFonts w:ascii="Cambria" w:hAnsi="Cambria" w:cs="Cambria"/>
          <w:lang w:val="en-US"/>
        </w:rPr>
        <w:t xml:space="preserve"> goods</w:t>
      </w:r>
      <w:r w:rsidRPr="00044999">
        <w:rPr>
          <w:rFonts w:ascii="Cambria" w:hAnsi="Cambria" w:cs="Cambria"/>
          <w:lang w:val="en-US"/>
        </w:rPr>
        <w:t xml:space="preserve"> in 201</w:t>
      </w:r>
      <w:r w:rsidR="009E4215" w:rsidRPr="00044999">
        <w:rPr>
          <w:rFonts w:ascii="Cambria" w:hAnsi="Cambria" w:cs="Cambria"/>
          <w:lang w:val="en-US"/>
        </w:rPr>
        <w:t>2</w:t>
      </w:r>
      <w:r w:rsidRPr="00044999">
        <w:rPr>
          <w:rFonts w:ascii="Cambria" w:hAnsi="Cambria" w:cs="Cambria"/>
          <w:lang w:val="en-US"/>
        </w:rPr>
        <w:t>/1</w:t>
      </w:r>
      <w:r w:rsidR="009E4215" w:rsidRPr="00044999">
        <w:rPr>
          <w:rFonts w:ascii="Cambria" w:hAnsi="Cambria" w:cs="Cambria"/>
          <w:lang w:val="en-US"/>
        </w:rPr>
        <w:t>3</w:t>
      </w:r>
      <w:r w:rsidR="00356A4C" w:rsidRPr="00044999">
        <w:rPr>
          <w:rFonts w:ascii="Cambria" w:hAnsi="Cambria" w:cs="Cambria"/>
          <w:lang w:val="en-US"/>
        </w:rPr>
        <w:t xml:space="preserve">. </w:t>
      </w: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160EB7" w:rsidRDefault="00160EB7"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p>
    <w:p w:rsidR="00882C70" w:rsidRDefault="00882C70" w:rsidP="00356A4C">
      <w:pPr>
        <w:rPr>
          <w:rFonts w:ascii="Cambria" w:hAnsi="Cambria" w:cs="Cambria"/>
          <w:lang w:val="en-US"/>
        </w:rPr>
      </w:pPr>
      <w:r>
        <w:rPr>
          <w:rFonts w:ascii="Cambria" w:hAnsi="Cambria" w:cs="Cambria"/>
          <w:lang w:val="en-US"/>
        </w:rPr>
        <w:lastRenderedPageBreak/>
        <w:t xml:space="preserve">Figure 7:  World Exports of Jute Fibre </w:t>
      </w:r>
    </w:p>
    <w:p w:rsidR="00882C70" w:rsidRDefault="00882C70" w:rsidP="00356A4C">
      <w:pPr>
        <w:rPr>
          <w:rFonts w:ascii="Cambria" w:hAnsi="Cambria" w:cs="Cambria"/>
          <w:lang w:val="en-US"/>
        </w:rPr>
      </w:pPr>
      <w:r>
        <w:rPr>
          <w:noProof/>
          <w:lang w:val="en-US"/>
        </w:rPr>
        <w:drawing>
          <wp:inline distT="0" distB="0" distL="0" distR="0">
            <wp:extent cx="5274310" cy="3566608"/>
            <wp:effectExtent l="0" t="0" r="2159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6A4C" w:rsidRDefault="00356A4C" w:rsidP="00356A4C">
      <w:pPr>
        <w:rPr>
          <w:rFonts w:ascii="Cambria" w:hAnsi="Cambria" w:cs="Cambria"/>
          <w:lang w:val="en-US"/>
        </w:rPr>
      </w:pPr>
      <w:r>
        <w:rPr>
          <w:rFonts w:ascii="Cambria" w:hAnsi="Cambria" w:cs="Cambria"/>
          <w:lang w:val="en-US"/>
        </w:rPr>
        <w:t>India is also a significant exporter</w:t>
      </w:r>
      <w:r w:rsidR="003D502E">
        <w:rPr>
          <w:rFonts w:ascii="Cambria" w:hAnsi="Cambria" w:cs="Cambria"/>
          <w:lang w:val="en-US"/>
        </w:rPr>
        <w:t xml:space="preserve"> of jute goods</w:t>
      </w:r>
      <w:r>
        <w:rPr>
          <w:rFonts w:ascii="Cambria" w:hAnsi="Cambria" w:cs="Cambria"/>
          <w:lang w:val="en-US"/>
        </w:rPr>
        <w:t xml:space="preserve">, accounting for </w:t>
      </w:r>
      <w:r w:rsidRPr="00044999">
        <w:rPr>
          <w:rFonts w:ascii="Cambria" w:hAnsi="Cambria" w:cs="Cambria"/>
          <w:lang w:val="en-US"/>
        </w:rPr>
        <w:t xml:space="preserve">about </w:t>
      </w:r>
      <w:r w:rsidR="003B44D8" w:rsidRPr="00044999">
        <w:rPr>
          <w:rFonts w:ascii="Cambria" w:hAnsi="Cambria" w:cs="Cambria"/>
          <w:lang w:val="en-US"/>
        </w:rPr>
        <w:t>20</w:t>
      </w:r>
      <w:r w:rsidRPr="00044999">
        <w:rPr>
          <w:rFonts w:ascii="Cambria" w:hAnsi="Cambria" w:cs="Cambria"/>
          <w:lang w:val="en-US"/>
        </w:rPr>
        <w:t xml:space="preserve"> percent</w:t>
      </w:r>
      <w:r>
        <w:rPr>
          <w:rFonts w:ascii="Cambria" w:hAnsi="Cambria" w:cs="Cambria"/>
          <w:lang w:val="en-US"/>
        </w:rPr>
        <w:t xml:space="preserve"> of global shipments despite its vast domestic market requirements.  Smaller volumes </w:t>
      </w:r>
      <w:r w:rsidR="003D502E">
        <w:rPr>
          <w:rFonts w:ascii="Cambria" w:hAnsi="Cambria" w:cs="Cambria"/>
          <w:lang w:val="en-US"/>
        </w:rPr>
        <w:t>we</w:t>
      </w:r>
      <w:r>
        <w:rPr>
          <w:rFonts w:ascii="Cambria" w:hAnsi="Cambria" w:cs="Cambria"/>
          <w:lang w:val="en-US"/>
        </w:rPr>
        <w:t xml:space="preserve">re exported from </w:t>
      </w:r>
      <w:r w:rsidR="003D502E">
        <w:rPr>
          <w:rFonts w:ascii="Cambria" w:hAnsi="Cambria" w:cs="Cambria"/>
          <w:lang w:val="en-US"/>
        </w:rPr>
        <w:t xml:space="preserve">countries in Asia, the Near </w:t>
      </w:r>
      <w:r>
        <w:rPr>
          <w:rFonts w:ascii="Cambria" w:hAnsi="Cambria" w:cs="Cambria"/>
          <w:lang w:val="en-US"/>
        </w:rPr>
        <w:t xml:space="preserve">East, and Latin America.  </w:t>
      </w:r>
      <w:r w:rsidR="003D502E" w:rsidRPr="006573F3">
        <w:rPr>
          <w:rFonts w:ascii="Cambria" w:hAnsi="Cambria" w:cs="Cambria"/>
          <w:lang w:val="en-US"/>
        </w:rPr>
        <w:t>In addition</w:t>
      </w:r>
      <w:r w:rsidR="006573F3">
        <w:rPr>
          <w:rFonts w:ascii="Cambria" w:hAnsi="Cambria" w:cs="Cambria"/>
          <w:lang w:val="en-US"/>
        </w:rPr>
        <w:t>,</w:t>
      </w:r>
      <w:r w:rsidR="003D502E" w:rsidRPr="006573F3">
        <w:rPr>
          <w:rFonts w:ascii="Cambria" w:hAnsi="Cambria" w:cs="Cambria"/>
          <w:lang w:val="en-US"/>
        </w:rPr>
        <w:t xml:space="preserve"> s</w:t>
      </w:r>
      <w:r w:rsidRPr="006573F3">
        <w:rPr>
          <w:rFonts w:ascii="Cambria" w:hAnsi="Cambria" w:cs="Cambria"/>
          <w:lang w:val="en-US"/>
        </w:rPr>
        <w:t xml:space="preserve">ome </w:t>
      </w:r>
      <w:r w:rsidR="003B44D8" w:rsidRPr="006573F3">
        <w:rPr>
          <w:rFonts w:ascii="Cambria" w:hAnsi="Cambria" w:cs="Cambria"/>
          <w:lang w:val="en-US"/>
        </w:rPr>
        <w:t>20</w:t>
      </w:r>
      <w:r w:rsidR="00D47562" w:rsidRPr="006573F3">
        <w:rPr>
          <w:rFonts w:ascii="Cambria" w:hAnsi="Cambria" w:cs="Cambria"/>
          <w:lang w:val="en-US"/>
        </w:rPr>
        <w:t xml:space="preserve"> </w:t>
      </w:r>
      <w:r w:rsidR="003B44D8" w:rsidRPr="006573F3">
        <w:rPr>
          <w:rFonts w:ascii="Cambria" w:hAnsi="Cambria" w:cs="Cambria"/>
          <w:lang w:val="en-US"/>
        </w:rPr>
        <w:t>000</w:t>
      </w:r>
      <w:r w:rsidRPr="006573F3">
        <w:rPr>
          <w:rFonts w:ascii="Cambria" w:hAnsi="Cambria" w:cs="Cambria"/>
          <w:color w:val="FF0000"/>
          <w:lang w:val="en-US"/>
        </w:rPr>
        <w:t xml:space="preserve"> </w:t>
      </w:r>
      <w:r w:rsidRPr="006573F3">
        <w:rPr>
          <w:rFonts w:ascii="Cambria" w:hAnsi="Cambria" w:cs="Cambria"/>
          <w:lang w:val="en-US"/>
        </w:rPr>
        <w:t>tonnes of jute products are n</w:t>
      </w:r>
      <w:r w:rsidR="006573F3">
        <w:rPr>
          <w:rFonts w:ascii="Cambria" w:hAnsi="Cambria" w:cs="Cambria"/>
          <w:lang w:val="en-US"/>
        </w:rPr>
        <w:t>ormally re-exported from Europe.</w:t>
      </w:r>
    </w:p>
    <w:p w:rsidR="00882C70" w:rsidRPr="00D30C13" w:rsidRDefault="00882C70" w:rsidP="00356A4C">
      <w:pPr>
        <w:rPr>
          <w:rFonts w:eastAsia="Times New Roman"/>
          <w:b/>
          <w:bCs/>
          <w:sz w:val="28"/>
          <w:szCs w:val="28"/>
          <w:lang w:eastAsia="en-GB"/>
        </w:rPr>
      </w:pPr>
      <w:r>
        <w:rPr>
          <w:rFonts w:ascii="Cambria" w:hAnsi="Cambria" w:cs="Cambria"/>
          <w:lang w:val="en-US"/>
        </w:rPr>
        <w:t>Figure 8:  World Exports of Jute Goods</w:t>
      </w:r>
    </w:p>
    <w:p w:rsidR="000310B9" w:rsidRPr="000310B9" w:rsidRDefault="002224F0" w:rsidP="00356A4C">
      <w:pPr>
        <w:spacing w:after="0" w:line="240" w:lineRule="auto"/>
        <w:rPr>
          <w:rFonts w:ascii="Cambria" w:hAnsi="Cambria" w:cs="Cambria"/>
          <w:b/>
          <w:lang w:val="en-US"/>
        </w:rPr>
      </w:pPr>
      <w:r>
        <w:rPr>
          <w:noProof/>
          <w:lang w:val="en-US"/>
        </w:rPr>
        <w:drawing>
          <wp:inline distT="0" distB="0" distL="0" distR="0">
            <wp:extent cx="5271715" cy="3260035"/>
            <wp:effectExtent l="0" t="0" r="24765"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6A4C" w:rsidRDefault="00356A4C" w:rsidP="005A219A">
      <w:pPr>
        <w:spacing w:after="0" w:line="360" w:lineRule="auto"/>
        <w:rPr>
          <w:rFonts w:ascii="Cambria" w:hAnsi="Cambria" w:cs="Cambria"/>
          <w:lang w:val="en-US"/>
        </w:rPr>
      </w:pPr>
      <w:r w:rsidRPr="005A219A">
        <w:rPr>
          <w:rFonts w:ascii="Cambria" w:hAnsi="Cambria" w:cs="Cambria"/>
          <w:lang w:val="en-US"/>
        </w:rPr>
        <w:lastRenderedPageBreak/>
        <w:t>Imports of raw jute totaled 464</w:t>
      </w:r>
      <w:r w:rsidR="005A219A">
        <w:rPr>
          <w:rFonts w:ascii="Cambria" w:hAnsi="Cambria" w:cs="Cambria"/>
          <w:lang w:val="en-US"/>
        </w:rPr>
        <w:t xml:space="preserve"> </w:t>
      </w:r>
      <w:r w:rsidRPr="005A219A">
        <w:rPr>
          <w:rFonts w:ascii="Cambria" w:hAnsi="Cambria" w:cs="Cambria"/>
          <w:lang w:val="en-US"/>
        </w:rPr>
        <w:t>9</w:t>
      </w:r>
      <w:r w:rsidR="005A219A">
        <w:rPr>
          <w:rFonts w:ascii="Cambria" w:hAnsi="Cambria" w:cs="Cambria"/>
          <w:lang w:val="en-US"/>
        </w:rPr>
        <w:t xml:space="preserve">00 </w:t>
      </w:r>
      <w:r w:rsidRPr="005A219A">
        <w:rPr>
          <w:rFonts w:ascii="Cambria" w:hAnsi="Cambria" w:cs="Cambria"/>
          <w:lang w:val="en-US"/>
        </w:rPr>
        <w:t xml:space="preserve">tonnes in 2012. (Global import data are reported on a calendar basis rather than on a crop year leading to differences with export levels owing to “leads and lags”.)   </w:t>
      </w:r>
      <w:r w:rsidR="002E1D48" w:rsidRPr="005A219A">
        <w:rPr>
          <w:rFonts w:ascii="Cambria" w:hAnsi="Cambria" w:cs="Cambria"/>
          <w:lang w:val="en-US"/>
        </w:rPr>
        <w:t xml:space="preserve">Asia </w:t>
      </w:r>
      <w:r w:rsidRPr="00044999">
        <w:rPr>
          <w:rFonts w:ascii="Cambria" w:hAnsi="Cambria" w:cs="Cambria"/>
          <w:lang w:val="en-US"/>
        </w:rPr>
        <w:t>accounted for 8</w:t>
      </w:r>
      <w:r w:rsidR="00B60B47" w:rsidRPr="00044999">
        <w:rPr>
          <w:rFonts w:ascii="Cambria" w:hAnsi="Cambria" w:cs="Cambria"/>
          <w:lang w:val="en-US"/>
        </w:rPr>
        <w:t>8</w:t>
      </w:r>
      <w:r w:rsidRPr="00044999">
        <w:rPr>
          <w:rFonts w:ascii="Cambria" w:hAnsi="Cambria" w:cs="Cambria"/>
          <w:lang w:val="en-US"/>
        </w:rPr>
        <w:t xml:space="preserve"> percent</w:t>
      </w:r>
      <w:r w:rsidRPr="005A219A">
        <w:rPr>
          <w:rFonts w:ascii="Cambria" w:hAnsi="Cambria" w:cs="Cambria"/>
          <w:lang w:val="en-US"/>
        </w:rPr>
        <w:t xml:space="preserve"> of raw jute imports, totaling 410</w:t>
      </w:r>
      <w:r w:rsidR="005A219A">
        <w:rPr>
          <w:rFonts w:ascii="Cambria" w:hAnsi="Cambria" w:cs="Cambria"/>
          <w:lang w:val="en-US"/>
        </w:rPr>
        <w:t xml:space="preserve"> </w:t>
      </w:r>
      <w:r w:rsidRPr="00044999">
        <w:rPr>
          <w:rFonts w:ascii="Cambria" w:hAnsi="Cambria" w:cs="Cambria"/>
          <w:lang w:val="en-US"/>
        </w:rPr>
        <w:t>8</w:t>
      </w:r>
      <w:r w:rsidR="005A219A" w:rsidRPr="00044999">
        <w:rPr>
          <w:rFonts w:ascii="Cambria" w:hAnsi="Cambria" w:cs="Cambria"/>
          <w:lang w:val="en-US"/>
        </w:rPr>
        <w:t xml:space="preserve">00 tonnes, with India </w:t>
      </w:r>
      <w:r w:rsidR="00104971" w:rsidRPr="00044999">
        <w:rPr>
          <w:rFonts w:ascii="Cambria" w:hAnsi="Cambria" w:cs="Cambria"/>
          <w:lang w:val="en-US"/>
        </w:rPr>
        <w:t>a</w:t>
      </w:r>
      <w:r w:rsidRPr="00044999">
        <w:rPr>
          <w:rFonts w:ascii="Cambria" w:hAnsi="Cambria" w:cs="Cambria"/>
          <w:lang w:val="en-US"/>
        </w:rPr>
        <w:t xml:space="preserve">s the major importer which reached 144 </w:t>
      </w:r>
      <w:r w:rsidR="00843663" w:rsidRPr="00044999">
        <w:rPr>
          <w:rFonts w:ascii="Cambria" w:hAnsi="Cambria" w:cs="Cambria"/>
          <w:lang w:val="en-US"/>
        </w:rPr>
        <w:t>000</w:t>
      </w:r>
      <w:r w:rsidRPr="00044999">
        <w:rPr>
          <w:rFonts w:ascii="Cambria" w:hAnsi="Cambria" w:cs="Cambria"/>
          <w:lang w:val="en-US"/>
        </w:rPr>
        <w:t xml:space="preserve"> tonnes in 2012.  China, the second largest market, imported some 100 </w:t>
      </w:r>
      <w:r w:rsidR="00843663" w:rsidRPr="00044999">
        <w:rPr>
          <w:rFonts w:ascii="Cambria" w:hAnsi="Cambria" w:cs="Cambria"/>
          <w:lang w:val="en-US"/>
        </w:rPr>
        <w:t>000</w:t>
      </w:r>
      <w:r w:rsidRPr="00044999">
        <w:rPr>
          <w:rFonts w:ascii="Cambria" w:hAnsi="Cambria" w:cs="Cambria"/>
          <w:lang w:val="en-US"/>
        </w:rPr>
        <w:t xml:space="preserve"> tonnes in 2012.  Imports into Pakistan, the third largest importer of raw jute, decreased </w:t>
      </w:r>
      <w:r w:rsidR="00B60B47" w:rsidRPr="00044999">
        <w:rPr>
          <w:rFonts w:ascii="Cambria" w:hAnsi="Cambria" w:cs="Cambria"/>
          <w:lang w:val="en-US"/>
        </w:rPr>
        <w:t xml:space="preserve">slightly </w:t>
      </w:r>
      <w:r w:rsidRPr="00044999">
        <w:rPr>
          <w:rFonts w:ascii="Cambria" w:hAnsi="Cambria" w:cs="Cambria"/>
          <w:lang w:val="en-US"/>
        </w:rPr>
        <w:t>to 9</w:t>
      </w:r>
      <w:r w:rsidR="00843663" w:rsidRPr="00044999">
        <w:rPr>
          <w:rFonts w:ascii="Cambria" w:hAnsi="Cambria" w:cs="Cambria"/>
          <w:lang w:val="en-US"/>
        </w:rPr>
        <w:t xml:space="preserve">3 </w:t>
      </w:r>
      <w:r w:rsidRPr="00044999">
        <w:rPr>
          <w:rFonts w:ascii="Cambria" w:hAnsi="Cambria" w:cs="Cambria"/>
          <w:lang w:val="en-US"/>
        </w:rPr>
        <w:t>9</w:t>
      </w:r>
      <w:r w:rsidR="00843663" w:rsidRPr="00044999">
        <w:rPr>
          <w:rFonts w:ascii="Cambria" w:hAnsi="Cambria" w:cs="Cambria"/>
          <w:lang w:val="en-US"/>
        </w:rPr>
        <w:t>00</w:t>
      </w:r>
      <w:r w:rsidRPr="00044999">
        <w:rPr>
          <w:rFonts w:ascii="Cambria" w:hAnsi="Cambria" w:cs="Cambria"/>
          <w:lang w:val="en-US"/>
        </w:rPr>
        <w:t xml:space="preserve"> tonnes</w:t>
      </w:r>
      <w:r w:rsidRPr="005A219A">
        <w:rPr>
          <w:rFonts w:ascii="Cambria" w:hAnsi="Cambria" w:cs="Cambria"/>
          <w:lang w:val="en-US"/>
        </w:rPr>
        <w:t xml:space="preserve">. </w:t>
      </w:r>
    </w:p>
    <w:p w:rsidR="00882C70" w:rsidRDefault="00882C70" w:rsidP="005A219A">
      <w:pPr>
        <w:spacing w:after="0" w:line="360" w:lineRule="auto"/>
        <w:rPr>
          <w:rFonts w:ascii="Cambria" w:hAnsi="Cambria" w:cs="Cambria"/>
          <w:lang w:val="en-US"/>
        </w:rPr>
      </w:pPr>
    </w:p>
    <w:p w:rsidR="00882C70" w:rsidRDefault="00882C70" w:rsidP="005A219A">
      <w:pPr>
        <w:spacing w:after="0" w:line="360" w:lineRule="auto"/>
        <w:rPr>
          <w:rFonts w:ascii="Cambria" w:hAnsi="Cambria" w:cs="Cambria"/>
          <w:lang w:val="en-US"/>
        </w:rPr>
      </w:pPr>
      <w:r>
        <w:rPr>
          <w:rFonts w:ascii="Cambria" w:hAnsi="Cambria" w:cs="Cambria"/>
          <w:lang w:val="en-US"/>
        </w:rPr>
        <w:t>Figure 9:  Percentage Share of World Imports of Jute Fibre in 2012</w:t>
      </w:r>
    </w:p>
    <w:p w:rsidR="00842050" w:rsidRDefault="00842050" w:rsidP="005A219A">
      <w:pPr>
        <w:spacing w:after="0" w:line="360" w:lineRule="auto"/>
        <w:rPr>
          <w:rFonts w:ascii="Cambria" w:hAnsi="Cambria" w:cs="Cambria"/>
          <w:lang w:val="en-US"/>
        </w:rPr>
      </w:pPr>
      <w:r w:rsidRPr="00842050">
        <w:rPr>
          <w:rFonts w:ascii="Garamond" w:hAnsi="Garamond"/>
          <w:noProof/>
          <w:lang w:val="en-US"/>
        </w:rPr>
        <w:drawing>
          <wp:inline distT="0" distB="0" distL="0" distR="0">
            <wp:extent cx="5274310" cy="3275594"/>
            <wp:effectExtent l="0" t="0" r="21590" b="203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7562" w:rsidRPr="005A219A" w:rsidRDefault="00D47562" w:rsidP="005A219A">
      <w:pPr>
        <w:spacing w:after="0" w:line="360" w:lineRule="auto"/>
        <w:rPr>
          <w:rFonts w:ascii="Cambria" w:hAnsi="Cambria" w:cs="Cambria"/>
          <w:lang w:val="en-US"/>
        </w:rPr>
      </w:pPr>
    </w:p>
    <w:p w:rsidR="00356A4C" w:rsidRDefault="00356A4C" w:rsidP="005A219A">
      <w:pPr>
        <w:spacing w:line="360" w:lineRule="auto"/>
        <w:rPr>
          <w:rFonts w:ascii="Cambria" w:hAnsi="Cambria" w:cs="Cambria"/>
          <w:lang w:val="en-US"/>
        </w:rPr>
      </w:pPr>
      <w:r w:rsidRPr="005A219A">
        <w:rPr>
          <w:rFonts w:ascii="Cambria" w:hAnsi="Cambria" w:cs="Cambria"/>
          <w:lang w:val="en-US"/>
        </w:rPr>
        <w:t>World imports of jute goods in 2012 amounted to 949</w:t>
      </w:r>
      <w:r w:rsidR="00843663">
        <w:rPr>
          <w:rFonts w:ascii="Cambria" w:hAnsi="Cambria" w:cs="Cambria"/>
          <w:lang w:val="en-US"/>
        </w:rPr>
        <w:t xml:space="preserve"> </w:t>
      </w:r>
      <w:r w:rsidRPr="005A219A">
        <w:rPr>
          <w:rFonts w:ascii="Cambria" w:hAnsi="Cambria" w:cs="Cambria"/>
          <w:lang w:val="en-US"/>
        </w:rPr>
        <w:t>9</w:t>
      </w:r>
      <w:r w:rsidR="00843663">
        <w:rPr>
          <w:rFonts w:ascii="Cambria" w:hAnsi="Cambria" w:cs="Cambria"/>
          <w:lang w:val="en-US"/>
        </w:rPr>
        <w:t>00</w:t>
      </w:r>
      <w:r w:rsidRPr="005A219A">
        <w:rPr>
          <w:rFonts w:ascii="Cambria" w:hAnsi="Cambria" w:cs="Cambria"/>
          <w:lang w:val="en-US"/>
        </w:rPr>
        <w:t xml:space="preserve"> tonnes, up 11 percent from 2011, reflecting significant rise in comparison with the average for the last decade of nearly 600</w:t>
      </w:r>
      <w:r w:rsidR="00843663">
        <w:rPr>
          <w:rFonts w:ascii="Cambria" w:hAnsi="Cambria" w:cs="Cambria"/>
          <w:lang w:val="en-US"/>
        </w:rPr>
        <w:t xml:space="preserve"> </w:t>
      </w:r>
      <w:r w:rsidRPr="005A219A">
        <w:rPr>
          <w:rFonts w:ascii="Cambria" w:hAnsi="Cambria" w:cs="Cambria"/>
          <w:lang w:val="en-US"/>
        </w:rPr>
        <w:t>0</w:t>
      </w:r>
      <w:r w:rsidR="00843663">
        <w:rPr>
          <w:rFonts w:ascii="Cambria" w:hAnsi="Cambria" w:cs="Cambria"/>
          <w:lang w:val="en-US"/>
        </w:rPr>
        <w:t>00</w:t>
      </w:r>
      <w:r w:rsidRPr="005A219A">
        <w:rPr>
          <w:rFonts w:ascii="Cambria" w:hAnsi="Cambria" w:cs="Cambria"/>
          <w:lang w:val="en-US"/>
        </w:rPr>
        <w:t xml:space="preserve"> tonnes. The Near East remains by far the largest importing region, with Turkey, the major market, showing steady growth.   Other smaller markets for jute goods include Europe, Africa, the Far East and North America.  </w:t>
      </w:r>
    </w:p>
    <w:p w:rsidR="00882C70" w:rsidRDefault="00882C70" w:rsidP="005A219A">
      <w:pPr>
        <w:spacing w:line="360" w:lineRule="auto"/>
        <w:rPr>
          <w:rFonts w:ascii="Cambria" w:hAnsi="Cambria" w:cs="Cambria"/>
          <w:lang w:val="en-US"/>
        </w:rPr>
      </w:pPr>
    </w:p>
    <w:p w:rsidR="00882C70" w:rsidRDefault="00882C70" w:rsidP="005A219A">
      <w:pPr>
        <w:spacing w:line="360" w:lineRule="auto"/>
        <w:rPr>
          <w:rFonts w:ascii="Cambria" w:hAnsi="Cambria" w:cs="Cambria"/>
          <w:lang w:val="en-US"/>
        </w:rPr>
      </w:pPr>
    </w:p>
    <w:p w:rsidR="00882C70" w:rsidRDefault="00882C70" w:rsidP="005A219A">
      <w:pPr>
        <w:spacing w:line="360" w:lineRule="auto"/>
        <w:rPr>
          <w:rFonts w:ascii="Cambria" w:hAnsi="Cambria" w:cs="Cambria"/>
          <w:lang w:val="en-US"/>
        </w:rPr>
      </w:pPr>
    </w:p>
    <w:p w:rsidR="00882C70" w:rsidRDefault="00882C70" w:rsidP="005A219A">
      <w:pPr>
        <w:spacing w:line="360" w:lineRule="auto"/>
        <w:rPr>
          <w:rFonts w:ascii="Cambria" w:hAnsi="Cambria" w:cs="Cambria"/>
          <w:lang w:val="en-US"/>
        </w:rPr>
      </w:pPr>
      <w:r>
        <w:rPr>
          <w:rFonts w:ascii="Cambria" w:hAnsi="Cambria" w:cs="Cambria"/>
          <w:lang w:val="en-US"/>
        </w:rPr>
        <w:lastRenderedPageBreak/>
        <w:t>Figure 10:  World Imports of Jute Goods</w:t>
      </w:r>
    </w:p>
    <w:p w:rsidR="00B60B47" w:rsidRPr="005A219A" w:rsidRDefault="00B60B47" w:rsidP="005A219A">
      <w:pPr>
        <w:spacing w:line="360" w:lineRule="auto"/>
        <w:rPr>
          <w:rFonts w:eastAsia="Times New Roman"/>
          <w:b/>
          <w:bCs/>
          <w:sz w:val="20"/>
          <w:szCs w:val="20"/>
          <w:lang w:eastAsia="en-GB"/>
        </w:rPr>
      </w:pPr>
      <w:r>
        <w:rPr>
          <w:noProof/>
          <w:lang w:val="en-US"/>
        </w:rPr>
        <w:drawing>
          <wp:inline distT="0" distB="0" distL="0" distR="0">
            <wp:extent cx="5274310" cy="3336290"/>
            <wp:effectExtent l="0" t="0" r="2159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6A4C" w:rsidRPr="00746AD3" w:rsidRDefault="00356A4C" w:rsidP="00356A4C">
      <w:pPr>
        <w:autoSpaceDE w:val="0"/>
        <w:autoSpaceDN w:val="0"/>
        <w:adjustRightInd w:val="0"/>
        <w:spacing w:after="0" w:line="240" w:lineRule="auto"/>
        <w:rPr>
          <w:rFonts w:ascii="Cambria" w:hAnsi="Cambria" w:cs="Cambria"/>
          <w:b/>
          <w:bCs/>
          <w:lang w:val="en-US"/>
        </w:rPr>
      </w:pPr>
      <w:r>
        <w:rPr>
          <w:lang w:val="en-US"/>
        </w:rPr>
        <w:t xml:space="preserve"> </w:t>
      </w:r>
      <w:r>
        <w:rPr>
          <w:rFonts w:ascii="Cambria" w:hAnsi="Cambria" w:cs="Cambria"/>
          <w:b/>
          <w:bCs/>
          <w:lang w:val="en-US"/>
        </w:rPr>
        <w:t xml:space="preserve">SISAL and HENEQUEN </w:t>
      </w:r>
    </w:p>
    <w:p w:rsidR="00356A4C" w:rsidRDefault="00356A4C" w:rsidP="00356A4C">
      <w:pPr>
        <w:autoSpaceDE w:val="0"/>
        <w:autoSpaceDN w:val="0"/>
        <w:adjustRightInd w:val="0"/>
        <w:spacing w:after="0" w:line="240" w:lineRule="auto"/>
        <w:rPr>
          <w:rFonts w:ascii="Cambria" w:hAnsi="Cambria" w:cs="Cambria"/>
        </w:rPr>
      </w:pPr>
    </w:p>
    <w:p w:rsidR="00843663" w:rsidRDefault="00843663" w:rsidP="00356A4C">
      <w:pPr>
        <w:autoSpaceDE w:val="0"/>
        <w:autoSpaceDN w:val="0"/>
        <w:adjustRightInd w:val="0"/>
        <w:spacing w:after="0" w:line="240" w:lineRule="auto"/>
        <w:rPr>
          <w:rFonts w:ascii="Cambria" w:hAnsi="Cambria" w:cs="Cambria"/>
          <w:lang w:val="en-US"/>
        </w:rPr>
      </w:pPr>
    </w:p>
    <w:p w:rsidR="00794293" w:rsidRDefault="00634690" w:rsidP="000D1B17">
      <w:pPr>
        <w:autoSpaceDE w:val="0"/>
        <w:autoSpaceDN w:val="0"/>
        <w:adjustRightInd w:val="0"/>
        <w:spacing w:after="0" w:line="360" w:lineRule="auto"/>
        <w:rPr>
          <w:rFonts w:ascii="Cambria" w:hAnsi="Cambria" w:cs="Cambria"/>
          <w:lang w:val="en-US"/>
        </w:rPr>
      </w:pPr>
      <w:r>
        <w:rPr>
          <w:rFonts w:ascii="Cambria" w:hAnsi="Cambria" w:cs="Cambria"/>
          <w:lang w:val="en-US"/>
        </w:rPr>
        <w:t>T</w:t>
      </w:r>
      <w:r w:rsidR="00DA1D8F" w:rsidRPr="00843663">
        <w:rPr>
          <w:rFonts w:ascii="Cambria" w:hAnsi="Cambria" w:cs="Cambria"/>
          <w:lang w:val="en-US"/>
        </w:rPr>
        <w:t>he s</w:t>
      </w:r>
      <w:r w:rsidR="00794293" w:rsidRPr="00843663">
        <w:rPr>
          <w:rFonts w:ascii="Cambria" w:hAnsi="Cambria" w:cs="Cambria"/>
          <w:lang w:val="en-US"/>
        </w:rPr>
        <w:t>upply response to firm prices in 2012 exceeded worldwide demand</w:t>
      </w:r>
      <w:r w:rsidR="00794293">
        <w:rPr>
          <w:rFonts w:ascii="Cambria" w:hAnsi="Cambria" w:cs="Cambria"/>
          <w:lang w:val="en-US"/>
        </w:rPr>
        <w:t xml:space="preserve"> resulting in an equivalent adjustment in 2013 as </w:t>
      </w:r>
      <w:r w:rsidR="00794293" w:rsidRPr="00EC722F">
        <w:rPr>
          <w:rFonts w:ascii="Cambria" w:hAnsi="Cambria" w:cs="Cambria"/>
          <w:lang w:val="en-US"/>
        </w:rPr>
        <w:t xml:space="preserve">East African prices </w:t>
      </w:r>
      <w:r w:rsidR="00794293" w:rsidRPr="00AF78CB">
        <w:rPr>
          <w:rFonts w:ascii="Cambria" w:hAnsi="Cambria" w:cs="Cambria"/>
          <w:lang w:val="en-US"/>
        </w:rPr>
        <w:t xml:space="preserve">fell to USD1500 per tonne for 3L and USD1400 per tonne for UG in September 2013, from USD1710 per tonne for 3L and USD1616 per tonne for UG in September 2012. </w:t>
      </w:r>
      <w:r w:rsidR="00032FF3">
        <w:rPr>
          <w:rFonts w:ascii="Cambria" w:hAnsi="Cambria" w:cs="Cambria"/>
          <w:lang w:val="en-US"/>
        </w:rPr>
        <w:t xml:space="preserve"> </w:t>
      </w:r>
      <w:r w:rsidR="00794293" w:rsidRPr="00AF78CB">
        <w:rPr>
          <w:rFonts w:ascii="Cambria" w:hAnsi="Cambria" w:cs="Cambria"/>
          <w:lang w:val="en-US"/>
        </w:rPr>
        <w:t>Brazilian sisal prices also declined from an average of USD899 per tonne in 2012 to an average of about USD880 per tonne during the first half of 2013.</w:t>
      </w:r>
      <w:r w:rsidR="00794293" w:rsidRPr="00C31663">
        <w:rPr>
          <w:rFonts w:ascii="Cambria" w:hAnsi="Cambria" w:cs="Cambria"/>
          <w:lang w:val="en-US"/>
        </w:rPr>
        <w:t xml:space="preserve"> </w:t>
      </w:r>
      <w:r w:rsidR="00843663">
        <w:rPr>
          <w:rFonts w:ascii="Cambria" w:hAnsi="Cambria" w:cs="Cambria"/>
          <w:lang w:val="en-US"/>
        </w:rPr>
        <w:t>However, I understand from presentations yesterday that the continued drought</w:t>
      </w:r>
      <w:r w:rsidR="000D1B17">
        <w:rPr>
          <w:rFonts w:ascii="Cambria" w:hAnsi="Cambria" w:cs="Cambria"/>
          <w:lang w:val="en-US"/>
        </w:rPr>
        <w:t xml:space="preserve"> in Brazil has resulted in prices reaching unsustainably high levels.</w:t>
      </w:r>
      <w:r w:rsidR="00843663">
        <w:rPr>
          <w:rFonts w:ascii="Cambria" w:hAnsi="Cambria" w:cs="Cambria"/>
          <w:lang w:val="en-US"/>
        </w:rPr>
        <w:t xml:space="preserve"> </w:t>
      </w:r>
    </w:p>
    <w:p w:rsidR="004E3B03" w:rsidRDefault="004E3B03"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p>
    <w:p w:rsidR="00882C70" w:rsidRDefault="00882C70" w:rsidP="000D1B17">
      <w:pPr>
        <w:autoSpaceDE w:val="0"/>
        <w:autoSpaceDN w:val="0"/>
        <w:adjustRightInd w:val="0"/>
        <w:spacing w:after="0" w:line="360" w:lineRule="auto"/>
        <w:rPr>
          <w:rFonts w:ascii="Cambria" w:hAnsi="Cambria" w:cs="Cambria"/>
          <w:lang w:val="en-US"/>
        </w:rPr>
      </w:pPr>
      <w:r>
        <w:rPr>
          <w:rFonts w:ascii="Cambria" w:hAnsi="Cambria" w:cs="Cambria"/>
          <w:lang w:val="en-US"/>
        </w:rPr>
        <w:lastRenderedPageBreak/>
        <w:t>Figure 11:  Sisal Prices, East African (3L and UG) and Brazil (No. 3), 2008-2013</w:t>
      </w:r>
    </w:p>
    <w:p w:rsidR="00356A4C" w:rsidRPr="00C31663" w:rsidRDefault="004E3B03" w:rsidP="00356A4C">
      <w:pPr>
        <w:autoSpaceDE w:val="0"/>
        <w:autoSpaceDN w:val="0"/>
        <w:adjustRightInd w:val="0"/>
        <w:spacing w:after="0" w:line="240" w:lineRule="auto"/>
        <w:rPr>
          <w:rFonts w:ascii="Cambria" w:hAnsi="Cambria" w:cs="Cambria"/>
          <w:lang w:val="en-US"/>
        </w:rPr>
      </w:pPr>
      <w:r>
        <w:rPr>
          <w:noProof/>
          <w:lang w:val="en-US"/>
        </w:rPr>
        <w:drawing>
          <wp:inline distT="0" distB="0" distL="0" distR="0">
            <wp:extent cx="5271715" cy="2965837"/>
            <wp:effectExtent l="0" t="0" r="24765"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4690" w:rsidRDefault="00634690" w:rsidP="00634690">
      <w:pPr>
        <w:autoSpaceDE w:val="0"/>
        <w:autoSpaceDN w:val="0"/>
        <w:adjustRightInd w:val="0"/>
        <w:spacing w:after="0" w:line="240" w:lineRule="auto"/>
        <w:rPr>
          <w:rFonts w:ascii="Cambria" w:hAnsi="Cambria" w:cs="Cambria"/>
          <w:b/>
        </w:rPr>
      </w:pPr>
    </w:p>
    <w:p w:rsidR="00634690" w:rsidRDefault="00634690" w:rsidP="00634690">
      <w:pPr>
        <w:autoSpaceDE w:val="0"/>
        <w:autoSpaceDN w:val="0"/>
        <w:adjustRightInd w:val="0"/>
        <w:spacing w:after="0" w:line="240" w:lineRule="auto"/>
        <w:rPr>
          <w:rFonts w:ascii="Cambria" w:hAnsi="Cambria" w:cs="Cambria"/>
          <w:b/>
        </w:rPr>
      </w:pPr>
      <w:r>
        <w:rPr>
          <w:rFonts w:ascii="Cambria" w:hAnsi="Cambria" w:cs="Cambria"/>
          <w:b/>
        </w:rPr>
        <w:t>Production and prices</w:t>
      </w:r>
    </w:p>
    <w:p w:rsidR="00634690" w:rsidRDefault="00634690" w:rsidP="00634690">
      <w:pPr>
        <w:autoSpaceDE w:val="0"/>
        <w:autoSpaceDN w:val="0"/>
        <w:adjustRightInd w:val="0"/>
        <w:spacing w:after="0" w:line="240" w:lineRule="auto"/>
        <w:rPr>
          <w:rFonts w:ascii="Cambria" w:hAnsi="Cambria" w:cs="Cambria"/>
          <w:lang w:val="en-US"/>
        </w:rPr>
      </w:pPr>
    </w:p>
    <w:p w:rsidR="00950596" w:rsidRDefault="00794293" w:rsidP="00634690">
      <w:pPr>
        <w:autoSpaceDE w:val="0"/>
        <w:autoSpaceDN w:val="0"/>
        <w:adjustRightInd w:val="0"/>
        <w:spacing w:after="0" w:line="360" w:lineRule="auto"/>
        <w:rPr>
          <w:rFonts w:ascii="Cambria" w:hAnsi="Cambria" w:cs="Cambria"/>
          <w:color w:val="000000"/>
        </w:rPr>
      </w:pPr>
      <w:r>
        <w:rPr>
          <w:rFonts w:ascii="Cambria" w:hAnsi="Cambria" w:cs="Cambria"/>
          <w:color w:val="000000"/>
        </w:rPr>
        <w:t xml:space="preserve">World </w:t>
      </w:r>
      <w:r w:rsidRPr="00044999">
        <w:rPr>
          <w:rFonts w:ascii="Cambria" w:hAnsi="Cambria" w:cs="Cambria"/>
        </w:rPr>
        <w:t xml:space="preserve">production </w:t>
      </w:r>
      <w:r w:rsidR="00032FF3" w:rsidRPr="00044999">
        <w:rPr>
          <w:rFonts w:ascii="Cambria" w:hAnsi="Cambria" w:cs="Cambria"/>
        </w:rPr>
        <w:t xml:space="preserve">of sisal </w:t>
      </w:r>
      <w:r w:rsidRPr="00044999">
        <w:rPr>
          <w:rFonts w:ascii="Cambria" w:hAnsi="Cambria" w:cs="Cambria"/>
        </w:rPr>
        <w:t>continues to be dominated by Brazil in 2012, accounting for 34.6 percent of the</w:t>
      </w:r>
      <w:r>
        <w:rPr>
          <w:rFonts w:ascii="Cambria" w:hAnsi="Cambria" w:cs="Cambria"/>
          <w:color w:val="000000"/>
        </w:rPr>
        <w:t xml:space="preserve"> global total; followed by China (22.6 percent); </w:t>
      </w:r>
      <w:r w:rsidR="00E0724B">
        <w:rPr>
          <w:rFonts w:ascii="Cambria" w:hAnsi="Cambria" w:cs="Cambria"/>
          <w:color w:val="000000"/>
        </w:rPr>
        <w:t>Tanzania (16.4 percent); Kenya (12</w:t>
      </w:r>
      <w:r>
        <w:rPr>
          <w:rFonts w:ascii="Cambria" w:hAnsi="Cambria" w:cs="Cambria"/>
          <w:color w:val="000000"/>
        </w:rPr>
        <w:t>.</w:t>
      </w:r>
      <w:r w:rsidR="00E0724B">
        <w:rPr>
          <w:rFonts w:ascii="Cambria" w:hAnsi="Cambria" w:cs="Cambria"/>
          <w:color w:val="000000"/>
        </w:rPr>
        <w:t>9 percent); Madagascar (3.8 percent); and other countries (9.7 percent).</w:t>
      </w:r>
      <w:r>
        <w:rPr>
          <w:rFonts w:ascii="Cambria" w:hAnsi="Cambria" w:cs="Cambria"/>
          <w:color w:val="000000"/>
        </w:rPr>
        <w:t xml:space="preserve"> </w:t>
      </w:r>
    </w:p>
    <w:p w:rsidR="00950596" w:rsidRDefault="00950596" w:rsidP="00634690">
      <w:pPr>
        <w:autoSpaceDE w:val="0"/>
        <w:autoSpaceDN w:val="0"/>
        <w:adjustRightInd w:val="0"/>
        <w:spacing w:after="0" w:line="360" w:lineRule="auto"/>
        <w:rPr>
          <w:rFonts w:ascii="Cambria" w:hAnsi="Cambria" w:cs="Cambria"/>
          <w:color w:val="000000"/>
        </w:rPr>
      </w:pPr>
    </w:p>
    <w:p w:rsidR="00882C70" w:rsidRDefault="00950596" w:rsidP="00634690">
      <w:pPr>
        <w:autoSpaceDE w:val="0"/>
        <w:autoSpaceDN w:val="0"/>
        <w:adjustRightInd w:val="0"/>
        <w:spacing w:after="0" w:line="360" w:lineRule="auto"/>
        <w:rPr>
          <w:rFonts w:ascii="Cambria" w:hAnsi="Cambria" w:cs="Cambria"/>
          <w:color w:val="000000"/>
        </w:rPr>
      </w:pPr>
      <w:r>
        <w:rPr>
          <w:rFonts w:ascii="Cambria" w:hAnsi="Cambria" w:cs="Cambria"/>
          <w:color w:val="000000"/>
        </w:rPr>
        <w:t>Figu</w:t>
      </w:r>
      <w:r w:rsidR="00882C70">
        <w:rPr>
          <w:rFonts w:ascii="Cambria" w:hAnsi="Cambria" w:cs="Cambria"/>
          <w:color w:val="000000"/>
        </w:rPr>
        <w:t>re 12:  Percentage Share of World Sisal Production in 2012</w:t>
      </w:r>
    </w:p>
    <w:p w:rsidR="00950596" w:rsidRDefault="004E3B03" w:rsidP="00634690">
      <w:pPr>
        <w:autoSpaceDE w:val="0"/>
        <w:autoSpaceDN w:val="0"/>
        <w:adjustRightInd w:val="0"/>
        <w:spacing w:after="0" w:line="360" w:lineRule="auto"/>
        <w:rPr>
          <w:rFonts w:ascii="Cambria" w:hAnsi="Cambria" w:cs="Cambria"/>
          <w:lang w:val="en-US"/>
        </w:rPr>
      </w:pPr>
      <w:r>
        <w:rPr>
          <w:noProof/>
          <w:lang w:val="en-US"/>
        </w:rPr>
        <w:drawing>
          <wp:inline distT="0" distB="0" distL="0" distR="0">
            <wp:extent cx="5271715" cy="3291840"/>
            <wp:effectExtent l="0" t="0" r="24765" b="228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4999" w:rsidRDefault="00634690" w:rsidP="00634690">
      <w:pPr>
        <w:autoSpaceDE w:val="0"/>
        <w:autoSpaceDN w:val="0"/>
        <w:adjustRightInd w:val="0"/>
        <w:spacing w:after="0" w:line="360" w:lineRule="auto"/>
        <w:rPr>
          <w:rFonts w:ascii="Cambria" w:hAnsi="Cambria" w:cs="Cambria"/>
          <w:lang w:val="en-US"/>
        </w:rPr>
      </w:pPr>
      <w:r w:rsidRPr="00044999">
        <w:rPr>
          <w:rFonts w:ascii="Cambria" w:hAnsi="Cambria" w:cs="Cambria"/>
          <w:lang w:val="en-US"/>
        </w:rPr>
        <w:lastRenderedPageBreak/>
        <w:t xml:space="preserve">World production of sisal, henequen, fique and other hard fibres reached </w:t>
      </w:r>
    </w:p>
    <w:p w:rsidR="00634690" w:rsidRDefault="00032FF3" w:rsidP="00634690">
      <w:pPr>
        <w:autoSpaceDE w:val="0"/>
        <w:autoSpaceDN w:val="0"/>
        <w:adjustRightInd w:val="0"/>
        <w:spacing w:after="0" w:line="360" w:lineRule="auto"/>
        <w:rPr>
          <w:rFonts w:ascii="Cambria" w:hAnsi="Cambria" w:cs="Cambria"/>
          <w:lang w:val="en-US"/>
        </w:rPr>
      </w:pPr>
      <w:r w:rsidRPr="00044999">
        <w:rPr>
          <w:rFonts w:ascii="Cambria" w:hAnsi="Cambria" w:cs="Cambria"/>
          <w:lang w:val="en-US"/>
        </w:rPr>
        <w:t>276</w:t>
      </w:r>
      <w:r w:rsidR="00634690" w:rsidRPr="00044999">
        <w:rPr>
          <w:rFonts w:ascii="Cambria" w:hAnsi="Cambria" w:cs="Cambria"/>
          <w:lang w:val="en-US"/>
        </w:rPr>
        <w:t xml:space="preserve"> </w:t>
      </w:r>
      <w:r w:rsidRPr="00044999">
        <w:rPr>
          <w:rFonts w:ascii="Cambria" w:hAnsi="Cambria" w:cs="Cambria"/>
          <w:lang w:val="en-US"/>
        </w:rPr>
        <w:t>1</w:t>
      </w:r>
      <w:r w:rsidR="00634690" w:rsidRPr="00044999">
        <w:rPr>
          <w:rFonts w:ascii="Cambria" w:hAnsi="Cambria" w:cs="Cambria"/>
          <w:lang w:val="en-US"/>
        </w:rPr>
        <w:t>00 tonnes in 2012, down by 12 percent from</w:t>
      </w:r>
      <w:r w:rsidR="00634690" w:rsidRPr="00C31663">
        <w:rPr>
          <w:rFonts w:ascii="Cambria" w:hAnsi="Cambria" w:cs="Cambria"/>
          <w:lang w:val="en-US"/>
        </w:rPr>
        <w:t xml:space="preserve"> 20</w:t>
      </w:r>
      <w:r w:rsidR="00634690">
        <w:rPr>
          <w:rFonts w:ascii="Cambria" w:hAnsi="Cambria" w:cs="Cambria"/>
          <w:lang w:val="en-US"/>
        </w:rPr>
        <w:t>11 and</w:t>
      </w:r>
      <w:r w:rsidR="00634690" w:rsidRPr="00C31663">
        <w:rPr>
          <w:rFonts w:ascii="Cambria" w:hAnsi="Cambria" w:cs="Cambria"/>
          <w:lang w:val="en-US"/>
        </w:rPr>
        <w:t xml:space="preserve"> still </w:t>
      </w:r>
      <w:r w:rsidR="00634690">
        <w:rPr>
          <w:rFonts w:ascii="Cambria" w:hAnsi="Cambria" w:cs="Cambria"/>
          <w:lang w:val="en-US"/>
        </w:rPr>
        <w:t xml:space="preserve">well </w:t>
      </w:r>
      <w:r w:rsidR="00634690" w:rsidRPr="00C31663">
        <w:rPr>
          <w:rFonts w:ascii="Cambria" w:hAnsi="Cambria" w:cs="Cambria"/>
          <w:lang w:val="en-US"/>
        </w:rPr>
        <w:t xml:space="preserve">below </w:t>
      </w:r>
      <w:r w:rsidR="00634690">
        <w:rPr>
          <w:rFonts w:ascii="Cambria" w:hAnsi="Cambria" w:cs="Cambria"/>
          <w:lang w:val="en-US"/>
        </w:rPr>
        <w:t xml:space="preserve">the </w:t>
      </w:r>
      <w:r w:rsidR="00634690" w:rsidRPr="00C31663">
        <w:rPr>
          <w:rFonts w:ascii="Cambria" w:hAnsi="Cambria" w:cs="Cambria"/>
          <w:lang w:val="en-US"/>
        </w:rPr>
        <w:t xml:space="preserve">levels of </w:t>
      </w:r>
      <w:r w:rsidR="00634690">
        <w:rPr>
          <w:rFonts w:ascii="Cambria" w:hAnsi="Cambria" w:cs="Cambria"/>
          <w:lang w:val="en-US"/>
        </w:rPr>
        <w:t>the last decade</w:t>
      </w:r>
      <w:r w:rsidR="00634690" w:rsidRPr="00C31663">
        <w:rPr>
          <w:rFonts w:ascii="Cambria" w:hAnsi="Cambria" w:cs="Cambria"/>
          <w:lang w:val="en-US"/>
        </w:rPr>
        <w:t>.</w:t>
      </w:r>
    </w:p>
    <w:p w:rsidR="00DE18C2" w:rsidRPr="00DE18C2" w:rsidRDefault="00DE18C2" w:rsidP="00634690">
      <w:pPr>
        <w:autoSpaceDE w:val="0"/>
        <w:autoSpaceDN w:val="0"/>
        <w:adjustRightInd w:val="0"/>
        <w:spacing w:after="0" w:line="360" w:lineRule="auto"/>
        <w:rPr>
          <w:rFonts w:ascii="Cambria" w:hAnsi="Cambria" w:cs="Cambria"/>
          <w:lang w:val="en-US"/>
        </w:rPr>
      </w:pPr>
    </w:p>
    <w:p w:rsidR="00DA1D8F" w:rsidRDefault="00DA1D8F" w:rsidP="00634690">
      <w:pPr>
        <w:autoSpaceDE w:val="0"/>
        <w:autoSpaceDN w:val="0"/>
        <w:adjustRightInd w:val="0"/>
        <w:spacing w:after="0" w:line="360" w:lineRule="auto"/>
        <w:rPr>
          <w:rFonts w:ascii="Cambria" w:hAnsi="Cambria" w:cs="Cambria"/>
          <w:color w:val="000000"/>
        </w:rPr>
      </w:pPr>
      <w:r>
        <w:rPr>
          <w:rFonts w:ascii="Cambria" w:hAnsi="Cambria" w:cs="Cambria"/>
          <w:color w:val="000000"/>
        </w:rPr>
        <w:t>Sisal production in Brazil</w:t>
      </w:r>
      <w:r w:rsidRPr="00DA1D8F">
        <w:rPr>
          <w:rFonts w:ascii="Cambria" w:hAnsi="Cambria" w:cs="Cambria"/>
          <w:color w:val="000000"/>
        </w:rPr>
        <w:t xml:space="preserve"> </w:t>
      </w:r>
      <w:r>
        <w:rPr>
          <w:rFonts w:ascii="Cambria" w:hAnsi="Cambria" w:cs="Cambria"/>
          <w:color w:val="000000"/>
        </w:rPr>
        <w:t>fell to 75 000 tonnes in 2012, after</w:t>
      </w:r>
      <w:r w:rsidR="004F66F2">
        <w:rPr>
          <w:rFonts w:ascii="Cambria" w:hAnsi="Cambria" w:cs="Cambria"/>
          <w:color w:val="000000"/>
        </w:rPr>
        <w:t xml:space="preserve"> reaching a </w:t>
      </w:r>
      <w:r w:rsidR="00E0724B">
        <w:rPr>
          <w:rFonts w:ascii="Cambria" w:hAnsi="Cambria" w:cs="Cambria"/>
          <w:color w:val="000000"/>
        </w:rPr>
        <w:t xml:space="preserve">high of 111 </w:t>
      </w:r>
      <w:r w:rsidR="004F66F2">
        <w:rPr>
          <w:rFonts w:ascii="Cambria" w:hAnsi="Cambria" w:cs="Cambria"/>
          <w:color w:val="000000"/>
        </w:rPr>
        <w:t>2</w:t>
      </w:r>
      <w:r w:rsidR="00E0724B">
        <w:rPr>
          <w:rFonts w:ascii="Cambria" w:hAnsi="Cambria" w:cs="Cambria"/>
          <w:color w:val="000000"/>
        </w:rPr>
        <w:t xml:space="preserve">00 tonnes in 2011.  Similarly, production in </w:t>
      </w:r>
      <w:r w:rsidR="00E0724B" w:rsidRPr="00C31663">
        <w:rPr>
          <w:rFonts w:ascii="Cambria" w:hAnsi="Cambria" w:cs="Cambria"/>
          <w:color w:val="000000"/>
        </w:rPr>
        <w:t>Madagasca</w:t>
      </w:r>
      <w:r w:rsidR="00E0724B">
        <w:rPr>
          <w:rFonts w:ascii="Cambria" w:hAnsi="Cambria" w:cs="Cambria"/>
          <w:color w:val="000000"/>
        </w:rPr>
        <w:t>r</w:t>
      </w:r>
      <w:r w:rsidR="00E0724B" w:rsidRPr="00C31663">
        <w:rPr>
          <w:rFonts w:ascii="Cambria" w:hAnsi="Cambria" w:cs="Cambria"/>
          <w:color w:val="000000"/>
        </w:rPr>
        <w:t xml:space="preserve"> declined </w:t>
      </w:r>
      <w:r w:rsidR="00E0724B">
        <w:rPr>
          <w:rFonts w:ascii="Cambria" w:hAnsi="Cambria" w:cs="Cambria"/>
          <w:color w:val="000000"/>
        </w:rPr>
        <w:t xml:space="preserve">to </w:t>
      </w:r>
      <w:r>
        <w:rPr>
          <w:rFonts w:ascii="Cambria" w:hAnsi="Cambria" w:cs="Cambria"/>
          <w:color w:val="000000"/>
        </w:rPr>
        <w:t>8 200</w:t>
      </w:r>
      <w:r w:rsidR="00E0724B">
        <w:rPr>
          <w:rFonts w:ascii="Cambria" w:hAnsi="Cambria" w:cs="Cambria"/>
          <w:color w:val="000000"/>
        </w:rPr>
        <w:t xml:space="preserve"> tonnes in 2012 after recovering to 9100 tonnes in 2010, while</w:t>
      </w:r>
      <w:r w:rsidR="00794293">
        <w:rPr>
          <w:rFonts w:ascii="Cambria" w:hAnsi="Cambria" w:cs="Cambria"/>
          <w:color w:val="000000"/>
        </w:rPr>
        <w:t xml:space="preserve"> output in </w:t>
      </w:r>
      <w:r w:rsidR="00356A4C" w:rsidRPr="00C31663">
        <w:rPr>
          <w:rFonts w:ascii="Cambria" w:hAnsi="Cambria" w:cs="Cambria"/>
          <w:color w:val="000000"/>
        </w:rPr>
        <w:t>Tanzania</w:t>
      </w:r>
      <w:r w:rsidR="00356A4C">
        <w:rPr>
          <w:rFonts w:ascii="Cambria" w:hAnsi="Cambria" w:cs="Cambria"/>
          <w:color w:val="000000"/>
        </w:rPr>
        <w:t>, which</w:t>
      </w:r>
      <w:r w:rsidR="00356A4C" w:rsidRPr="00C31663">
        <w:rPr>
          <w:rFonts w:ascii="Cambria" w:hAnsi="Cambria" w:cs="Cambria"/>
          <w:color w:val="000000"/>
        </w:rPr>
        <w:t xml:space="preserve"> </w:t>
      </w:r>
      <w:r w:rsidR="00794293">
        <w:rPr>
          <w:rFonts w:ascii="Cambria" w:hAnsi="Cambria" w:cs="Cambria"/>
          <w:color w:val="000000"/>
        </w:rPr>
        <w:t xml:space="preserve">fell to 21 </w:t>
      </w:r>
      <w:r w:rsidR="00356A4C">
        <w:rPr>
          <w:rFonts w:ascii="Cambria" w:hAnsi="Cambria" w:cs="Cambria"/>
          <w:color w:val="000000"/>
        </w:rPr>
        <w:t>1</w:t>
      </w:r>
      <w:r w:rsidR="00794293">
        <w:rPr>
          <w:rFonts w:ascii="Cambria" w:hAnsi="Cambria" w:cs="Cambria"/>
          <w:color w:val="000000"/>
        </w:rPr>
        <w:t>00</w:t>
      </w:r>
      <w:r w:rsidR="00356A4C">
        <w:rPr>
          <w:rFonts w:ascii="Cambria" w:hAnsi="Cambria" w:cs="Cambria"/>
          <w:color w:val="000000"/>
        </w:rPr>
        <w:t xml:space="preserve"> tonnes in 2009</w:t>
      </w:r>
      <w:r w:rsidR="00794293">
        <w:rPr>
          <w:rFonts w:ascii="Cambria" w:hAnsi="Cambria" w:cs="Cambria"/>
          <w:color w:val="000000"/>
        </w:rPr>
        <w:t xml:space="preserve"> due to adverse weather conditions</w:t>
      </w:r>
      <w:r w:rsidR="00356A4C">
        <w:rPr>
          <w:rFonts w:ascii="Cambria" w:hAnsi="Cambria" w:cs="Cambria"/>
          <w:color w:val="000000"/>
        </w:rPr>
        <w:t xml:space="preserve">, </w:t>
      </w:r>
      <w:r w:rsidR="00794293">
        <w:rPr>
          <w:rFonts w:ascii="Cambria" w:hAnsi="Cambria" w:cs="Cambria"/>
          <w:color w:val="000000"/>
        </w:rPr>
        <w:t xml:space="preserve">recovered to </w:t>
      </w:r>
      <w:r w:rsidR="00356A4C">
        <w:rPr>
          <w:rFonts w:ascii="Cambria" w:hAnsi="Cambria" w:cs="Cambria"/>
          <w:color w:val="000000"/>
        </w:rPr>
        <w:t>35</w:t>
      </w:r>
      <w:r w:rsidR="00794293">
        <w:rPr>
          <w:rFonts w:ascii="Cambria" w:hAnsi="Cambria" w:cs="Cambria"/>
          <w:color w:val="000000"/>
        </w:rPr>
        <w:t xml:space="preserve"> </w:t>
      </w:r>
      <w:r w:rsidR="00356A4C">
        <w:rPr>
          <w:rFonts w:ascii="Cambria" w:hAnsi="Cambria" w:cs="Cambria"/>
          <w:color w:val="000000"/>
        </w:rPr>
        <w:t>6</w:t>
      </w:r>
      <w:r w:rsidR="00794293">
        <w:rPr>
          <w:rFonts w:ascii="Cambria" w:hAnsi="Cambria" w:cs="Cambria"/>
          <w:color w:val="000000"/>
        </w:rPr>
        <w:t>00</w:t>
      </w:r>
      <w:r w:rsidR="00356A4C">
        <w:rPr>
          <w:rFonts w:ascii="Cambria" w:hAnsi="Cambria" w:cs="Cambria"/>
          <w:color w:val="000000"/>
        </w:rPr>
        <w:t xml:space="preserve"> tonnes in 2012.  </w:t>
      </w:r>
    </w:p>
    <w:p w:rsidR="00950596" w:rsidRDefault="00950596" w:rsidP="00634690">
      <w:pPr>
        <w:autoSpaceDE w:val="0"/>
        <w:autoSpaceDN w:val="0"/>
        <w:adjustRightInd w:val="0"/>
        <w:spacing w:after="0" w:line="360" w:lineRule="auto"/>
        <w:rPr>
          <w:rFonts w:ascii="Cambria" w:hAnsi="Cambria" w:cs="Cambria"/>
          <w:color w:val="000000"/>
        </w:rPr>
      </w:pPr>
    </w:p>
    <w:p w:rsidR="00882C70" w:rsidRDefault="00882C70" w:rsidP="00634690">
      <w:pPr>
        <w:autoSpaceDE w:val="0"/>
        <w:autoSpaceDN w:val="0"/>
        <w:adjustRightInd w:val="0"/>
        <w:spacing w:after="0" w:line="360" w:lineRule="auto"/>
        <w:rPr>
          <w:rFonts w:ascii="Cambria" w:hAnsi="Cambria" w:cs="Cambria"/>
          <w:color w:val="000000"/>
        </w:rPr>
      </w:pPr>
      <w:r>
        <w:rPr>
          <w:rFonts w:ascii="Cambria" w:hAnsi="Cambria" w:cs="Cambria"/>
          <w:color w:val="000000"/>
        </w:rPr>
        <w:t>Figure 13:  World Production of Sisal Fibre</w:t>
      </w:r>
    </w:p>
    <w:p w:rsidR="00DE18C2" w:rsidRDefault="00DE18C2" w:rsidP="00634690">
      <w:pPr>
        <w:autoSpaceDE w:val="0"/>
        <w:autoSpaceDN w:val="0"/>
        <w:adjustRightInd w:val="0"/>
        <w:spacing w:after="0" w:line="360" w:lineRule="auto"/>
        <w:rPr>
          <w:rFonts w:ascii="Cambria" w:hAnsi="Cambria" w:cs="Cambria"/>
          <w:color w:val="000000"/>
        </w:rPr>
      </w:pPr>
      <w:r w:rsidRPr="00DE18C2">
        <w:rPr>
          <w:rFonts w:ascii="Garamond" w:hAnsi="Garamond"/>
          <w:noProof/>
          <w:lang w:val="en-US"/>
        </w:rPr>
        <w:drawing>
          <wp:inline distT="0" distB="0" distL="0" distR="0">
            <wp:extent cx="5274310" cy="3393493"/>
            <wp:effectExtent l="0" t="0" r="2159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2FF3" w:rsidRPr="00032FF3" w:rsidRDefault="00032FF3" w:rsidP="00634690">
      <w:pPr>
        <w:autoSpaceDE w:val="0"/>
        <w:autoSpaceDN w:val="0"/>
        <w:adjustRightInd w:val="0"/>
        <w:spacing w:after="0" w:line="360" w:lineRule="auto"/>
        <w:rPr>
          <w:rFonts w:ascii="Cambria" w:hAnsi="Cambria" w:cs="Cambria"/>
          <w:color w:val="000000"/>
        </w:rPr>
      </w:pPr>
    </w:p>
    <w:p w:rsidR="00DA1D8F" w:rsidRDefault="00DA1D8F" w:rsidP="00634690">
      <w:pPr>
        <w:autoSpaceDE w:val="0"/>
        <w:autoSpaceDN w:val="0"/>
        <w:adjustRightInd w:val="0"/>
        <w:spacing w:after="0" w:line="360" w:lineRule="auto"/>
        <w:rPr>
          <w:rFonts w:ascii="Cambria" w:hAnsi="Cambria" w:cs="Cambria"/>
          <w:lang w:val="en-US"/>
        </w:rPr>
      </w:pPr>
      <w:r w:rsidRPr="00C31663">
        <w:rPr>
          <w:rFonts w:ascii="Cambria" w:hAnsi="Cambria" w:cs="Cambria"/>
          <w:lang w:val="en-US"/>
        </w:rPr>
        <w:t xml:space="preserve">Production of </w:t>
      </w:r>
      <w:r>
        <w:rPr>
          <w:rFonts w:ascii="Cambria" w:hAnsi="Cambria" w:cs="Cambria"/>
          <w:lang w:val="en-US"/>
        </w:rPr>
        <w:t>h</w:t>
      </w:r>
      <w:r w:rsidRPr="00C31663">
        <w:rPr>
          <w:rFonts w:ascii="Cambria" w:hAnsi="Cambria" w:cs="Cambria"/>
          <w:lang w:val="en-US"/>
        </w:rPr>
        <w:t>enequen</w:t>
      </w:r>
      <w:r>
        <w:rPr>
          <w:rFonts w:ascii="Cambria" w:hAnsi="Cambria" w:cs="Cambria"/>
          <w:lang w:val="en-US"/>
        </w:rPr>
        <w:t>, which is dominated by Mexico,</w:t>
      </w:r>
      <w:r w:rsidRPr="00C31663">
        <w:rPr>
          <w:rFonts w:ascii="Cambria" w:hAnsi="Cambria" w:cs="Cambria"/>
          <w:lang w:val="en-US"/>
        </w:rPr>
        <w:t xml:space="preserve"> </w:t>
      </w:r>
      <w:r>
        <w:rPr>
          <w:rFonts w:ascii="Cambria" w:hAnsi="Cambria" w:cs="Cambria"/>
          <w:lang w:val="en-US"/>
        </w:rPr>
        <w:t xml:space="preserve">remained at </w:t>
      </w:r>
      <w:r w:rsidRPr="00032FF3">
        <w:rPr>
          <w:rFonts w:ascii="Cambria" w:hAnsi="Cambria" w:cs="Cambria"/>
          <w:lang w:val="en-US"/>
        </w:rPr>
        <w:t>25 0</w:t>
      </w:r>
      <w:r>
        <w:rPr>
          <w:rFonts w:ascii="Cambria" w:hAnsi="Cambria" w:cs="Cambria"/>
          <w:lang w:val="en-US"/>
        </w:rPr>
        <w:t xml:space="preserve">00 tonnes </w:t>
      </w:r>
      <w:r w:rsidR="001650BD">
        <w:rPr>
          <w:rFonts w:ascii="Cambria" w:hAnsi="Cambria" w:cs="Cambria"/>
          <w:lang w:val="en-US"/>
        </w:rPr>
        <w:t xml:space="preserve">for a consecutive year </w:t>
      </w:r>
      <w:r>
        <w:rPr>
          <w:rFonts w:ascii="Cambria" w:hAnsi="Cambria" w:cs="Cambria"/>
          <w:lang w:val="en-US"/>
        </w:rPr>
        <w:t>in 2012</w:t>
      </w:r>
      <w:r w:rsidR="001650BD">
        <w:rPr>
          <w:rFonts w:ascii="Cambria" w:hAnsi="Cambria" w:cs="Cambria"/>
          <w:lang w:val="en-US"/>
        </w:rPr>
        <w:t>, while fique production in</w:t>
      </w:r>
      <w:r>
        <w:rPr>
          <w:rFonts w:ascii="Cambria" w:hAnsi="Cambria" w:cs="Cambria"/>
          <w:lang w:val="en-US"/>
        </w:rPr>
        <w:t xml:space="preserve"> Colombia</w:t>
      </w:r>
      <w:r w:rsidR="001650BD">
        <w:rPr>
          <w:rFonts w:ascii="Cambria" w:hAnsi="Cambria" w:cs="Cambria"/>
          <w:lang w:val="en-US"/>
        </w:rPr>
        <w:t xml:space="preserve"> </w:t>
      </w:r>
      <w:r>
        <w:rPr>
          <w:rFonts w:ascii="Cambria" w:hAnsi="Cambria" w:cs="Cambria"/>
          <w:lang w:val="en-US"/>
        </w:rPr>
        <w:t>was 20 100 tonnes in 2012</w:t>
      </w:r>
      <w:r w:rsidRPr="00C31663">
        <w:rPr>
          <w:rFonts w:ascii="Cambria" w:hAnsi="Cambria" w:cs="Cambria"/>
          <w:lang w:val="en-US"/>
        </w:rPr>
        <w:t xml:space="preserve">. </w:t>
      </w:r>
    </w:p>
    <w:p w:rsidR="00882C70" w:rsidRDefault="00882C70" w:rsidP="00634690">
      <w:pPr>
        <w:autoSpaceDE w:val="0"/>
        <w:autoSpaceDN w:val="0"/>
        <w:adjustRightInd w:val="0"/>
        <w:spacing w:after="0" w:line="360" w:lineRule="auto"/>
        <w:rPr>
          <w:rFonts w:ascii="Cambria" w:hAnsi="Cambria" w:cs="Cambria"/>
          <w:lang w:val="en-US"/>
        </w:rPr>
      </w:pPr>
    </w:p>
    <w:p w:rsidR="00882C70" w:rsidRDefault="00882C70" w:rsidP="00634690">
      <w:pPr>
        <w:autoSpaceDE w:val="0"/>
        <w:autoSpaceDN w:val="0"/>
        <w:adjustRightInd w:val="0"/>
        <w:spacing w:after="0" w:line="360" w:lineRule="auto"/>
        <w:rPr>
          <w:rFonts w:ascii="Cambria" w:hAnsi="Cambria" w:cs="Cambria"/>
          <w:lang w:val="en-US"/>
        </w:rPr>
      </w:pPr>
    </w:p>
    <w:p w:rsidR="00882C70" w:rsidRDefault="00882C70" w:rsidP="00634690">
      <w:pPr>
        <w:autoSpaceDE w:val="0"/>
        <w:autoSpaceDN w:val="0"/>
        <w:adjustRightInd w:val="0"/>
        <w:spacing w:after="0" w:line="360" w:lineRule="auto"/>
        <w:rPr>
          <w:rFonts w:ascii="Cambria" w:hAnsi="Cambria" w:cs="Cambria"/>
          <w:lang w:val="en-US"/>
        </w:rPr>
      </w:pPr>
    </w:p>
    <w:p w:rsidR="00882C70" w:rsidRDefault="00882C70" w:rsidP="00634690">
      <w:pPr>
        <w:autoSpaceDE w:val="0"/>
        <w:autoSpaceDN w:val="0"/>
        <w:adjustRightInd w:val="0"/>
        <w:spacing w:after="0" w:line="360" w:lineRule="auto"/>
        <w:rPr>
          <w:rFonts w:ascii="Cambria" w:hAnsi="Cambria" w:cs="Cambria"/>
          <w:lang w:val="en-US"/>
        </w:rPr>
      </w:pPr>
    </w:p>
    <w:p w:rsidR="00882C70" w:rsidRDefault="00882C70" w:rsidP="00634690">
      <w:pPr>
        <w:autoSpaceDE w:val="0"/>
        <w:autoSpaceDN w:val="0"/>
        <w:adjustRightInd w:val="0"/>
        <w:spacing w:after="0" w:line="360" w:lineRule="auto"/>
        <w:rPr>
          <w:rFonts w:ascii="Cambria" w:hAnsi="Cambria" w:cs="Cambria"/>
          <w:lang w:val="en-US"/>
        </w:rPr>
      </w:pPr>
    </w:p>
    <w:p w:rsidR="00882C70" w:rsidRPr="00C31663" w:rsidRDefault="00882C70" w:rsidP="00634690">
      <w:pPr>
        <w:autoSpaceDE w:val="0"/>
        <w:autoSpaceDN w:val="0"/>
        <w:adjustRightInd w:val="0"/>
        <w:spacing w:after="0" w:line="360" w:lineRule="auto"/>
        <w:rPr>
          <w:rFonts w:ascii="Cambria" w:hAnsi="Cambria" w:cs="Cambria"/>
          <w:lang w:val="en-US"/>
        </w:rPr>
      </w:pPr>
      <w:r>
        <w:rPr>
          <w:rFonts w:ascii="Cambria" w:hAnsi="Cambria" w:cs="Cambria"/>
          <w:lang w:val="en-US"/>
        </w:rPr>
        <w:lastRenderedPageBreak/>
        <w:t>Figure 14:  World Production of Sisal, Henequen and Other Hard Fibres</w:t>
      </w:r>
    </w:p>
    <w:p w:rsidR="00356A4C" w:rsidRDefault="00894715" w:rsidP="00894715">
      <w:pPr>
        <w:autoSpaceDE w:val="0"/>
        <w:autoSpaceDN w:val="0"/>
        <w:adjustRightInd w:val="0"/>
        <w:spacing w:after="0" w:line="360" w:lineRule="auto"/>
        <w:rPr>
          <w:rFonts w:ascii="Cambria" w:hAnsi="Cambria" w:cs="Cambria"/>
          <w:noProof/>
          <w:lang w:val="en-US" w:eastAsia="en-GB"/>
        </w:rPr>
      </w:pPr>
      <w:r>
        <w:rPr>
          <w:noProof/>
          <w:lang w:val="en-US"/>
        </w:rPr>
        <w:drawing>
          <wp:inline distT="0" distB="0" distL="0" distR="0">
            <wp:extent cx="5271715" cy="3204376"/>
            <wp:effectExtent l="0" t="0" r="24765"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6A4C" w:rsidRDefault="00356A4C" w:rsidP="00882C70">
      <w:pPr>
        <w:autoSpaceDE w:val="0"/>
        <w:autoSpaceDN w:val="0"/>
        <w:adjustRightInd w:val="0"/>
        <w:spacing w:after="0" w:line="240" w:lineRule="auto"/>
        <w:rPr>
          <w:rFonts w:ascii="Cambria" w:hAnsi="Cambria" w:cs="Cambria"/>
          <w:b/>
          <w:noProof/>
          <w:lang w:val="en-US" w:eastAsia="en-GB"/>
        </w:rPr>
      </w:pPr>
      <w:r>
        <w:rPr>
          <w:rFonts w:ascii="Cambria" w:hAnsi="Cambria" w:cs="Cambria"/>
          <w:b/>
          <w:noProof/>
          <w:lang w:val="en-US" w:eastAsia="en-GB"/>
        </w:rPr>
        <w:t>Trade</w:t>
      </w:r>
    </w:p>
    <w:p w:rsidR="00882C70" w:rsidRPr="00E73DBB" w:rsidRDefault="00882C70" w:rsidP="00882C70">
      <w:pPr>
        <w:autoSpaceDE w:val="0"/>
        <w:autoSpaceDN w:val="0"/>
        <w:adjustRightInd w:val="0"/>
        <w:spacing w:after="0" w:line="240" w:lineRule="auto"/>
        <w:rPr>
          <w:rFonts w:ascii="Cambria" w:hAnsi="Cambria" w:cs="Cambria"/>
          <w:b/>
          <w:noProof/>
          <w:lang w:val="en-US" w:eastAsia="en-GB"/>
        </w:rPr>
      </w:pPr>
    </w:p>
    <w:p w:rsidR="00950596" w:rsidRDefault="00356A4C" w:rsidP="00634690">
      <w:pPr>
        <w:autoSpaceDE w:val="0"/>
        <w:autoSpaceDN w:val="0"/>
        <w:adjustRightInd w:val="0"/>
        <w:spacing w:after="0" w:line="360" w:lineRule="auto"/>
        <w:rPr>
          <w:rFonts w:ascii="Cambria" w:hAnsi="Cambria" w:cs="Cambria"/>
          <w:lang w:val="en-US"/>
        </w:rPr>
      </w:pPr>
      <w:r w:rsidRPr="00C31663">
        <w:rPr>
          <w:rFonts w:ascii="Cambria" w:hAnsi="Cambria" w:cs="Cambria"/>
          <w:lang w:val="en-US"/>
        </w:rPr>
        <w:t xml:space="preserve">Exports of sisal </w:t>
      </w:r>
      <w:r w:rsidRPr="00044999">
        <w:rPr>
          <w:rFonts w:ascii="Cambria" w:hAnsi="Cambria" w:cs="Cambria"/>
          <w:lang w:val="en-US"/>
        </w:rPr>
        <w:t>fibre amounted to about 83.3 thousand tonnes in 2012 a slight decline</w:t>
      </w:r>
      <w:r w:rsidR="00634690" w:rsidRPr="00044999">
        <w:rPr>
          <w:rFonts w:ascii="Cambria" w:hAnsi="Cambria" w:cs="Cambria"/>
          <w:lang w:val="en-US"/>
        </w:rPr>
        <w:t xml:space="preserve"> from the previous year</w:t>
      </w:r>
      <w:r w:rsidRPr="00044999">
        <w:rPr>
          <w:rFonts w:ascii="Cambria" w:hAnsi="Cambria" w:cs="Cambria"/>
          <w:lang w:val="en-US"/>
        </w:rPr>
        <w:t xml:space="preserve">.  Shipments </w:t>
      </w:r>
      <w:r w:rsidR="00BE6732" w:rsidRPr="00044999">
        <w:rPr>
          <w:rFonts w:ascii="Cambria" w:hAnsi="Cambria" w:cs="Cambria"/>
          <w:lang w:val="en-US"/>
        </w:rPr>
        <w:t>from</w:t>
      </w:r>
      <w:r w:rsidRPr="00044999">
        <w:rPr>
          <w:rFonts w:ascii="Cambria" w:hAnsi="Cambria" w:cs="Cambria"/>
          <w:lang w:val="en-US"/>
        </w:rPr>
        <w:t xml:space="preserve"> major producing cou</w:t>
      </w:r>
      <w:r w:rsidR="00BE6732" w:rsidRPr="00044999">
        <w:rPr>
          <w:rFonts w:ascii="Cambria" w:hAnsi="Cambria" w:cs="Cambria"/>
          <w:lang w:val="en-US"/>
        </w:rPr>
        <w:t>ntries reached,</w:t>
      </w:r>
      <w:r w:rsidR="001650BD" w:rsidRPr="00044999">
        <w:rPr>
          <w:rFonts w:ascii="Cambria" w:hAnsi="Cambria" w:cs="Cambria"/>
          <w:lang w:val="en-US"/>
        </w:rPr>
        <w:t xml:space="preserve"> respectively</w:t>
      </w:r>
      <w:r w:rsidR="00BE6732" w:rsidRPr="00044999">
        <w:rPr>
          <w:rFonts w:ascii="Cambria" w:hAnsi="Cambria" w:cs="Cambria"/>
          <w:lang w:val="en-US"/>
        </w:rPr>
        <w:t>,</w:t>
      </w:r>
      <w:r w:rsidR="001650BD" w:rsidRPr="00044999">
        <w:rPr>
          <w:rFonts w:ascii="Cambria" w:hAnsi="Cambria" w:cs="Cambria"/>
          <w:lang w:val="en-US"/>
        </w:rPr>
        <w:t xml:space="preserve"> 3</w:t>
      </w:r>
      <w:r w:rsidR="00BE6732" w:rsidRPr="00044999">
        <w:rPr>
          <w:rFonts w:ascii="Cambria" w:hAnsi="Cambria" w:cs="Cambria"/>
          <w:lang w:val="en-US"/>
        </w:rPr>
        <w:t>6</w:t>
      </w:r>
      <w:r w:rsidR="001650BD" w:rsidRPr="00044999">
        <w:rPr>
          <w:rFonts w:ascii="Cambria" w:hAnsi="Cambria" w:cs="Cambria"/>
          <w:lang w:val="en-US"/>
        </w:rPr>
        <w:t xml:space="preserve"> </w:t>
      </w:r>
      <w:r w:rsidR="00BE6732" w:rsidRPr="00044999">
        <w:rPr>
          <w:rFonts w:ascii="Cambria" w:hAnsi="Cambria" w:cs="Cambria"/>
          <w:lang w:val="en-US"/>
        </w:rPr>
        <w:t>100</w:t>
      </w:r>
      <w:r w:rsidRPr="00044999">
        <w:rPr>
          <w:rFonts w:ascii="Cambria" w:hAnsi="Cambria" w:cs="Cambria"/>
          <w:lang w:val="en-US"/>
        </w:rPr>
        <w:t xml:space="preserve"> tonnes in Brazil, </w:t>
      </w:r>
      <w:r w:rsidR="00BE6732" w:rsidRPr="00044999">
        <w:rPr>
          <w:rFonts w:ascii="Cambria" w:hAnsi="Cambria" w:cs="Cambria"/>
          <w:lang w:val="en-US"/>
        </w:rPr>
        <w:t>24 100</w:t>
      </w:r>
      <w:r w:rsidRPr="00044999">
        <w:rPr>
          <w:rFonts w:ascii="Cambria" w:hAnsi="Cambria" w:cs="Cambria"/>
          <w:lang w:val="en-US"/>
        </w:rPr>
        <w:t xml:space="preserve"> tonnes in Kenya, </w:t>
      </w:r>
      <w:r w:rsidR="00BE6732" w:rsidRPr="00044999">
        <w:rPr>
          <w:rFonts w:ascii="Cambria" w:hAnsi="Cambria" w:cs="Cambria"/>
          <w:lang w:val="en-US"/>
        </w:rPr>
        <w:t>15 500</w:t>
      </w:r>
      <w:r w:rsidRPr="00044999">
        <w:rPr>
          <w:rFonts w:ascii="Cambria" w:hAnsi="Cambria" w:cs="Cambria"/>
          <w:lang w:val="en-US"/>
        </w:rPr>
        <w:t xml:space="preserve"> tonnes in Tanzania and 7</w:t>
      </w:r>
      <w:r w:rsidR="001650BD" w:rsidRPr="00044999">
        <w:rPr>
          <w:rFonts w:ascii="Cambria" w:hAnsi="Cambria" w:cs="Cambria"/>
          <w:lang w:val="en-US"/>
        </w:rPr>
        <w:t xml:space="preserve"> </w:t>
      </w:r>
      <w:r w:rsidR="00BE6732" w:rsidRPr="00044999">
        <w:rPr>
          <w:rFonts w:ascii="Cambria" w:hAnsi="Cambria" w:cs="Cambria"/>
          <w:lang w:val="en-US"/>
        </w:rPr>
        <w:t>100</w:t>
      </w:r>
      <w:r w:rsidRPr="00044999">
        <w:rPr>
          <w:rFonts w:ascii="Cambria" w:hAnsi="Cambria" w:cs="Cambria"/>
          <w:lang w:val="en-US"/>
        </w:rPr>
        <w:t xml:space="preserve"> tonnes in Madagascar.</w:t>
      </w:r>
      <w:r>
        <w:rPr>
          <w:rFonts w:ascii="Cambria" w:hAnsi="Cambria" w:cs="Cambria"/>
          <w:lang w:val="en-US"/>
        </w:rPr>
        <w:t xml:space="preserve"> </w:t>
      </w:r>
    </w:p>
    <w:p w:rsidR="00950596" w:rsidRPr="00950596" w:rsidRDefault="00950596" w:rsidP="00634690">
      <w:pPr>
        <w:autoSpaceDE w:val="0"/>
        <w:autoSpaceDN w:val="0"/>
        <w:adjustRightInd w:val="0"/>
        <w:spacing w:after="0" w:line="360" w:lineRule="auto"/>
        <w:rPr>
          <w:rFonts w:ascii="Cambria" w:hAnsi="Cambria" w:cs="Cambria"/>
          <w:lang w:val="en-US"/>
        </w:rPr>
      </w:pPr>
    </w:p>
    <w:p w:rsidR="00882C70" w:rsidRDefault="00882C70" w:rsidP="00634690">
      <w:pPr>
        <w:autoSpaceDE w:val="0"/>
        <w:autoSpaceDN w:val="0"/>
        <w:adjustRightInd w:val="0"/>
        <w:spacing w:after="0" w:line="360" w:lineRule="auto"/>
        <w:rPr>
          <w:rFonts w:ascii="Cambria" w:hAnsi="Cambria" w:cs="Cambria"/>
          <w:lang w:val="en-US"/>
        </w:rPr>
      </w:pPr>
      <w:r>
        <w:rPr>
          <w:rFonts w:ascii="Cambria" w:hAnsi="Cambria" w:cs="Cambria"/>
          <w:lang w:val="en-US"/>
        </w:rPr>
        <w:t xml:space="preserve">Figure 15:  Exports of Sisal Fibre </w:t>
      </w:r>
    </w:p>
    <w:p w:rsidR="00634690" w:rsidRPr="00950596" w:rsidRDefault="0039247E" w:rsidP="00634690">
      <w:pPr>
        <w:autoSpaceDE w:val="0"/>
        <w:autoSpaceDN w:val="0"/>
        <w:adjustRightInd w:val="0"/>
        <w:spacing w:after="0" w:line="360" w:lineRule="auto"/>
        <w:rPr>
          <w:rFonts w:ascii="Cambria" w:hAnsi="Cambria" w:cs="Cambria"/>
          <w:lang w:val="en-US"/>
        </w:rPr>
      </w:pPr>
      <w:r>
        <w:rPr>
          <w:noProof/>
          <w:lang w:val="en-US"/>
        </w:rPr>
        <w:drawing>
          <wp:inline distT="0" distB="0" distL="0" distR="0">
            <wp:extent cx="5231958" cy="3267986"/>
            <wp:effectExtent l="0" t="0" r="26035" b="279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6A4C" w:rsidRDefault="00356A4C" w:rsidP="00634690">
      <w:pPr>
        <w:autoSpaceDE w:val="0"/>
        <w:autoSpaceDN w:val="0"/>
        <w:adjustRightInd w:val="0"/>
        <w:spacing w:after="0" w:line="360" w:lineRule="auto"/>
        <w:rPr>
          <w:rFonts w:ascii="Cambria" w:hAnsi="Cambria" w:cs="Cambria"/>
          <w:lang w:val="en-US"/>
        </w:rPr>
      </w:pPr>
      <w:r w:rsidRPr="00044999">
        <w:rPr>
          <w:rFonts w:ascii="Cambria" w:hAnsi="Cambria" w:cs="Cambria"/>
          <w:lang w:val="en-US"/>
        </w:rPr>
        <w:lastRenderedPageBreak/>
        <w:t>Exports of sisal manufac</w:t>
      </w:r>
      <w:r w:rsidR="001650BD" w:rsidRPr="00044999">
        <w:rPr>
          <w:rFonts w:ascii="Cambria" w:hAnsi="Cambria" w:cs="Cambria"/>
          <w:lang w:val="en-US"/>
        </w:rPr>
        <w:t xml:space="preserve">tures in 2012 reached 79 </w:t>
      </w:r>
      <w:r w:rsidRPr="00044999">
        <w:rPr>
          <w:rFonts w:ascii="Cambria" w:hAnsi="Cambria" w:cs="Cambria"/>
          <w:lang w:val="en-US"/>
        </w:rPr>
        <w:t>9</w:t>
      </w:r>
      <w:r w:rsidR="001650BD" w:rsidRPr="00044999">
        <w:rPr>
          <w:rFonts w:ascii="Cambria" w:hAnsi="Cambria" w:cs="Cambria"/>
          <w:lang w:val="en-US"/>
        </w:rPr>
        <w:t>00</w:t>
      </w:r>
      <w:r w:rsidRPr="00044999">
        <w:rPr>
          <w:rFonts w:ascii="Cambria" w:hAnsi="Cambria" w:cs="Cambria"/>
          <w:lang w:val="en-US"/>
        </w:rPr>
        <w:t xml:space="preserve"> tonnes, </w:t>
      </w:r>
      <w:r w:rsidR="001650BD" w:rsidRPr="00044999">
        <w:rPr>
          <w:rFonts w:ascii="Cambria" w:hAnsi="Cambria" w:cs="Cambria"/>
          <w:lang w:val="en-US"/>
        </w:rPr>
        <w:t xml:space="preserve">significantly less than the </w:t>
      </w:r>
      <w:r w:rsidR="00E936EC" w:rsidRPr="00044999">
        <w:rPr>
          <w:rFonts w:ascii="Cambria" w:hAnsi="Cambria" w:cs="Cambria"/>
          <w:lang w:val="en-US"/>
        </w:rPr>
        <w:t>over 100 000</w:t>
      </w:r>
      <w:r w:rsidRPr="00044999">
        <w:rPr>
          <w:rFonts w:ascii="Cambria" w:hAnsi="Cambria" w:cs="Cambria"/>
          <w:lang w:val="en-US"/>
        </w:rPr>
        <w:t xml:space="preserve"> tonnes </w:t>
      </w:r>
      <w:r w:rsidR="001650BD" w:rsidRPr="00044999">
        <w:rPr>
          <w:rFonts w:ascii="Cambria" w:hAnsi="Cambria" w:cs="Cambria"/>
          <w:lang w:val="en-US"/>
        </w:rPr>
        <w:t xml:space="preserve">averaged </w:t>
      </w:r>
      <w:r w:rsidR="00E936EC" w:rsidRPr="00044999">
        <w:rPr>
          <w:rFonts w:ascii="Cambria" w:hAnsi="Cambria" w:cs="Cambria"/>
          <w:lang w:val="en-US"/>
        </w:rPr>
        <w:t>at the beginning of the</w:t>
      </w:r>
      <w:r w:rsidRPr="00044999">
        <w:rPr>
          <w:rFonts w:ascii="Cambria" w:hAnsi="Cambria" w:cs="Cambria"/>
          <w:lang w:val="en-US"/>
        </w:rPr>
        <w:t xml:space="preserve"> decade. </w:t>
      </w:r>
      <w:r w:rsidR="00922003" w:rsidRPr="00044999">
        <w:rPr>
          <w:rFonts w:ascii="Cambria" w:hAnsi="Cambria" w:cs="Cambria"/>
          <w:lang w:val="en-US"/>
        </w:rPr>
        <w:t xml:space="preserve"> </w:t>
      </w:r>
      <w:r w:rsidRPr="00044999">
        <w:rPr>
          <w:rFonts w:ascii="Cambria" w:hAnsi="Cambria" w:cs="Cambria"/>
          <w:lang w:val="en-US"/>
        </w:rPr>
        <w:t>Exports were relatively stable until 2009 whe</w:t>
      </w:r>
      <w:r w:rsidR="001650BD" w:rsidRPr="00044999">
        <w:rPr>
          <w:rFonts w:ascii="Cambria" w:hAnsi="Cambria" w:cs="Cambria"/>
          <w:lang w:val="en-US"/>
        </w:rPr>
        <w:t>n</w:t>
      </w:r>
      <w:r w:rsidRPr="00044999">
        <w:rPr>
          <w:rFonts w:ascii="Cambria" w:hAnsi="Cambria" w:cs="Cambria"/>
          <w:lang w:val="en-US"/>
        </w:rPr>
        <w:t xml:space="preserve"> there was a sudden dec</w:t>
      </w:r>
      <w:r w:rsidR="001650BD" w:rsidRPr="00044999">
        <w:rPr>
          <w:rFonts w:ascii="Cambria" w:hAnsi="Cambria" w:cs="Cambria"/>
          <w:lang w:val="en-US"/>
        </w:rPr>
        <w:t>line</w:t>
      </w:r>
      <w:r w:rsidRPr="00044999">
        <w:rPr>
          <w:rFonts w:ascii="Cambria" w:hAnsi="Cambria" w:cs="Cambria"/>
          <w:lang w:val="en-US"/>
        </w:rPr>
        <w:t xml:space="preserve">, </w:t>
      </w:r>
      <w:r w:rsidR="001650BD" w:rsidRPr="00044999">
        <w:rPr>
          <w:rFonts w:ascii="Cambria" w:hAnsi="Cambria" w:cs="Cambria"/>
          <w:lang w:val="en-US"/>
        </w:rPr>
        <w:t>possibly due</w:t>
      </w:r>
      <w:r w:rsidR="001650BD">
        <w:rPr>
          <w:rFonts w:ascii="Cambria" w:hAnsi="Cambria" w:cs="Cambria"/>
          <w:lang w:val="en-US"/>
        </w:rPr>
        <w:t xml:space="preserve"> to the global economic slowdown </w:t>
      </w:r>
      <w:r w:rsidR="004322DE">
        <w:rPr>
          <w:rFonts w:ascii="Cambria" w:hAnsi="Cambria" w:cs="Cambria"/>
          <w:lang w:val="en-US"/>
        </w:rPr>
        <w:t>dampening demand.</w:t>
      </w:r>
    </w:p>
    <w:p w:rsidR="00950596" w:rsidRDefault="00950596" w:rsidP="00634690">
      <w:pPr>
        <w:autoSpaceDE w:val="0"/>
        <w:autoSpaceDN w:val="0"/>
        <w:adjustRightInd w:val="0"/>
        <w:spacing w:after="0" w:line="360" w:lineRule="auto"/>
        <w:rPr>
          <w:rFonts w:ascii="Cambria" w:hAnsi="Cambria" w:cs="Cambria"/>
          <w:lang w:val="en-US"/>
        </w:rPr>
      </w:pPr>
    </w:p>
    <w:p w:rsidR="00950596" w:rsidRDefault="00950596" w:rsidP="00634690">
      <w:pPr>
        <w:autoSpaceDE w:val="0"/>
        <w:autoSpaceDN w:val="0"/>
        <w:adjustRightInd w:val="0"/>
        <w:spacing w:after="0" w:line="360" w:lineRule="auto"/>
        <w:rPr>
          <w:rFonts w:ascii="Cambria" w:hAnsi="Cambria" w:cs="Cambria"/>
          <w:lang w:val="en-US"/>
        </w:rPr>
      </w:pPr>
      <w:r>
        <w:rPr>
          <w:rFonts w:ascii="Cambria" w:hAnsi="Cambria" w:cs="Cambria"/>
          <w:lang w:val="en-US"/>
        </w:rPr>
        <w:t>Figure 16:  World Exports of Sisal Manufactures</w:t>
      </w:r>
    </w:p>
    <w:p w:rsidR="00356A4C" w:rsidRDefault="00922003" w:rsidP="00634690">
      <w:pPr>
        <w:autoSpaceDE w:val="0"/>
        <w:autoSpaceDN w:val="0"/>
        <w:adjustRightInd w:val="0"/>
        <w:spacing w:after="0" w:line="360" w:lineRule="auto"/>
        <w:rPr>
          <w:rFonts w:ascii="Cambria" w:hAnsi="Cambria" w:cs="Cambria"/>
          <w:lang w:val="en-US"/>
        </w:rPr>
      </w:pPr>
      <w:r>
        <w:rPr>
          <w:noProof/>
          <w:lang w:val="en-US"/>
        </w:rPr>
        <w:drawing>
          <wp:inline distT="0" distB="0" distL="0" distR="0">
            <wp:extent cx="5274310" cy="3352800"/>
            <wp:effectExtent l="0" t="0" r="2159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2003" w:rsidRPr="00746AD3" w:rsidRDefault="00922003" w:rsidP="00634690">
      <w:pPr>
        <w:autoSpaceDE w:val="0"/>
        <w:autoSpaceDN w:val="0"/>
        <w:adjustRightInd w:val="0"/>
        <w:spacing w:after="0" w:line="360" w:lineRule="auto"/>
        <w:rPr>
          <w:rFonts w:ascii="Cambria" w:hAnsi="Cambria" w:cs="Cambria"/>
          <w:lang w:val="en-US"/>
        </w:rPr>
      </w:pPr>
    </w:p>
    <w:p w:rsidR="00356A4C" w:rsidRDefault="00356A4C" w:rsidP="000A6871">
      <w:pPr>
        <w:autoSpaceDE w:val="0"/>
        <w:autoSpaceDN w:val="0"/>
        <w:adjustRightInd w:val="0"/>
        <w:spacing w:after="0" w:line="360" w:lineRule="auto"/>
        <w:rPr>
          <w:rFonts w:ascii="Cambria" w:hAnsi="Cambria" w:cs="Cambria"/>
          <w:lang w:val="en-US"/>
        </w:rPr>
      </w:pPr>
      <w:r>
        <w:rPr>
          <w:rFonts w:ascii="Cambria" w:hAnsi="Cambria" w:cs="Cambria"/>
          <w:lang w:val="en-US"/>
        </w:rPr>
        <w:t xml:space="preserve">Brazil is the leading exporter of sisal fibre and products. </w:t>
      </w:r>
      <w:r w:rsidRPr="00AF3648">
        <w:rPr>
          <w:rFonts w:ascii="Cambria" w:hAnsi="Cambria" w:cs="Cambria"/>
          <w:lang w:val="en-US"/>
        </w:rPr>
        <w:t>With Brazil’s steady pace of economic growth, the Brazilian Real has appreciated considerably against the US dollar</w:t>
      </w:r>
      <w:r w:rsidR="00A5098A">
        <w:rPr>
          <w:rFonts w:ascii="Cambria" w:hAnsi="Cambria" w:cs="Cambria"/>
          <w:lang w:val="en-US"/>
        </w:rPr>
        <w:t xml:space="preserve"> resulting in a decline in exports  to 72 600</w:t>
      </w:r>
      <w:r>
        <w:rPr>
          <w:rFonts w:ascii="Cambria" w:hAnsi="Cambria" w:cs="Cambria"/>
          <w:lang w:val="en-US"/>
        </w:rPr>
        <w:t xml:space="preserve"> tonnes in 2012 </w:t>
      </w:r>
      <w:r w:rsidR="00A5098A">
        <w:rPr>
          <w:rFonts w:ascii="Cambria" w:hAnsi="Cambria" w:cs="Cambria"/>
          <w:lang w:val="en-US"/>
        </w:rPr>
        <w:t xml:space="preserve">from </w:t>
      </w:r>
      <w:r>
        <w:rPr>
          <w:rFonts w:ascii="Cambria" w:hAnsi="Cambria" w:cs="Cambria"/>
          <w:lang w:val="en-US"/>
        </w:rPr>
        <w:t>80</w:t>
      </w:r>
      <w:r w:rsidR="00A5098A">
        <w:rPr>
          <w:rFonts w:ascii="Cambria" w:hAnsi="Cambria" w:cs="Cambria"/>
          <w:lang w:val="en-US"/>
        </w:rPr>
        <w:t xml:space="preserve"> </w:t>
      </w:r>
      <w:r>
        <w:rPr>
          <w:rFonts w:ascii="Cambria" w:hAnsi="Cambria" w:cs="Cambria"/>
          <w:lang w:val="en-US"/>
        </w:rPr>
        <w:t>2</w:t>
      </w:r>
      <w:r w:rsidR="00A5098A">
        <w:rPr>
          <w:rFonts w:ascii="Cambria" w:hAnsi="Cambria" w:cs="Cambria"/>
          <w:lang w:val="en-US"/>
        </w:rPr>
        <w:t>00</w:t>
      </w:r>
      <w:r>
        <w:rPr>
          <w:rFonts w:ascii="Cambria" w:hAnsi="Cambria" w:cs="Cambria"/>
          <w:lang w:val="en-US"/>
        </w:rPr>
        <w:t xml:space="preserve"> tonnes </w:t>
      </w:r>
      <w:r w:rsidR="00A5098A">
        <w:rPr>
          <w:rFonts w:ascii="Cambria" w:hAnsi="Cambria" w:cs="Cambria"/>
          <w:lang w:val="en-US"/>
        </w:rPr>
        <w:t>in</w:t>
      </w:r>
      <w:r>
        <w:rPr>
          <w:rFonts w:ascii="Cambria" w:hAnsi="Cambria" w:cs="Cambria"/>
          <w:lang w:val="en-US"/>
        </w:rPr>
        <w:t xml:space="preserve"> 2011.  </w:t>
      </w:r>
      <w:r w:rsidR="00A5098A">
        <w:rPr>
          <w:rFonts w:ascii="Cambria" w:hAnsi="Cambria" w:cs="Cambria"/>
          <w:lang w:val="en-US"/>
        </w:rPr>
        <w:t>Broken down in terms of</w:t>
      </w:r>
      <w:r>
        <w:rPr>
          <w:rFonts w:ascii="Cambria" w:hAnsi="Cambria" w:cs="Cambria"/>
          <w:lang w:val="en-US"/>
        </w:rPr>
        <w:t xml:space="preserve"> </w:t>
      </w:r>
      <w:r w:rsidR="00A5098A">
        <w:rPr>
          <w:rFonts w:ascii="Cambria" w:hAnsi="Cambria" w:cs="Cambria"/>
          <w:lang w:val="en-US"/>
        </w:rPr>
        <w:t xml:space="preserve">products, the </w:t>
      </w:r>
      <w:r>
        <w:rPr>
          <w:rFonts w:ascii="Cambria" w:hAnsi="Cambria" w:cs="Cambria"/>
          <w:lang w:val="en-US"/>
        </w:rPr>
        <w:t>exports of raw sisal</w:t>
      </w:r>
      <w:r w:rsidR="00A5098A">
        <w:rPr>
          <w:rFonts w:ascii="Cambria" w:hAnsi="Cambria" w:cs="Cambria"/>
          <w:lang w:val="en-US"/>
        </w:rPr>
        <w:t xml:space="preserve"> declined by 8 percent, and </w:t>
      </w:r>
      <w:r>
        <w:rPr>
          <w:rFonts w:ascii="Cambria" w:hAnsi="Cambria" w:cs="Cambria"/>
          <w:lang w:val="en-US"/>
        </w:rPr>
        <w:t xml:space="preserve">sisal manufactures </w:t>
      </w:r>
      <w:r w:rsidR="00A5098A">
        <w:rPr>
          <w:rFonts w:ascii="Cambria" w:hAnsi="Cambria" w:cs="Cambria"/>
          <w:lang w:val="en-US"/>
        </w:rPr>
        <w:t xml:space="preserve">by </w:t>
      </w:r>
      <w:r>
        <w:rPr>
          <w:rFonts w:ascii="Cambria" w:hAnsi="Cambria" w:cs="Cambria"/>
          <w:lang w:val="en-US"/>
        </w:rPr>
        <w:t>1</w:t>
      </w:r>
      <w:r w:rsidR="003F0115">
        <w:rPr>
          <w:rFonts w:ascii="Cambria" w:hAnsi="Cambria" w:cs="Cambria"/>
          <w:lang w:val="en-US"/>
        </w:rPr>
        <w:t>1</w:t>
      </w:r>
      <w:r>
        <w:rPr>
          <w:rFonts w:ascii="Cambria" w:hAnsi="Cambria" w:cs="Cambria"/>
          <w:lang w:val="en-US"/>
        </w:rPr>
        <w:t xml:space="preserve"> percent</w:t>
      </w:r>
      <w:r w:rsidR="00A5098A">
        <w:rPr>
          <w:rFonts w:ascii="Cambria" w:hAnsi="Cambria" w:cs="Cambria"/>
          <w:lang w:val="en-US"/>
        </w:rPr>
        <w:t>.</w:t>
      </w:r>
      <w:r w:rsidR="00634690">
        <w:rPr>
          <w:rFonts w:ascii="Cambria" w:hAnsi="Cambria" w:cs="Cambria"/>
          <w:lang w:val="en-US"/>
        </w:rPr>
        <w:t xml:space="preserve"> </w:t>
      </w:r>
    </w:p>
    <w:p w:rsidR="000A6871" w:rsidRPr="00044999" w:rsidRDefault="000A6871" w:rsidP="000A6871">
      <w:pPr>
        <w:autoSpaceDE w:val="0"/>
        <w:autoSpaceDN w:val="0"/>
        <w:adjustRightInd w:val="0"/>
        <w:spacing w:after="0" w:line="360" w:lineRule="auto"/>
        <w:rPr>
          <w:rFonts w:ascii="Cambria" w:hAnsi="Cambria" w:cs="Cambria"/>
          <w:noProof/>
          <w:lang w:eastAsia="en-GB"/>
        </w:rPr>
      </w:pPr>
    </w:p>
    <w:p w:rsidR="00356A4C" w:rsidRPr="00044999" w:rsidRDefault="00A5098A" w:rsidP="000A6871">
      <w:pPr>
        <w:autoSpaceDE w:val="0"/>
        <w:autoSpaceDN w:val="0"/>
        <w:adjustRightInd w:val="0"/>
        <w:spacing w:after="0" w:line="360" w:lineRule="auto"/>
        <w:rPr>
          <w:rFonts w:ascii="Cambria" w:hAnsi="Cambria" w:cs="Cambria"/>
          <w:noProof/>
          <w:lang w:eastAsia="en-GB"/>
        </w:rPr>
      </w:pPr>
      <w:r w:rsidRPr="00044999">
        <w:rPr>
          <w:rFonts w:ascii="Cambria" w:hAnsi="Cambria" w:cs="Cambria"/>
          <w:lang w:val="en-US"/>
        </w:rPr>
        <w:t xml:space="preserve">As for </w:t>
      </w:r>
      <w:r w:rsidR="00356A4C" w:rsidRPr="00044999">
        <w:rPr>
          <w:rFonts w:ascii="Cambria" w:hAnsi="Cambria" w:cs="Cambria"/>
          <w:lang w:val="en-US"/>
        </w:rPr>
        <w:t>Tanzania</w:t>
      </w:r>
      <w:r w:rsidRPr="00044999">
        <w:rPr>
          <w:rFonts w:ascii="Cambria" w:hAnsi="Cambria" w:cs="Cambria"/>
          <w:lang w:val="en-US"/>
        </w:rPr>
        <w:t xml:space="preserve">, export of </w:t>
      </w:r>
      <w:r w:rsidR="00356A4C" w:rsidRPr="00044999">
        <w:rPr>
          <w:rFonts w:ascii="Cambria" w:hAnsi="Cambria" w:cs="Cambria"/>
          <w:lang w:val="en-US"/>
        </w:rPr>
        <w:t>cordage decline</w:t>
      </w:r>
      <w:r w:rsidRPr="00044999">
        <w:rPr>
          <w:rFonts w:ascii="Cambria" w:hAnsi="Cambria" w:cs="Cambria"/>
          <w:lang w:val="en-US"/>
        </w:rPr>
        <w:t>d</w:t>
      </w:r>
      <w:r w:rsidR="00356A4C" w:rsidRPr="00044999">
        <w:rPr>
          <w:rFonts w:ascii="Cambria" w:hAnsi="Cambria" w:cs="Cambria"/>
          <w:lang w:val="en-US"/>
        </w:rPr>
        <w:t xml:space="preserve"> to 5</w:t>
      </w:r>
      <w:r w:rsidR="003F0115" w:rsidRPr="00044999">
        <w:rPr>
          <w:rFonts w:ascii="Cambria" w:hAnsi="Cambria" w:cs="Cambria"/>
          <w:lang w:val="en-US"/>
        </w:rPr>
        <w:t xml:space="preserve"> </w:t>
      </w:r>
      <w:r w:rsidR="00356A4C" w:rsidRPr="00044999">
        <w:rPr>
          <w:rFonts w:ascii="Cambria" w:hAnsi="Cambria" w:cs="Cambria"/>
          <w:lang w:val="en-US"/>
        </w:rPr>
        <w:t>3</w:t>
      </w:r>
      <w:r w:rsidR="00FE3FEF" w:rsidRPr="00044999">
        <w:rPr>
          <w:rFonts w:ascii="Cambria" w:hAnsi="Cambria" w:cs="Cambria"/>
          <w:lang w:val="en-US"/>
        </w:rPr>
        <w:t>00</w:t>
      </w:r>
      <w:r w:rsidR="00356A4C" w:rsidRPr="00044999">
        <w:rPr>
          <w:rFonts w:ascii="Cambria" w:hAnsi="Cambria" w:cs="Cambria"/>
          <w:lang w:val="en-US"/>
        </w:rPr>
        <w:t xml:space="preserve"> tonnes </w:t>
      </w:r>
      <w:r w:rsidR="00FE3FEF" w:rsidRPr="00044999">
        <w:rPr>
          <w:rFonts w:ascii="Cambria" w:hAnsi="Cambria" w:cs="Cambria"/>
          <w:lang w:val="en-US"/>
        </w:rPr>
        <w:t xml:space="preserve">in 2012 </w:t>
      </w:r>
      <w:r w:rsidR="00356A4C" w:rsidRPr="00044999">
        <w:rPr>
          <w:rFonts w:ascii="Cambria" w:hAnsi="Cambria" w:cs="Cambria"/>
          <w:lang w:val="en-US"/>
        </w:rPr>
        <w:t xml:space="preserve">from </w:t>
      </w:r>
      <w:r w:rsidR="00FE3FEF" w:rsidRPr="00044999">
        <w:rPr>
          <w:rFonts w:ascii="Cambria" w:hAnsi="Cambria" w:cs="Cambria"/>
          <w:lang w:val="en-US"/>
        </w:rPr>
        <w:t xml:space="preserve">6 </w:t>
      </w:r>
      <w:r w:rsidR="00D24E2A" w:rsidRPr="00044999">
        <w:rPr>
          <w:rFonts w:ascii="Cambria" w:hAnsi="Cambria" w:cs="Cambria"/>
          <w:lang w:val="en-US"/>
        </w:rPr>
        <w:t>0</w:t>
      </w:r>
      <w:r w:rsidR="00FE3FEF" w:rsidRPr="00044999">
        <w:rPr>
          <w:rFonts w:ascii="Cambria" w:hAnsi="Cambria" w:cs="Cambria"/>
          <w:lang w:val="en-US"/>
        </w:rPr>
        <w:t xml:space="preserve">00 tonnes </w:t>
      </w:r>
      <w:r w:rsidR="00D24E2A" w:rsidRPr="00044999">
        <w:rPr>
          <w:rFonts w:ascii="Cambria" w:hAnsi="Cambria" w:cs="Cambria"/>
          <w:lang w:val="en-US"/>
        </w:rPr>
        <w:t>in 2011, while exports of fibre</w:t>
      </w:r>
      <w:r w:rsidR="00FE3FEF" w:rsidRPr="00044999">
        <w:rPr>
          <w:rFonts w:ascii="Cambria" w:hAnsi="Cambria" w:cs="Cambria"/>
          <w:lang w:val="en-US"/>
        </w:rPr>
        <w:t xml:space="preserve"> actually increased to 1</w:t>
      </w:r>
      <w:r w:rsidR="00D24E2A" w:rsidRPr="00044999">
        <w:rPr>
          <w:rFonts w:ascii="Cambria" w:hAnsi="Cambria" w:cs="Cambria"/>
          <w:lang w:val="en-US"/>
        </w:rPr>
        <w:t>5 5</w:t>
      </w:r>
      <w:r w:rsidR="00FE3FEF" w:rsidRPr="00044999">
        <w:rPr>
          <w:rFonts w:ascii="Cambria" w:hAnsi="Cambria" w:cs="Cambria"/>
          <w:lang w:val="en-US"/>
        </w:rPr>
        <w:t>00 tonnes in 2012</w:t>
      </w:r>
      <w:r w:rsidR="00356A4C" w:rsidRPr="00044999">
        <w:rPr>
          <w:rFonts w:ascii="Cambria" w:hAnsi="Cambria" w:cs="Cambria"/>
          <w:lang w:val="en-US"/>
        </w:rPr>
        <w:t xml:space="preserve">.  </w:t>
      </w:r>
    </w:p>
    <w:p w:rsidR="00356A4C" w:rsidRPr="00044999" w:rsidRDefault="00356A4C" w:rsidP="00356A4C">
      <w:pPr>
        <w:autoSpaceDE w:val="0"/>
        <w:autoSpaceDN w:val="0"/>
        <w:adjustRightInd w:val="0"/>
        <w:spacing w:after="0" w:line="240" w:lineRule="auto"/>
        <w:rPr>
          <w:rFonts w:ascii="Cambria" w:hAnsi="Cambria" w:cs="Cambria"/>
          <w:noProof/>
          <w:lang w:eastAsia="en-GB"/>
        </w:rPr>
      </w:pPr>
    </w:p>
    <w:p w:rsidR="00464F51" w:rsidRDefault="00464F51" w:rsidP="00356A4C">
      <w:pPr>
        <w:autoSpaceDE w:val="0"/>
        <w:autoSpaceDN w:val="0"/>
        <w:adjustRightInd w:val="0"/>
        <w:spacing w:after="0" w:line="240" w:lineRule="auto"/>
        <w:rPr>
          <w:rFonts w:ascii="Cambria" w:hAnsi="Cambria" w:cs="Cambria"/>
          <w:b/>
          <w:lang w:val="en-US"/>
        </w:rPr>
      </w:pPr>
    </w:p>
    <w:p w:rsidR="00950596" w:rsidRDefault="00950596" w:rsidP="00356A4C">
      <w:pPr>
        <w:autoSpaceDE w:val="0"/>
        <w:autoSpaceDN w:val="0"/>
        <w:adjustRightInd w:val="0"/>
        <w:spacing w:after="0" w:line="240" w:lineRule="auto"/>
        <w:rPr>
          <w:rFonts w:ascii="Cambria" w:hAnsi="Cambria" w:cs="Cambria"/>
          <w:b/>
          <w:lang w:val="en-US"/>
        </w:rPr>
      </w:pPr>
    </w:p>
    <w:p w:rsidR="00950596" w:rsidRDefault="00950596" w:rsidP="00356A4C">
      <w:pPr>
        <w:autoSpaceDE w:val="0"/>
        <w:autoSpaceDN w:val="0"/>
        <w:adjustRightInd w:val="0"/>
        <w:spacing w:after="0" w:line="240" w:lineRule="auto"/>
        <w:rPr>
          <w:rFonts w:ascii="Cambria" w:hAnsi="Cambria" w:cs="Cambria"/>
          <w:b/>
          <w:lang w:val="en-US"/>
        </w:rPr>
      </w:pPr>
    </w:p>
    <w:p w:rsidR="00950596" w:rsidRDefault="00950596" w:rsidP="00356A4C">
      <w:pPr>
        <w:autoSpaceDE w:val="0"/>
        <w:autoSpaceDN w:val="0"/>
        <w:adjustRightInd w:val="0"/>
        <w:spacing w:after="0" w:line="240" w:lineRule="auto"/>
        <w:rPr>
          <w:rFonts w:ascii="Cambria" w:hAnsi="Cambria" w:cs="Cambria"/>
          <w:b/>
          <w:lang w:val="en-US"/>
        </w:rPr>
      </w:pPr>
    </w:p>
    <w:p w:rsidR="00950596" w:rsidRDefault="00950596" w:rsidP="00356A4C">
      <w:pPr>
        <w:autoSpaceDE w:val="0"/>
        <w:autoSpaceDN w:val="0"/>
        <w:adjustRightInd w:val="0"/>
        <w:spacing w:after="0" w:line="240" w:lineRule="auto"/>
        <w:rPr>
          <w:rFonts w:ascii="Cambria" w:hAnsi="Cambria" w:cs="Cambria"/>
          <w:b/>
          <w:lang w:val="en-US"/>
        </w:rPr>
      </w:pPr>
    </w:p>
    <w:p w:rsidR="00356A4C" w:rsidRPr="00DF09CC" w:rsidRDefault="00356A4C" w:rsidP="00356A4C">
      <w:pPr>
        <w:autoSpaceDE w:val="0"/>
        <w:autoSpaceDN w:val="0"/>
        <w:adjustRightInd w:val="0"/>
        <w:spacing w:after="0" w:line="240" w:lineRule="auto"/>
        <w:rPr>
          <w:rFonts w:ascii="Cambria" w:hAnsi="Cambria" w:cs="Cambria"/>
          <w:b/>
          <w:bCs/>
          <w:lang w:val="en-US"/>
        </w:rPr>
      </w:pPr>
      <w:r>
        <w:rPr>
          <w:rFonts w:ascii="Cambria" w:hAnsi="Cambria" w:cs="Cambria"/>
          <w:b/>
          <w:bCs/>
          <w:lang w:val="en-US"/>
        </w:rPr>
        <w:lastRenderedPageBreak/>
        <w:t>ABACA</w:t>
      </w:r>
    </w:p>
    <w:p w:rsidR="00356A4C" w:rsidRDefault="00356A4C" w:rsidP="00356A4C">
      <w:pPr>
        <w:autoSpaceDE w:val="0"/>
        <w:autoSpaceDN w:val="0"/>
        <w:adjustRightInd w:val="0"/>
        <w:spacing w:after="0" w:line="240" w:lineRule="auto"/>
        <w:rPr>
          <w:rFonts w:ascii="Cambria" w:hAnsi="Cambria" w:cs="Cambria"/>
          <w:color w:val="000000"/>
        </w:rPr>
      </w:pPr>
    </w:p>
    <w:p w:rsidR="00D3208B" w:rsidRDefault="00DA3F54" w:rsidP="00DA3F54">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Abaca prices remained stable in 2012 but soften in the first half of 2013. </w:t>
      </w:r>
    </w:p>
    <w:p w:rsidR="00950596" w:rsidRDefault="00950596" w:rsidP="00DA3F54">
      <w:pPr>
        <w:autoSpaceDE w:val="0"/>
        <w:autoSpaceDN w:val="0"/>
        <w:adjustRightInd w:val="0"/>
        <w:spacing w:after="0" w:line="240" w:lineRule="auto"/>
        <w:rPr>
          <w:rFonts w:ascii="Cambria" w:hAnsi="Cambria" w:cs="Cambria"/>
          <w:color w:val="000000"/>
        </w:rPr>
      </w:pPr>
    </w:p>
    <w:p w:rsidR="00950596" w:rsidRDefault="00950596" w:rsidP="00DA3F54">
      <w:pPr>
        <w:autoSpaceDE w:val="0"/>
        <w:autoSpaceDN w:val="0"/>
        <w:adjustRightInd w:val="0"/>
        <w:spacing w:after="0" w:line="240" w:lineRule="auto"/>
        <w:rPr>
          <w:rFonts w:ascii="Cambria" w:hAnsi="Cambria" w:cs="Cambria"/>
          <w:color w:val="000000"/>
        </w:rPr>
      </w:pPr>
      <w:r>
        <w:rPr>
          <w:rFonts w:ascii="Cambria" w:hAnsi="Cambria" w:cs="Cambria"/>
          <w:color w:val="000000"/>
        </w:rPr>
        <w:t>Figure 17:  Abaca Prices (2008-2013)</w:t>
      </w:r>
    </w:p>
    <w:p w:rsidR="00950596" w:rsidRDefault="00950596" w:rsidP="00DA3F54">
      <w:pPr>
        <w:autoSpaceDE w:val="0"/>
        <w:autoSpaceDN w:val="0"/>
        <w:adjustRightInd w:val="0"/>
        <w:spacing w:after="0" w:line="240" w:lineRule="auto"/>
        <w:rPr>
          <w:rFonts w:ascii="Cambria" w:hAnsi="Cambria" w:cs="Cambria"/>
          <w:color w:val="000000"/>
        </w:rPr>
      </w:pPr>
    </w:p>
    <w:p w:rsidR="00D3208B" w:rsidRDefault="00795C79" w:rsidP="00DA3F54">
      <w:pPr>
        <w:autoSpaceDE w:val="0"/>
        <w:autoSpaceDN w:val="0"/>
        <w:adjustRightInd w:val="0"/>
        <w:spacing w:after="0" w:line="240" w:lineRule="auto"/>
        <w:rPr>
          <w:rFonts w:ascii="Cambria" w:hAnsi="Cambria" w:cs="Cambria"/>
          <w:color w:val="000000"/>
        </w:rPr>
      </w:pPr>
      <w:r>
        <w:rPr>
          <w:noProof/>
          <w:lang w:val="en-US"/>
        </w:rPr>
        <w:drawing>
          <wp:inline distT="0" distB="0" distL="0" distR="0">
            <wp:extent cx="5271715" cy="3077155"/>
            <wp:effectExtent l="0" t="0" r="2476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208B" w:rsidRPr="00D3208B" w:rsidRDefault="00D3208B" w:rsidP="00DA3F54">
      <w:pPr>
        <w:autoSpaceDE w:val="0"/>
        <w:autoSpaceDN w:val="0"/>
        <w:adjustRightInd w:val="0"/>
        <w:spacing w:after="0" w:line="240" w:lineRule="auto"/>
        <w:rPr>
          <w:rFonts w:ascii="Cambria" w:hAnsi="Cambria" w:cs="Cambria"/>
          <w:b/>
          <w:color w:val="000000"/>
        </w:rPr>
      </w:pPr>
    </w:p>
    <w:p w:rsidR="00DA3F54" w:rsidRDefault="00DA3F54" w:rsidP="00D3208B">
      <w:pPr>
        <w:autoSpaceDE w:val="0"/>
        <w:autoSpaceDN w:val="0"/>
        <w:adjustRightInd w:val="0"/>
        <w:spacing w:after="0" w:line="360" w:lineRule="auto"/>
        <w:rPr>
          <w:rFonts w:ascii="Cambria" w:hAnsi="Cambria" w:cs="Cambria"/>
          <w:color w:val="000000"/>
        </w:rPr>
      </w:pPr>
      <w:r w:rsidRPr="00FD3E07">
        <w:rPr>
          <w:rFonts w:ascii="Cambria" w:hAnsi="Cambria" w:cs="Cambria"/>
          <w:color w:val="000000"/>
        </w:rPr>
        <w:t xml:space="preserve">Production of abaca fibre </w:t>
      </w:r>
      <w:r>
        <w:rPr>
          <w:rFonts w:ascii="Cambria" w:hAnsi="Cambria" w:cs="Cambria"/>
          <w:color w:val="000000"/>
        </w:rPr>
        <w:t>decreased</w:t>
      </w:r>
      <w:r w:rsidRPr="00FD3E07">
        <w:rPr>
          <w:rFonts w:ascii="Cambria" w:hAnsi="Cambria" w:cs="Cambria"/>
          <w:color w:val="000000"/>
        </w:rPr>
        <w:t xml:space="preserve"> in 201</w:t>
      </w:r>
      <w:r>
        <w:rPr>
          <w:rFonts w:ascii="Cambria" w:hAnsi="Cambria" w:cs="Cambria"/>
          <w:color w:val="000000"/>
        </w:rPr>
        <w:t>2</w:t>
      </w:r>
      <w:r w:rsidRPr="00FD3E07">
        <w:rPr>
          <w:rFonts w:ascii="Cambria" w:hAnsi="Cambria" w:cs="Cambria"/>
          <w:color w:val="000000"/>
        </w:rPr>
        <w:t xml:space="preserve"> to </w:t>
      </w:r>
      <w:r>
        <w:rPr>
          <w:rFonts w:ascii="Cambria" w:hAnsi="Cambria" w:cs="Cambria"/>
          <w:color w:val="000000"/>
        </w:rPr>
        <w:t>77 820 tonnes, 7 100</w:t>
      </w:r>
      <w:r w:rsidRPr="00FD3E07">
        <w:rPr>
          <w:rFonts w:ascii="Cambria" w:hAnsi="Cambria" w:cs="Cambria"/>
          <w:color w:val="000000"/>
        </w:rPr>
        <w:t xml:space="preserve"> tonnes </w:t>
      </w:r>
      <w:r>
        <w:rPr>
          <w:rFonts w:ascii="Cambria" w:hAnsi="Cambria" w:cs="Cambria"/>
          <w:color w:val="000000"/>
        </w:rPr>
        <w:t xml:space="preserve">less than in </w:t>
      </w:r>
      <w:r w:rsidRPr="00FD3E07">
        <w:rPr>
          <w:rFonts w:ascii="Cambria" w:hAnsi="Cambria" w:cs="Cambria"/>
          <w:color w:val="000000"/>
        </w:rPr>
        <w:t>20</w:t>
      </w:r>
      <w:r>
        <w:rPr>
          <w:rFonts w:ascii="Cambria" w:hAnsi="Cambria" w:cs="Cambria"/>
          <w:color w:val="000000"/>
        </w:rPr>
        <w:t>11</w:t>
      </w:r>
      <w:r w:rsidRPr="00FD3E07">
        <w:rPr>
          <w:rFonts w:ascii="Cambria" w:hAnsi="Cambria" w:cs="Cambria"/>
          <w:color w:val="000000"/>
        </w:rPr>
        <w:t xml:space="preserve">. </w:t>
      </w:r>
    </w:p>
    <w:p w:rsidR="00F5696F" w:rsidRDefault="00F5696F" w:rsidP="00D3208B">
      <w:pPr>
        <w:autoSpaceDE w:val="0"/>
        <w:autoSpaceDN w:val="0"/>
        <w:adjustRightInd w:val="0"/>
        <w:spacing w:after="0" w:line="360" w:lineRule="auto"/>
        <w:rPr>
          <w:rFonts w:ascii="Cambria" w:hAnsi="Cambria" w:cs="Cambria"/>
          <w:color w:val="000000"/>
        </w:rPr>
      </w:pPr>
    </w:p>
    <w:p w:rsidR="008C5445" w:rsidRDefault="00950596" w:rsidP="00D3208B">
      <w:pPr>
        <w:autoSpaceDE w:val="0"/>
        <w:autoSpaceDN w:val="0"/>
        <w:adjustRightInd w:val="0"/>
        <w:spacing w:after="0" w:line="360" w:lineRule="auto"/>
        <w:rPr>
          <w:rFonts w:ascii="Cambria" w:hAnsi="Cambria" w:cs="Cambria"/>
          <w:color w:val="000000"/>
        </w:rPr>
      </w:pPr>
      <w:r>
        <w:rPr>
          <w:rFonts w:ascii="Cambria" w:hAnsi="Cambria" w:cs="Cambria"/>
          <w:color w:val="000000"/>
        </w:rPr>
        <w:t>Figure 18:  World Abaca Fibre Production</w:t>
      </w:r>
    </w:p>
    <w:p w:rsidR="00E45E89" w:rsidRPr="00F5696F" w:rsidRDefault="008C5445" w:rsidP="00D3208B">
      <w:pPr>
        <w:autoSpaceDE w:val="0"/>
        <w:autoSpaceDN w:val="0"/>
        <w:adjustRightInd w:val="0"/>
        <w:spacing w:after="0" w:line="360" w:lineRule="auto"/>
        <w:rPr>
          <w:rFonts w:ascii="Cambria" w:hAnsi="Cambria" w:cs="Cambria"/>
        </w:rPr>
      </w:pPr>
      <w:r>
        <w:rPr>
          <w:noProof/>
          <w:lang w:val="en-US"/>
        </w:rPr>
        <w:drawing>
          <wp:inline distT="0" distB="0" distL="0" distR="0">
            <wp:extent cx="5274310" cy="3404501"/>
            <wp:effectExtent l="0" t="0" r="2159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56A4C" w:rsidRDefault="00356A4C" w:rsidP="00D3208B">
      <w:pPr>
        <w:autoSpaceDE w:val="0"/>
        <w:autoSpaceDN w:val="0"/>
        <w:adjustRightInd w:val="0"/>
        <w:spacing w:after="0" w:line="360" w:lineRule="auto"/>
        <w:rPr>
          <w:rFonts w:ascii="Cambria" w:hAnsi="Cambria" w:cs="Cambria"/>
          <w:b/>
          <w:color w:val="000000"/>
        </w:rPr>
      </w:pPr>
      <w:r>
        <w:rPr>
          <w:rFonts w:ascii="Cambria" w:hAnsi="Cambria" w:cs="Cambria"/>
          <w:b/>
          <w:color w:val="000000"/>
        </w:rPr>
        <w:lastRenderedPageBreak/>
        <w:t>Trade</w:t>
      </w:r>
    </w:p>
    <w:p w:rsidR="00356A4C" w:rsidRPr="00D54748" w:rsidRDefault="00356A4C" w:rsidP="00D3208B">
      <w:pPr>
        <w:autoSpaceDE w:val="0"/>
        <w:autoSpaceDN w:val="0"/>
        <w:adjustRightInd w:val="0"/>
        <w:spacing w:after="0" w:line="360" w:lineRule="auto"/>
        <w:rPr>
          <w:rFonts w:ascii="Cambria" w:hAnsi="Cambria" w:cs="Cambria"/>
          <w:color w:val="000000"/>
        </w:rPr>
      </w:pPr>
    </w:p>
    <w:p w:rsidR="003F640D" w:rsidRDefault="00356A4C" w:rsidP="00D3208B">
      <w:pPr>
        <w:spacing w:after="0" w:line="360" w:lineRule="auto"/>
        <w:rPr>
          <w:rFonts w:ascii="Cambria" w:hAnsi="Cambria" w:cs="Cambria"/>
          <w:color w:val="000000"/>
        </w:rPr>
      </w:pPr>
      <w:r w:rsidRPr="008B4518">
        <w:rPr>
          <w:rFonts w:ascii="Cambria" w:hAnsi="Cambria" w:cs="Cambria"/>
          <w:color w:val="000000"/>
        </w:rPr>
        <w:t>Abaca fibre remains largely for domestic consumption</w:t>
      </w:r>
      <w:r>
        <w:rPr>
          <w:rFonts w:ascii="Cambria" w:hAnsi="Cambria" w:cs="Cambria"/>
          <w:color w:val="000000"/>
        </w:rPr>
        <w:t xml:space="preserve">.  </w:t>
      </w:r>
      <w:r w:rsidR="003F640D">
        <w:rPr>
          <w:rFonts w:ascii="Cambria" w:hAnsi="Cambria" w:cs="Cambria"/>
          <w:color w:val="000000"/>
        </w:rPr>
        <w:t xml:space="preserve">Exports of abaca fibre and manufactures declined significantly between 2011 and 2012 reflecting the global weakening in demand.  </w:t>
      </w:r>
      <w:r w:rsidR="00D00356">
        <w:rPr>
          <w:rFonts w:ascii="Cambria" w:hAnsi="Cambria" w:cs="Cambria"/>
          <w:color w:val="000000"/>
        </w:rPr>
        <w:t xml:space="preserve">Exports reached their highest levels in 2010, but have declined since. In 2012, fibre </w:t>
      </w:r>
      <w:r w:rsidR="003F640D">
        <w:rPr>
          <w:rFonts w:ascii="Cambria" w:hAnsi="Cambria" w:cs="Cambria"/>
          <w:color w:val="000000"/>
        </w:rPr>
        <w:t>exports declined</w:t>
      </w:r>
      <w:r w:rsidR="00D00356">
        <w:rPr>
          <w:rFonts w:ascii="Cambria" w:hAnsi="Cambria" w:cs="Cambria"/>
          <w:color w:val="000000"/>
        </w:rPr>
        <w:t xml:space="preserve"> </w:t>
      </w:r>
      <w:r w:rsidR="003F640D">
        <w:rPr>
          <w:rFonts w:ascii="Cambria" w:hAnsi="Cambria" w:cs="Cambria"/>
          <w:color w:val="000000"/>
        </w:rPr>
        <w:t>to 18 520 tonnes</w:t>
      </w:r>
      <w:r w:rsidR="00D00356">
        <w:rPr>
          <w:rFonts w:ascii="Cambria" w:hAnsi="Cambria" w:cs="Cambria"/>
          <w:color w:val="000000"/>
        </w:rPr>
        <w:t>; pulp exports declined by 26 percent to 21 524 tonnes; and 14 294 tonnes for cordage.</w:t>
      </w:r>
      <w:r w:rsidR="003F640D">
        <w:rPr>
          <w:rFonts w:ascii="Cambria" w:hAnsi="Cambria" w:cs="Cambria"/>
          <w:color w:val="000000"/>
        </w:rPr>
        <w:t xml:space="preserve">  </w:t>
      </w:r>
    </w:p>
    <w:p w:rsidR="00CC3BFF" w:rsidRDefault="00CC3BFF" w:rsidP="00D3208B">
      <w:pPr>
        <w:spacing w:after="0" w:line="360" w:lineRule="auto"/>
        <w:rPr>
          <w:rFonts w:ascii="Cambria" w:hAnsi="Cambria" w:cs="Cambria"/>
          <w:color w:val="000000"/>
        </w:rPr>
      </w:pPr>
    </w:p>
    <w:p w:rsidR="00F5696F" w:rsidRDefault="00F5696F" w:rsidP="00D3208B">
      <w:pPr>
        <w:spacing w:after="0" w:line="360" w:lineRule="auto"/>
        <w:rPr>
          <w:rFonts w:ascii="Cambria" w:hAnsi="Cambria" w:cs="Cambria"/>
          <w:color w:val="000000"/>
        </w:rPr>
      </w:pPr>
      <w:r>
        <w:rPr>
          <w:rFonts w:ascii="Cambria" w:hAnsi="Cambria" w:cs="Cambria"/>
          <w:color w:val="000000"/>
        </w:rPr>
        <w:t>Figure 19:  World Exports of Abaca Fibre and Manufactures</w:t>
      </w:r>
    </w:p>
    <w:p w:rsidR="003F640D" w:rsidRDefault="00CC3BFF" w:rsidP="00D3208B">
      <w:pPr>
        <w:spacing w:after="0" w:line="360" w:lineRule="auto"/>
        <w:rPr>
          <w:rFonts w:ascii="Cambria" w:hAnsi="Cambria" w:cs="Cambria"/>
          <w:color w:val="000000"/>
        </w:rPr>
      </w:pPr>
      <w:r>
        <w:rPr>
          <w:noProof/>
          <w:lang w:val="en-US"/>
        </w:rPr>
        <w:drawing>
          <wp:inline distT="0" distB="0" distL="0" distR="0">
            <wp:extent cx="5274310" cy="3349441"/>
            <wp:effectExtent l="0" t="0" r="2159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3BFF" w:rsidRDefault="00CC3BFF" w:rsidP="00D3208B">
      <w:pPr>
        <w:spacing w:after="0" w:line="360" w:lineRule="auto"/>
        <w:rPr>
          <w:rFonts w:ascii="Cambria" w:hAnsi="Cambria" w:cs="Cambria"/>
          <w:color w:val="000000"/>
        </w:rPr>
      </w:pPr>
    </w:p>
    <w:p w:rsidR="00356A4C" w:rsidRDefault="003F640D" w:rsidP="00D3208B">
      <w:pPr>
        <w:spacing w:after="0" w:line="360" w:lineRule="auto"/>
        <w:rPr>
          <w:rFonts w:ascii="Cambria" w:hAnsi="Cambria" w:cs="Cambria"/>
          <w:color w:val="000000"/>
        </w:rPr>
      </w:pPr>
      <w:r>
        <w:rPr>
          <w:rFonts w:ascii="Cambria" w:hAnsi="Cambria" w:cs="Cambria"/>
          <w:color w:val="000000"/>
        </w:rPr>
        <w:t>The main destinations of abaca exports vary</w:t>
      </w:r>
      <w:r w:rsidRPr="008B4518">
        <w:rPr>
          <w:rFonts w:ascii="Cambria" w:hAnsi="Cambria" w:cs="Cambria"/>
          <w:color w:val="000000"/>
        </w:rPr>
        <w:t xml:space="preserve"> by product.  </w:t>
      </w:r>
      <w:r>
        <w:rPr>
          <w:rFonts w:ascii="Cambria" w:hAnsi="Cambria" w:cs="Cambria"/>
          <w:color w:val="000000"/>
        </w:rPr>
        <w:t>The European Union, Japan and</w:t>
      </w:r>
      <w:r w:rsidRPr="008B4518">
        <w:rPr>
          <w:rFonts w:ascii="Cambria" w:hAnsi="Cambria" w:cs="Cambria"/>
          <w:color w:val="000000"/>
        </w:rPr>
        <w:t xml:space="preserve"> China are the largest importers of abaca fibre</w:t>
      </w:r>
      <w:r>
        <w:rPr>
          <w:rFonts w:ascii="Cambria" w:hAnsi="Cambria" w:cs="Cambria"/>
          <w:color w:val="000000"/>
        </w:rPr>
        <w:t>, accounting for 93 percent of the total in 2012,</w:t>
      </w:r>
      <w:r w:rsidRPr="008B4518">
        <w:rPr>
          <w:rFonts w:ascii="Cambria" w:hAnsi="Cambria" w:cs="Cambria"/>
          <w:color w:val="000000"/>
        </w:rPr>
        <w:t xml:space="preserve"> whereas </w:t>
      </w:r>
      <w:r>
        <w:rPr>
          <w:rFonts w:ascii="Cambria" w:hAnsi="Cambria" w:cs="Cambria"/>
          <w:color w:val="000000"/>
        </w:rPr>
        <w:t xml:space="preserve">the United Kingdom and </w:t>
      </w:r>
      <w:r w:rsidRPr="008B4518">
        <w:rPr>
          <w:rFonts w:ascii="Cambria" w:hAnsi="Cambria" w:cs="Cambria"/>
          <w:color w:val="000000"/>
        </w:rPr>
        <w:t>Germany</w:t>
      </w:r>
      <w:r>
        <w:rPr>
          <w:rFonts w:ascii="Cambria" w:hAnsi="Cambria" w:cs="Cambria"/>
          <w:color w:val="000000"/>
        </w:rPr>
        <w:t xml:space="preserve"> are the top destinations for pulp.  For cordage, the USA accounts for</w:t>
      </w:r>
      <w:r w:rsidRPr="008B4518">
        <w:rPr>
          <w:rFonts w:ascii="Cambria" w:hAnsi="Cambria" w:cs="Cambria"/>
          <w:color w:val="000000"/>
        </w:rPr>
        <w:t xml:space="preserve"> </w:t>
      </w:r>
      <w:r>
        <w:rPr>
          <w:rFonts w:ascii="Cambria" w:hAnsi="Cambria" w:cs="Cambria"/>
          <w:color w:val="000000"/>
        </w:rPr>
        <w:t>more than 30 percent</w:t>
      </w:r>
      <w:r w:rsidRPr="008B4518">
        <w:rPr>
          <w:rFonts w:ascii="Cambria" w:hAnsi="Cambria" w:cs="Cambria"/>
          <w:color w:val="000000"/>
        </w:rPr>
        <w:t xml:space="preserve"> of the total</w:t>
      </w:r>
      <w:r>
        <w:rPr>
          <w:rFonts w:ascii="Cambria" w:hAnsi="Cambria" w:cs="Cambria"/>
          <w:color w:val="000000"/>
        </w:rPr>
        <w:t xml:space="preserve"> market in 2012. </w:t>
      </w:r>
    </w:p>
    <w:p w:rsidR="00356A4C" w:rsidRDefault="00356A4C"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p>
    <w:p w:rsidR="00F5696F" w:rsidRDefault="00F5696F" w:rsidP="00356A4C">
      <w:pPr>
        <w:spacing w:after="0" w:line="240" w:lineRule="auto"/>
        <w:rPr>
          <w:rFonts w:ascii="Cambria" w:eastAsia="Times New Roman" w:hAnsi="Cambria" w:cs="Arial"/>
          <w:bCs/>
          <w:lang w:val="en-US"/>
        </w:rPr>
      </w:pPr>
      <w:r>
        <w:rPr>
          <w:rFonts w:ascii="Cambria" w:eastAsia="Times New Roman" w:hAnsi="Cambria" w:cs="Arial"/>
          <w:bCs/>
          <w:lang w:val="en-US"/>
        </w:rPr>
        <w:lastRenderedPageBreak/>
        <w:t>Figure 20, 21, 22:  Percentage Share of World Abaca Exports of Fibre, Cordage and Pulp by Destination in 2012</w:t>
      </w:r>
    </w:p>
    <w:p w:rsidR="00F5696F" w:rsidRDefault="00F5696F" w:rsidP="00356A4C">
      <w:pPr>
        <w:spacing w:after="0" w:line="240" w:lineRule="auto"/>
        <w:rPr>
          <w:rFonts w:ascii="Cambria" w:eastAsia="Times New Roman" w:hAnsi="Cambria" w:cs="Arial"/>
          <w:bCs/>
          <w:lang w:val="en-US"/>
        </w:rPr>
      </w:pPr>
    </w:p>
    <w:p w:rsidR="00356A4C" w:rsidRDefault="00356A4C" w:rsidP="00356A4C">
      <w:pPr>
        <w:spacing w:after="0" w:line="240" w:lineRule="auto"/>
        <w:rPr>
          <w:rFonts w:ascii="Cambria" w:eastAsia="Times New Roman" w:hAnsi="Cambria" w:cs="Arial"/>
          <w:bCs/>
          <w:sz w:val="18"/>
          <w:szCs w:val="18"/>
          <w:lang w:val="en-US"/>
        </w:rPr>
      </w:pPr>
      <w:r>
        <w:rPr>
          <w:noProof/>
          <w:lang w:val="en-US"/>
        </w:rPr>
        <w:drawing>
          <wp:inline distT="0" distB="0" distL="0" distR="0">
            <wp:extent cx="2480807" cy="2083242"/>
            <wp:effectExtent l="19050" t="0" r="15240"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val="en-US"/>
        </w:rPr>
        <w:drawing>
          <wp:inline distT="0" distB="0" distL="0" distR="0">
            <wp:extent cx="2488758" cy="2083242"/>
            <wp:effectExtent l="0" t="0" r="26035" b="1270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3BFF" w:rsidRDefault="00CC3BFF" w:rsidP="00356A4C">
      <w:pPr>
        <w:spacing w:after="0" w:line="240" w:lineRule="auto"/>
        <w:rPr>
          <w:rFonts w:ascii="Cambria" w:eastAsia="Times New Roman" w:hAnsi="Cambria" w:cs="Arial"/>
          <w:bCs/>
          <w:sz w:val="18"/>
          <w:szCs w:val="18"/>
          <w:lang w:val="en-US"/>
        </w:rPr>
      </w:pPr>
    </w:p>
    <w:p w:rsidR="00356A4C" w:rsidRDefault="00356A4C" w:rsidP="00356A4C">
      <w:pPr>
        <w:spacing w:after="0" w:line="240" w:lineRule="auto"/>
        <w:jc w:val="center"/>
        <w:rPr>
          <w:rFonts w:ascii="Cambria" w:eastAsia="Times New Roman" w:hAnsi="Cambria" w:cs="Arial"/>
          <w:bCs/>
          <w:sz w:val="18"/>
          <w:szCs w:val="18"/>
          <w:lang w:val="en-US"/>
        </w:rPr>
      </w:pPr>
      <w:r>
        <w:rPr>
          <w:noProof/>
          <w:lang w:val="en-US"/>
        </w:rPr>
        <w:drawing>
          <wp:inline distT="0" distB="0" distL="0" distR="0">
            <wp:extent cx="2560320" cy="2178658"/>
            <wp:effectExtent l="0" t="0" r="11430"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45E89" w:rsidRDefault="00E45E89" w:rsidP="00356A4C">
      <w:pPr>
        <w:autoSpaceDE w:val="0"/>
        <w:autoSpaceDN w:val="0"/>
        <w:adjustRightInd w:val="0"/>
        <w:spacing w:after="0" w:line="240" w:lineRule="auto"/>
        <w:rPr>
          <w:rFonts w:ascii="Cambria" w:hAnsi="Cambria" w:cs="Cambria"/>
          <w:b/>
          <w:bCs/>
          <w:color w:val="000000"/>
          <w:sz w:val="28"/>
          <w:szCs w:val="28"/>
        </w:rPr>
      </w:pPr>
    </w:p>
    <w:p w:rsidR="00090D01" w:rsidRDefault="00090D01" w:rsidP="00356A4C">
      <w:pPr>
        <w:autoSpaceDE w:val="0"/>
        <w:autoSpaceDN w:val="0"/>
        <w:adjustRightInd w:val="0"/>
        <w:spacing w:after="0" w:line="240" w:lineRule="auto"/>
        <w:rPr>
          <w:rFonts w:ascii="Cambria" w:hAnsi="Cambria" w:cs="Cambria"/>
          <w:b/>
          <w:bCs/>
          <w:color w:val="000000"/>
          <w:sz w:val="28"/>
          <w:szCs w:val="28"/>
        </w:rPr>
      </w:pPr>
    </w:p>
    <w:p w:rsidR="00356A4C" w:rsidRPr="009742E3" w:rsidRDefault="00356A4C" w:rsidP="00356A4C">
      <w:pPr>
        <w:autoSpaceDE w:val="0"/>
        <w:autoSpaceDN w:val="0"/>
        <w:adjustRightInd w:val="0"/>
        <w:spacing w:after="0" w:line="240" w:lineRule="auto"/>
        <w:rPr>
          <w:rFonts w:ascii="Cambria" w:hAnsi="Cambria" w:cs="Cambria"/>
          <w:b/>
          <w:bCs/>
          <w:color w:val="000000"/>
          <w:sz w:val="28"/>
          <w:szCs w:val="28"/>
        </w:rPr>
      </w:pPr>
      <w:r>
        <w:rPr>
          <w:rFonts w:ascii="Cambria" w:hAnsi="Cambria" w:cs="Cambria"/>
          <w:b/>
          <w:bCs/>
          <w:color w:val="000000"/>
          <w:sz w:val="28"/>
          <w:szCs w:val="28"/>
        </w:rPr>
        <w:t>COIR</w:t>
      </w:r>
    </w:p>
    <w:p w:rsidR="00356A4C" w:rsidRDefault="00356A4C" w:rsidP="00356A4C">
      <w:pPr>
        <w:pStyle w:val="BodyText"/>
        <w:rPr>
          <w:rFonts w:ascii="Cambria" w:hAnsi="Cambria" w:cs="Cambria"/>
          <w:b/>
          <w:color w:val="000000"/>
          <w:lang w:val="en-GB"/>
        </w:rPr>
      </w:pPr>
      <w:r>
        <w:rPr>
          <w:rFonts w:ascii="Cambria" w:hAnsi="Cambria" w:cs="Cambria"/>
          <w:b/>
          <w:color w:val="000000"/>
          <w:lang w:val="en-GB"/>
        </w:rPr>
        <w:t>Production and prices</w:t>
      </w:r>
    </w:p>
    <w:p w:rsidR="00686B33" w:rsidRPr="00044999" w:rsidRDefault="0076540F" w:rsidP="00D3208B">
      <w:pPr>
        <w:spacing w:line="360" w:lineRule="auto"/>
        <w:rPr>
          <w:rFonts w:ascii="Cambria" w:hAnsi="Cambria" w:cs="Cambria"/>
        </w:rPr>
      </w:pPr>
      <w:r w:rsidRPr="00C43893">
        <w:rPr>
          <w:rFonts w:ascii="Cambria" w:hAnsi="Cambria" w:cs="Cambria"/>
          <w:color w:val="000000"/>
        </w:rPr>
        <w:t xml:space="preserve">The average price for coir fibre and </w:t>
      </w:r>
      <w:r w:rsidRPr="00044999">
        <w:rPr>
          <w:rFonts w:ascii="Cambria" w:hAnsi="Cambria" w:cs="Cambria"/>
        </w:rPr>
        <w:t xml:space="preserve">products over the last </w:t>
      </w:r>
      <w:r w:rsidR="00686B33" w:rsidRPr="00044999">
        <w:rPr>
          <w:rFonts w:ascii="Cambria" w:hAnsi="Cambria" w:cs="Cambria"/>
        </w:rPr>
        <w:t>4</w:t>
      </w:r>
      <w:r w:rsidRPr="00044999">
        <w:rPr>
          <w:rFonts w:ascii="Cambria" w:hAnsi="Cambria" w:cs="Cambria"/>
        </w:rPr>
        <w:t xml:space="preserve"> years increased from USD512 (2009) </w:t>
      </w:r>
      <w:r w:rsidR="007F016D" w:rsidRPr="00044999">
        <w:rPr>
          <w:rFonts w:ascii="Cambria" w:hAnsi="Cambria" w:cs="Cambria"/>
        </w:rPr>
        <w:t xml:space="preserve">to </w:t>
      </w:r>
      <w:r w:rsidRPr="00044999">
        <w:rPr>
          <w:rFonts w:ascii="Cambria" w:hAnsi="Cambria" w:cs="Cambria"/>
        </w:rPr>
        <w:t xml:space="preserve">USD633 per tonne in 2012.   </w:t>
      </w:r>
    </w:p>
    <w:p w:rsidR="0076540F" w:rsidRDefault="00686B33" w:rsidP="00D3208B">
      <w:pPr>
        <w:spacing w:line="360" w:lineRule="auto"/>
        <w:rPr>
          <w:rFonts w:ascii="Cambria" w:hAnsi="Cambria" w:cs="Cambria"/>
          <w:color w:val="000000"/>
        </w:rPr>
      </w:pPr>
      <w:r w:rsidRPr="00044999">
        <w:rPr>
          <w:rFonts w:ascii="Cambria" w:hAnsi="Cambria" w:cs="Cambria"/>
        </w:rPr>
        <w:t xml:space="preserve">However, with prices falling to an average </w:t>
      </w:r>
      <w:r w:rsidR="0076540F" w:rsidRPr="00044999">
        <w:rPr>
          <w:rFonts w:ascii="Cambria" w:hAnsi="Cambria" w:cs="Cambria"/>
        </w:rPr>
        <w:t>USD5</w:t>
      </w:r>
      <w:r w:rsidR="00EE14C0" w:rsidRPr="00044999">
        <w:rPr>
          <w:rFonts w:ascii="Cambria" w:hAnsi="Cambria" w:cs="Cambria"/>
        </w:rPr>
        <w:t>7</w:t>
      </w:r>
      <w:r w:rsidR="00B57518" w:rsidRPr="00044999">
        <w:rPr>
          <w:rFonts w:ascii="Cambria" w:hAnsi="Cambria" w:cs="Cambria"/>
        </w:rPr>
        <w:t xml:space="preserve">4 per tonne during the first half of </w:t>
      </w:r>
      <w:r w:rsidRPr="00044999">
        <w:rPr>
          <w:rFonts w:ascii="Cambria" w:hAnsi="Cambria" w:cs="Cambria"/>
        </w:rPr>
        <w:t xml:space="preserve">2013, output may weaken towards the end </w:t>
      </w:r>
      <w:r>
        <w:rPr>
          <w:rFonts w:ascii="Cambria" w:hAnsi="Cambria" w:cs="Cambria"/>
          <w:color w:val="000000"/>
        </w:rPr>
        <w:t>of the year</w:t>
      </w:r>
      <w:r w:rsidR="0076540F" w:rsidRPr="0076540F">
        <w:rPr>
          <w:rFonts w:ascii="Cambria" w:hAnsi="Cambria" w:cs="Cambria"/>
          <w:color w:val="000000"/>
        </w:rPr>
        <w:t xml:space="preserve">. </w:t>
      </w:r>
    </w:p>
    <w:p w:rsidR="00F5696F" w:rsidRDefault="00F5696F" w:rsidP="00D3208B">
      <w:pPr>
        <w:spacing w:line="360" w:lineRule="auto"/>
        <w:rPr>
          <w:rFonts w:ascii="Cambria" w:hAnsi="Cambria" w:cs="Cambria"/>
          <w:color w:val="000000"/>
        </w:rPr>
      </w:pPr>
    </w:p>
    <w:p w:rsidR="00F5696F" w:rsidRDefault="00F5696F" w:rsidP="00D3208B">
      <w:pPr>
        <w:spacing w:line="360" w:lineRule="auto"/>
        <w:rPr>
          <w:rFonts w:ascii="Cambria" w:hAnsi="Cambria" w:cs="Cambria"/>
          <w:color w:val="000000"/>
        </w:rPr>
      </w:pPr>
    </w:p>
    <w:p w:rsidR="00F5696F" w:rsidRDefault="00F5696F" w:rsidP="00D3208B">
      <w:pPr>
        <w:spacing w:line="360" w:lineRule="auto"/>
        <w:rPr>
          <w:rFonts w:ascii="Cambria" w:hAnsi="Cambria" w:cs="Cambria"/>
          <w:color w:val="000000"/>
        </w:rPr>
      </w:pPr>
    </w:p>
    <w:p w:rsidR="00090D01" w:rsidRDefault="00090D01" w:rsidP="00D3208B">
      <w:pPr>
        <w:spacing w:line="360" w:lineRule="auto"/>
        <w:rPr>
          <w:rFonts w:ascii="Cambria" w:hAnsi="Cambria" w:cs="Cambria"/>
          <w:color w:val="000000"/>
        </w:rPr>
      </w:pPr>
    </w:p>
    <w:p w:rsidR="00F5696F" w:rsidRDefault="00F5696F" w:rsidP="00D3208B">
      <w:pPr>
        <w:spacing w:line="360" w:lineRule="auto"/>
        <w:rPr>
          <w:rFonts w:ascii="Cambria" w:hAnsi="Cambria" w:cs="Cambria"/>
          <w:color w:val="000000"/>
        </w:rPr>
      </w:pPr>
      <w:r>
        <w:rPr>
          <w:rFonts w:ascii="Cambria" w:hAnsi="Cambria" w:cs="Cambria"/>
          <w:color w:val="000000"/>
        </w:rPr>
        <w:lastRenderedPageBreak/>
        <w:t>Figure 23:  Sri Lanka Exports Prices of Coir Fibre and Manufactures (2008-2013)</w:t>
      </w:r>
    </w:p>
    <w:p w:rsidR="00B530D6" w:rsidRPr="0076540F" w:rsidRDefault="00B530D6" w:rsidP="00D3208B">
      <w:pPr>
        <w:spacing w:line="360" w:lineRule="auto"/>
        <w:rPr>
          <w:rFonts w:eastAsia="Times New Roman"/>
          <w:b/>
          <w:bCs/>
          <w:sz w:val="20"/>
          <w:szCs w:val="20"/>
          <w:u w:val="single"/>
          <w:lang w:eastAsia="en-GB"/>
        </w:rPr>
      </w:pPr>
      <w:r>
        <w:rPr>
          <w:noProof/>
          <w:lang w:val="en-US"/>
        </w:rPr>
        <w:drawing>
          <wp:inline distT="0" distB="0" distL="0" distR="0">
            <wp:extent cx="5274310" cy="3173304"/>
            <wp:effectExtent l="0" t="0" r="21590" b="273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016D" w:rsidRDefault="007F016D" w:rsidP="007F016D">
      <w:pPr>
        <w:spacing w:line="360" w:lineRule="auto"/>
        <w:rPr>
          <w:rFonts w:ascii="Cambria" w:hAnsi="Cambria" w:cs="Cambria"/>
          <w:color w:val="000000"/>
        </w:rPr>
      </w:pPr>
      <w:r w:rsidRPr="00C43893">
        <w:rPr>
          <w:rFonts w:ascii="Cambria" w:hAnsi="Cambria" w:cs="Cambria"/>
          <w:color w:val="000000"/>
        </w:rPr>
        <w:t>Increasing prices for coir products have</w:t>
      </w:r>
      <w:r>
        <w:rPr>
          <w:rFonts w:ascii="Cambria" w:hAnsi="Cambria" w:cs="Cambria"/>
          <w:color w:val="000000"/>
        </w:rPr>
        <w:t xml:space="preserve"> stimulated supply</w:t>
      </w:r>
      <w:r w:rsidRPr="00C43893">
        <w:rPr>
          <w:rFonts w:ascii="Cambria" w:hAnsi="Cambria" w:cs="Cambria"/>
          <w:color w:val="000000"/>
        </w:rPr>
        <w:t xml:space="preserve"> reflect</w:t>
      </w:r>
      <w:r>
        <w:rPr>
          <w:rFonts w:ascii="Cambria" w:hAnsi="Cambria" w:cs="Cambria"/>
          <w:color w:val="000000"/>
        </w:rPr>
        <w:t xml:space="preserve">ing </w:t>
      </w:r>
      <w:r w:rsidRPr="00C43893">
        <w:rPr>
          <w:rFonts w:ascii="Cambria" w:hAnsi="Cambria" w:cs="Cambria"/>
          <w:color w:val="000000"/>
        </w:rPr>
        <w:t>in an upwards trend in production</w:t>
      </w:r>
      <w:r>
        <w:rPr>
          <w:rFonts w:ascii="Cambria" w:hAnsi="Cambria" w:cs="Cambria"/>
          <w:color w:val="000000"/>
        </w:rPr>
        <w:t xml:space="preserve"> until 2012</w:t>
      </w:r>
      <w:r w:rsidRPr="00C43893">
        <w:rPr>
          <w:rFonts w:ascii="Cambria" w:hAnsi="Cambria" w:cs="Cambria"/>
          <w:color w:val="000000"/>
        </w:rPr>
        <w:t>.</w:t>
      </w:r>
      <w:r w:rsidR="000B5357">
        <w:rPr>
          <w:rFonts w:ascii="Cambria" w:hAnsi="Cambria" w:cs="Cambria"/>
          <w:color w:val="000000"/>
        </w:rPr>
        <w:t xml:space="preserve"> </w:t>
      </w:r>
      <w:r w:rsidRPr="00C43893">
        <w:rPr>
          <w:rFonts w:ascii="Cambria" w:hAnsi="Cambria" w:cs="Cambria"/>
          <w:color w:val="000000"/>
        </w:rPr>
        <w:t xml:space="preserve"> </w:t>
      </w:r>
      <w:r>
        <w:rPr>
          <w:rFonts w:ascii="Cambria" w:hAnsi="Cambria" w:cs="Cambria"/>
          <w:color w:val="000000"/>
        </w:rPr>
        <w:t>P</w:t>
      </w:r>
      <w:r w:rsidRPr="00C43893">
        <w:rPr>
          <w:rFonts w:ascii="Cambria" w:hAnsi="Cambria" w:cs="Cambria"/>
          <w:color w:val="000000"/>
        </w:rPr>
        <w:t xml:space="preserve">roduction of brown </w:t>
      </w:r>
      <w:r>
        <w:rPr>
          <w:rFonts w:ascii="Cambria" w:hAnsi="Cambria" w:cs="Cambria"/>
          <w:color w:val="000000"/>
        </w:rPr>
        <w:t xml:space="preserve">coir was estimated at </w:t>
      </w:r>
      <w:r w:rsidRPr="00D30C13">
        <w:rPr>
          <w:rFonts w:ascii="Cambria" w:hAnsi="Cambria" w:cs="Cambria"/>
          <w:color w:val="000000"/>
        </w:rPr>
        <w:t>717</w:t>
      </w:r>
      <w:r>
        <w:rPr>
          <w:rFonts w:ascii="Cambria" w:hAnsi="Cambria" w:cs="Cambria"/>
          <w:color w:val="000000"/>
        </w:rPr>
        <w:t xml:space="preserve"> </w:t>
      </w:r>
      <w:r w:rsidRPr="00D30C13">
        <w:rPr>
          <w:rFonts w:ascii="Cambria" w:hAnsi="Cambria" w:cs="Cambria"/>
          <w:color w:val="000000"/>
        </w:rPr>
        <w:t>5</w:t>
      </w:r>
      <w:r>
        <w:rPr>
          <w:rFonts w:ascii="Cambria" w:hAnsi="Cambria" w:cs="Cambria"/>
          <w:color w:val="000000"/>
        </w:rPr>
        <w:t xml:space="preserve">00 tonnes </w:t>
      </w:r>
      <w:r w:rsidRPr="00C43893">
        <w:rPr>
          <w:rFonts w:ascii="Cambria" w:hAnsi="Cambria" w:cs="Cambria"/>
          <w:color w:val="000000"/>
        </w:rPr>
        <w:t xml:space="preserve">and </w:t>
      </w:r>
      <w:r w:rsidRPr="00D30C13">
        <w:rPr>
          <w:rFonts w:ascii="Cambria" w:hAnsi="Cambria" w:cs="Cambria"/>
          <w:color w:val="000000"/>
        </w:rPr>
        <w:t>735</w:t>
      </w:r>
      <w:r>
        <w:rPr>
          <w:rFonts w:ascii="Cambria" w:hAnsi="Cambria" w:cs="Cambria"/>
          <w:color w:val="000000"/>
        </w:rPr>
        <w:t xml:space="preserve"> </w:t>
      </w:r>
      <w:r w:rsidRPr="00D30C13">
        <w:rPr>
          <w:rFonts w:ascii="Cambria" w:hAnsi="Cambria" w:cs="Cambria"/>
          <w:color w:val="000000"/>
        </w:rPr>
        <w:t>6</w:t>
      </w:r>
      <w:r>
        <w:rPr>
          <w:rFonts w:ascii="Cambria" w:hAnsi="Cambria" w:cs="Cambria"/>
          <w:color w:val="000000"/>
        </w:rPr>
        <w:t>00</w:t>
      </w:r>
      <w:r w:rsidRPr="00C43893">
        <w:rPr>
          <w:rFonts w:ascii="Cambria" w:hAnsi="Cambria" w:cs="Cambria"/>
          <w:color w:val="000000"/>
        </w:rPr>
        <w:t xml:space="preserve"> tonnes </w:t>
      </w:r>
      <w:r>
        <w:rPr>
          <w:rFonts w:ascii="Cambria" w:hAnsi="Cambria" w:cs="Cambria"/>
          <w:color w:val="000000"/>
        </w:rPr>
        <w:t xml:space="preserve">in 2011 and 2012, </w:t>
      </w:r>
      <w:r w:rsidRPr="00C43893">
        <w:rPr>
          <w:rFonts w:ascii="Cambria" w:hAnsi="Cambria" w:cs="Cambria"/>
          <w:color w:val="000000"/>
        </w:rPr>
        <w:t xml:space="preserve">respectively. </w:t>
      </w:r>
    </w:p>
    <w:p w:rsidR="00F5696F" w:rsidRDefault="00F5696F" w:rsidP="007F016D">
      <w:pPr>
        <w:spacing w:line="360" w:lineRule="auto"/>
        <w:rPr>
          <w:rFonts w:ascii="Cambria" w:hAnsi="Cambria" w:cs="Cambria"/>
          <w:color w:val="000000"/>
        </w:rPr>
      </w:pPr>
      <w:r>
        <w:rPr>
          <w:rFonts w:ascii="Cambria" w:hAnsi="Cambria" w:cs="Cambria"/>
          <w:color w:val="000000"/>
        </w:rPr>
        <w:t>Figure 24:  World Production of Coir Fibre</w:t>
      </w:r>
    </w:p>
    <w:p w:rsidR="00465545" w:rsidRPr="00044999" w:rsidRDefault="000A6E3D" w:rsidP="007F016D">
      <w:pPr>
        <w:spacing w:line="360" w:lineRule="auto"/>
        <w:rPr>
          <w:rFonts w:ascii="Cambria" w:hAnsi="Cambria" w:cs="Cambria"/>
        </w:rPr>
      </w:pPr>
      <w:r w:rsidRPr="00044999">
        <w:rPr>
          <w:noProof/>
          <w:lang w:val="en-US"/>
        </w:rPr>
        <w:drawing>
          <wp:inline distT="0" distB="0" distL="0" distR="0">
            <wp:extent cx="5274310" cy="3368008"/>
            <wp:effectExtent l="0" t="0" r="21590" b="234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540F" w:rsidRPr="0076540F" w:rsidRDefault="0076540F" w:rsidP="00D3208B">
      <w:pPr>
        <w:spacing w:line="360" w:lineRule="auto"/>
        <w:rPr>
          <w:rFonts w:eastAsia="Times New Roman"/>
          <w:sz w:val="18"/>
          <w:szCs w:val="18"/>
          <w:lang w:eastAsia="en-GB"/>
        </w:rPr>
      </w:pPr>
      <w:r w:rsidRPr="00044999">
        <w:rPr>
          <w:rFonts w:ascii="Cambria" w:hAnsi="Cambria" w:cs="Cambria"/>
        </w:rPr>
        <w:lastRenderedPageBreak/>
        <w:t>India has steadily increased production volumes since 2005 producing 431.5</w:t>
      </w:r>
      <w:r w:rsidRPr="00044999">
        <w:rPr>
          <w:rFonts w:eastAsia="Times New Roman"/>
          <w:sz w:val="18"/>
          <w:szCs w:val="18"/>
          <w:lang w:eastAsia="en-GB"/>
        </w:rPr>
        <w:t xml:space="preserve"> </w:t>
      </w:r>
      <w:r w:rsidR="00465545" w:rsidRPr="00044999">
        <w:rPr>
          <w:rFonts w:ascii="Cambria" w:hAnsi="Cambria" w:cs="Cambria"/>
        </w:rPr>
        <w:t xml:space="preserve">tonnes of brown fibre </w:t>
      </w:r>
      <w:r w:rsidR="00686B33" w:rsidRPr="00044999">
        <w:rPr>
          <w:rFonts w:ascii="Cambria" w:hAnsi="Cambria" w:cs="Cambria"/>
        </w:rPr>
        <w:t>in 2012</w:t>
      </w:r>
      <w:r w:rsidRPr="00044999">
        <w:rPr>
          <w:rFonts w:ascii="Cambria" w:hAnsi="Cambria" w:cs="Cambria"/>
        </w:rPr>
        <w:t xml:space="preserve">, nearly </w:t>
      </w:r>
      <w:r w:rsidR="00465545" w:rsidRPr="00044999">
        <w:rPr>
          <w:rFonts w:ascii="Cambria" w:hAnsi="Cambria" w:cs="Cambria"/>
        </w:rPr>
        <w:t xml:space="preserve">60 </w:t>
      </w:r>
      <w:r w:rsidRPr="00044999">
        <w:rPr>
          <w:rFonts w:ascii="Cambria" w:hAnsi="Cambria" w:cs="Cambria"/>
        </w:rPr>
        <w:t>percent</w:t>
      </w:r>
      <w:r w:rsidRPr="0076540F">
        <w:rPr>
          <w:rFonts w:ascii="Cambria" w:hAnsi="Cambria" w:cs="Cambria"/>
          <w:color w:val="000000"/>
        </w:rPr>
        <w:t xml:space="preserve"> of the total.   India also produced 100 </w:t>
      </w:r>
      <w:r w:rsidR="007F016D">
        <w:rPr>
          <w:rFonts w:ascii="Cambria" w:hAnsi="Cambria" w:cs="Cambria"/>
          <w:color w:val="000000"/>
        </w:rPr>
        <w:t>000</w:t>
      </w:r>
      <w:r w:rsidRPr="0076540F">
        <w:rPr>
          <w:rFonts w:ascii="Cambria" w:hAnsi="Cambria" w:cs="Cambria"/>
          <w:color w:val="000000"/>
        </w:rPr>
        <w:t xml:space="preserve"> tonnes of white </w:t>
      </w:r>
      <w:r w:rsidR="00465545">
        <w:rPr>
          <w:rFonts w:ascii="Cambria" w:hAnsi="Cambria" w:cs="Cambria"/>
          <w:color w:val="000000"/>
        </w:rPr>
        <w:t>fibre</w:t>
      </w:r>
      <w:r w:rsidRPr="0076540F">
        <w:rPr>
          <w:rFonts w:ascii="Cambria" w:hAnsi="Cambria" w:cs="Cambria"/>
          <w:color w:val="000000"/>
        </w:rPr>
        <w:t xml:space="preserve"> in 2012, a volume which has remained stable over the past few years.</w:t>
      </w:r>
    </w:p>
    <w:p w:rsidR="00465545" w:rsidRPr="00D5134C" w:rsidRDefault="00356A4C" w:rsidP="00D3208B">
      <w:pPr>
        <w:spacing w:line="360" w:lineRule="auto"/>
        <w:rPr>
          <w:rFonts w:ascii="Cambria" w:hAnsi="Cambria" w:cs="Cambria"/>
          <w:color w:val="000000"/>
        </w:rPr>
      </w:pPr>
      <w:r w:rsidRPr="0069368C">
        <w:rPr>
          <w:rFonts w:ascii="Cambria" w:hAnsi="Cambria" w:cs="Cambria"/>
          <w:color w:val="000000"/>
        </w:rPr>
        <w:t xml:space="preserve">India produced </w:t>
      </w:r>
      <w:r w:rsidRPr="00D30C13">
        <w:rPr>
          <w:rFonts w:ascii="Cambria" w:hAnsi="Cambria" w:cs="Cambria"/>
          <w:color w:val="000000"/>
        </w:rPr>
        <w:t xml:space="preserve">318.9 </w:t>
      </w:r>
      <w:r w:rsidRPr="0069368C">
        <w:rPr>
          <w:rFonts w:ascii="Cambria" w:hAnsi="Cambria" w:cs="Cambria"/>
          <w:color w:val="000000"/>
        </w:rPr>
        <w:t>thousand tonnes of coir yarn in 201</w:t>
      </w:r>
      <w:r>
        <w:rPr>
          <w:rFonts w:ascii="Cambria" w:hAnsi="Cambria" w:cs="Cambria"/>
          <w:color w:val="000000"/>
        </w:rPr>
        <w:t>2</w:t>
      </w:r>
      <w:r w:rsidRPr="0069368C">
        <w:rPr>
          <w:rFonts w:ascii="Cambria" w:hAnsi="Cambria" w:cs="Cambria"/>
          <w:color w:val="000000"/>
        </w:rPr>
        <w:t>, which is an estimated 9</w:t>
      </w:r>
      <w:r>
        <w:rPr>
          <w:rFonts w:ascii="Cambria" w:hAnsi="Cambria" w:cs="Cambria"/>
          <w:color w:val="000000"/>
        </w:rPr>
        <w:t xml:space="preserve">6 percent of the total.  </w:t>
      </w:r>
    </w:p>
    <w:p w:rsidR="00356A4C" w:rsidRDefault="00356A4C" w:rsidP="00356A4C">
      <w:pPr>
        <w:pStyle w:val="BodyText"/>
        <w:rPr>
          <w:b/>
          <w:noProof/>
          <w:lang w:val="en-GB" w:eastAsia="en-GB"/>
        </w:rPr>
      </w:pPr>
      <w:r>
        <w:rPr>
          <w:b/>
          <w:noProof/>
          <w:lang w:val="en-GB" w:eastAsia="en-GB"/>
        </w:rPr>
        <w:t>Trade</w:t>
      </w:r>
    </w:p>
    <w:p w:rsidR="000A6E3D" w:rsidRPr="00F5696F" w:rsidRDefault="00356A4C" w:rsidP="007F016D">
      <w:pPr>
        <w:pStyle w:val="BodyText"/>
        <w:spacing w:line="360" w:lineRule="auto"/>
        <w:rPr>
          <w:rFonts w:asciiTheme="majorHAnsi" w:hAnsiTheme="majorHAnsi"/>
          <w:noProof/>
          <w:lang w:val="en-GB" w:eastAsia="en-GB"/>
        </w:rPr>
      </w:pPr>
      <w:r w:rsidRPr="00F5696F">
        <w:rPr>
          <w:rFonts w:asciiTheme="majorHAnsi" w:hAnsiTheme="majorHAnsi"/>
          <w:noProof/>
          <w:lang w:val="en-GB" w:eastAsia="en-GB"/>
        </w:rPr>
        <w:t xml:space="preserve">Exports of coir fibre have shown a pronounced upward trend in recent years. (Only relatively small amounts of coir manufactures are exported, some 60 </w:t>
      </w:r>
      <w:r w:rsidR="007F016D" w:rsidRPr="00F5696F">
        <w:rPr>
          <w:rFonts w:asciiTheme="majorHAnsi" w:hAnsiTheme="majorHAnsi"/>
          <w:noProof/>
          <w:lang w:val="en-GB" w:eastAsia="en-GB"/>
        </w:rPr>
        <w:t>000</w:t>
      </w:r>
      <w:r w:rsidRPr="00F5696F">
        <w:rPr>
          <w:rFonts w:asciiTheme="majorHAnsi" w:hAnsiTheme="majorHAnsi"/>
          <w:noProof/>
          <w:lang w:val="en-GB" w:eastAsia="en-GB"/>
        </w:rPr>
        <w:t xml:space="preserve"> tonnes in 2012.)  In 2012 total fibre exports were more than double those of 2005.</w:t>
      </w:r>
    </w:p>
    <w:p w:rsidR="00F5696F" w:rsidRPr="00F5696F" w:rsidRDefault="00F5696F" w:rsidP="007F016D">
      <w:pPr>
        <w:pStyle w:val="BodyText"/>
        <w:spacing w:line="360" w:lineRule="auto"/>
        <w:rPr>
          <w:rFonts w:asciiTheme="majorHAnsi" w:hAnsiTheme="majorHAnsi"/>
          <w:noProof/>
          <w:lang w:val="en-GB" w:eastAsia="en-GB"/>
        </w:rPr>
      </w:pPr>
      <w:r w:rsidRPr="00F5696F">
        <w:rPr>
          <w:rFonts w:asciiTheme="majorHAnsi" w:hAnsiTheme="majorHAnsi"/>
          <w:noProof/>
          <w:lang w:val="en-GB" w:eastAsia="en-GB"/>
        </w:rPr>
        <w:t>Figure 25:  World Exports of Coir Fibre</w:t>
      </w:r>
    </w:p>
    <w:p w:rsidR="000A6E3D" w:rsidRDefault="000A6E3D" w:rsidP="007F016D">
      <w:pPr>
        <w:pStyle w:val="BodyText"/>
        <w:spacing w:line="360" w:lineRule="auto"/>
        <w:rPr>
          <w:noProof/>
          <w:lang w:val="en-GB" w:eastAsia="en-GB"/>
        </w:rPr>
      </w:pPr>
      <w:r>
        <w:rPr>
          <w:noProof/>
        </w:rPr>
        <w:drawing>
          <wp:inline distT="0" distB="0" distL="0" distR="0">
            <wp:extent cx="5274310" cy="3310553"/>
            <wp:effectExtent l="0" t="0" r="21590" b="234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6A4C" w:rsidRDefault="00356A4C" w:rsidP="007F016D">
      <w:pPr>
        <w:pStyle w:val="BodyText"/>
        <w:spacing w:line="360" w:lineRule="auto"/>
        <w:rPr>
          <w:rFonts w:asciiTheme="majorHAnsi" w:hAnsiTheme="majorHAnsi"/>
          <w:noProof/>
          <w:lang w:val="en-GB" w:eastAsia="en-GB"/>
        </w:rPr>
      </w:pPr>
      <w:r w:rsidRPr="00F5696F">
        <w:rPr>
          <w:rFonts w:asciiTheme="majorHAnsi" w:hAnsiTheme="majorHAnsi"/>
          <w:noProof/>
          <w:lang w:val="en-GB" w:eastAsia="en-GB"/>
        </w:rPr>
        <w:t xml:space="preserve">While substantial growth has taken place in imports into developed countries, it appears that the sharp growth in developing countries may be underestimated, particularly in recent years when the gap between reported exports and imports has widened considerably. </w:t>
      </w:r>
      <w:r w:rsidR="00F5696F">
        <w:rPr>
          <w:rFonts w:asciiTheme="majorHAnsi" w:hAnsiTheme="majorHAnsi"/>
          <w:noProof/>
          <w:lang w:val="en-GB" w:eastAsia="en-GB"/>
        </w:rPr>
        <w:br/>
      </w:r>
    </w:p>
    <w:p w:rsidR="00F5696F" w:rsidRPr="00F5696F" w:rsidRDefault="00F5696F" w:rsidP="007F016D">
      <w:pPr>
        <w:pStyle w:val="BodyText"/>
        <w:spacing w:line="360" w:lineRule="auto"/>
        <w:rPr>
          <w:rFonts w:asciiTheme="majorHAnsi" w:hAnsiTheme="majorHAnsi"/>
          <w:noProof/>
          <w:lang w:val="en-GB" w:eastAsia="en-GB"/>
        </w:rPr>
      </w:pPr>
      <w:r>
        <w:rPr>
          <w:rFonts w:asciiTheme="majorHAnsi" w:hAnsiTheme="majorHAnsi"/>
          <w:noProof/>
          <w:lang w:val="en-GB" w:eastAsia="en-GB"/>
        </w:rPr>
        <w:lastRenderedPageBreak/>
        <w:t>Figure 26:  Percentage Share of Coir Fibre Exports in 2012</w:t>
      </w:r>
    </w:p>
    <w:p w:rsidR="00356A4C" w:rsidRPr="00D5134C" w:rsidRDefault="00D5134C" w:rsidP="007F016D">
      <w:pPr>
        <w:pStyle w:val="BodyText"/>
        <w:spacing w:line="360" w:lineRule="auto"/>
        <w:rPr>
          <w:rFonts w:ascii="Cambria" w:hAnsi="Cambria" w:cs="Cambria"/>
          <w:color w:val="FF0000"/>
          <w:lang w:val="en-GB"/>
        </w:rPr>
      </w:pPr>
      <w:r w:rsidRPr="00D5134C">
        <w:rPr>
          <w:noProof/>
          <w:color w:val="FF0000"/>
        </w:rPr>
        <w:drawing>
          <wp:inline distT="0" distB="0" distL="0" distR="0">
            <wp:extent cx="5274310" cy="3184320"/>
            <wp:effectExtent l="0" t="0" r="2159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sectPr w:rsidR="00356A4C" w:rsidRPr="00D5134C" w:rsidSect="00BD2E0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F04" w:rsidRDefault="00486F04" w:rsidP="00356A4C">
      <w:pPr>
        <w:spacing w:after="0" w:line="240" w:lineRule="auto"/>
      </w:pPr>
      <w:r>
        <w:separator/>
      </w:r>
    </w:p>
  </w:endnote>
  <w:endnote w:type="continuationSeparator" w:id="0">
    <w:p w:rsidR="00486F04" w:rsidRDefault="00486F04" w:rsidP="00356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F04" w:rsidRDefault="00486F04" w:rsidP="00356A4C">
      <w:pPr>
        <w:spacing w:after="0" w:line="240" w:lineRule="auto"/>
      </w:pPr>
      <w:r>
        <w:separator/>
      </w:r>
    </w:p>
  </w:footnote>
  <w:footnote w:type="continuationSeparator" w:id="0">
    <w:p w:rsidR="00486F04" w:rsidRDefault="00486F04" w:rsidP="00356A4C">
      <w:pPr>
        <w:spacing w:after="0" w:line="240" w:lineRule="auto"/>
      </w:pPr>
      <w:r>
        <w:continuationSeparator/>
      </w:r>
    </w:p>
  </w:footnote>
  <w:footnote w:id="1">
    <w:p w:rsidR="00434E55" w:rsidRPr="00434E55" w:rsidRDefault="00434E55">
      <w:pPr>
        <w:pStyle w:val="FootnoteText"/>
        <w:rPr>
          <w:lang w:val="en-US"/>
        </w:rPr>
      </w:pPr>
      <w:r>
        <w:rPr>
          <w:rStyle w:val="FootnoteReference"/>
        </w:rPr>
        <w:footnoteRef/>
      </w:r>
      <w:r>
        <w:t xml:space="preserve"> </w:t>
      </w:r>
      <w:r>
        <w:rPr>
          <w:lang w:val="en-US"/>
        </w:rPr>
        <w:t>In the absence of a consistent series of PP prices, prices of propylene are considered to give a broad indication of the tendency of price developments for PP.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1654E1"/>
    <w:multiLevelType w:val="hybridMultilevel"/>
    <w:tmpl w:val="00FA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4"/>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56A4C"/>
    <w:rsid w:val="000136FA"/>
    <w:rsid w:val="00024C0C"/>
    <w:rsid w:val="000310B9"/>
    <w:rsid w:val="00032FF3"/>
    <w:rsid w:val="00044999"/>
    <w:rsid w:val="00090D01"/>
    <w:rsid w:val="000A6871"/>
    <w:rsid w:val="000A6E3D"/>
    <w:rsid w:val="000B2AAA"/>
    <w:rsid w:val="000B5357"/>
    <w:rsid w:val="000B70A2"/>
    <w:rsid w:val="000D1B17"/>
    <w:rsid w:val="000E6A6B"/>
    <w:rsid w:val="00104971"/>
    <w:rsid w:val="00122B6C"/>
    <w:rsid w:val="001359B4"/>
    <w:rsid w:val="00156641"/>
    <w:rsid w:val="00160EB7"/>
    <w:rsid w:val="001650BD"/>
    <w:rsid w:val="00170FEF"/>
    <w:rsid w:val="0017390B"/>
    <w:rsid w:val="00184251"/>
    <w:rsid w:val="001E60D9"/>
    <w:rsid w:val="002224F0"/>
    <w:rsid w:val="0022317E"/>
    <w:rsid w:val="00247B92"/>
    <w:rsid w:val="002939C6"/>
    <w:rsid w:val="002C3449"/>
    <w:rsid w:val="002C65BC"/>
    <w:rsid w:val="002E1D48"/>
    <w:rsid w:val="00310B81"/>
    <w:rsid w:val="00311FEC"/>
    <w:rsid w:val="00356A4C"/>
    <w:rsid w:val="00371242"/>
    <w:rsid w:val="0039247E"/>
    <w:rsid w:val="003B44D8"/>
    <w:rsid w:val="003C5446"/>
    <w:rsid w:val="003D0AA3"/>
    <w:rsid w:val="003D502E"/>
    <w:rsid w:val="003F0115"/>
    <w:rsid w:val="003F640D"/>
    <w:rsid w:val="004322DE"/>
    <w:rsid w:val="00434E55"/>
    <w:rsid w:val="00464F51"/>
    <w:rsid w:val="00465545"/>
    <w:rsid w:val="00486F04"/>
    <w:rsid w:val="004E3B03"/>
    <w:rsid w:val="004F66F2"/>
    <w:rsid w:val="0056588A"/>
    <w:rsid w:val="00565B97"/>
    <w:rsid w:val="0059195A"/>
    <w:rsid w:val="005A219A"/>
    <w:rsid w:val="005E0AF5"/>
    <w:rsid w:val="005E0F11"/>
    <w:rsid w:val="00634690"/>
    <w:rsid w:val="006573F3"/>
    <w:rsid w:val="006659D8"/>
    <w:rsid w:val="00686B33"/>
    <w:rsid w:val="006C5584"/>
    <w:rsid w:val="00735069"/>
    <w:rsid w:val="00747A2A"/>
    <w:rsid w:val="0076540F"/>
    <w:rsid w:val="00794293"/>
    <w:rsid w:val="00795C79"/>
    <w:rsid w:val="007A2ECC"/>
    <w:rsid w:val="007F016D"/>
    <w:rsid w:val="007F7843"/>
    <w:rsid w:val="00842050"/>
    <w:rsid w:val="00843663"/>
    <w:rsid w:val="0086049C"/>
    <w:rsid w:val="00882C70"/>
    <w:rsid w:val="00894715"/>
    <w:rsid w:val="008A2989"/>
    <w:rsid w:val="008A2B9A"/>
    <w:rsid w:val="008C5445"/>
    <w:rsid w:val="008E6968"/>
    <w:rsid w:val="0091263D"/>
    <w:rsid w:val="00922003"/>
    <w:rsid w:val="0093060B"/>
    <w:rsid w:val="00950596"/>
    <w:rsid w:val="009A4ECB"/>
    <w:rsid w:val="009C087B"/>
    <w:rsid w:val="009E4215"/>
    <w:rsid w:val="00A5098A"/>
    <w:rsid w:val="00A86ED1"/>
    <w:rsid w:val="00AA21A4"/>
    <w:rsid w:val="00AC2E00"/>
    <w:rsid w:val="00AE26C1"/>
    <w:rsid w:val="00B01164"/>
    <w:rsid w:val="00B530D6"/>
    <w:rsid w:val="00B57518"/>
    <w:rsid w:val="00B60B47"/>
    <w:rsid w:val="00B62BE5"/>
    <w:rsid w:val="00BC217C"/>
    <w:rsid w:val="00BE6732"/>
    <w:rsid w:val="00C45E8C"/>
    <w:rsid w:val="00C77BCF"/>
    <w:rsid w:val="00CB3D28"/>
    <w:rsid w:val="00CC3BFF"/>
    <w:rsid w:val="00CF578E"/>
    <w:rsid w:val="00D00356"/>
    <w:rsid w:val="00D24E2A"/>
    <w:rsid w:val="00D3208B"/>
    <w:rsid w:val="00D47562"/>
    <w:rsid w:val="00D5134C"/>
    <w:rsid w:val="00D546CC"/>
    <w:rsid w:val="00DA1D8F"/>
    <w:rsid w:val="00DA3F54"/>
    <w:rsid w:val="00DE18C2"/>
    <w:rsid w:val="00DE3B7D"/>
    <w:rsid w:val="00E00DD4"/>
    <w:rsid w:val="00E0724B"/>
    <w:rsid w:val="00E45E89"/>
    <w:rsid w:val="00E63C44"/>
    <w:rsid w:val="00E80168"/>
    <w:rsid w:val="00E936EC"/>
    <w:rsid w:val="00ED2C50"/>
    <w:rsid w:val="00EE14C0"/>
    <w:rsid w:val="00F04546"/>
    <w:rsid w:val="00F5696F"/>
    <w:rsid w:val="00F9328C"/>
    <w:rsid w:val="00FD4095"/>
    <w:rsid w:val="00FE37AC"/>
    <w:rsid w:val="00FE3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4C"/>
    <w:rPr>
      <w:rFonts w:ascii="Times New Roman" w:eastAsia="Calibri"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spacing w:after="0" w:line="240" w:lineRule="auto"/>
    </w:pPr>
    <w:rPr>
      <w:rFonts w:eastAsiaTheme="minorHAnsi" w:cstheme="minorBidi"/>
      <w:szCs w:val="22"/>
    </w:r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spacing w:after="0" w:line="240" w:lineRule="auto"/>
    </w:pPr>
    <w:rPr>
      <w:rFonts w:eastAsiaTheme="minorHAnsi" w:cstheme="minorBidi"/>
      <w:szCs w:val="22"/>
    </w:r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character" w:styleId="CommentReference">
    <w:name w:val="annotation reference"/>
    <w:uiPriority w:val="99"/>
    <w:semiHidden/>
    <w:rsid w:val="00356A4C"/>
    <w:rPr>
      <w:sz w:val="16"/>
      <w:szCs w:val="16"/>
    </w:rPr>
  </w:style>
  <w:style w:type="paragraph" w:styleId="CommentText">
    <w:name w:val="annotation text"/>
    <w:basedOn w:val="Normal"/>
    <w:link w:val="CommentTextChar"/>
    <w:uiPriority w:val="99"/>
    <w:semiHidden/>
    <w:rsid w:val="00356A4C"/>
    <w:rPr>
      <w:sz w:val="20"/>
      <w:szCs w:val="20"/>
      <w:lang/>
    </w:rPr>
  </w:style>
  <w:style w:type="character" w:customStyle="1" w:styleId="CommentTextChar">
    <w:name w:val="Comment Text Char"/>
    <w:basedOn w:val="DefaultParagraphFont"/>
    <w:link w:val="CommentText"/>
    <w:uiPriority w:val="99"/>
    <w:semiHidden/>
    <w:rsid w:val="00356A4C"/>
    <w:rPr>
      <w:rFonts w:ascii="Times New Roman" w:eastAsia="Calibri" w:hAnsi="Times New Roman" w:cs="Times New Roman"/>
      <w:sz w:val="20"/>
      <w:szCs w:val="20"/>
      <w:lang/>
    </w:rPr>
  </w:style>
  <w:style w:type="paragraph" w:styleId="Title">
    <w:name w:val="Title"/>
    <w:basedOn w:val="Normal"/>
    <w:next w:val="Normal"/>
    <w:link w:val="TitleChar"/>
    <w:uiPriority w:val="99"/>
    <w:qFormat/>
    <w:rsid w:val="00356A4C"/>
    <w:pPr>
      <w:spacing w:before="240" w:after="60"/>
      <w:jc w:val="center"/>
      <w:outlineLvl w:val="0"/>
    </w:pPr>
    <w:rPr>
      <w:rFonts w:ascii="Cambria" w:hAnsi="Cambria"/>
      <w:b/>
      <w:bCs/>
      <w:kern w:val="28"/>
      <w:sz w:val="32"/>
      <w:szCs w:val="32"/>
      <w:lang/>
    </w:rPr>
  </w:style>
  <w:style w:type="character" w:customStyle="1" w:styleId="TitleChar">
    <w:name w:val="Title Char"/>
    <w:basedOn w:val="DefaultParagraphFont"/>
    <w:link w:val="Title"/>
    <w:uiPriority w:val="99"/>
    <w:rsid w:val="00356A4C"/>
    <w:rPr>
      <w:rFonts w:ascii="Cambria" w:eastAsia="Calibri" w:hAnsi="Cambria" w:cs="Times New Roman"/>
      <w:b/>
      <w:bCs/>
      <w:kern w:val="28"/>
      <w:sz w:val="32"/>
      <w:szCs w:val="32"/>
      <w:lang w:val="en-GB"/>
    </w:rPr>
  </w:style>
  <w:style w:type="paragraph" w:styleId="BodyText">
    <w:name w:val="Body Text"/>
    <w:basedOn w:val="Normal"/>
    <w:link w:val="BodyTextChar"/>
    <w:uiPriority w:val="99"/>
    <w:rsid w:val="00356A4C"/>
    <w:pPr>
      <w:spacing w:before="100" w:beforeAutospacing="1" w:after="100" w:afterAutospacing="1" w:line="240" w:lineRule="auto"/>
    </w:pPr>
    <w:rPr>
      <w:lang w:val="en-US"/>
    </w:rPr>
  </w:style>
  <w:style w:type="character" w:customStyle="1" w:styleId="BodyTextChar">
    <w:name w:val="Body Text Char"/>
    <w:basedOn w:val="DefaultParagraphFont"/>
    <w:link w:val="BodyText"/>
    <w:uiPriority w:val="99"/>
    <w:rsid w:val="00356A4C"/>
    <w:rPr>
      <w:rFonts w:ascii="Times New Roman" w:eastAsia="Calibri" w:hAnsi="Times New Roman" w:cs="Times New Roman"/>
      <w:sz w:val="24"/>
      <w:szCs w:val="24"/>
    </w:rPr>
  </w:style>
  <w:style w:type="paragraph" w:styleId="FootnoteText">
    <w:name w:val="footnote text"/>
    <w:basedOn w:val="Normal"/>
    <w:link w:val="FootnoteTextChar"/>
    <w:uiPriority w:val="99"/>
    <w:semiHidden/>
    <w:rsid w:val="00356A4C"/>
    <w:pPr>
      <w:spacing w:after="0" w:line="240" w:lineRule="auto"/>
    </w:pPr>
    <w:rPr>
      <w:sz w:val="20"/>
      <w:szCs w:val="20"/>
      <w:lang/>
    </w:rPr>
  </w:style>
  <w:style w:type="character" w:customStyle="1" w:styleId="FootnoteTextChar">
    <w:name w:val="Footnote Text Char"/>
    <w:basedOn w:val="DefaultParagraphFont"/>
    <w:link w:val="FootnoteText"/>
    <w:uiPriority w:val="99"/>
    <w:semiHidden/>
    <w:rsid w:val="00356A4C"/>
    <w:rPr>
      <w:rFonts w:ascii="Times New Roman" w:eastAsia="Calibri" w:hAnsi="Times New Roman" w:cs="Times New Roman"/>
      <w:sz w:val="20"/>
      <w:szCs w:val="20"/>
      <w:lang w:val="en-GB"/>
    </w:rPr>
  </w:style>
  <w:style w:type="character" w:styleId="FootnoteReference">
    <w:name w:val="footnote reference"/>
    <w:uiPriority w:val="99"/>
    <w:semiHidden/>
    <w:rsid w:val="00356A4C"/>
    <w:rPr>
      <w:vertAlign w:val="superscript"/>
    </w:rPr>
  </w:style>
  <w:style w:type="paragraph" w:styleId="BalloonText">
    <w:name w:val="Balloon Text"/>
    <w:basedOn w:val="Normal"/>
    <w:link w:val="BalloonTextChar"/>
    <w:uiPriority w:val="99"/>
    <w:semiHidden/>
    <w:unhideWhenUsed/>
    <w:rsid w:val="00356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A4C"/>
    <w:rPr>
      <w:rFonts w:ascii="Tahoma" w:eastAsia="Calibri"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356A4C"/>
    <w:pPr>
      <w:spacing w:line="240" w:lineRule="auto"/>
    </w:pPr>
    <w:rPr>
      <w:b/>
      <w:bCs/>
      <w:lang w:val="en-GB"/>
    </w:rPr>
  </w:style>
  <w:style w:type="character" w:customStyle="1" w:styleId="CommentSubjectChar">
    <w:name w:val="Comment Subject Char"/>
    <w:basedOn w:val="CommentTextChar"/>
    <w:link w:val="CommentSubject"/>
    <w:uiPriority w:val="99"/>
    <w:semiHidden/>
    <w:rsid w:val="00356A4C"/>
    <w:rPr>
      <w:rFonts w:ascii="Times New Roman" w:eastAsia="Calibri" w:hAnsi="Times New Roman" w:cs="Times New Roman"/>
      <w:b/>
      <w:bCs/>
      <w:sz w:val="20"/>
      <w:szCs w:val="20"/>
      <w:lang w:val="en-GB"/>
    </w:rPr>
  </w:style>
  <w:style w:type="paragraph" w:styleId="ListParagraph">
    <w:name w:val="List Paragraph"/>
    <w:basedOn w:val="Normal"/>
    <w:uiPriority w:val="34"/>
    <w:qFormat/>
    <w:rsid w:val="005A219A"/>
    <w:pPr>
      <w:ind w:left="720"/>
      <w:contextualSpacing/>
    </w:pPr>
  </w:style>
  <w:style w:type="paragraph" w:styleId="EndnoteText">
    <w:name w:val="endnote text"/>
    <w:basedOn w:val="Normal"/>
    <w:link w:val="EndnoteTextChar"/>
    <w:uiPriority w:val="99"/>
    <w:semiHidden/>
    <w:unhideWhenUsed/>
    <w:rsid w:val="00434E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4E55"/>
    <w:rPr>
      <w:rFonts w:ascii="Times New Roman" w:eastAsia="Calibri" w:hAnsi="Times New Roman" w:cs="Times New Roman"/>
      <w:sz w:val="20"/>
      <w:szCs w:val="20"/>
      <w:lang w:val="en-GB"/>
    </w:rPr>
  </w:style>
  <w:style w:type="character" w:styleId="EndnoteReference">
    <w:name w:val="endnote reference"/>
    <w:basedOn w:val="DefaultParagraphFont"/>
    <w:uiPriority w:val="99"/>
    <w:semiHidden/>
    <w:unhideWhenUsed/>
    <w:rsid w:val="00434E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4C"/>
    <w:rPr>
      <w:rFonts w:ascii="Times New Roman" w:eastAsia="Calibri"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spacing w:after="0" w:line="240" w:lineRule="auto"/>
    </w:pPr>
    <w:rPr>
      <w:rFonts w:eastAsiaTheme="minorHAnsi" w:cstheme="minorBidi"/>
      <w:szCs w:val="22"/>
    </w:r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spacing w:after="0" w:line="240" w:lineRule="auto"/>
    </w:pPr>
    <w:rPr>
      <w:rFonts w:eastAsiaTheme="minorHAnsi" w:cstheme="minorBidi"/>
      <w:szCs w:val="22"/>
    </w:r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character" w:styleId="CommentReference">
    <w:name w:val="annotation reference"/>
    <w:uiPriority w:val="99"/>
    <w:semiHidden/>
    <w:rsid w:val="00356A4C"/>
    <w:rPr>
      <w:sz w:val="16"/>
      <w:szCs w:val="16"/>
    </w:rPr>
  </w:style>
  <w:style w:type="paragraph" w:styleId="CommentText">
    <w:name w:val="annotation text"/>
    <w:basedOn w:val="Normal"/>
    <w:link w:val="CommentTextChar"/>
    <w:uiPriority w:val="99"/>
    <w:semiHidden/>
    <w:rsid w:val="00356A4C"/>
    <w:rPr>
      <w:sz w:val="20"/>
      <w:szCs w:val="20"/>
      <w:lang w:val="x-none"/>
    </w:rPr>
  </w:style>
  <w:style w:type="character" w:customStyle="1" w:styleId="CommentTextChar">
    <w:name w:val="Comment Text Char"/>
    <w:basedOn w:val="DefaultParagraphFont"/>
    <w:link w:val="CommentText"/>
    <w:uiPriority w:val="99"/>
    <w:semiHidden/>
    <w:rsid w:val="00356A4C"/>
    <w:rPr>
      <w:rFonts w:ascii="Times New Roman" w:eastAsia="Calibri" w:hAnsi="Times New Roman" w:cs="Times New Roman"/>
      <w:sz w:val="20"/>
      <w:szCs w:val="20"/>
      <w:lang w:val="x-none"/>
    </w:rPr>
  </w:style>
  <w:style w:type="paragraph" w:styleId="Title">
    <w:name w:val="Title"/>
    <w:basedOn w:val="Normal"/>
    <w:next w:val="Normal"/>
    <w:link w:val="TitleChar"/>
    <w:uiPriority w:val="99"/>
    <w:qFormat/>
    <w:rsid w:val="00356A4C"/>
    <w:pPr>
      <w:spacing w:before="240" w:after="60"/>
      <w:jc w:val="center"/>
      <w:outlineLvl w:val="0"/>
    </w:pPr>
    <w:rPr>
      <w:rFonts w:ascii="Cambria" w:hAnsi="Cambria"/>
      <w:b/>
      <w:bCs/>
      <w:kern w:val="28"/>
      <w:sz w:val="32"/>
      <w:szCs w:val="32"/>
      <w:lang w:eastAsia="x-none"/>
    </w:rPr>
  </w:style>
  <w:style w:type="character" w:customStyle="1" w:styleId="TitleChar">
    <w:name w:val="Title Char"/>
    <w:basedOn w:val="DefaultParagraphFont"/>
    <w:link w:val="Title"/>
    <w:uiPriority w:val="99"/>
    <w:rsid w:val="00356A4C"/>
    <w:rPr>
      <w:rFonts w:ascii="Cambria" w:eastAsia="Calibri" w:hAnsi="Cambria" w:cs="Times New Roman"/>
      <w:b/>
      <w:bCs/>
      <w:kern w:val="28"/>
      <w:sz w:val="32"/>
      <w:szCs w:val="32"/>
      <w:lang w:val="en-GB" w:eastAsia="x-none"/>
    </w:rPr>
  </w:style>
  <w:style w:type="paragraph" w:styleId="BodyText">
    <w:name w:val="Body Text"/>
    <w:basedOn w:val="Normal"/>
    <w:link w:val="BodyTextChar"/>
    <w:uiPriority w:val="99"/>
    <w:rsid w:val="00356A4C"/>
    <w:pPr>
      <w:spacing w:before="100" w:beforeAutospacing="1" w:after="100" w:afterAutospacing="1" w:line="240" w:lineRule="auto"/>
    </w:pPr>
    <w:rPr>
      <w:lang w:val="en-US"/>
    </w:rPr>
  </w:style>
  <w:style w:type="character" w:customStyle="1" w:styleId="BodyTextChar">
    <w:name w:val="Body Text Char"/>
    <w:basedOn w:val="DefaultParagraphFont"/>
    <w:link w:val="BodyText"/>
    <w:uiPriority w:val="99"/>
    <w:rsid w:val="00356A4C"/>
    <w:rPr>
      <w:rFonts w:ascii="Times New Roman" w:eastAsia="Calibri" w:hAnsi="Times New Roman" w:cs="Times New Roman"/>
      <w:sz w:val="24"/>
      <w:szCs w:val="24"/>
    </w:rPr>
  </w:style>
  <w:style w:type="paragraph" w:styleId="FootnoteText">
    <w:name w:val="footnote text"/>
    <w:basedOn w:val="Normal"/>
    <w:link w:val="FootnoteTextChar"/>
    <w:uiPriority w:val="99"/>
    <w:semiHidden/>
    <w:rsid w:val="00356A4C"/>
    <w:pPr>
      <w:spacing w:after="0" w:line="240" w:lineRule="auto"/>
    </w:pPr>
    <w:rPr>
      <w:sz w:val="20"/>
      <w:szCs w:val="20"/>
      <w:lang w:eastAsia="x-none"/>
    </w:rPr>
  </w:style>
  <w:style w:type="character" w:customStyle="1" w:styleId="FootnoteTextChar">
    <w:name w:val="Footnote Text Char"/>
    <w:basedOn w:val="DefaultParagraphFont"/>
    <w:link w:val="FootnoteText"/>
    <w:uiPriority w:val="99"/>
    <w:semiHidden/>
    <w:rsid w:val="00356A4C"/>
    <w:rPr>
      <w:rFonts w:ascii="Times New Roman" w:eastAsia="Calibri" w:hAnsi="Times New Roman" w:cs="Times New Roman"/>
      <w:sz w:val="20"/>
      <w:szCs w:val="20"/>
      <w:lang w:val="en-GB" w:eastAsia="x-none"/>
    </w:rPr>
  </w:style>
  <w:style w:type="character" w:styleId="FootnoteReference">
    <w:name w:val="footnote reference"/>
    <w:uiPriority w:val="99"/>
    <w:semiHidden/>
    <w:rsid w:val="00356A4C"/>
    <w:rPr>
      <w:vertAlign w:val="superscript"/>
    </w:rPr>
  </w:style>
  <w:style w:type="paragraph" w:styleId="BalloonText">
    <w:name w:val="Balloon Text"/>
    <w:basedOn w:val="Normal"/>
    <w:link w:val="BalloonTextChar"/>
    <w:uiPriority w:val="99"/>
    <w:semiHidden/>
    <w:unhideWhenUsed/>
    <w:rsid w:val="00356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A4C"/>
    <w:rPr>
      <w:rFonts w:ascii="Tahoma" w:eastAsia="Calibri"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356A4C"/>
    <w:pPr>
      <w:spacing w:line="240" w:lineRule="auto"/>
    </w:pPr>
    <w:rPr>
      <w:b/>
      <w:bCs/>
      <w:lang w:val="en-GB"/>
    </w:rPr>
  </w:style>
  <w:style w:type="character" w:customStyle="1" w:styleId="CommentSubjectChar">
    <w:name w:val="Comment Subject Char"/>
    <w:basedOn w:val="CommentTextChar"/>
    <w:link w:val="CommentSubject"/>
    <w:uiPriority w:val="99"/>
    <w:semiHidden/>
    <w:rsid w:val="00356A4C"/>
    <w:rPr>
      <w:rFonts w:ascii="Times New Roman" w:eastAsia="Calibri" w:hAnsi="Times New Roman" w:cs="Times New Roman"/>
      <w:b/>
      <w:bCs/>
      <w:sz w:val="20"/>
      <w:szCs w:val="20"/>
      <w:lang w:val="en-GB"/>
    </w:rPr>
  </w:style>
  <w:style w:type="paragraph" w:styleId="ListParagraph">
    <w:name w:val="List Paragraph"/>
    <w:basedOn w:val="Normal"/>
    <w:uiPriority w:val="34"/>
    <w:qFormat/>
    <w:rsid w:val="005A219A"/>
    <w:pPr>
      <w:ind w:left="720"/>
      <w:contextualSpacing/>
    </w:pPr>
  </w:style>
  <w:style w:type="paragraph" w:styleId="EndnoteText">
    <w:name w:val="endnote text"/>
    <w:basedOn w:val="Normal"/>
    <w:link w:val="EndnoteTextChar"/>
    <w:uiPriority w:val="99"/>
    <w:semiHidden/>
    <w:unhideWhenUsed/>
    <w:rsid w:val="00434E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4E55"/>
    <w:rPr>
      <w:rFonts w:ascii="Times New Roman" w:eastAsia="Calibri" w:hAnsi="Times New Roman" w:cs="Times New Roman"/>
      <w:sz w:val="20"/>
      <w:szCs w:val="20"/>
      <w:lang w:val="en-GB"/>
    </w:rPr>
  </w:style>
  <w:style w:type="character" w:styleId="EndnoteReference">
    <w:name w:val="endnote reference"/>
    <w:basedOn w:val="DefaultParagraphFont"/>
    <w:uiPriority w:val="99"/>
    <w:semiHidden/>
    <w:unhideWhenUsed/>
    <w:rsid w:val="00434E55"/>
    <w:rPr>
      <w:vertAlign w:val="superscript"/>
    </w:rPr>
  </w:style>
</w:styles>
</file>

<file path=word/webSettings.xml><?xml version="1.0" encoding="utf-8"?>
<w:webSettings xmlns:r="http://schemas.openxmlformats.org/officeDocument/2006/relationships" xmlns:w="http://schemas.openxmlformats.org/wordprocessingml/2006/main">
  <w:divs>
    <w:div w:id="53392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microsoft.com/office/2007/relationships/stylesWithEffects" Target="stylesWithEffect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19.xlsx"/><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claro\Documents\claro\IGGs-JU-HF\IGG-%20Sri%20Lanka%202013\Charts%20for%20current%20situation.xls"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Production of Jute/Kenaf and Hard Fibres</a:t>
            </a:r>
          </a:p>
          <a:p>
            <a:pPr>
              <a:defRPr sz="1200"/>
            </a:pPr>
            <a:r>
              <a:rPr lang="en-US" sz="1200"/>
              <a:t>(thousand tonnes)</a:t>
            </a:r>
          </a:p>
          <a:p>
            <a:pPr>
              <a:defRPr sz="1200"/>
            </a:pPr>
            <a:endParaRPr lang="en-US" sz="1200"/>
          </a:p>
        </c:rich>
      </c:tx>
      <c:layout>
        <c:manualLayout>
          <c:xMode val="edge"/>
          <c:yMode val="edge"/>
          <c:x val="0.45429820472440946"/>
          <c:y val="1.5343295864739002E-2"/>
        </c:manualLayout>
      </c:layout>
    </c:title>
    <c:view3D>
      <c:depthPercent val="100"/>
      <c:rAngAx val="1"/>
    </c:view3D>
    <c:plotArea>
      <c:layout>
        <c:manualLayout>
          <c:layoutTarget val="inner"/>
          <c:xMode val="edge"/>
          <c:yMode val="edge"/>
          <c:x val="0.26346497767591287"/>
          <c:y val="0.13640947174928306"/>
          <c:w val="0.73653502232408785"/>
          <c:h val="0.60652928891877589"/>
        </c:manualLayout>
      </c:layout>
      <c:bar3DChart>
        <c:barDir val="col"/>
        <c:grouping val="stacked"/>
        <c:ser>
          <c:idx val="0"/>
          <c:order val="0"/>
          <c:tx>
            <c:strRef>
              <c:f>'chart 1'!$B$6</c:f>
              <c:strCache>
                <c:ptCount val="1"/>
                <c:pt idx="0">
                  <c:v>Abaca</c:v>
                </c:pt>
              </c:strCache>
            </c:strRef>
          </c:tx>
          <c:cat>
            <c:strRef>
              <c:f>'chart 1'!$A$7:$A$11</c:f>
              <c:strCache>
                <c:ptCount val="5"/>
                <c:pt idx="0">
                  <c:v>2008</c:v>
                </c:pt>
                <c:pt idx="1">
                  <c:v>2009</c:v>
                </c:pt>
                <c:pt idx="2">
                  <c:v>2010</c:v>
                </c:pt>
                <c:pt idx="3">
                  <c:v>2011</c:v>
                </c:pt>
                <c:pt idx="4">
                  <c:v>2012</c:v>
                </c:pt>
              </c:strCache>
            </c:strRef>
          </c:cat>
          <c:val>
            <c:numRef>
              <c:f>'chart 1'!$B$7:$B$11</c:f>
              <c:numCache>
                <c:formatCode>0</c:formatCode>
                <c:ptCount val="5"/>
                <c:pt idx="0">
                  <c:v>91.275999999999982</c:v>
                </c:pt>
                <c:pt idx="1">
                  <c:v>66.866</c:v>
                </c:pt>
                <c:pt idx="2">
                  <c:v>70.087000000000003</c:v>
                </c:pt>
                <c:pt idx="3">
                  <c:v>84.888999999999982</c:v>
                </c:pt>
                <c:pt idx="4">
                  <c:v>77.821999999999989</c:v>
                </c:pt>
              </c:numCache>
            </c:numRef>
          </c:val>
        </c:ser>
        <c:ser>
          <c:idx val="1"/>
          <c:order val="1"/>
          <c:tx>
            <c:strRef>
              <c:f>'chart 1'!$C$6</c:f>
              <c:strCache>
                <c:ptCount val="1"/>
                <c:pt idx="0">
                  <c:v>Sisal, Henequen &amp; Others</c:v>
                </c:pt>
              </c:strCache>
            </c:strRef>
          </c:tx>
          <c:spPr>
            <a:solidFill>
              <a:srgbClr val="92D050"/>
            </a:solidFill>
          </c:spPr>
          <c:cat>
            <c:strRef>
              <c:f>'chart 1'!$A$7:$A$11</c:f>
              <c:strCache>
                <c:ptCount val="5"/>
                <c:pt idx="0">
                  <c:v>2008</c:v>
                </c:pt>
                <c:pt idx="1">
                  <c:v>2009</c:v>
                </c:pt>
                <c:pt idx="2">
                  <c:v>2010</c:v>
                </c:pt>
                <c:pt idx="3">
                  <c:v>2011</c:v>
                </c:pt>
                <c:pt idx="4">
                  <c:v>2012</c:v>
                </c:pt>
              </c:strCache>
            </c:strRef>
          </c:cat>
          <c:val>
            <c:numRef>
              <c:f>'chart 1'!$C$7:$C$11</c:f>
              <c:numCache>
                <c:formatCode>0</c:formatCode>
                <c:ptCount val="5"/>
                <c:pt idx="0">
                  <c:v>295.26499999999999</c:v>
                </c:pt>
                <c:pt idx="1">
                  <c:v>271.90899999999976</c:v>
                </c:pt>
                <c:pt idx="2">
                  <c:v>292.33199999999977</c:v>
                </c:pt>
                <c:pt idx="3">
                  <c:v>314.1403199999998</c:v>
                </c:pt>
                <c:pt idx="4">
                  <c:v>276.11300000000006</c:v>
                </c:pt>
              </c:numCache>
            </c:numRef>
          </c:val>
        </c:ser>
        <c:ser>
          <c:idx val="2"/>
          <c:order val="2"/>
          <c:tx>
            <c:strRef>
              <c:f>'chart 1'!$D$6</c:f>
              <c:strCache>
                <c:ptCount val="1"/>
                <c:pt idx="0">
                  <c:v>Coir (brown fibre)</c:v>
                </c:pt>
              </c:strCache>
            </c:strRef>
          </c:tx>
          <c:spPr>
            <a:solidFill>
              <a:srgbClr val="FFFF00"/>
            </a:solidFill>
          </c:spPr>
          <c:cat>
            <c:strRef>
              <c:f>'chart 1'!$A$7:$A$11</c:f>
              <c:strCache>
                <c:ptCount val="5"/>
                <c:pt idx="0">
                  <c:v>2008</c:v>
                </c:pt>
                <c:pt idx="1">
                  <c:v>2009</c:v>
                </c:pt>
                <c:pt idx="2">
                  <c:v>2010</c:v>
                </c:pt>
                <c:pt idx="3">
                  <c:v>2011</c:v>
                </c:pt>
                <c:pt idx="4">
                  <c:v>2012</c:v>
                </c:pt>
              </c:strCache>
            </c:strRef>
          </c:cat>
          <c:val>
            <c:numRef>
              <c:f>'chart 1'!$D$7:$D$11</c:f>
              <c:numCache>
                <c:formatCode>0</c:formatCode>
                <c:ptCount val="5"/>
                <c:pt idx="0">
                  <c:v>583.63049999999998</c:v>
                </c:pt>
                <c:pt idx="1">
                  <c:v>728.36599999999964</c:v>
                </c:pt>
                <c:pt idx="2">
                  <c:v>742.93899999999996</c:v>
                </c:pt>
                <c:pt idx="3">
                  <c:v>717.54759999999965</c:v>
                </c:pt>
                <c:pt idx="4">
                  <c:v>735.59180000000015</c:v>
                </c:pt>
              </c:numCache>
            </c:numRef>
          </c:val>
        </c:ser>
        <c:ser>
          <c:idx val="3"/>
          <c:order val="3"/>
          <c:tx>
            <c:strRef>
              <c:f>'chart 1'!$E$6</c:f>
              <c:strCache>
                <c:ptCount val="1"/>
                <c:pt idx="0">
                  <c:v>Jute/Kenaf</c:v>
                </c:pt>
              </c:strCache>
            </c:strRef>
          </c:tx>
          <c:spPr>
            <a:solidFill>
              <a:srgbClr val="EB47D4"/>
            </a:solidFill>
          </c:spPr>
          <c:cat>
            <c:strRef>
              <c:f>'chart 1'!$A$7:$A$11</c:f>
              <c:strCache>
                <c:ptCount val="5"/>
                <c:pt idx="0">
                  <c:v>2008</c:v>
                </c:pt>
                <c:pt idx="1">
                  <c:v>2009</c:v>
                </c:pt>
                <c:pt idx="2">
                  <c:v>2010</c:v>
                </c:pt>
                <c:pt idx="3">
                  <c:v>2011</c:v>
                </c:pt>
                <c:pt idx="4">
                  <c:v>2012</c:v>
                </c:pt>
              </c:strCache>
            </c:strRef>
          </c:cat>
          <c:val>
            <c:numRef>
              <c:f>'chart 1'!$E$7:$E$11</c:f>
              <c:numCache>
                <c:formatCode>0</c:formatCode>
                <c:ptCount val="5"/>
                <c:pt idx="0">
                  <c:v>2588.0017396330013</c:v>
                </c:pt>
                <c:pt idx="1">
                  <c:v>2863.3879520700007</c:v>
                </c:pt>
                <c:pt idx="2">
                  <c:v>3368.8493751000001</c:v>
                </c:pt>
                <c:pt idx="3">
                  <c:v>3342.1192237579999</c:v>
                </c:pt>
                <c:pt idx="4">
                  <c:v>3201.4051546430014</c:v>
                </c:pt>
              </c:numCache>
            </c:numRef>
          </c:val>
        </c:ser>
        <c:dLbls/>
        <c:shape val="box"/>
        <c:axId val="169864576"/>
        <c:axId val="171924480"/>
        <c:axId val="0"/>
      </c:bar3DChart>
      <c:catAx>
        <c:axId val="169864576"/>
        <c:scaling>
          <c:orientation val="minMax"/>
        </c:scaling>
        <c:axPos val="b"/>
        <c:numFmt formatCode="General" sourceLinked="1"/>
        <c:tickLblPos val="nextTo"/>
        <c:crossAx val="171924480"/>
        <c:crosses val="autoZero"/>
        <c:auto val="1"/>
        <c:lblAlgn val="ctr"/>
        <c:lblOffset val="100"/>
      </c:catAx>
      <c:valAx>
        <c:axId val="171924480"/>
        <c:scaling>
          <c:orientation val="minMax"/>
        </c:scaling>
        <c:axPos val="l"/>
        <c:majorGridlines/>
        <c:numFmt formatCode="0" sourceLinked="1"/>
        <c:tickLblPos val="nextTo"/>
        <c:crossAx val="169864576"/>
        <c:crosses val="autoZero"/>
        <c:crossBetween val="between"/>
        <c:majorUnit val="500"/>
      </c:valAx>
      <c:dTable>
        <c:showHorzBorder val="1"/>
        <c:showVertBorder val="1"/>
        <c:showOutline val="1"/>
        <c:showKeys val="1"/>
      </c:dTable>
      <c:spPr>
        <a:noFill/>
        <a:ln w="25400">
          <a:noFill/>
        </a:ln>
      </c:spPr>
    </c:plotArea>
    <c:plotVisOnly val="1"/>
    <c:dispBlanksAs val="gap"/>
  </c:chart>
  <c:txPr>
    <a:bodyPr/>
    <a:lstStyle/>
    <a:p>
      <a:pPr>
        <a:defRPr sz="900" b="1">
          <a:latin typeface="Garamond" panose="02020404030301010803"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Imports of Jute Goods</a:t>
            </a:r>
          </a:p>
        </c:rich>
      </c:tx>
    </c:title>
    <c:view3D>
      <c:depthPercent val="100"/>
      <c:rAngAx val="1"/>
    </c:view3D>
    <c:plotArea>
      <c:layout/>
      <c:bar3DChart>
        <c:barDir val="col"/>
        <c:grouping val="clustered"/>
        <c:ser>
          <c:idx val="0"/>
          <c:order val="0"/>
          <c:tx>
            <c:strRef>
              <c:f>'chart 6'!$B$34</c:f>
              <c:strCache>
                <c:ptCount val="1"/>
                <c:pt idx="0">
                  <c:v>Near East</c:v>
                </c:pt>
              </c:strCache>
            </c:strRef>
          </c:tx>
          <c:spPr>
            <a:solidFill>
              <a:srgbClr val="00B0F0"/>
            </a:solidFill>
          </c:spPr>
          <c:cat>
            <c:numRef>
              <c:f>'chart 6'!$A$35:$A$39</c:f>
              <c:numCache>
                <c:formatCode>General</c:formatCode>
                <c:ptCount val="5"/>
                <c:pt idx="0">
                  <c:v>2008</c:v>
                </c:pt>
                <c:pt idx="1">
                  <c:v>2009</c:v>
                </c:pt>
                <c:pt idx="2">
                  <c:v>2010</c:v>
                </c:pt>
                <c:pt idx="3">
                  <c:v>2011</c:v>
                </c:pt>
                <c:pt idx="4">
                  <c:v>2012</c:v>
                </c:pt>
              </c:numCache>
            </c:numRef>
          </c:cat>
          <c:val>
            <c:numRef>
              <c:f>'chart 6'!$B$35:$B$39</c:f>
              <c:numCache>
                <c:formatCode>0.0</c:formatCode>
                <c:ptCount val="5"/>
                <c:pt idx="0" formatCode="General">
                  <c:v>278.60000000000002</c:v>
                </c:pt>
                <c:pt idx="1">
                  <c:v>245</c:v>
                </c:pt>
                <c:pt idx="2">
                  <c:v>301.3</c:v>
                </c:pt>
                <c:pt idx="3">
                  <c:v>305.3</c:v>
                </c:pt>
                <c:pt idx="4">
                  <c:v>356.2</c:v>
                </c:pt>
              </c:numCache>
            </c:numRef>
          </c:val>
        </c:ser>
        <c:ser>
          <c:idx val="1"/>
          <c:order val="1"/>
          <c:tx>
            <c:strRef>
              <c:f>'chart 6'!$C$34</c:f>
              <c:strCache>
                <c:ptCount val="1"/>
                <c:pt idx="0">
                  <c:v>Far East</c:v>
                </c:pt>
              </c:strCache>
            </c:strRef>
          </c:tx>
          <c:spPr>
            <a:solidFill>
              <a:srgbClr val="FF00FF"/>
            </a:solidFill>
          </c:spPr>
          <c:cat>
            <c:numRef>
              <c:f>'chart 6'!$A$35:$A$39</c:f>
              <c:numCache>
                <c:formatCode>General</c:formatCode>
                <c:ptCount val="5"/>
                <c:pt idx="0">
                  <c:v>2008</c:v>
                </c:pt>
                <c:pt idx="1">
                  <c:v>2009</c:v>
                </c:pt>
                <c:pt idx="2">
                  <c:v>2010</c:v>
                </c:pt>
                <c:pt idx="3">
                  <c:v>2011</c:v>
                </c:pt>
                <c:pt idx="4">
                  <c:v>2012</c:v>
                </c:pt>
              </c:numCache>
            </c:numRef>
          </c:cat>
          <c:val>
            <c:numRef>
              <c:f>'chart 6'!$C$35:$C$39</c:f>
              <c:numCache>
                <c:formatCode>0.0</c:formatCode>
                <c:ptCount val="5"/>
                <c:pt idx="0" formatCode="General">
                  <c:v>165.1</c:v>
                </c:pt>
                <c:pt idx="1">
                  <c:v>135.80000000000001</c:v>
                </c:pt>
                <c:pt idx="2">
                  <c:v>130.5</c:v>
                </c:pt>
                <c:pt idx="3">
                  <c:v>274.10000000000002</c:v>
                </c:pt>
                <c:pt idx="4">
                  <c:v>361.8</c:v>
                </c:pt>
              </c:numCache>
            </c:numRef>
          </c:val>
        </c:ser>
        <c:ser>
          <c:idx val="2"/>
          <c:order val="2"/>
          <c:tx>
            <c:strRef>
              <c:f>'chart 6'!$D$34</c:f>
              <c:strCache>
                <c:ptCount val="1"/>
                <c:pt idx="0">
                  <c:v>Europe</c:v>
                </c:pt>
              </c:strCache>
            </c:strRef>
          </c:tx>
          <c:dPt>
            <c:idx val="0"/>
            <c:spPr>
              <a:solidFill>
                <a:srgbClr val="35FD65"/>
              </a:solidFill>
            </c:spPr>
          </c:dPt>
          <c:cat>
            <c:numRef>
              <c:f>'chart 6'!$A$35:$A$39</c:f>
              <c:numCache>
                <c:formatCode>General</c:formatCode>
                <c:ptCount val="5"/>
                <c:pt idx="0">
                  <c:v>2008</c:v>
                </c:pt>
                <c:pt idx="1">
                  <c:v>2009</c:v>
                </c:pt>
                <c:pt idx="2">
                  <c:v>2010</c:v>
                </c:pt>
                <c:pt idx="3">
                  <c:v>2011</c:v>
                </c:pt>
                <c:pt idx="4">
                  <c:v>2012</c:v>
                </c:pt>
              </c:numCache>
            </c:numRef>
          </c:cat>
          <c:val>
            <c:numRef>
              <c:f>'chart 6'!$D$35:$D$39</c:f>
              <c:numCache>
                <c:formatCode>0.0</c:formatCode>
                <c:ptCount val="5"/>
                <c:pt idx="0" formatCode="General">
                  <c:v>128.92000000000004</c:v>
                </c:pt>
                <c:pt idx="1">
                  <c:v>86.219000000000023</c:v>
                </c:pt>
                <c:pt idx="2">
                  <c:v>99.940000000000026</c:v>
                </c:pt>
                <c:pt idx="3">
                  <c:v>89.563999999999993</c:v>
                </c:pt>
                <c:pt idx="4">
                  <c:v>75.479600000000005</c:v>
                </c:pt>
              </c:numCache>
            </c:numRef>
          </c:val>
        </c:ser>
        <c:ser>
          <c:idx val="3"/>
          <c:order val="3"/>
          <c:tx>
            <c:strRef>
              <c:f>'chart 6'!$E$34</c:f>
              <c:strCache>
                <c:ptCount val="1"/>
                <c:pt idx="0">
                  <c:v>Africa</c:v>
                </c:pt>
              </c:strCache>
            </c:strRef>
          </c:tx>
          <c:cat>
            <c:numRef>
              <c:f>'chart 6'!$A$35:$A$39</c:f>
              <c:numCache>
                <c:formatCode>General</c:formatCode>
                <c:ptCount val="5"/>
                <c:pt idx="0">
                  <c:v>2008</c:v>
                </c:pt>
                <c:pt idx="1">
                  <c:v>2009</c:v>
                </c:pt>
                <c:pt idx="2">
                  <c:v>2010</c:v>
                </c:pt>
                <c:pt idx="3">
                  <c:v>2011</c:v>
                </c:pt>
                <c:pt idx="4">
                  <c:v>2012</c:v>
                </c:pt>
              </c:numCache>
            </c:numRef>
          </c:cat>
          <c:val>
            <c:numRef>
              <c:f>'chart 6'!$E$35:$E$39</c:f>
              <c:numCache>
                <c:formatCode>0.0</c:formatCode>
                <c:ptCount val="5"/>
                <c:pt idx="0" formatCode="General">
                  <c:v>48.190000000000012</c:v>
                </c:pt>
                <c:pt idx="1">
                  <c:v>44.86</c:v>
                </c:pt>
                <c:pt idx="2">
                  <c:v>45</c:v>
                </c:pt>
                <c:pt idx="3">
                  <c:v>71.5</c:v>
                </c:pt>
                <c:pt idx="4">
                  <c:v>61.3</c:v>
                </c:pt>
              </c:numCache>
            </c:numRef>
          </c:val>
        </c:ser>
        <c:ser>
          <c:idx val="4"/>
          <c:order val="4"/>
          <c:tx>
            <c:strRef>
              <c:f>'chart 6'!$F$34</c:f>
              <c:strCache>
                <c:ptCount val="1"/>
                <c:pt idx="0">
                  <c:v>Latin America and Caribbean</c:v>
                </c:pt>
              </c:strCache>
            </c:strRef>
          </c:tx>
          <c:spPr>
            <a:solidFill>
              <a:srgbClr val="FFFF00"/>
            </a:solidFill>
          </c:spPr>
          <c:cat>
            <c:numRef>
              <c:f>'chart 6'!$A$35:$A$39</c:f>
              <c:numCache>
                <c:formatCode>General</c:formatCode>
                <c:ptCount val="5"/>
                <c:pt idx="0">
                  <c:v>2008</c:v>
                </c:pt>
                <c:pt idx="1">
                  <c:v>2009</c:v>
                </c:pt>
                <c:pt idx="2">
                  <c:v>2010</c:v>
                </c:pt>
                <c:pt idx="3">
                  <c:v>2011</c:v>
                </c:pt>
                <c:pt idx="4">
                  <c:v>2012</c:v>
                </c:pt>
              </c:numCache>
            </c:numRef>
          </c:cat>
          <c:val>
            <c:numRef>
              <c:f>'chart 6'!$F$35:$F$39</c:f>
              <c:numCache>
                <c:formatCode>0.0</c:formatCode>
                <c:ptCount val="5"/>
                <c:pt idx="0">
                  <c:v>17</c:v>
                </c:pt>
                <c:pt idx="1">
                  <c:v>10.4</c:v>
                </c:pt>
                <c:pt idx="2">
                  <c:v>12.3</c:v>
                </c:pt>
                <c:pt idx="3">
                  <c:v>18.7</c:v>
                </c:pt>
                <c:pt idx="4">
                  <c:v>14.9</c:v>
                </c:pt>
              </c:numCache>
            </c:numRef>
          </c:val>
        </c:ser>
        <c:dLbls/>
        <c:gapWidth val="75"/>
        <c:shape val="box"/>
        <c:axId val="209169792"/>
        <c:axId val="209179776"/>
        <c:axId val="0"/>
      </c:bar3DChart>
      <c:catAx>
        <c:axId val="209169792"/>
        <c:scaling>
          <c:orientation val="minMax"/>
        </c:scaling>
        <c:axPos val="b"/>
        <c:numFmt formatCode="General" sourceLinked="1"/>
        <c:majorTickMark val="none"/>
        <c:tickLblPos val="nextTo"/>
        <c:txPr>
          <a:bodyPr/>
          <a:lstStyle/>
          <a:p>
            <a:pPr>
              <a:defRPr sz="900" b="1"/>
            </a:pPr>
            <a:endParaRPr lang="en-US"/>
          </a:p>
        </c:txPr>
        <c:crossAx val="209179776"/>
        <c:crosses val="autoZero"/>
        <c:auto val="1"/>
        <c:lblAlgn val="ctr"/>
        <c:lblOffset val="100"/>
      </c:catAx>
      <c:valAx>
        <c:axId val="209179776"/>
        <c:scaling>
          <c:orientation val="minMax"/>
        </c:scaling>
        <c:axPos val="l"/>
        <c:majorGridlines/>
        <c:title>
          <c:tx>
            <c:rich>
              <a:bodyPr rot="-5400000" vert="horz"/>
              <a:lstStyle/>
              <a:p>
                <a:pPr>
                  <a:defRPr sz="900"/>
                </a:pPr>
                <a:r>
                  <a:rPr lang="en-GB" sz="900"/>
                  <a:t>thousand tonnes</a:t>
                </a:r>
              </a:p>
            </c:rich>
          </c:tx>
          <c:layout>
            <c:manualLayout>
              <c:xMode val="edge"/>
              <c:yMode val="edge"/>
              <c:x val="2.4426586035094823E-2"/>
              <c:y val="0.33878949371907158"/>
            </c:manualLayout>
          </c:layout>
        </c:title>
        <c:numFmt formatCode="General" sourceLinked="1"/>
        <c:majorTickMark val="none"/>
        <c:tickLblPos val="nextTo"/>
        <c:spPr>
          <a:ln w="9525">
            <a:noFill/>
          </a:ln>
        </c:spPr>
        <c:txPr>
          <a:bodyPr/>
          <a:lstStyle/>
          <a:p>
            <a:pPr>
              <a:defRPr sz="900" b="1"/>
            </a:pPr>
            <a:endParaRPr lang="en-US"/>
          </a:p>
        </c:txPr>
        <c:crossAx val="209169792"/>
        <c:crosses val="autoZero"/>
        <c:crossBetween val="between"/>
      </c:valAx>
      <c:spPr>
        <a:noFill/>
        <a:ln w="25400">
          <a:noFill/>
        </a:ln>
      </c:spPr>
    </c:plotArea>
    <c:legend>
      <c:legendPos val="b"/>
      <c:txPr>
        <a:bodyPr/>
        <a:lstStyle/>
        <a:p>
          <a:pPr>
            <a:defRPr sz="900" b="1"/>
          </a:pPr>
          <a:endParaRPr lang="en-US"/>
        </a:p>
      </c:txPr>
    </c:legend>
    <c:plotVisOnly val="1"/>
    <c:dispBlanksAs val="gap"/>
  </c:chart>
  <c:txPr>
    <a:bodyPr/>
    <a:lstStyle/>
    <a:p>
      <a:pPr>
        <a:defRPr sz="1050">
          <a:latin typeface="Garamond" panose="02020404030301010803"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3365820531174972E-2"/>
          <c:y val="0.19473672835726274"/>
          <c:w val="0.86413413358295244"/>
          <c:h val="0.64736842105263159"/>
        </c:manualLayout>
      </c:layout>
      <c:lineChart>
        <c:grouping val="standard"/>
        <c:ser>
          <c:idx val="0"/>
          <c:order val="0"/>
          <c:spPr>
            <a:ln w="38100">
              <a:solidFill>
                <a:srgbClr val="000080"/>
              </a:solidFill>
              <a:prstDash val="solid"/>
            </a:ln>
          </c:spPr>
          <c:marker>
            <c:symbol val="none"/>
          </c:marker>
          <c:cat>
            <c:numRef>
              <c:f>'sisal-jute'!$A$150:$A$218</c:f>
              <c:numCache>
                <c:formatCode>mmm\-yy</c:formatCode>
                <c:ptCount val="69"/>
                <c:pt idx="0">
                  <c:v>39465</c:v>
                </c:pt>
                <c:pt idx="1">
                  <c:v>39496</c:v>
                </c:pt>
                <c:pt idx="2">
                  <c:v>39527</c:v>
                </c:pt>
                <c:pt idx="3">
                  <c:v>39558</c:v>
                </c:pt>
                <c:pt idx="4">
                  <c:v>39589</c:v>
                </c:pt>
                <c:pt idx="5">
                  <c:v>39620</c:v>
                </c:pt>
                <c:pt idx="6">
                  <c:v>39651</c:v>
                </c:pt>
                <c:pt idx="7">
                  <c:v>39682</c:v>
                </c:pt>
                <c:pt idx="8">
                  <c:v>39713</c:v>
                </c:pt>
                <c:pt idx="9">
                  <c:v>39744</c:v>
                </c:pt>
                <c:pt idx="10">
                  <c:v>39775</c:v>
                </c:pt>
                <c:pt idx="11">
                  <c:v>39806</c:v>
                </c:pt>
                <c:pt idx="12">
                  <c:v>39837</c:v>
                </c:pt>
                <c:pt idx="13">
                  <c:v>39868</c:v>
                </c:pt>
                <c:pt idx="14">
                  <c:v>39899</c:v>
                </c:pt>
                <c:pt idx="15">
                  <c:v>39930</c:v>
                </c:pt>
                <c:pt idx="16">
                  <c:v>39961</c:v>
                </c:pt>
                <c:pt idx="17">
                  <c:v>39992</c:v>
                </c:pt>
                <c:pt idx="18">
                  <c:v>40023</c:v>
                </c:pt>
                <c:pt idx="19">
                  <c:v>40054</c:v>
                </c:pt>
                <c:pt idx="20">
                  <c:v>40085</c:v>
                </c:pt>
                <c:pt idx="21">
                  <c:v>40116</c:v>
                </c:pt>
                <c:pt idx="22">
                  <c:v>40147</c:v>
                </c:pt>
                <c:pt idx="23">
                  <c:v>40178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numCache>
            </c:numRef>
          </c:cat>
          <c:val>
            <c:numRef>
              <c:f>'sisal-jute'!$B$150:$B$218</c:f>
              <c:numCache>
                <c:formatCode>#\ ##0</c:formatCode>
                <c:ptCount val="69"/>
                <c:pt idx="0">
                  <c:v>1200</c:v>
                </c:pt>
                <c:pt idx="1">
                  <c:v>1200</c:v>
                </c:pt>
                <c:pt idx="2">
                  <c:v>1200</c:v>
                </c:pt>
                <c:pt idx="3" formatCode="General">
                  <c:v>1250</c:v>
                </c:pt>
                <c:pt idx="4" formatCode="General">
                  <c:v>1250</c:v>
                </c:pt>
                <c:pt idx="5" formatCode="General">
                  <c:v>1250</c:v>
                </c:pt>
                <c:pt idx="6">
                  <c:v>1257.5</c:v>
                </c:pt>
                <c:pt idx="7">
                  <c:v>1257.5</c:v>
                </c:pt>
                <c:pt idx="8">
                  <c:v>1257.5</c:v>
                </c:pt>
                <c:pt idx="9">
                  <c:v>945</c:v>
                </c:pt>
                <c:pt idx="10">
                  <c:v>945</c:v>
                </c:pt>
                <c:pt idx="11">
                  <c:v>895</c:v>
                </c:pt>
                <c:pt idx="12">
                  <c:v>895</c:v>
                </c:pt>
                <c:pt idx="13">
                  <c:v>900</c:v>
                </c:pt>
                <c:pt idx="14">
                  <c:v>900</c:v>
                </c:pt>
                <c:pt idx="15" formatCode="General">
                  <c:v>860</c:v>
                </c:pt>
                <c:pt idx="16">
                  <c:v>835</c:v>
                </c:pt>
                <c:pt idx="17" formatCode="General">
                  <c:v>835</c:v>
                </c:pt>
                <c:pt idx="18">
                  <c:v>700</c:v>
                </c:pt>
                <c:pt idx="19">
                  <c:v>752.5</c:v>
                </c:pt>
                <c:pt idx="20">
                  <c:v>752.5</c:v>
                </c:pt>
                <c:pt idx="21">
                  <c:v>802.5</c:v>
                </c:pt>
                <c:pt idx="22">
                  <c:v>852.5</c:v>
                </c:pt>
                <c:pt idx="23">
                  <c:v>852.5</c:v>
                </c:pt>
                <c:pt idx="24">
                  <c:v>950</c:v>
                </c:pt>
                <c:pt idx="25">
                  <c:v>980</c:v>
                </c:pt>
                <c:pt idx="26">
                  <c:v>1030</c:v>
                </c:pt>
                <c:pt idx="27">
                  <c:v>1070</c:v>
                </c:pt>
                <c:pt idx="28">
                  <c:v>1140</c:v>
                </c:pt>
                <c:pt idx="29">
                  <c:v>1140</c:v>
                </c:pt>
                <c:pt idx="30">
                  <c:v>1150</c:v>
                </c:pt>
                <c:pt idx="31">
                  <c:v>1160</c:v>
                </c:pt>
                <c:pt idx="32">
                  <c:v>1170</c:v>
                </c:pt>
                <c:pt idx="33">
                  <c:v>1180</c:v>
                </c:pt>
                <c:pt idx="34">
                  <c:v>1170</c:v>
                </c:pt>
                <c:pt idx="35">
                  <c:v>1190</c:v>
                </c:pt>
                <c:pt idx="36">
                  <c:v>1250</c:v>
                </c:pt>
                <c:pt idx="37">
                  <c:v>1270</c:v>
                </c:pt>
                <c:pt idx="38">
                  <c:v>1300</c:v>
                </c:pt>
                <c:pt idx="39">
                  <c:v>1300</c:v>
                </c:pt>
                <c:pt idx="40">
                  <c:v>1300</c:v>
                </c:pt>
                <c:pt idx="41">
                  <c:v>1350</c:v>
                </c:pt>
                <c:pt idx="42">
                  <c:v>1550</c:v>
                </c:pt>
                <c:pt idx="43">
                  <c:v>1550</c:v>
                </c:pt>
                <c:pt idx="44">
                  <c:v>1550</c:v>
                </c:pt>
                <c:pt idx="45">
                  <c:v>1600</c:v>
                </c:pt>
                <c:pt idx="46">
                  <c:v>1600</c:v>
                </c:pt>
                <c:pt idx="47">
                  <c:v>1600</c:v>
                </c:pt>
                <c:pt idx="48">
                  <c:v>1600</c:v>
                </c:pt>
                <c:pt idx="49">
                  <c:v>1600</c:v>
                </c:pt>
                <c:pt idx="50">
                  <c:v>1450</c:v>
                </c:pt>
                <c:pt idx="51">
                  <c:v>1500</c:v>
                </c:pt>
                <c:pt idx="52">
                  <c:v>1550</c:v>
                </c:pt>
                <c:pt idx="53">
                  <c:v>1550</c:v>
                </c:pt>
                <c:pt idx="54">
                  <c:v>1600</c:v>
                </c:pt>
                <c:pt idx="55">
                  <c:v>1685</c:v>
                </c:pt>
                <c:pt idx="56">
                  <c:v>1710</c:v>
                </c:pt>
                <c:pt idx="57">
                  <c:v>1650</c:v>
                </c:pt>
                <c:pt idx="58">
                  <c:v>1650</c:v>
                </c:pt>
                <c:pt idx="59">
                  <c:v>1650</c:v>
                </c:pt>
                <c:pt idx="60">
                  <c:v>1525</c:v>
                </c:pt>
                <c:pt idx="61">
                  <c:v>1500</c:v>
                </c:pt>
                <c:pt idx="62">
                  <c:v>1500</c:v>
                </c:pt>
                <c:pt idx="63">
                  <c:v>1500</c:v>
                </c:pt>
                <c:pt idx="64">
                  <c:v>1500</c:v>
                </c:pt>
                <c:pt idx="65">
                  <c:v>1500</c:v>
                </c:pt>
                <c:pt idx="66">
                  <c:v>1500</c:v>
                </c:pt>
                <c:pt idx="67">
                  <c:v>1500</c:v>
                </c:pt>
                <c:pt idx="68">
                  <c:v>1500</c:v>
                </c:pt>
              </c:numCache>
            </c:numRef>
          </c:val>
        </c:ser>
        <c:ser>
          <c:idx val="1"/>
          <c:order val="1"/>
          <c:spPr>
            <a:ln w="38100">
              <a:solidFill>
                <a:srgbClr val="FF0000"/>
              </a:solidFill>
              <a:prstDash val="solid"/>
            </a:ln>
          </c:spPr>
          <c:marker>
            <c:symbol val="none"/>
          </c:marker>
          <c:cat>
            <c:numRef>
              <c:f>'sisal-jute'!$A$150:$A$218</c:f>
              <c:numCache>
                <c:formatCode>mmm\-yy</c:formatCode>
                <c:ptCount val="69"/>
                <c:pt idx="0">
                  <c:v>39465</c:v>
                </c:pt>
                <c:pt idx="1">
                  <c:v>39496</c:v>
                </c:pt>
                <c:pt idx="2">
                  <c:v>39527</c:v>
                </c:pt>
                <c:pt idx="3">
                  <c:v>39558</c:v>
                </c:pt>
                <c:pt idx="4">
                  <c:v>39589</c:v>
                </c:pt>
                <c:pt idx="5">
                  <c:v>39620</c:v>
                </c:pt>
                <c:pt idx="6">
                  <c:v>39651</c:v>
                </c:pt>
                <c:pt idx="7">
                  <c:v>39682</c:v>
                </c:pt>
                <c:pt idx="8">
                  <c:v>39713</c:v>
                </c:pt>
                <c:pt idx="9">
                  <c:v>39744</c:v>
                </c:pt>
                <c:pt idx="10">
                  <c:v>39775</c:v>
                </c:pt>
                <c:pt idx="11">
                  <c:v>39806</c:v>
                </c:pt>
                <c:pt idx="12">
                  <c:v>39837</c:v>
                </c:pt>
                <c:pt idx="13">
                  <c:v>39868</c:v>
                </c:pt>
                <c:pt idx="14">
                  <c:v>39899</c:v>
                </c:pt>
                <c:pt idx="15">
                  <c:v>39930</c:v>
                </c:pt>
                <c:pt idx="16">
                  <c:v>39961</c:v>
                </c:pt>
                <c:pt idx="17">
                  <c:v>39992</c:v>
                </c:pt>
                <c:pt idx="18">
                  <c:v>40023</c:v>
                </c:pt>
                <c:pt idx="19">
                  <c:v>40054</c:v>
                </c:pt>
                <c:pt idx="20">
                  <c:v>40085</c:v>
                </c:pt>
                <c:pt idx="21">
                  <c:v>40116</c:v>
                </c:pt>
                <c:pt idx="22">
                  <c:v>40147</c:v>
                </c:pt>
                <c:pt idx="23">
                  <c:v>40178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numCache>
            </c:numRef>
          </c:cat>
          <c:val>
            <c:numRef>
              <c:f>'sisal-jute'!$C$150:$C$218</c:f>
              <c:numCache>
                <c:formatCode>#\ ##0</c:formatCode>
                <c:ptCount val="69"/>
                <c:pt idx="0">
                  <c:v>1075</c:v>
                </c:pt>
                <c:pt idx="1">
                  <c:v>1075</c:v>
                </c:pt>
                <c:pt idx="2">
                  <c:v>1075</c:v>
                </c:pt>
                <c:pt idx="3">
                  <c:v>1175</c:v>
                </c:pt>
                <c:pt idx="4">
                  <c:v>1175</c:v>
                </c:pt>
                <c:pt idx="5">
                  <c:v>1175</c:v>
                </c:pt>
                <c:pt idx="6">
                  <c:v>1212.5</c:v>
                </c:pt>
                <c:pt idx="7">
                  <c:v>1212.5</c:v>
                </c:pt>
                <c:pt idx="8">
                  <c:v>1212.5</c:v>
                </c:pt>
                <c:pt idx="9">
                  <c:v>900</c:v>
                </c:pt>
                <c:pt idx="10">
                  <c:v>900</c:v>
                </c:pt>
                <c:pt idx="11">
                  <c:v>850</c:v>
                </c:pt>
                <c:pt idx="12">
                  <c:v>850</c:v>
                </c:pt>
                <c:pt idx="13">
                  <c:v>840</c:v>
                </c:pt>
                <c:pt idx="14">
                  <c:v>840</c:v>
                </c:pt>
                <c:pt idx="15">
                  <c:v>800</c:v>
                </c:pt>
                <c:pt idx="16">
                  <c:v>775</c:v>
                </c:pt>
                <c:pt idx="17">
                  <c:v>775</c:v>
                </c:pt>
                <c:pt idx="18">
                  <c:v>650</c:v>
                </c:pt>
                <c:pt idx="19">
                  <c:v>700</c:v>
                </c:pt>
                <c:pt idx="20">
                  <c:v>700</c:v>
                </c:pt>
                <c:pt idx="21">
                  <c:v>750</c:v>
                </c:pt>
                <c:pt idx="22">
                  <c:v>800</c:v>
                </c:pt>
                <c:pt idx="23">
                  <c:v>800</c:v>
                </c:pt>
                <c:pt idx="24">
                  <c:v>850</c:v>
                </c:pt>
                <c:pt idx="25">
                  <c:v>900</c:v>
                </c:pt>
                <c:pt idx="26">
                  <c:v>950</c:v>
                </c:pt>
                <c:pt idx="27">
                  <c:v>970</c:v>
                </c:pt>
                <c:pt idx="28">
                  <c:v>1000</c:v>
                </c:pt>
                <c:pt idx="29">
                  <c:v>1000</c:v>
                </c:pt>
                <c:pt idx="30">
                  <c:v>1050</c:v>
                </c:pt>
                <c:pt idx="31">
                  <c:v>1065</c:v>
                </c:pt>
                <c:pt idx="32">
                  <c:v>1070</c:v>
                </c:pt>
                <c:pt idx="33">
                  <c:v>1080</c:v>
                </c:pt>
                <c:pt idx="34">
                  <c:v>1080</c:v>
                </c:pt>
                <c:pt idx="35">
                  <c:v>1100</c:v>
                </c:pt>
                <c:pt idx="36">
                  <c:v>1150</c:v>
                </c:pt>
                <c:pt idx="37">
                  <c:v>1170</c:v>
                </c:pt>
                <c:pt idx="38">
                  <c:v>1200</c:v>
                </c:pt>
                <c:pt idx="39">
                  <c:v>1200</c:v>
                </c:pt>
                <c:pt idx="40">
                  <c:v>1200</c:v>
                </c:pt>
                <c:pt idx="41">
                  <c:v>1250</c:v>
                </c:pt>
                <c:pt idx="42">
                  <c:v>1450</c:v>
                </c:pt>
                <c:pt idx="43">
                  <c:v>1450</c:v>
                </c:pt>
                <c:pt idx="44">
                  <c:v>1450</c:v>
                </c:pt>
                <c:pt idx="45">
                  <c:v>1450</c:v>
                </c:pt>
                <c:pt idx="46">
                  <c:v>1475</c:v>
                </c:pt>
                <c:pt idx="47">
                  <c:v>1475</c:v>
                </c:pt>
                <c:pt idx="48">
                  <c:v>1475</c:v>
                </c:pt>
                <c:pt idx="49">
                  <c:v>1475</c:v>
                </c:pt>
                <c:pt idx="50">
                  <c:v>1375</c:v>
                </c:pt>
                <c:pt idx="51">
                  <c:v>1400</c:v>
                </c:pt>
                <c:pt idx="52">
                  <c:v>1450</c:v>
                </c:pt>
                <c:pt idx="53">
                  <c:v>1450</c:v>
                </c:pt>
                <c:pt idx="54">
                  <c:v>1480</c:v>
                </c:pt>
                <c:pt idx="55">
                  <c:v>1585</c:v>
                </c:pt>
                <c:pt idx="56">
                  <c:v>1616</c:v>
                </c:pt>
                <c:pt idx="57">
                  <c:v>1531</c:v>
                </c:pt>
                <c:pt idx="58">
                  <c:v>1500</c:v>
                </c:pt>
                <c:pt idx="59">
                  <c:v>1460</c:v>
                </c:pt>
                <c:pt idx="60">
                  <c:v>1400</c:v>
                </c:pt>
                <c:pt idx="61">
                  <c:v>1400</c:v>
                </c:pt>
                <c:pt idx="62">
                  <c:v>1375</c:v>
                </c:pt>
                <c:pt idx="63">
                  <c:v>1375</c:v>
                </c:pt>
                <c:pt idx="64">
                  <c:v>1400</c:v>
                </c:pt>
                <c:pt idx="65">
                  <c:v>1400</c:v>
                </c:pt>
                <c:pt idx="66">
                  <c:v>1400</c:v>
                </c:pt>
                <c:pt idx="67">
                  <c:v>1400</c:v>
                </c:pt>
                <c:pt idx="68">
                  <c:v>1400</c:v>
                </c:pt>
              </c:numCache>
            </c:numRef>
          </c:val>
        </c:ser>
        <c:ser>
          <c:idx val="2"/>
          <c:order val="2"/>
          <c:spPr>
            <a:ln w="38100">
              <a:solidFill>
                <a:srgbClr val="008000"/>
              </a:solidFill>
              <a:prstDash val="solid"/>
            </a:ln>
          </c:spPr>
          <c:marker>
            <c:symbol val="square"/>
            <c:size val="13"/>
            <c:spPr>
              <a:noFill/>
              <a:ln w="9525">
                <a:noFill/>
              </a:ln>
            </c:spPr>
          </c:marker>
          <c:cat>
            <c:numRef>
              <c:f>'sisal-jute'!$A$150:$A$218</c:f>
              <c:numCache>
                <c:formatCode>mmm\-yy</c:formatCode>
                <c:ptCount val="69"/>
                <c:pt idx="0">
                  <c:v>39465</c:v>
                </c:pt>
                <c:pt idx="1">
                  <c:v>39496</c:v>
                </c:pt>
                <c:pt idx="2">
                  <c:v>39527</c:v>
                </c:pt>
                <c:pt idx="3">
                  <c:v>39558</c:v>
                </c:pt>
                <c:pt idx="4">
                  <c:v>39589</c:v>
                </c:pt>
                <c:pt idx="5">
                  <c:v>39620</c:v>
                </c:pt>
                <c:pt idx="6">
                  <c:v>39651</c:v>
                </c:pt>
                <c:pt idx="7">
                  <c:v>39682</c:v>
                </c:pt>
                <c:pt idx="8">
                  <c:v>39713</c:v>
                </c:pt>
                <c:pt idx="9">
                  <c:v>39744</c:v>
                </c:pt>
                <c:pt idx="10">
                  <c:v>39775</c:v>
                </c:pt>
                <c:pt idx="11">
                  <c:v>39806</c:v>
                </c:pt>
                <c:pt idx="12">
                  <c:v>39837</c:v>
                </c:pt>
                <c:pt idx="13">
                  <c:v>39868</c:v>
                </c:pt>
                <c:pt idx="14">
                  <c:v>39899</c:v>
                </c:pt>
                <c:pt idx="15">
                  <c:v>39930</c:v>
                </c:pt>
                <c:pt idx="16">
                  <c:v>39961</c:v>
                </c:pt>
                <c:pt idx="17">
                  <c:v>39992</c:v>
                </c:pt>
                <c:pt idx="18">
                  <c:v>40023</c:v>
                </c:pt>
                <c:pt idx="19">
                  <c:v>40054</c:v>
                </c:pt>
                <c:pt idx="20">
                  <c:v>40085</c:v>
                </c:pt>
                <c:pt idx="21">
                  <c:v>40116</c:v>
                </c:pt>
                <c:pt idx="22">
                  <c:v>40147</c:v>
                </c:pt>
                <c:pt idx="23">
                  <c:v>40178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numCache>
            </c:numRef>
          </c:cat>
          <c:val>
            <c:numRef>
              <c:f>'sisal-jute'!$D$150:$D$218</c:f>
              <c:numCache>
                <c:formatCode>#\ ##0</c:formatCode>
                <c:ptCount val="69"/>
                <c:pt idx="0">
                  <c:v>690</c:v>
                </c:pt>
                <c:pt idx="1">
                  <c:v>689</c:v>
                </c:pt>
                <c:pt idx="2">
                  <c:v>700</c:v>
                </c:pt>
                <c:pt idx="3">
                  <c:v>680</c:v>
                </c:pt>
                <c:pt idx="4">
                  <c:v>736</c:v>
                </c:pt>
                <c:pt idx="5">
                  <c:v>693</c:v>
                </c:pt>
                <c:pt idx="6">
                  <c:v>733</c:v>
                </c:pt>
                <c:pt idx="7">
                  <c:v>772</c:v>
                </c:pt>
                <c:pt idx="8">
                  <c:v>751</c:v>
                </c:pt>
                <c:pt idx="9">
                  <c:v>763</c:v>
                </c:pt>
                <c:pt idx="10">
                  <c:v>771</c:v>
                </c:pt>
                <c:pt idx="11">
                  <c:v>737</c:v>
                </c:pt>
                <c:pt idx="12">
                  <c:v>753</c:v>
                </c:pt>
                <c:pt idx="13">
                  <c:v>732</c:v>
                </c:pt>
                <c:pt idx="14">
                  <c:v>666</c:v>
                </c:pt>
                <c:pt idx="15">
                  <c:v>641</c:v>
                </c:pt>
                <c:pt idx="16">
                  <c:v>666</c:v>
                </c:pt>
                <c:pt idx="17">
                  <c:v>646.5</c:v>
                </c:pt>
                <c:pt idx="18">
                  <c:v>647</c:v>
                </c:pt>
                <c:pt idx="19">
                  <c:v>627</c:v>
                </c:pt>
                <c:pt idx="20">
                  <c:v>688</c:v>
                </c:pt>
                <c:pt idx="21">
                  <c:v>654</c:v>
                </c:pt>
                <c:pt idx="22">
                  <c:v>687</c:v>
                </c:pt>
                <c:pt idx="23">
                  <c:v>708</c:v>
                </c:pt>
                <c:pt idx="24">
                  <c:v>684</c:v>
                </c:pt>
                <c:pt idx="25">
                  <c:v>697</c:v>
                </c:pt>
                <c:pt idx="26">
                  <c:v>884</c:v>
                </c:pt>
                <c:pt idx="27">
                  <c:v>673</c:v>
                </c:pt>
                <c:pt idx="28">
                  <c:v>637</c:v>
                </c:pt>
                <c:pt idx="29">
                  <c:v>655</c:v>
                </c:pt>
                <c:pt idx="30">
                  <c:v>640</c:v>
                </c:pt>
                <c:pt idx="31">
                  <c:v>691</c:v>
                </c:pt>
                <c:pt idx="32">
                  <c:v>679</c:v>
                </c:pt>
                <c:pt idx="33">
                  <c:v>669</c:v>
                </c:pt>
                <c:pt idx="34">
                  <c:v>697</c:v>
                </c:pt>
                <c:pt idx="35">
                  <c:v>662</c:v>
                </c:pt>
                <c:pt idx="36">
                  <c:v>734.77000000000032</c:v>
                </c:pt>
                <c:pt idx="37">
                  <c:v>713.78000000000031</c:v>
                </c:pt>
                <c:pt idx="38">
                  <c:v>711.31999999999971</c:v>
                </c:pt>
                <c:pt idx="39">
                  <c:v>750.11</c:v>
                </c:pt>
                <c:pt idx="40">
                  <c:v>742.58</c:v>
                </c:pt>
                <c:pt idx="41">
                  <c:v>769.24</c:v>
                </c:pt>
                <c:pt idx="42">
                  <c:v>818.23</c:v>
                </c:pt>
                <c:pt idx="43">
                  <c:v>793.57</c:v>
                </c:pt>
                <c:pt idx="44">
                  <c:v>848</c:v>
                </c:pt>
                <c:pt idx="45">
                  <c:v>845</c:v>
                </c:pt>
                <c:pt idx="46">
                  <c:v>860</c:v>
                </c:pt>
                <c:pt idx="47">
                  <c:v>901.75</c:v>
                </c:pt>
                <c:pt idx="48">
                  <c:v>879</c:v>
                </c:pt>
                <c:pt idx="49">
                  <c:v>916</c:v>
                </c:pt>
                <c:pt idx="50">
                  <c:v>902</c:v>
                </c:pt>
                <c:pt idx="51">
                  <c:v>903</c:v>
                </c:pt>
                <c:pt idx="52">
                  <c:v>907</c:v>
                </c:pt>
                <c:pt idx="53">
                  <c:v>929</c:v>
                </c:pt>
                <c:pt idx="54">
                  <c:v>880</c:v>
                </c:pt>
                <c:pt idx="55">
                  <c:v>884</c:v>
                </c:pt>
                <c:pt idx="56">
                  <c:v>913</c:v>
                </c:pt>
                <c:pt idx="57">
                  <c:v>885</c:v>
                </c:pt>
                <c:pt idx="58">
                  <c:v>889</c:v>
                </c:pt>
                <c:pt idx="59">
                  <c:v>895</c:v>
                </c:pt>
                <c:pt idx="60">
                  <c:v>889</c:v>
                </c:pt>
                <c:pt idx="61">
                  <c:v>876</c:v>
                </c:pt>
                <c:pt idx="62">
                  <c:v>875</c:v>
                </c:pt>
              </c:numCache>
            </c:numRef>
          </c:val>
        </c:ser>
        <c:ser>
          <c:idx val="3"/>
          <c:order val="3"/>
          <c:spPr>
            <a:ln w="25400">
              <a:solidFill>
                <a:srgbClr val="424242"/>
              </a:solidFill>
              <a:prstDash val="sysDash"/>
            </a:ln>
          </c:spPr>
          <c:marker>
            <c:symbol val="none"/>
          </c:marker>
          <c:cat>
            <c:numRef>
              <c:f>'sisal-jute'!$A$150:$A$218</c:f>
              <c:numCache>
                <c:formatCode>mmm\-yy</c:formatCode>
                <c:ptCount val="69"/>
                <c:pt idx="0">
                  <c:v>39465</c:v>
                </c:pt>
                <c:pt idx="1">
                  <c:v>39496</c:v>
                </c:pt>
                <c:pt idx="2">
                  <c:v>39527</c:v>
                </c:pt>
                <c:pt idx="3">
                  <c:v>39558</c:v>
                </c:pt>
                <c:pt idx="4">
                  <c:v>39589</c:v>
                </c:pt>
                <c:pt idx="5">
                  <c:v>39620</c:v>
                </c:pt>
                <c:pt idx="6">
                  <c:v>39651</c:v>
                </c:pt>
                <c:pt idx="7">
                  <c:v>39682</c:v>
                </c:pt>
                <c:pt idx="8">
                  <c:v>39713</c:v>
                </c:pt>
                <c:pt idx="9">
                  <c:v>39744</c:v>
                </c:pt>
                <c:pt idx="10">
                  <c:v>39775</c:v>
                </c:pt>
                <c:pt idx="11">
                  <c:v>39806</c:v>
                </c:pt>
                <c:pt idx="12">
                  <c:v>39837</c:v>
                </c:pt>
                <c:pt idx="13">
                  <c:v>39868</c:v>
                </c:pt>
                <c:pt idx="14">
                  <c:v>39899</c:v>
                </c:pt>
                <c:pt idx="15">
                  <c:v>39930</c:v>
                </c:pt>
                <c:pt idx="16">
                  <c:v>39961</c:v>
                </c:pt>
                <c:pt idx="17">
                  <c:v>39992</c:v>
                </c:pt>
                <c:pt idx="18">
                  <c:v>40023</c:v>
                </c:pt>
                <c:pt idx="19">
                  <c:v>40054</c:v>
                </c:pt>
                <c:pt idx="20">
                  <c:v>40085</c:v>
                </c:pt>
                <c:pt idx="21">
                  <c:v>40116</c:v>
                </c:pt>
                <c:pt idx="22">
                  <c:v>40147</c:v>
                </c:pt>
                <c:pt idx="23">
                  <c:v>40178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numCache>
            </c:numRef>
          </c:cat>
          <c:val>
            <c:numRef>
              <c:f>'sisal-jute'!$E$150:$E$218</c:f>
              <c:numCache>
                <c:formatCode>General</c:formatCode>
                <c:ptCount val="69"/>
                <c:pt idx="0">
                  <c:v>900</c:v>
                </c:pt>
                <c:pt idx="1">
                  <c:v>900</c:v>
                </c:pt>
                <c:pt idx="2">
                  <c:v>900</c:v>
                </c:pt>
                <c:pt idx="3">
                  <c:v>900</c:v>
                </c:pt>
                <c:pt idx="4">
                  <c:v>900</c:v>
                </c:pt>
                <c:pt idx="5">
                  <c:v>900</c:v>
                </c:pt>
                <c:pt idx="6">
                  <c:v>900</c:v>
                </c:pt>
                <c:pt idx="7">
                  <c:v>900</c:v>
                </c:pt>
                <c:pt idx="8">
                  <c:v>900</c:v>
                </c:pt>
                <c:pt idx="9">
                  <c:v>900</c:v>
                </c:pt>
                <c:pt idx="10">
                  <c:v>900</c:v>
                </c:pt>
                <c:pt idx="11">
                  <c:v>900</c:v>
                </c:pt>
                <c:pt idx="12">
                  <c:v>900</c:v>
                </c:pt>
                <c:pt idx="13">
                  <c:v>900</c:v>
                </c:pt>
                <c:pt idx="14">
                  <c:v>900</c:v>
                </c:pt>
                <c:pt idx="15">
                  <c:v>900</c:v>
                </c:pt>
                <c:pt idx="16">
                  <c:v>900</c:v>
                </c:pt>
                <c:pt idx="17">
                  <c:v>900</c:v>
                </c:pt>
                <c:pt idx="18">
                  <c:v>900</c:v>
                </c:pt>
                <c:pt idx="19">
                  <c:v>900</c:v>
                </c:pt>
                <c:pt idx="20">
                  <c:v>900</c:v>
                </c:pt>
                <c:pt idx="21">
                  <c:v>900</c:v>
                </c:pt>
                <c:pt idx="22">
                  <c:v>900</c:v>
                </c:pt>
                <c:pt idx="23">
                  <c:v>900</c:v>
                </c:pt>
                <c:pt idx="24">
                  <c:v>900</c:v>
                </c:pt>
                <c:pt idx="25">
                  <c:v>900</c:v>
                </c:pt>
                <c:pt idx="26">
                  <c:v>900</c:v>
                </c:pt>
                <c:pt idx="27">
                  <c:v>900</c:v>
                </c:pt>
                <c:pt idx="28">
                  <c:v>900</c:v>
                </c:pt>
                <c:pt idx="29">
                  <c:v>900</c:v>
                </c:pt>
                <c:pt idx="30">
                  <c:v>900</c:v>
                </c:pt>
                <c:pt idx="31">
                  <c:v>900</c:v>
                </c:pt>
                <c:pt idx="32">
                  <c:v>900</c:v>
                </c:pt>
                <c:pt idx="33">
                  <c:v>900</c:v>
                </c:pt>
                <c:pt idx="34">
                  <c:v>900</c:v>
                </c:pt>
                <c:pt idx="35">
                  <c:v>900</c:v>
                </c:pt>
                <c:pt idx="36">
                  <c:v>900</c:v>
                </c:pt>
                <c:pt idx="37">
                  <c:v>900</c:v>
                </c:pt>
                <c:pt idx="38">
                  <c:v>900</c:v>
                </c:pt>
                <c:pt idx="39">
                  <c:v>900</c:v>
                </c:pt>
                <c:pt idx="40">
                  <c:v>900</c:v>
                </c:pt>
                <c:pt idx="41">
                  <c:v>900</c:v>
                </c:pt>
                <c:pt idx="42">
                  <c:v>900</c:v>
                </c:pt>
                <c:pt idx="43">
                  <c:v>900</c:v>
                </c:pt>
                <c:pt idx="44">
                  <c:v>900</c:v>
                </c:pt>
                <c:pt idx="45">
                  <c:v>900</c:v>
                </c:pt>
                <c:pt idx="46">
                  <c:v>900</c:v>
                </c:pt>
                <c:pt idx="47">
                  <c:v>900</c:v>
                </c:pt>
                <c:pt idx="48">
                  <c:v>1050</c:v>
                </c:pt>
                <c:pt idx="49">
                  <c:v>1050</c:v>
                </c:pt>
                <c:pt idx="50">
                  <c:v>1050</c:v>
                </c:pt>
                <c:pt idx="51">
                  <c:v>1050</c:v>
                </c:pt>
                <c:pt idx="52">
                  <c:v>1050</c:v>
                </c:pt>
                <c:pt idx="53">
                  <c:v>1050</c:v>
                </c:pt>
                <c:pt idx="54">
                  <c:v>1050</c:v>
                </c:pt>
                <c:pt idx="55">
                  <c:v>1050</c:v>
                </c:pt>
                <c:pt idx="56">
                  <c:v>1050</c:v>
                </c:pt>
                <c:pt idx="57">
                  <c:v>1050</c:v>
                </c:pt>
                <c:pt idx="58">
                  <c:v>1050</c:v>
                </c:pt>
                <c:pt idx="59">
                  <c:v>1050</c:v>
                </c:pt>
                <c:pt idx="60">
                  <c:v>1050</c:v>
                </c:pt>
                <c:pt idx="61">
                  <c:v>1050</c:v>
                </c:pt>
                <c:pt idx="62">
                  <c:v>1050</c:v>
                </c:pt>
                <c:pt idx="63">
                  <c:v>1050</c:v>
                </c:pt>
                <c:pt idx="64">
                  <c:v>1050</c:v>
                </c:pt>
                <c:pt idx="65">
                  <c:v>1050</c:v>
                </c:pt>
                <c:pt idx="66">
                  <c:v>1050</c:v>
                </c:pt>
                <c:pt idx="67">
                  <c:v>1050</c:v>
                </c:pt>
                <c:pt idx="68">
                  <c:v>1050</c:v>
                </c:pt>
              </c:numCache>
            </c:numRef>
          </c:val>
        </c:ser>
        <c:ser>
          <c:idx val="4"/>
          <c:order val="4"/>
          <c:spPr>
            <a:ln w="38100">
              <a:solidFill>
                <a:srgbClr val="000000"/>
              </a:solidFill>
              <a:prstDash val="sysDash"/>
            </a:ln>
          </c:spPr>
          <c:marker>
            <c:symbol val="none"/>
          </c:marker>
          <c:cat>
            <c:numRef>
              <c:f>'sisal-jute'!$A$150:$A$218</c:f>
              <c:numCache>
                <c:formatCode>mmm\-yy</c:formatCode>
                <c:ptCount val="69"/>
                <c:pt idx="0">
                  <c:v>39465</c:v>
                </c:pt>
                <c:pt idx="1">
                  <c:v>39496</c:v>
                </c:pt>
                <c:pt idx="2">
                  <c:v>39527</c:v>
                </c:pt>
                <c:pt idx="3">
                  <c:v>39558</c:v>
                </c:pt>
                <c:pt idx="4">
                  <c:v>39589</c:v>
                </c:pt>
                <c:pt idx="5">
                  <c:v>39620</c:v>
                </c:pt>
                <c:pt idx="6">
                  <c:v>39651</c:v>
                </c:pt>
                <c:pt idx="7">
                  <c:v>39682</c:v>
                </c:pt>
                <c:pt idx="8">
                  <c:v>39713</c:v>
                </c:pt>
                <c:pt idx="9">
                  <c:v>39744</c:v>
                </c:pt>
                <c:pt idx="10">
                  <c:v>39775</c:v>
                </c:pt>
                <c:pt idx="11">
                  <c:v>39806</c:v>
                </c:pt>
                <c:pt idx="12">
                  <c:v>39837</c:v>
                </c:pt>
                <c:pt idx="13">
                  <c:v>39868</c:v>
                </c:pt>
                <c:pt idx="14">
                  <c:v>39899</c:v>
                </c:pt>
                <c:pt idx="15">
                  <c:v>39930</c:v>
                </c:pt>
                <c:pt idx="16">
                  <c:v>39961</c:v>
                </c:pt>
                <c:pt idx="17">
                  <c:v>39992</c:v>
                </c:pt>
                <c:pt idx="18">
                  <c:v>40023</c:v>
                </c:pt>
                <c:pt idx="19">
                  <c:v>40054</c:v>
                </c:pt>
                <c:pt idx="20">
                  <c:v>40085</c:v>
                </c:pt>
                <c:pt idx="21">
                  <c:v>40116</c:v>
                </c:pt>
                <c:pt idx="22">
                  <c:v>40147</c:v>
                </c:pt>
                <c:pt idx="23">
                  <c:v>40178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numCache>
            </c:numRef>
          </c:cat>
          <c:val>
            <c:numRef>
              <c:f>'sisal-jute'!$F$150:$F$218</c:f>
              <c:numCache>
                <c:formatCode>General</c:formatCode>
                <c:ptCount val="69"/>
                <c:pt idx="0">
                  <c:v>650</c:v>
                </c:pt>
                <c:pt idx="1">
                  <c:v>650</c:v>
                </c:pt>
                <c:pt idx="2">
                  <c:v>650</c:v>
                </c:pt>
                <c:pt idx="3">
                  <c:v>650</c:v>
                </c:pt>
                <c:pt idx="4">
                  <c:v>650</c:v>
                </c:pt>
                <c:pt idx="5">
                  <c:v>650</c:v>
                </c:pt>
                <c:pt idx="6">
                  <c:v>650</c:v>
                </c:pt>
                <c:pt idx="7">
                  <c:v>650</c:v>
                </c:pt>
                <c:pt idx="8">
                  <c:v>650</c:v>
                </c:pt>
                <c:pt idx="9">
                  <c:v>650</c:v>
                </c:pt>
                <c:pt idx="10">
                  <c:v>650</c:v>
                </c:pt>
                <c:pt idx="11">
                  <c:v>650</c:v>
                </c:pt>
                <c:pt idx="12">
                  <c:v>650</c:v>
                </c:pt>
                <c:pt idx="13">
                  <c:v>650</c:v>
                </c:pt>
                <c:pt idx="14">
                  <c:v>650</c:v>
                </c:pt>
                <c:pt idx="15">
                  <c:v>650</c:v>
                </c:pt>
                <c:pt idx="16">
                  <c:v>650</c:v>
                </c:pt>
                <c:pt idx="17">
                  <c:v>650</c:v>
                </c:pt>
                <c:pt idx="18">
                  <c:v>650</c:v>
                </c:pt>
                <c:pt idx="19">
                  <c:v>650</c:v>
                </c:pt>
                <c:pt idx="20">
                  <c:v>650</c:v>
                </c:pt>
                <c:pt idx="21">
                  <c:v>650</c:v>
                </c:pt>
                <c:pt idx="22">
                  <c:v>650</c:v>
                </c:pt>
                <c:pt idx="23">
                  <c:v>650</c:v>
                </c:pt>
                <c:pt idx="24">
                  <c:v>750</c:v>
                </c:pt>
                <c:pt idx="25">
                  <c:v>750</c:v>
                </c:pt>
                <c:pt idx="26">
                  <c:v>750</c:v>
                </c:pt>
                <c:pt idx="27">
                  <c:v>750</c:v>
                </c:pt>
                <c:pt idx="28">
                  <c:v>750</c:v>
                </c:pt>
                <c:pt idx="29">
                  <c:v>750</c:v>
                </c:pt>
                <c:pt idx="30">
                  <c:v>750</c:v>
                </c:pt>
                <c:pt idx="31">
                  <c:v>750</c:v>
                </c:pt>
                <c:pt idx="32">
                  <c:v>750</c:v>
                </c:pt>
                <c:pt idx="33">
                  <c:v>750</c:v>
                </c:pt>
                <c:pt idx="34">
                  <c:v>750</c:v>
                </c:pt>
                <c:pt idx="35">
                  <c:v>750</c:v>
                </c:pt>
                <c:pt idx="36">
                  <c:v>750</c:v>
                </c:pt>
                <c:pt idx="37">
                  <c:v>750</c:v>
                </c:pt>
                <c:pt idx="38">
                  <c:v>750</c:v>
                </c:pt>
                <c:pt idx="39">
                  <c:v>750</c:v>
                </c:pt>
                <c:pt idx="40">
                  <c:v>750</c:v>
                </c:pt>
                <c:pt idx="41">
                  <c:v>750</c:v>
                </c:pt>
                <c:pt idx="42">
                  <c:v>750</c:v>
                </c:pt>
                <c:pt idx="43">
                  <c:v>750</c:v>
                </c:pt>
                <c:pt idx="44">
                  <c:v>750</c:v>
                </c:pt>
                <c:pt idx="45">
                  <c:v>750</c:v>
                </c:pt>
                <c:pt idx="46">
                  <c:v>750</c:v>
                </c:pt>
                <c:pt idx="47">
                  <c:v>750</c:v>
                </c:pt>
                <c:pt idx="48">
                  <c:v>800</c:v>
                </c:pt>
                <c:pt idx="49">
                  <c:v>800</c:v>
                </c:pt>
                <c:pt idx="50">
                  <c:v>800</c:v>
                </c:pt>
                <c:pt idx="51">
                  <c:v>800</c:v>
                </c:pt>
                <c:pt idx="52">
                  <c:v>800</c:v>
                </c:pt>
                <c:pt idx="53">
                  <c:v>800</c:v>
                </c:pt>
                <c:pt idx="54">
                  <c:v>800</c:v>
                </c:pt>
                <c:pt idx="55">
                  <c:v>800</c:v>
                </c:pt>
                <c:pt idx="56">
                  <c:v>800</c:v>
                </c:pt>
                <c:pt idx="57">
                  <c:v>800</c:v>
                </c:pt>
                <c:pt idx="58">
                  <c:v>800</c:v>
                </c:pt>
                <c:pt idx="59">
                  <c:v>800</c:v>
                </c:pt>
                <c:pt idx="60">
                  <c:v>800</c:v>
                </c:pt>
                <c:pt idx="61">
                  <c:v>800</c:v>
                </c:pt>
                <c:pt idx="62">
                  <c:v>800</c:v>
                </c:pt>
                <c:pt idx="63">
                  <c:v>800</c:v>
                </c:pt>
                <c:pt idx="64">
                  <c:v>800</c:v>
                </c:pt>
                <c:pt idx="65">
                  <c:v>800</c:v>
                </c:pt>
                <c:pt idx="66">
                  <c:v>800</c:v>
                </c:pt>
                <c:pt idx="67">
                  <c:v>800</c:v>
                </c:pt>
                <c:pt idx="68">
                  <c:v>800</c:v>
                </c:pt>
              </c:numCache>
            </c:numRef>
          </c:val>
        </c:ser>
        <c:dLbls/>
        <c:marker val="1"/>
        <c:axId val="209295616"/>
        <c:axId val="209305600"/>
      </c:lineChart>
      <c:dateAx>
        <c:axId val="209295616"/>
        <c:scaling>
          <c:orientation val="minMax"/>
        </c:scaling>
        <c:axPos val="b"/>
        <c:numFmt formatCode="mmm\-yy" sourceLinked="0"/>
        <c:tickLblPos val="nextTo"/>
        <c:spPr>
          <a:ln w="3175">
            <a:solidFill>
              <a:srgbClr val="000000"/>
            </a:solidFill>
            <a:prstDash val="solid"/>
          </a:ln>
        </c:spPr>
        <c:txPr>
          <a:bodyPr rot="-2520000" vert="horz"/>
          <a:lstStyle/>
          <a:p>
            <a:pPr>
              <a:defRPr sz="900" b="1"/>
            </a:pPr>
            <a:endParaRPr lang="en-US"/>
          </a:p>
        </c:txPr>
        <c:crossAx val="209305600"/>
        <c:crosses val="autoZero"/>
        <c:auto val="1"/>
        <c:lblOffset val="100"/>
        <c:baseTimeUnit val="days"/>
        <c:majorUnit val="3"/>
        <c:majorTimeUnit val="months"/>
        <c:minorUnit val="1"/>
        <c:minorTimeUnit val="months"/>
      </c:dateAx>
      <c:valAx>
        <c:axId val="209305600"/>
        <c:scaling>
          <c:orientation val="minMax"/>
          <c:max val="1800"/>
          <c:min val="500"/>
        </c:scaling>
        <c:axPos val="l"/>
        <c:majorGridlines>
          <c:spPr>
            <a:ln w="3175">
              <a:solidFill>
                <a:srgbClr val="FFFFFF"/>
              </a:solidFill>
              <a:prstDash val="solid"/>
            </a:ln>
          </c:spPr>
        </c:majorGridlines>
        <c:numFmt formatCode="#\ ##0" sourceLinked="1"/>
        <c:tickLblPos val="nextTo"/>
        <c:spPr>
          <a:ln w="3175">
            <a:solidFill>
              <a:srgbClr val="000000"/>
            </a:solidFill>
            <a:prstDash val="solid"/>
          </a:ln>
        </c:spPr>
        <c:txPr>
          <a:bodyPr rot="0" vert="horz"/>
          <a:lstStyle/>
          <a:p>
            <a:pPr>
              <a:defRPr sz="900" b="1"/>
            </a:pPr>
            <a:endParaRPr lang="en-US"/>
          </a:p>
        </c:txPr>
        <c:crossAx val="209295616"/>
        <c:crosses val="autoZero"/>
        <c:crossBetween val="midCat"/>
        <c:majorUnit val="200"/>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Garamond" panose="02020404030301010803" pitchFamily="18" charset="0"/>
          <a:ea typeface="Times New Roman"/>
          <a:cs typeface="Times New Roman"/>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style val="3"/>
  <c:chart>
    <c:title>
      <c:tx>
        <c:rich>
          <a:bodyPr/>
          <a:lstStyle/>
          <a:p>
            <a:pPr>
              <a:defRPr sz="1200"/>
            </a:pPr>
            <a:r>
              <a:rPr lang="en-GB" sz="1200"/>
              <a:t>Share of World Sisal Fibre Production, 2012</a:t>
            </a:r>
          </a:p>
        </c:rich>
      </c:tx>
    </c:title>
    <c:view3D>
      <c:rotX val="30"/>
      <c:perspective val="30"/>
    </c:view3D>
    <c:plotArea>
      <c:layout>
        <c:manualLayout>
          <c:layoutTarget val="inner"/>
          <c:xMode val="edge"/>
          <c:yMode val="edge"/>
          <c:x val="6.9631667459819427E-2"/>
          <c:y val="0.23039998104074472"/>
          <c:w val="0.76534334652006064"/>
          <c:h val="0.68799434777199131"/>
        </c:manualLayout>
      </c:layout>
      <c:pie3DChart>
        <c:varyColors val="1"/>
        <c:ser>
          <c:idx val="0"/>
          <c:order val="0"/>
          <c:explosion val="9"/>
          <c:dPt>
            <c:idx val="0"/>
            <c:spPr>
              <a:solidFill>
                <a:srgbClr val="00B0F0"/>
              </a:solidFill>
            </c:spPr>
          </c:dPt>
          <c:dPt>
            <c:idx val="2"/>
            <c:spPr>
              <a:solidFill>
                <a:schemeClr val="accent5">
                  <a:lumMod val="40000"/>
                  <a:lumOff val="60000"/>
                </a:schemeClr>
              </a:solidFill>
            </c:spPr>
          </c:dPt>
          <c:dLbls>
            <c:dLbl>
              <c:idx val="1"/>
              <c:layout>
                <c:manualLayout>
                  <c:x val="1.6222424770686588E-3"/>
                  <c:y val="-7.463472380376669E-3"/>
                </c:manualLayout>
              </c:layout>
              <c:dLblPos val="bestFit"/>
              <c:showVal val="1"/>
              <c:showCatName val="1"/>
            </c:dLbl>
            <c:dLbl>
              <c:idx val="3"/>
              <c:layout>
                <c:manualLayout>
                  <c:x val="8.2692358066020263E-3"/>
                  <c:y val="-0.25887433694186518"/>
                </c:manualLayout>
              </c:layout>
              <c:dLblPos val="bestFit"/>
              <c:showVal val="1"/>
              <c:showCatName val="1"/>
            </c:dLbl>
            <c:txPr>
              <a:bodyPr/>
              <a:lstStyle/>
              <a:p>
                <a:pPr>
                  <a:defRPr sz="900" b="1"/>
                </a:pPr>
                <a:endParaRPr lang="en-US"/>
              </a:p>
            </c:txPr>
            <c:showVal val="1"/>
            <c:showCatName val="1"/>
          </c:dLbls>
          <c:cat>
            <c:strRef>
              <c:f>'Chart 8'!$D$4:$D$9</c:f>
              <c:strCache>
                <c:ptCount val="6"/>
                <c:pt idx="0">
                  <c:v>Kenya</c:v>
                </c:pt>
                <c:pt idx="1">
                  <c:v>Madagascar</c:v>
                </c:pt>
                <c:pt idx="2">
                  <c:v>Tanzania</c:v>
                </c:pt>
                <c:pt idx="3">
                  <c:v>Brazil</c:v>
                </c:pt>
                <c:pt idx="4">
                  <c:v>China</c:v>
                </c:pt>
                <c:pt idx="5">
                  <c:v>Others</c:v>
                </c:pt>
              </c:strCache>
            </c:strRef>
          </c:cat>
          <c:val>
            <c:numRef>
              <c:f>'Chart 8'!$E$4:$E$9</c:f>
              <c:numCache>
                <c:formatCode>0.0%</c:formatCode>
                <c:ptCount val="6"/>
                <c:pt idx="0">
                  <c:v>0.129</c:v>
                </c:pt>
                <c:pt idx="1">
                  <c:v>3.7999999999999999E-2</c:v>
                </c:pt>
                <c:pt idx="2">
                  <c:v>0.16400000000000001</c:v>
                </c:pt>
                <c:pt idx="3">
                  <c:v>0.34600000000000014</c:v>
                </c:pt>
                <c:pt idx="4">
                  <c:v>0.22600000000000001</c:v>
                </c:pt>
                <c:pt idx="5">
                  <c:v>9.7000000000000003E-2</c:v>
                </c:pt>
              </c:numCache>
            </c:numRef>
          </c:val>
        </c:ser>
        <c:dLbls/>
      </c:pie3DChart>
      <c:spPr>
        <a:noFill/>
        <a:ln w="25400">
          <a:noFill/>
        </a:ln>
      </c:spPr>
    </c:plotArea>
    <c:plotVisOnly val="1"/>
    <c:dispBlanksAs val="zero"/>
  </c:chart>
  <c:txPr>
    <a:bodyPr/>
    <a:lstStyle/>
    <a:p>
      <a:pPr>
        <a:defRPr>
          <a:latin typeface="Garamond" panose="02020404030301010803"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Production of Sisal Fibre</a:t>
            </a:r>
          </a:p>
        </c:rich>
      </c:tx>
    </c:title>
    <c:view3D>
      <c:rAngAx val="1"/>
    </c:view3D>
    <c:plotArea>
      <c:layout/>
      <c:bar3DChart>
        <c:barDir val="col"/>
        <c:grouping val="stacked"/>
        <c:ser>
          <c:idx val="0"/>
          <c:order val="0"/>
          <c:tx>
            <c:strRef>
              <c:f>'Chart 8'!$A$60</c:f>
              <c:strCache>
                <c:ptCount val="1"/>
                <c:pt idx="0">
                  <c:v>Brazil</c:v>
                </c:pt>
              </c:strCache>
            </c:strRef>
          </c:tx>
          <c:spPr>
            <a:solidFill>
              <a:srgbClr val="00B0F0"/>
            </a:solidFill>
          </c:spPr>
          <c:cat>
            <c:numRef>
              <c:f>'Chart 8'!$B$59:$F$59</c:f>
              <c:numCache>
                <c:formatCode>General</c:formatCode>
                <c:ptCount val="5"/>
                <c:pt idx="0">
                  <c:v>2008</c:v>
                </c:pt>
                <c:pt idx="1">
                  <c:v>2009</c:v>
                </c:pt>
                <c:pt idx="2">
                  <c:v>2010</c:v>
                </c:pt>
                <c:pt idx="3">
                  <c:v>2011</c:v>
                </c:pt>
                <c:pt idx="4">
                  <c:v>2012</c:v>
                </c:pt>
              </c:numCache>
            </c:numRef>
          </c:cat>
          <c:val>
            <c:numRef>
              <c:f>'Chart 8'!$B$60:$F$60</c:f>
              <c:numCache>
                <c:formatCode>0.0</c:formatCode>
                <c:ptCount val="5"/>
                <c:pt idx="0">
                  <c:v>105.577</c:v>
                </c:pt>
                <c:pt idx="1">
                  <c:v>94.906999999999996</c:v>
                </c:pt>
                <c:pt idx="2">
                  <c:v>97.946000000000026</c:v>
                </c:pt>
                <c:pt idx="3">
                  <c:v>111.23099999999999</c:v>
                </c:pt>
                <c:pt idx="4">
                  <c:v>75</c:v>
                </c:pt>
              </c:numCache>
            </c:numRef>
          </c:val>
        </c:ser>
        <c:ser>
          <c:idx val="1"/>
          <c:order val="1"/>
          <c:tx>
            <c:strRef>
              <c:f>'Chart 8'!$A$61</c:f>
              <c:strCache>
                <c:ptCount val="1"/>
                <c:pt idx="0">
                  <c:v>China</c:v>
                </c:pt>
              </c:strCache>
            </c:strRef>
          </c:tx>
          <c:cat>
            <c:numRef>
              <c:f>'Chart 8'!$B$59:$F$59</c:f>
              <c:numCache>
                <c:formatCode>General</c:formatCode>
                <c:ptCount val="5"/>
                <c:pt idx="0">
                  <c:v>2008</c:v>
                </c:pt>
                <c:pt idx="1">
                  <c:v>2009</c:v>
                </c:pt>
                <c:pt idx="2">
                  <c:v>2010</c:v>
                </c:pt>
                <c:pt idx="3">
                  <c:v>2011</c:v>
                </c:pt>
                <c:pt idx="4">
                  <c:v>2012</c:v>
                </c:pt>
              </c:numCache>
            </c:numRef>
          </c:cat>
          <c:val>
            <c:numRef>
              <c:f>'Chart 8'!$B$61:$F$61</c:f>
              <c:numCache>
                <c:formatCode>0.0</c:formatCode>
                <c:ptCount val="5"/>
                <c:pt idx="0">
                  <c:v>53</c:v>
                </c:pt>
                <c:pt idx="1">
                  <c:v>45.9</c:v>
                </c:pt>
                <c:pt idx="2">
                  <c:v>46.3</c:v>
                </c:pt>
                <c:pt idx="3">
                  <c:v>48.911320000000003</c:v>
                </c:pt>
                <c:pt idx="4">
                  <c:v>49</c:v>
                </c:pt>
              </c:numCache>
            </c:numRef>
          </c:val>
        </c:ser>
        <c:ser>
          <c:idx val="2"/>
          <c:order val="2"/>
          <c:tx>
            <c:strRef>
              <c:f>'Chart 8'!$A$62</c:f>
              <c:strCache>
                <c:ptCount val="1"/>
                <c:pt idx="0">
                  <c:v>Tanzania</c:v>
                </c:pt>
              </c:strCache>
            </c:strRef>
          </c:tx>
          <c:spPr>
            <a:solidFill>
              <a:srgbClr val="92D050"/>
            </a:solidFill>
          </c:spPr>
          <c:cat>
            <c:numRef>
              <c:f>'Chart 8'!$B$59:$F$59</c:f>
              <c:numCache>
                <c:formatCode>General</c:formatCode>
                <c:ptCount val="5"/>
                <c:pt idx="0">
                  <c:v>2008</c:v>
                </c:pt>
                <c:pt idx="1">
                  <c:v>2009</c:v>
                </c:pt>
                <c:pt idx="2">
                  <c:v>2010</c:v>
                </c:pt>
                <c:pt idx="3">
                  <c:v>2011</c:v>
                </c:pt>
                <c:pt idx="4">
                  <c:v>2012</c:v>
                </c:pt>
              </c:numCache>
            </c:numRef>
          </c:cat>
          <c:val>
            <c:numRef>
              <c:f>'Chart 8'!$B$62:$F$62</c:f>
              <c:numCache>
                <c:formatCode>0.0</c:formatCode>
                <c:ptCount val="5"/>
                <c:pt idx="0">
                  <c:v>33.027000000000001</c:v>
                </c:pt>
                <c:pt idx="1">
                  <c:v>21.059000000000001</c:v>
                </c:pt>
                <c:pt idx="2">
                  <c:v>34.766000000000012</c:v>
                </c:pt>
                <c:pt idx="3">
                  <c:v>34.527000000000001</c:v>
                </c:pt>
                <c:pt idx="4">
                  <c:v>35.590000000000003</c:v>
                </c:pt>
              </c:numCache>
            </c:numRef>
          </c:val>
        </c:ser>
        <c:ser>
          <c:idx val="3"/>
          <c:order val="3"/>
          <c:tx>
            <c:strRef>
              <c:f>'Chart 8'!$A$63</c:f>
              <c:strCache>
                <c:ptCount val="1"/>
                <c:pt idx="0">
                  <c:v>Kenya</c:v>
                </c:pt>
              </c:strCache>
            </c:strRef>
          </c:tx>
          <c:spPr>
            <a:solidFill>
              <a:srgbClr val="FFFF00"/>
            </a:solidFill>
          </c:spPr>
          <c:cat>
            <c:numRef>
              <c:f>'Chart 8'!$B$59:$F$59</c:f>
              <c:numCache>
                <c:formatCode>General</c:formatCode>
                <c:ptCount val="5"/>
                <c:pt idx="0">
                  <c:v>2008</c:v>
                </c:pt>
                <c:pt idx="1">
                  <c:v>2009</c:v>
                </c:pt>
                <c:pt idx="2">
                  <c:v>2010</c:v>
                </c:pt>
                <c:pt idx="3">
                  <c:v>2011</c:v>
                </c:pt>
                <c:pt idx="4">
                  <c:v>2012</c:v>
                </c:pt>
              </c:numCache>
            </c:numRef>
          </c:cat>
          <c:val>
            <c:numRef>
              <c:f>'Chart 8'!$B$63:$F$63</c:f>
              <c:numCache>
                <c:formatCode>0.00</c:formatCode>
                <c:ptCount val="5"/>
                <c:pt idx="0">
                  <c:v>22.231000000000005</c:v>
                </c:pt>
                <c:pt idx="1">
                  <c:v>21.495999999999984</c:v>
                </c:pt>
                <c:pt idx="2">
                  <c:v>24.07</c:v>
                </c:pt>
                <c:pt idx="3">
                  <c:v>28.132000000000001</c:v>
                </c:pt>
                <c:pt idx="4">
                  <c:v>27.866</c:v>
                </c:pt>
              </c:numCache>
            </c:numRef>
          </c:val>
        </c:ser>
        <c:ser>
          <c:idx val="4"/>
          <c:order val="4"/>
          <c:tx>
            <c:strRef>
              <c:f>'Chart 8'!$A$64</c:f>
              <c:strCache>
                <c:ptCount val="1"/>
                <c:pt idx="0">
                  <c:v>Madagascar</c:v>
                </c:pt>
              </c:strCache>
            </c:strRef>
          </c:tx>
          <c:spPr>
            <a:solidFill>
              <a:srgbClr val="0070C0"/>
            </a:solidFill>
          </c:spPr>
          <c:cat>
            <c:numRef>
              <c:f>'Chart 8'!$B$59:$F$59</c:f>
              <c:numCache>
                <c:formatCode>General</c:formatCode>
                <c:ptCount val="5"/>
                <c:pt idx="0">
                  <c:v>2008</c:v>
                </c:pt>
                <c:pt idx="1">
                  <c:v>2009</c:v>
                </c:pt>
                <c:pt idx="2">
                  <c:v>2010</c:v>
                </c:pt>
                <c:pt idx="3">
                  <c:v>2011</c:v>
                </c:pt>
                <c:pt idx="4">
                  <c:v>2012</c:v>
                </c:pt>
              </c:numCache>
            </c:numRef>
          </c:cat>
          <c:val>
            <c:numRef>
              <c:f>'Chart 8'!$B$64:$F$64</c:f>
              <c:numCache>
                <c:formatCode>0.0</c:formatCode>
                <c:ptCount val="5"/>
                <c:pt idx="0">
                  <c:v>8.2800000000000011</c:v>
                </c:pt>
                <c:pt idx="1">
                  <c:v>6.865999999999997</c:v>
                </c:pt>
                <c:pt idx="2">
                  <c:v>9.097999999999999</c:v>
                </c:pt>
                <c:pt idx="3">
                  <c:v>8.0250000000000004</c:v>
                </c:pt>
                <c:pt idx="4">
                  <c:v>8.2459999999999987</c:v>
                </c:pt>
              </c:numCache>
            </c:numRef>
          </c:val>
        </c:ser>
        <c:ser>
          <c:idx val="5"/>
          <c:order val="5"/>
          <c:tx>
            <c:strRef>
              <c:f>'Chart 8'!$A$65</c:f>
              <c:strCache>
                <c:ptCount val="1"/>
                <c:pt idx="0">
                  <c:v>Others</c:v>
                </c:pt>
              </c:strCache>
            </c:strRef>
          </c:tx>
          <c:spPr>
            <a:solidFill>
              <a:srgbClr val="F913CD"/>
            </a:solidFill>
          </c:spPr>
          <c:cat>
            <c:numRef>
              <c:f>'Chart 8'!$B$59:$F$59</c:f>
              <c:numCache>
                <c:formatCode>General</c:formatCode>
                <c:ptCount val="5"/>
                <c:pt idx="0">
                  <c:v>2008</c:v>
                </c:pt>
                <c:pt idx="1">
                  <c:v>2009</c:v>
                </c:pt>
                <c:pt idx="2">
                  <c:v>2010</c:v>
                </c:pt>
                <c:pt idx="3">
                  <c:v>2011</c:v>
                </c:pt>
                <c:pt idx="4">
                  <c:v>2012</c:v>
                </c:pt>
              </c:numCache>
            </c:numRef>
          </c:cat>
          <c:val>
            <c:numRef>
              <c:f>'Chart 8'!$B$65:$F$65</c:f>
              <c:numCache>
                <c:formatCode>0.0</c:formatCode>
                <c:ptCount val="5"/>
                <c:pt idx="0">
                  <c:v>18.634999999999991</c:v>
                </c:pt>
                <c:pt idx="1">
                  <c:v>21.018999999999977</c:v>
                </c:pt>
                <c:pt idx="2">
                  <c:v>19.519999999999985</c:v>
                </c:pt>
                <c:pt idx="3">
                  <c:v>21.975999999999988</c:v>
                </c:pt>
                <c:pt idx="4">
                  <c:v>21.076000000000025</c:v>
                </c:pt>
              </c:numCache>
            </c:numRef>
          </c:val>
        </c:ser>
        <c:dLbls/>
        <c:gapWidth val="55"/>
        <c:gapDepth val="55"/>
        <c:shape val="box"/>
        <c:axId val="211673088"/>
        <c:axId val="211674624"/>
        <c:axId val="0"/>
      </c:bar3DChart>
      <c:catAx>
        <c:axId val="211673088"/>
        <c:scaling>
          <c:orientation val="minMax"/>
        </c:scaling>
        <c:axPos val="b"/>
        <c:numFmt formatCode="General" sourceLinked="1"/>
        <c:majorTickMark val="none"/>
        <c:tickLblPos val="nextTo"/>
        <c:txPr>
          <a:bodyPr/>
          <a:lstStyle/>
          <a:p>
            <a:pPr>
              <a:defRPr sz="900" b="1"/>
            </a:pPr>
            <a:endParaRPr lang="en-US"/>
          </a:p>
        </c:txPr>
        <c:crossAx val="211674624"/>
        <c:crosses val="autoZero"/>
        <c:auto val="1"/>
        <c:lblAlgn val="ctr"/>
        <c:lblOffset val="100"/>
      </c:catAx>
      <c:valAx>
        <c:axId val="211674624"/>
        <c:scaling>
          <c:orientation val="minMax"/>
        </c:scaling>
        <c:axPos val="l"/>
        <c:majorGridlines/>
        <c:title>
          <c:tx>
            <c:rich>
              <a:bodyPr rot="-5400000" vert="horz"/>
              <a:lstStyle/>
              <a:p>
                <a:pPr>
                  <a:defRPr sz="900"/>
                </a:pPr>
                <a:r>
                  <a:rPr lang="en-US" sz="900"/>
                  <a:t>thousand tonnes</a:t>
                </a:r>
              </a:p>
            </c:rich>
          </c:tx>
          <c:layout>
            <c:manualLayout>
              <c:xMode val="edge"/>
              <c:yMode val="edge"/>
              <c:x val="2.2513343550177062E-2"/>
              <c:y val="0.3878474764005414"/>
            </c:manualLayout>
          </c:layout>
        </c:title>
        <c:numFmt formatCode="0" sourceLinked="0"/>
        <c:majorTickMark val="none"/>
        <c:tickLblPos val="nextTo"/>
        <c:txPr>
          <a:bodyPr/>
          <a:lstStyle/>
          <a:p>
            <a:pPr>
              <a:defRPr sz="900" b="1"/>
            </a:pPr>
            <a:endParaRPr lang="en-US"/>
          </a:p>
        </c:txPr>
        <c:crossAx val="211673088"/>
        <c:crosses val="autoZero"/>
        <c:crossBetween val="between"/>
      </c:valAx>
    </c:plotArea>
    <c:legend>
      <c:legendPos val="b"/>
      <c:txPr>
        <a:bodyPr/>
        <a:lstStyle/>
        <a:p>
          <a:pPr>
            <a:defRPr sz="900"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Production of Sisal, Henequen and Other Hard Fibres</a:t>
            </a:r>
          </a:p>
        </c:rich>
      </c:tx>
    </c:title>
    <c:view3D>
      <c:rAngAx val="1"/>
    </c:view3D>
    <c:plotArea>
      <c:layout/>
      <c:bar3DChart>
        <c:barDir val="col"/>
        <c:grouping val="stacked"/>
        <c:ser>
          <c:idx val="0"/>
          <c:order val="0"/>
          <c:tx>
            <c:strRef>
              <c:f>'Chart 8'!$A$42</c:f>
              <c:strCache>
                <c:ptCount val="1"/>
                <c:pt idx="0">
                  <c:v>Sisal</c:v>
                </c:pt>
              </c:strCache>
            </c:strRef>
          </c:tx>
          <c:spPr>
            <a:solidFill>
              <a:srgbClr val="00B0F0"/>
            </a:solidFill>
          </c:spPr>
          <c:dLbls>
            <c:txPr>
              <a:bodyPr/>
              <a:lstStyle/>
              <a:p>
                <a:pPr>
                  <a:defRPr b="1"/>
                </a:pPr>
                <a:endParaRPr lang="en-US"/>
              </a:p>
            </c:txPr>
            <c:showVal val="1"/>
          </c:dLbls>
          <c:cat>
            <c:numRef>
              <c:f>'Chart 8'!$B$41:$F$41</c:f>
              <c:numCache>
                <c:formatCode>General</c:formatCode>
                <c:ptCount val="5"/>
                <c:pt idx="0">
                  <c:v>2008</c:v>
                </c:pt>
                <c:pt idx="1">
                  <c:v>2009</c:v>
                </c:pt>
                <c:pt idx="2">
                  <c:v>2010</c:v>
                </c:pt>
                <c:pt idx="3">
                  <c:v>2011</c:v>
                </c:pt>
                <c:pt idx="4">
                  <c:v>2012</c:v>
                </c:pt>
              </c:numCache>
            </c:numRef>
          </c:cat>
          <c:val>
            <c:numRef>
              <c:f>'Chart 8'!$B$42:$F$42</c:f>
              <c:numCache>
                <c:formatCode>0.0</c:formatCode>
                <c:ptCount val="5"/>
                <c:pt idx="0">
                  <c:v>240.75</c:v>
                </c:pt>
                <c:pt idx="1">
                  <c:v>211.24699999999999</c:v>
                </c:pt>
                <c:pt idx="2">
                  <c:v>231.7</c:v>
                </c:pt>
                <c:pt idx="3">
                  <c:v>252.80232000000009</c:v>
                </c:pt>
                <c:pt idx="4">
                  <c:v>216.77800000000002</c:v>
                </c:pt>
              </c:numCache>
            </c:numRef>
          </c:val>
        </c:ser>
        <c:ser>
          <c:idx val="1"/>
          <c:order val="1"/>
          <c:tx>
            <c:strRef>
              <c:f>'Chart 8'!$A$43</c:f>
              <c:strCache>
                <c:ptCount val="1"/>
                <c:pt idx="0">
                  <c:v>Henequen</c:v>
                </c:pt>
              </c:strCache>
            </c:strRef>
          </c:tx>
          <c:spPr>
            <a:solidFill>
              <a:srgbClr val="F913CD"/>
            </a:solidFill>
          </c:spPr>
          <c:dLbls>
            <c:txPr>
              <a:bodyPr/>
              <a:lstStyle/>
              <a:p>
                <a:pPr>
                  <a:defRPr b="1"/>
                </a:pPr>
                <a:endParaRPr lang="en-US"/>
              </a:p>
            </c:txPr>
            <c:showVal val="1"/>
          </c:dLbls>
          <c:cat>
            <c:numRef>
              <c:f>'Chart 8'!$B$41:$F$41</c:f>
              <c:numCache>
                <c:formatCode>General</c:formatCode>
                <c:ptCount val="5"/>
                <c:pt idx="0">
                  <c:v>2008</c:v>
                </c:pt>
                <c:pt idx="1">
                  <c:v>2009</c:v>
                </c:pt>
                <c:pt idx="2">
                  <c:v>2010</c:v>
                </c:pt>
                <c:pt idx="3">
                  <c:v>2011</c:v>
                </c:pt>
                <c:pt idx="4">
                  <c:v>2012</c:v>
                </c:pt>
              </c:numCache>
            </c:numRef>
          </c:cat>
          <c:val>
            <c:numRef>
              <c:f>'Chart 8'!$B$43:$F$43</c:f>
              <c:numCache>
                <c:formatCode>0.0</c:formatCode>
                <c:ptCount val="5"/>
                <c:pt idx="0">
                  <c:v>20.355</c:v>
                </c:pt>
                <c:pt idx="1">
                  <c:v>24.744</c:v>
                </c:pt>
                <c:pt idx="2">
                  <c:v>22.372</c:v>
                </c:pt>
                <c:pt idx="3">
                  <c:v>25.012999999999987</c:v>
                </c:pt>
                <c:pt idx="4">
                  <c:v>24.9</c:v>
                </c:pt>
              </c:numCache>
            </c:numRef>
          </c:val>
        </c:ser>
        <c:ser>
          <c:idx val="2"/>
          <c:order val="2"/>
          <c:tx>
            <c:strRef>
              <c:f>'Chart 8'!$A$44</c:f>
              <c:strCache>
                <c:ptCount val="1"/>
                <c:pt idx="0">
                  <c:v>Fique</c:v>
                </c:pt>
              </c:strCache>
            </c:strRef>
          </c:tx>
          <c:spPr>
            <a:solidFill>
              <a:srgbClr val="92D050"/>
            </a:solidFill>
          </c:spPr>
          <c:dLbls>
            <c:txPr>
              <a:bodyPr/>
              <a:lstStyle/>
              <a:p>
                <a:pPr>
                  <a:defRPr b="1"/>
                </a:pPr>
                <a:endParaRPr lang="en-US"/>
              </a:p>
            </c:txPr>
            <c:showVal val="1"/>
          </c:dLbls>
          <c:cat>
            <c:numRef>
              <c:f>'Chart 8'!$B$41:$F$41</c:f>
              <c:numCache>
                <c:formatCode>General</c:formatCode>
                <c:ptCount val="5"/>
                <c:pt idx="0">
                  <c:v>2008</c:v>
                </c:pt>
                <c:pt idx="1">
                  <c:v>2009</c:v>
                </c:pt>
                <c:pt idx="2">
                  <c:v>2010</c:v>
                </c:pt>
                <c:pt idx="3">
                  <c:v>2011</c:v>
                </c:pt>
                <c:pt idx="4">
                  <c:v>2012</c:v>
                </c:pt>
              </c:numCache>
            </c:numRef>
          </c:cat>
          <c:val>
            <c:numRef>
              <c:f>'Chart 8'!$B$44:$F$44</c:f>
              <c:numCache>
                <c:formatCode>0.0</c:formatCode>
                <c:ptCount val="5"/>
                <c:pt idx="0">
                  <c:v>20.86</c:v>
                </c:pt>
                <c:pt idx="1">
                  <c:v>21.618000000000009</c:v>
                </c:pt>
                <c:pt idx="2">
                  <c:v>23.95999999999999</c:v>
                </c:pt>
                <c:pt idx="3">
                  <c:v>22.024999999999999</c:v>
                </c:pt>
                <c:pt idx="4">
                  <c:v>20.135000000000005</c:v>
                </c:pt>
              </c:numCache>
            </c:numRef>
          </c:val>
        </c:ser>
        <c:ser>
          <c:idx val="3"/>
          <c:order val="3"/>
          <c:tx>
            <c:strRef>
              <c:f>'Chart 8'!$A$45</c:f>
              <c:strCache>
                <c:ptCount val="1"/>
                <c:pt idx="0">
                  <c:v>Others</c:v>
                </c:pt>
              </c:strCache>
            </c:strRef>
          </c:tx>
          <c:spPr>
            <a:solidFill>
              <a:srgbClr val="FFFF00"/>
            </a:solidFill>
          </c:spPr>
          <c:dLbls>
            <c:txPr>
              <a:bodyPr/>
              <a:lstStyle/>
              <a:p>
                <a:pPr>
                  <a:defRPr b="1"/>
                </a:pPr>
                <a:endParaRPr lang="en-US"/>
              </a:p>
            </c:txPr>
            <c:showVal val="1"/>
          </c:dLbls>
          <c:cat>
            <c:numRef>
              <c:f>'Chart 8'!$B$41:$F$41</c:f>
              <c:numCache>
                <c:formatCode>General</c:formatCode>
                <c:ptCount val="5"/>
                <c:pt idx="0">
                  <c:v>2008</c:v>
                </c:pt>
                <c:pt idx="1">
                  <c:v>2009</c:v>
                </c:pt>
                <c:pt idx="2">
                  <c:v>2010</c:v>
                </c:pt>
                <c:pt idx="3">
                  <c:v>2011</c:v>
                </c:pt>
                <c:pt idx="4">
                  <c:v>2012</c:v>
                </c:pt>
              </c:numCache>
            </c:numRef>
          </c:cat>
          <c:val>
            <c:numRef>
              <c:f>'Chart 8'!$B$45:$F$45</c:f>
              <c:numCache>
                <c:formatCode>0.0</c:formatCode>
                <c:ptCount val="5"/>
                <c:pt idx="0">
                  <c:v>13.3</c:v>
                </c:pt>
                <c:pt idx="1">
                  <c:v>14.3</c:v>
                </c:pt>
                <c:pt idx="2">
                  <c:v>14.3</c:v>
                </c:pt>
                <c:pt idx="3">
                  <c:v>14.3</c:v>
                </c:pt>
                <c:pt idx="4">
                  <c:v>14.3</c:v>
                </c:pt>
              </c:numCache>
            </c:numRef>
          </c:val>
        </c:ser>
        <c:dLbls/>
        <c:gapWidth val="75"/>
        <c:shape val="box"/>
        <c:axId val="211785600"/>
        <c:axId val="211787136"/>
        <c:axId val="0"/>
      </c:bar3DChart>
      <c:catAx>
        <c:axId val="211785600"/>
        <c:scaling>
          <c:orientation val="minMax"/>
        </c:scaling>
        <c:axPos val="b"/>
        <c:numFmt formatCode="General" sourceLinked="1"/>
        <c:majorTickMark val="none"/>
        <c:tickLblPos val="nextTo"/>
        <c:txPr>
          <a:bodyPr/>
          <a:lstStyle/>
          <a:p>
            <a:pPr>
              <a:defRPr b="1"/>
            </a:pPr>
            <a:endParaRPr lang="en-US"/>
          </a:p>
        </c:txPr>
        <c:crossAx val="211787136"/>
        <c:crosses val="autoZero"/>
        <c:auto val="1"/>
        <c:lblAlgn val="ctr"/>
        <c:lblOffset val="100"/>
      </c:catAx>
      <c:valAx>
        <c:axId val="211787136"/>
        <c:scaling>
          <c:orientation val="minMax"/>
        </c:scaling>
        <c:axPos val="l"/>
        <c:majorGridlines/>
        <c:title>
          <c:tx>
            <c:rich>
              <a:bodyPr rot="-5400000" vert="horz"/>
              <a:lstStyle/>
              <a:p>
                <a:pPr>
                  <a:defRPr b="1"/>
                </a:pPr>
                <a:r>
                  <a:rPr lang="en-US" b="1"/>
                  <a:t>thousand tonnes</a:t>
                </a:r>
              </a:p>
            </c:rich>
          </c:tx>
          <c:layout>
            <c:manualLayout>
              <c:xMode val="edge"/>
              <c:yMode val="edge"/>
              <c:x val="3.6017223105960804E-2"/>
              <c:y val="0.43785661139111948"/>
            </c:manualLayout>
          </c:layout>
        </c:title>
        <c:numFmt formatCode="0" sourceLinked="0"/>
        <c:majorTickMark val="none"/>
        <c:tickLblPos val="nextTo"/>
        <c:spPr>
          <a:ln w="9525">
            <a:noFill/>
          </a:ln>
        </c:spPr>
        <c:txPr>
          <a:bodyPr/>
          <a:lstStyle/>
          <a:p>
            <a:pPr>
              <a:defRPr b="1"/>
            </a:pPr>
            <a:endParaRPr lang="en-US"/>
          </a:p>
        </c:txPr>
        <c:crossAx val="211785600"/>
        <c:crosses val="autoZero"/>
        <c:crossBetween val="between"/>
      </c:valAx>
    </c:plotArea>
    <c:legend>
      <c:legendPos val="b"/>
      <c:txPr>
        <a:bodyPr/>
        <a:lstStyle/>
        <a:p>
          <a:pPr>
            <a:defRPr b="1"/>
          </a:pPr>
          <a:endParaRPr lang="en-US"/>
        </a:p>
      </c:txPr>
    </c:legend>
    <c:plotVisOnly val="1"/>
    <c:dispBlanksAs val="gap"/>
  </c:chart>
  <c:txPr>
    <a:bodyPr/>
    <a:lstStyle/>
    <a:p>
      <a:pPr>
        <a:defRPr sz="900">
          <a:latin typeface="Garamond" panose="02020404030301010803"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Exports of Sisal Fibre </a:t>
            </a:r>
          </a:p>
        </c:rich>
      </c:tx>
    </c:title>
    <c:view3D>
      <c:rAngAx val="1"/>
    </c:view3D>
    <c:plotArea>
      <c:layout/>
      <c:bar3DChart>
        <c:barDir val="col"/>
        <c:grouping val="stacked"/>
        <c:ser>
          <c:idx val="0"/>
          <c:order val="0"/>
          <c:tx>
            <c:strRef>
              <c:f>'Chart 9'!$A$3</c:f>
              <c:strCache>
                <c:ptCount val="1"/>
                <c:pt idx="0">
                  <c:v>Brazil</c:v>
                </c:pt>
              </c:strCache>
            </c:strRef>
          </c:tx>
          <c:spPr>
            <a:solidFill>
              <a:srgbClr val="00B0F0"/>
            </a:solidFill>
          </c:spPr>
          <c:cat>
            <c:numRef>
              <c:f>'Chart 9'!$B$2:$F$2</c:f>
              <c:numCache>
                <c:formatCode>General</c:formatCode>
                <c:ptCount val="5"/>
                <c:pt idx="0">
                  <c:v>2008</c:v>
                </c:pt>
                <c:pt idx="1">
                  <c:v>2009</c:v>
                </c:pt>
                <c:pt idx="2">
                  <c:v>2010</c:v>
                </c:pt>
                <c:pt idx="3">
                  <c:v>2011</c:v>
                </c:pt>
                <c:pt idx="4">
                  <c:v>2012</c:v>
                </c:pt>
              </c:numCache>
            </c:numRef>
          </c:cat>
          <c:val>
            <c:numRef>
              <c:f>'Chart 9'!$B$3:$F$3</c:f>
              <c:numCache>
                <c:formatCode>0.0</c:formatCode>
                <c:ptCount val="5"/>
                <c:pt idx="0">
                  <c:v>27.143000000000001</c:v>
                </c:pt>
                <c:pt idx="1">
                  <c:v>27.40199999999999</c:v>
                </c:pt>
                <c:pt idx="2">
                  <c:v>30.474799999999981</c:v>
                </c:pt>
                <c:pt idx="3">
                  <c:v>39.1</c:v>
                </c:pt>
                <c:pt idx="4">
                  <c:v>36.133000000000003</c:v>
                </c:pt>
              </c:numCache>
            </c:numRef>
          </c:val>
        </c:ser>
        <c:ser>
          <c:idx val="1"/>
          <c:order val="1"/>
          <c:tx>
            <c:strRef>
              <c:f>'Chart 9'!$A$4</c:f>
              <c:strCache>
                <c:ptCount val="1"/>
                <c:pt idx="0">
                  <c:v>Kenya</c:v>
                </c:pt>
              </c:strCache>
            </c:strRef>
          </c:tx>
          <c:spPr>
            <a:solidFill>
              <a:srgbClr val="F517CB"/>
            </a:solidFill>
          </c:spPr>
          <c:cat>
            <c:numRef>
              <c:f>'Chart 9'!$B$2:$F$2</c:f>
              <c:numCache>
                <c:formatCode>General</c:formatCode>
                <c:ptCount val="5"/>
                <c:pt idx="0">
                  <c:v>2008</c:v>
                </c:pt>
                <c:pt idx="1">
                  <c:v>2009</c:v>
                </c:pt>
                <c:pt idx="2">
                  <c:v>2010</c:v>
                </c:pt>
                <c:pt idx="3">
                  <c:v>2011</c:v>
                </c:pt>
                <c:pt idx="4">
                  <c:v>2012</c:v>
                </c:pt>
              </c:numCache>
            </c:numRef>
          </c:cat>
          <c:val>
            <c:numRef>
              <c:f>'Chart 9'!$B$4:$F$4</c:f>
              <c:numCache>
                <c:formatCode>0.0</c:formatCode>
                <c:ptCount val="5"/>
                <c:pt idx="0">
                  <c:v>19.76599999999998</c:v>
                </c:pt>
                <c:pt idx="1">
                  <c:v>18.706</c:v>
                </c:pt>
                <c:pt idx="2">
                  <c:v>19.985599999999973</c:v>
                </c:pt>
                <c:pt idx="3">
                  <c:v>23.908049999999978</c:v>
                </c:pt>
                <c:pt idx="4">
                  <c:v>24.052499999999981</c:v>
                </c:pt>
              </c:numCache>
            </c:numRef>
          </c:val>
        </c:ser>
        <c:ser>
          <c:idx val="2"/>
          <c:order val="2"/>
          <c:tx>
            <c:strRef>
              <c:f>'Chart 9'!$A$5</c:f>
              <c:strCache>
                <c:ptCount val="1"/>
                <c:pt idx="0">
                  <c:v>Tanzania</c:v>
                </c:pt>
              </c:strCache>
            </c:strRef>
          </c:tx>
          <c:spPr>
            <a:solidFill>
              <a:srgbClr val="92D050"/>
            </a:solidFill>
          </c:spPr>
          <c:cat>
            <c:numRef>
              <c:f>'Chart 9'!$B$2:$F$2</c:f>
              <c:numCache>
                <c:formatCode>General</c:formatCode>
                <c:ptCount val="5"/>
                <c:pt idx="0">
                  <c:v>2008</c:v>
                </c:pt>
                <c:pt idx="1">
                  <c:v>2009</c:v>
                </c:pt>
                <c:pt idx="2">
                  <c:v>2010</c:v>
                </c:pt>
                <c:pt idx="3">
                  <c:v>2011</c:v>
                </c:pt>
                <c:pt idx="4">
                  <c:v>2012</c:v>
                </c:pt>
              </c:numCache>
            </c:numRef>
          </c:cat>
          <c:val>
            <c:numRef>
              <c:f>'Chart 9'!$B$5:$F$5</c:f>
              <c:numCache>
                <c:formatCode>0.0</c:formatCode>
                <c:ptCount val="5"/>
                <c:pt idx="0">
                  <c:v>8.9920000000000027</c:v>
                </c:pt>
                <c:pt idx="1">
                  <c:v>8.2670000000000012</c:v>
                </c:pt>
                <c:pt idx="2">
                  <c:v>11.6</c:v>
                </c:pt>
                <c:pt idx="3">
                  <c:v>13.838000000000001</c:v>
                </c:pt>
                <c:pt idx="4">
                  <c:v>15.540999999999999</c:v>
                </c:pt>
              </c:numCache>
            </c:numRef>
          </c:val>
        </c:ser>
        <c:ser>
          <c:idx val="3"/>
          <c:order val="3"/>
          <c:tx>
            <c:strRef>
              <c:f>'Chart 9'!$A$6</c:f>
              <c:strCache>
                <c:ptCount val="1"/>
                <c:pt idx="0">
                  <c:v>Madagascar</c:v>
                </c:pt>
              </c:strCache>
            </c:strRef>
          </c:tx>
          <c:cat>
            <c:numRef>
              <c:f>'Chart 9'!$B$2:$F$2</c:f>
              <c:numCache>
                <c:formatCode>General</c:formatCode>
                <c:ptCount val="5"/>
                <c:pt idx="0">
                  <c:v>2008</c:v>
                </c:pt>
                <c:pt idx="1">
                  <c:v>2009</c:v>
                </c:pt>
                <c:pt idx="2">
                  <c:v>2010</c:v>
                </c:pt>
                <c:pt idx="3">
                  <c:v>2011</c:v>
                </c:pt>
                <c:pt idx="4">
                  <c:v>2012</c:v>
                </c:pt>
              </c:numCache>
            </c:numRef>
          </c:cat>
          <c:val>
            <c:numRef>
              <c:f>'Chart 9'!$B$6:$F$6</c:f>
              <c:numCache>
                <c:formatCode>0.0</c:formatCode>
                <c:ptCount val="5"/>
                <c:pt idx="0">
                  <c:v>6.58</c:v>
                </c:pt>
                <c:pt idx="1">
                  <c:v>5.85</c:v>
                </c:pt>
                <c:pt idx="2">
                  <c:v>7.7779999999999996</c:v>
                </c:pt>
                <c:pt idx="3">
                  <c:v>6.4820000000000002</c:v>
                </c:pt>
                <c:pt idx="4">
                  <c:v>7.0789999999999997</c:v>
                </c:pt>
              </c:numCache>
            </c:numRef>
          </c:val>
        </c:ser>
        <c:dLbls/>
        <c:gapWidth val="75"/>
        <c:shape val="box"/>
        <c:axId val="217542656"/>
        <c:axId val="217544192"/>
        <c:axId val="0"/>
      </c:bar3DChart>
      <c:catAx>
        <c:axId val="217542656"/>
        <c:scaling>
          <c:orientation val="minMax"/>
        </c:scaling>
        <c:axPos val="b"/>
        <c:numFmt formatCode="General" sourceLinked="1"/>
        <c:majorTickMark val="none"/>
        <c:tickLblPos val="nextTo"/>
        <c:txPr>
          <a:bodyPr/>
          <a:lstStyle/>
          <a:p>
            <a:pPr>
              <a:defRPr b="1"/>
            </a:pPr>
            <a:endParaRPr lang="en-US"/>
          </a:p>
        </c:txPr>
        <c:crossAx val="217544192"/>
        <c:crosses val="autoZero"/>
        <c:auto val="1"/>
        <c:lblAlgn val="ctr"/>
        <c:lblOffset val="100"/>
      </c:catAx>
      <c:valAx>
        <c:axId val="217544192"/>
        <c:scaling>
          <c:orientation val="minMax"/>
        </c:scaling>
        <c:axPos val="l"/>
        <c:majorGridlines/>
        <c:title>
          <c:tx>
            <c:rich>
              <a:bodyPr rot="-5400000" vert="horz"/>
              <a:lstStyle/>
              <a:p>
                <a:pPr>
                  <a:defRPr sz="900"/>
                </a:pPr>
                <a:r>
                  <a:rPr lang="en-US" sz="900"/>
                  <a:t>thousand tonnes</a:t>
                </a:r>
              </a:p>
            </c:rich>
          </c:tx>
          <c:layout>
            <c:manualLayout>
              <c:xMode val="edge"/>
              <c:yMode val="edge"/>
              <c:x val="2.4284201195937879E-2"/>
              <c:y val="0.4255311181046883"/>
            </c:manualLayout>
          </c:layout>
        </c:title>
        <c:numFmt formatCode="0" sourceLinked="0"/>
        <c:majorTickMark val="none"/>
        <c:tickLblPos val="nextTo"/>
        <c:spPr>
          <a:ln w="9525">
            <a:noFill/>
          </a:ln>
        </c:spPr>
        <c:txPr>
          <a:bodyPr/>
          <a:lstStyle/>
          <a:p>
            <a:pPr>
              <a:defRPr b="1"/>
            </a:pPr>
            <a:endParaRPr lang="en-US"/>
          </a:p>
        </c:txPr>
        <c:crossAx val="217542656"/>
        <c:crosses val="autoZero"/>
        <c:crossBetween val="between"/>
      </c:valAx>
    </c:plotArea>
    <c:legend>
      <c:legendPos val="b"/>
      <c:layout>
        <c:manualLayout>
          <c:xMode val="edge"/>
          <c:yMode val="edge"/>
          <c:x val="0.23285812722857385"/>
          <c:y val="0.91902929869832173"/>
          <c:w val="0.53428355440276831"/>
          <c:h val="6.5647966193461596E-2"/>
        </c:manualLayout>
      </c:layout>
      <c:txPr>
        <a:bodyPr/>
        <a:lstStyle/>
        <a:p>
          <a:pPr>
            <a:defRPr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title>
      <c:tx>
        <c:rich>
          <a:bodyPr/>
          <a:lstStyle/>
          <a:p>
            <a:pPr algn="ctr">
              <a:defRPr sz="1400"/>
            </a:pPr>
            <a:r>
              <a:rPr lang="en-US" sz="1400"/>
              <a:t>World Exports of Sisal Manufactures</a:t>
            </a:r>
          </a:p>
          <a:p>
            <a:pPr algn="ctr">
              <a:defRPr sz="1400"/>
            </a:pPr>
            <a:r>
              <a:rPr lang="en-US" sz="1100"/>
              <a:t>(thousand tonnes</a:t>
            </a:r>
            <a:r>
              <a:rPr lang="en-US" sz="1400"/>
              <a:t>)</a:t>
            </a:r>
          </a:p>
        </c:rich>
      </c:tx>
      <c:layout>
        <c:manualLayout>
          <c:xMode val="edge"/>
          <c:yMode val="edge"/>
          <c:x val="0.26173122120274589"/>
          <c:y val="2.4502074855321986E-2"/>
        </c:manualLayout>
      </c:layout>
    </c:title>
    <c:plotArea>
      <c:layout/>
      <c:lineChart>
        <c:grouping val="standard"/>
        <c:ser>
          <c:idx val="0"/>
          <c:order val="0"/>
          <c:tx>
            <c:strRef>
              <c:f>'Chart 9'!$A$16</c:f>
              <c:strCache>
                <c:ptCount val="1"/>
                <c:pt idx="0">
                  <c:v>World Exports of Sisal Manufactures</c:v>
                </c:pt>
              </c:strCache>
            </c:strRef>
          </c:tx>
          <c:cat>
            <c:numRef>
              <c:f>'Chart 9'!$B$15:$F$15</c:f>
              <c:numCache>
                <c:formatCode>General</c:formatCode>
                <c:ptCount val="5"/>
                <c:pt idx="0">
                  <c:v>2008</c:v>
                </c:pt>
                <c:pt idx="1">
                  <c:v>2009</c:v>
                </c:pt>
                <c:pt idx="2">
                  <c:v>2010</c:v>
                </c:pt>
                <c:pt idx="3">
                  <c:v>2011</c:v>
                </c:pt>
                <c:pt idx="4">
                  <c:v>2012</c:v>
                </c:pt>
              </c:numCache>
            </c:numRef>
          </c:cat>
          <c:val>
            <c:numRef>
              <c:f>'Chart 9'!$B$16:$F$16</c:f>
              <c:numCache>
                <c:formatCode>0.00</c:formatCode>
                <c:ptCount val="5"/>
                <c:pt idx="0">
                  <c:v>95.392399999999981</c:v>
                </c:pt>
                <c:pt idx="1">
                  <c:v>81.510710000000003</c:v>
                </c:pt>
                <c:pt idx="2">
                  <c:v>79.716862000000006</c:v>
                </c:pt>
                <c:pt idx="3">
                  <c:v>86.86672200000001</c:v>
                </c:pt>
                <c:pt idx="4">
                  <c:v>79.934228000000061</c:v>
                </c:pt>
              </c:numCache>
            </c:numRef>
          </c:val>
        </c:ser>
        <c:dLbls/>
        <c:marker val="1"/>
        <c:axId val="218965888"/>
        <c:axId val="218967424"/>
      </c:lineChart>
      <c:catAx>
        <c:axId val="218965888"/>
        <c:scaling>
          <c:orientation val="minMax"/>
        </c:scaling>
        <c:axPos val="b"/>
        <c:numFmt formatCode="General" sourceLinked="1"/>
        <c:tickLblPos val="nextTo"/>
        <c:txPr>
          <a:bodyPr/>
          <a:lstStyle/>
          <a:p>
            <a:pPr>
              <a:defRPr b="1"/>
            </a:pPr>
            <a:endParaRPr lang="en-US"/>
          </a:p>
        </c:txPr>
        <c:crossAx val="218967424"/>
        <c:crosses val="autoZero"/>
        <c:auto val="1"/>
        <c:lblAlgn val="ctr"/>
        <c:lblOffset val="100"/>
      </c:catAx>
      <c:valAx>
        <c:axId val="218967424"/>
        <c:scaling>
          <c:orientation val="minMax"/>
        </c:scaling>
        <c:axPos val="l"/>
        <c:majorGridlines/>
        <c:numFmt formatCode="0" sourceLinked="0"/>
        <c:tickLblPos val="nextTo"/>
        <c:txPr>
          <a:bodyPr/>
          <a:lstStyle/>
          <a:p>
            <a:pPr>
              <a:defRPr b="1"/>
            </a:pPr>
            <a:endParaRPr lang="en-US"/>
          </a:p>
        </c:txPr>
        <c:crossAx val="218965888"/>
        <c:crosses val="autoZero"/>
        <c:crossBetween val="between"/>
      </c:valAx>
    </c:plotArea>
    <c:plotVisOnly val="1"/>
    <c:dispBlanksAs val="gap"/>
  </c:chart>
  <c:txPr>
    <a:bodyPr/>
    <a:lstStyle/>
    <a:p>
      <a:pPr>
        <a:defRPr>
          <a:latin typeface="Garamond" panose="02020404030301010803" pitchFamily="18"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56173979091284E-2"/>
          <c:y val="0.19414918829629893"/>
          <c:w val="0.87963095526945212"/>
          <c:h val="0.66223490254491002"/>
        </c:manualLayout>
      </c:layout>
      <c:lineChart>
        <c:grouping val="standard"/>
        <c:ser>
          <c:idx val="0"/>
          <c:order val="0"/>
          <c:spPr>
            <a:ln w="38100">
              <a:solidFill>
                <a:srgbClr val="008000"/>
              </a:solidFill>
              <a:prstDash val="solid"/>
            </a:ln>
          </c:spPr>
          <c:marker>
            <c:symbol val="none"/>
          </c:marker>
          <c:cat>
            <c:numRef>
              <c:f>abaca!$A$149:$A$216</c:f>
              <c:numCache>
                <c:formatCode>mmm\-yy</c:formatCode>
                <c:ptCount val="68"/>
                <c:pt idx="0">
                  <c:v>39461</c:v>
                </c:pt>
                <c:pt idx="1">
                  <c:v>39492</c:v>
                </c:pt>
                <c:pt idx="2">
                  <c:v>39523</c:v>
                </c:pt>
                <c:pt idx="3">
                  <c:v>39554</c:v>
                </c:pt>
                <c:pt idx="4">
                  <c:v>39585</c:v>
                </c:pt>
                <c:pt idx="5">
                  <c:v>39616</c:v>
                </c:pt>
                <c:pt idx="6">
                  <c:v>39647</c:v>
                </c:pt>
                <c:pt idx="7">
                  <c:v>39678</c:v>
                </c:pt>
                <c:pt idx="8">
                  <c:v>39709</c:v>
                </c:pt>
                <c:pt idx="9">
                  <c:v>39740</c:v>
                </c:pt>
                <c:pt idx="10">
                  <c:v>39771</c:v>
                </c:pt>
                <c:pt idx="11">
                  <c:v>39802</c:v>
                </c:pt>
                <c:pt idx="12">
                  <c:v>39833</c:v>
                </c:pt>
                <c:pt idx="13">
                  <c:v>39864</c:v>
                </c:pt>
                <c:pt idx="14">
                  <c:v>39895</c:v>
                </c:pt>
                <c:pt idx="15">
                  <c:v>39926</c:v>
                </c:pt>
                <c:pt idx="16">
                  <c:v>39957</c:v>
                </c:pt>
                <c:pt idx="17">
                  <c:v>39988</c:v>
                </c:pt>
                <c:pt idx="18">
                  <c:v>40019</c:v>
                </c:pt>
                <c:pt idx="19">
                  <c:v>40050</c:v>
                </c:pt>
                <c:pt idx="20">
                  <c:v>40081</c:v>
                </c:pt>
                <c:pt idx="21">
                  <c:v>40112</c:v>
                </c:pt>
                <c:pt idx="22">
                  <c:v>40143</c:v>
                </c:pt>
                <c:pt idx="23">
                  <c:v>40174</c:v>
                </c:pt>
                <c:pt idx="24">
                  <c:v>40205</c:v>
                </c:pt>
                <c:pt idx="25">
                  <c:v>40236</c:v>
                </c:pt>
                <c:pt idx="26">
                  <c:v>40267</c:v>
                </c:pt>
                <c:pt idx="27">
                  <c:v>40298</c:v>
                </c:pt>
                <c:pt idx="28">
                  <c:v>40329</c:v>
                </c:pt>
                <c:pt idx="29">
                  <c:v>40359</c:v>
                </c:pt>
                <c:pt idx="30">
                  <c:v>40390</c:v>
                </c:pt>
                <c:pt idx="31">
                  <c:v>40420</c:v>
                </c:pt>
                <c:pt idx="32">
                  <c:v>40451</c:v>
                </c:pt>
                <c:pt idx="33">
                  <c:v>40481</c:v>
                </c:pt>
                <c:pt idx="34">
                  <c:v>40512</c:v>
                </c:pt>
                <c:pt idx="35">
                  <c:v>40543</c:v>
                </c:pt>
                <c:pt idx="36">
                  <c:v>40574</c:v>
                </c:pt>
                <c:pt idx="37">
                  <c:v>40575</c:v>
                </c:pt>
                <c:pt idx="38">
                  <c:v>40605</c:v>
                </c:pt>
                <c:pt idx="39">
                  <c:v>40636</c:v>
                </c:pt>
                <c:pt idx="40">
                  <c:v>40667</c:v>
                </c:pt>
                <c:pt idx="41">
                  <c:v>40698</c:v>
                </c:pt>
                <c:pt idx="42">
                  <c:v>40728</c:v>
                </c:pt>
                <c:pt idx="43">
                  <c:v>40759</c:v>
                </c:pt>
                <c:pt idx="44">
                  <c:v>40790</c:v>
                </c:pt>
                <c:pt idx="45">
                  <c:v>40820</c:v>
                </c:pt>
                <c:pt idx="46">
                  <c:v>40851</c:v>
                </c:pt>
                <c:pt idx="47">
                  <c:v>40882</c:v>
                </c:pt>
                <c:pt idx="48">
                  <c:v>40912</c:v>
                </c:pt>
                <c:pt idx="49">
                  <c:v>40943</c:v>
                </c:pt>
                <c:pt idx="50">
                  <c:v>40974</c:v>
                </c:pt>
                <c:pt idx="51">
                  <c:v>41004</c:v>
                </c:pt>
                <c:pt idx="52">
                  <c:v>41035</c:v>
                </c:pt>
                <c:pt idx="53">
                  <c:v>41065</c:v>
                </c:pt>
                <c:pt idx="54">
                  <c:v>41096</c:v>
                </c:pt>
                <c:pt idx="55">
                  <c:v>41127</c:v>
                </c:pt>
                <c:pt idx="56">
                  <c:v>41157</c:v>
                </c:pt>
                <c:pt idx="57">
                  <c:v>41188</c:v>
                </c:pt>
                <c:pt idx="58">
                  <c:v>41219</c:v>
                </c:pt>
                <c:pt idx="59">
                  <c:v>41249</c:v>
                </c:pt>
                <c:pt idx="60">
                  <c:v>41280</c:v>
                </c:pt>
                <c:pt idx="61">
                  <c:v>41311</c:v>
                </c:pt>
                <c:pt idx="62">
                  <c:v>41341</c:v>
                </c:pt>
                <c:pt idx="63">
                  <c:v>41372</c:v>
                </c:pt>
                <c:pt idx="64">
                  <c:v>41403</c:v>
                </c:pt>
                <c:pt idx="65">
                  <c:v>41434</c:v>
                </c:pt>
                <c:pt idx="66">
                  <c:v>41464</c:v>
                </c:pt>
                <c:pt idx="67">
                  <c:v>41495</c:v>
                </c:pt>
              </c:numCache>
            </c:numRef>
          </c:cat>
          <c:val>
            <c:numRef>
              <c:f>abaca!$B$149:$B$216</c:f>
              <c:numCache>
                <c:formatCode>0</c:formatCode>
                <c:ptCount val="68"/>
                <c:pt idx="0">
                  <c:v>245</c:v>
                </c:pt>
                <c:pt idx="1">
                  <c:v>251</c:v>
                </c:pt>
                <c:pt idx="2">
                  <c:v>261</c:v>
                </c:pt>
                <c:pt idx="3">
                  <c:v>274</c:v>
                </c:pt>
                <c:pt idx="4">
                  <c:v>274</c:v>
                </c:pt>
                <c:pt idx="5">
                  <c:v>274</c:v>
                </c:pt>
                <c:pt idx="6">
                  <c:v>274</c:v>
                </c:pt>
                <c:pt idx="7">
                  <c:v>276</c:v>
                </c:pt>
                <c:pt idx="8">
                  <c:v>276</c:v>
                </c:pt>
                <c:pt idx="9">
                  <c:v>273</c:v>
                </c:pt>
                <c:pt idx="10">
                  <c:v>273</c:v>
                </c:pt>
                <c:pt idx="11">
                  <c:v>260</c:v>
                </c:pt>
                <c:pt idx="12" formatCode="#\ ##0.0">
                  <c:v>254</c:v>
                </c:pt>
                <c:pt idx="13" formatCode="#\ ##0.0">
                  <c:v>232</c:v>
                </c:pt>
                <c:pt idx="14" formatCode="#\ ##0.0">
                  <c:v>209</c:v>
                </c:pt>
                <c:pt idx="15" formatCode="#\ ##0.0">
                  <c:v>203</c:v>
                </c:pt>
                <c:pt idx="16" formatCode="#\ ##0.0">
                  <c:v>196</c:v>
                </c:pt>
                <c:pt idx="17" formatCode="#\ ##0.0">
                  <c:v>196</c:v>
                </c:pt>
                <c:pt idx="18" formatCode="#\ ##0.0">
                  <c:v>187</c:v>
                </c:pt>
                <c:pt idx="19" formatCode="#\ ##0.0">
                  <c:v>189</c:v>
                </c:pt>
                <c:pt idx="20" formatCode="#\ ##0.0">
                  <c:v>189</c:v>
                </c:pt>
                <c:pt idx="21" formatCode="#\ ##0.0">
                  <c:v>189</c:v>
                </c:pt>
                <c:pt idx="22" formatCode="#\ ##0.0">
                  <c:v>189</c:v>
                </c:pt>
                <c:pt idx="23" formatCode="#\ ##0.0">
                  <c:v>186</c:v>
                </c:pt>
                <c:pt idx="24" formatCode="#\ ##0.0">
                  <c:v>186</c:v>
                </c:pt>
                <c:pt idx="25" formatCode="#\ ##0.0">
                  <c:v>186</c:v>
                </c:pt>
                <c:pt idx="26" formatCode="#\ ##0.0">
                  <c:v>190</c:v>
                </c:pt>
                <c:pt idx="27" formatCode="#\ ##0.0">
                  <c:v>192</c:v>
                </c:pt>
                <c:pt idx="28" formatCode="#\ ##0.0">
                  <c:v>194</c:v>
                </c:pt>
                <c:pt idx="29" formatCode="#\ ##0.0">
                  <c:v>195</c:v>
                </c:pt>
                <c:pt idx="30" formatCode="#\ ##0.0">
                  <c:v>195</c:v>
                </c:pt>
                <c:pt idx="31" formatCode="#\ ##0.0">
                  <c:v>195</c:v>
                </c:pt>
                <c:pt idx="32" formatCode="#\ ##0.0">
                  <c:v>195</c:v>
                </c:pt>
                <c:pt idx="33" formatCode="#\ ##0.0">
                  <c:v>198</c:v>
                </c:pt>
                <c:pt idx="34" formatCode="#\ ##0.0">
                  <c:v>198</c:v>
                </c:pt>
                <c:pt idx="35" formatCode="#\ ##0.0">
                  <c:v>200</c:v>
                </c:pt>
                <c:pt idx="36" formatCode="#\ ##0.0">
                  <c:v>202</c:v>
                </c:pt>
                <c:pt idx="37" formatCode="#\ ##0.0">
                  <c:v>202</c:v>
                </c:pt>
                <c:pt idx="38" formatCode="#\ ##0.0">
                  <c:v>202</c:v>
                </c:pt>
                <c:pt idx="39" formatCode="#\ ##0.0">
                  <c:v>204</c:v>
                </c:pt>
                <c:pt idx="40" formatCode="#\ ##0.0">
                  <c:v>207</c:v>
                </c:pt>
                <c:pt idx="41" formatCode="#\ ##0.0">
                  <c:v>211</c:v>
                </c:pt>
                <c:pt idx="42" formatCode="#\ ##0.0">
                  <c:v>215</c:v>
                </c:pt>
                <c:pt idx="43" formatCode="#\ ##0.0">
                  <c:v>220</c:v>
                </c:pt>
                <c:pt idx="44" formatCode="#\ ##0.0">
                  <c:v>220</c:v>
                </c:pt>
                <c:pt idx="45" formatCode="#\ ##0.0">
                  <c:v>220</c:v>
                </c:pt>
                <c:pt idx="46" formatCode="#\ ##0.0">
                  <c:v>220</c:v>
                </c:pt>
                <c:pt idx="47" formatCode="#\ ##0.0">
                  <c:v>220</c:v>
                </c:pt>
                <c:pt idx="48" formatCode="#\ ##0.0">
                  <c:v>220</c:v>
                </c:pt>
                <c:pt idx="49" formatCode="#\ ##0.0">
                  <c:v>220</c:v>
                </c:pt>
                <c:pt idx="50" formatCode="#\ ##0.0">
                  <c:v>220</c:v>
                </c:pt>
                <c:pt idx="51" formatCode="#\ ##0.0">
                  <c:v>220</c:v>
                </c:pt>
                <c:pt idx="52" formatCode="#\ ##0.0">
                  <c:v>220</c:v>
                </c:pt>
                <c:pt idx="53" formatCode="#\ ##0.0">
                  <c:v>220</c:v>
                </c:pt>
                <c:pt idx="54" formatCode="#\ ##0.0">
                  <c:v>220</c:v>
                </c:pt>
                <c:pt idx="55" formatCode="#\ ##0.0">
                  <c:v>220</c:v>
                </c:pt>
                <c:pt idx="56" formatCode="#\ ##0.0">
                  <c:v>220</c:v>
                </c:pt>
                <c:pt idx="57" formatCode="#\ ##0.0">
                  <c:v>220</c:v>
                </c:pt>
                <c:pt idx="58" formatCode="#\ ##0.0">
                  <c:v>220</c:v>
                </c:pt>
                <c:pt idx="59" formatCode="#\ ##0.0">
                  <c:v>220</c:v>
                </c:pt>
                <c:pt idx="60" formatCode="#\ ##0.0">
                  <c:v>220</c:v>
                </c:pt>
                <c:pt idx="61" formatCode="#\ ##0.0">
                  <c:v>220</c:v>
                </c:pt>
                <c:pt idx="62" formatCode="#\ ##0.0">
                  <c:v>220</c:v>
                </c:pt>
                <c:pt idx="63" formatCode="#\ ##0.0">
                  <c:v>220</c:v>
                </c:pt>
                <c:pt idx="64" formatCode="#\ ##0.0">
                  <c:v>220</c:v>
                </c:pt>
                <c:pt idx="65" formatCode="#\ ##0.0">
                  <c:v>220</c:v>
                </c:pt>
                <c:pt idx="66" formatCode="#\ ##0.0">
                  <c:v>220</c:v>
                </c:pt>
                <c:pt idx="67" formatCode="#\ ##0.0">
                  <c:v>222</c:v>
                </c:pt>
              </c:numCache>
            </c:numRef>
          </c:val>
        </c:ser>
        <c:ser>
          <c:idx val="1"/>
          <c:order val="1"/>
          <c:spPr>
            <a:ln w="3175">
              <a:pattFill prst="pct75">
                <a:fgClr>
                  <a:srgbClr val="FF0000"/>
                </a:fgClr>
                <a:bgClr>
                  <a:srgbClr val="FFFFFF"/>
                </a:bgClr>
              </a:pattFill>
              <a:prstDash val="solid"/>
            </a:ln>
          </c:spPr>
          <c:marker>
            <c:symbol val="none"/>
          </c:marker>
          <c:cat>
            <c:numRef>
              <c:f>abaca!$A$149:$A$216</c:f>
              <c:numCache>
                <c:formatCode>mmm\-yy</c:formatCode>
                <c:ptCount val="68"/>
                <c:pt idx="0">
                  <c:v>39461</c:v>
                </c:pt>
                <c:pt idx="1">
                  <c:v>39492</c:v>
                </c:pt>
                <c:pt idx="2">
                  <c:v>39523</c:v>
                </c:pt>
                <c:pt idx="3">
                  <c:v>39554</c:v>
                </c:pt>
                <c:pt idx="4">
                  <c:v>39585</c:v>
                </c:pt>
                <c:pt idx="5">
                  <c:v>39616</c:v>
                </c:pt>
                <c:pt idx="6">
                  <c:v>39647</c:v>
                </c:pt>
                <c:pt idx="7">
                  <c:v>39678</c:v>
                </c:pt>
                <c:pt idx="8">
                  <c:v>39709</c:v>
                </c:pt>
                <c:pt idx="9">
                  <c:v>39740</c:v>
                </c:pt>
                <c:pt idx="10">
                  <c:v>39771</c:v>
                </c:pt>
                <c:pt idx="11">
                  <c:v>39802</c:v>
                </c:pt>
                <c:pt idx="12">
                  <c:v>39833</c:v>
                </c:pt>
                <c:pt idx="13">
                  <c:v>39864</c:v>
                </c:pt>
                <c:pt idx="14">
                  <c:v>39895</c:v>
                </c:pt>
                <c:pt idx="15">
                  <c:v>39926</c:v>
                </c:pt>
                <c:pt idx="16">
                  <c:v>39957</c:v>
                </c:pt>
                <c:pt idx="17">
                  <c:v>39988</c:v>
                </c:pt>
                <c:pt idx="18">
                  <c:v>40019</c:v>
                </c:pt>
                <c:pt idx="19">
                  <c:v>40050</c:v>
                </c:pt>
                <c:pt idx="20">
                  <c:v>40081</c:v>
                </c:pt>
                <c:pt idx="21">
                  <c:v>40112</c:v>
                </c:pt>
                <c:pt idx="22">
                  <c:v>40143</c:v>
                </c:pt>
                <c:pt idx="23">
                  <c:v>40174</c:v>
                </c:pt>
                <c:pt idx="24">
                  <c:v>40205</c:v>
                </c:pt>
                <c:pt idx="25">
                  <c:v>40236</c:v>
                </c:pt>
                <c:pt idx="26">
                  <c:v>40267</c:v>
                </c:pt>
                <c:pt idx="27">
                  <c:v>40298</c:v>
                </c:pt>
                <c:pt idx="28">
                  <c:v>40329</c:v>
                </c:pt>
                <c:pt idx="29">
                  <c:v>40359</c:v>
                </c:pt>
                <c:pt idx="30">
                  <c:v>40390</c:v>
                </c:pt>
                <c:pt idx="31">
                  <c:v>40420</c:v>
                </c:pt>
                <c:pt idx="32">
                  <c:v>40451</c:v>
                </c:pt>
                <c:pt idx="33">
                  <c:v>40481</c:v>
                </c:pt>
                <c:pt idx="34">
                  <c:v>40512</c:v>
                </c:pt>
                <c:pt idx="35">
                  <c:v>40543</c:v>
                </c:pt>
                <c:pt idx="36">
                  <c:v>40574</c:v>
                </c:pt>
                <c:pt idx="37">
                  <c:v>40575</c:v>
                </c:pt>
                <c:pt idx="38">
                  <c:v>40605</c:v>
                </c:pt>
                <c:pt idx="39">
                  <c:v>40636</c:v>
                </c:pt>
                <c:pt idx="40">
                  <c:v>40667</c:v>
                </c:pt>
                <c:pt idx="41">
                  <c:v>40698</c:v>
                </c:pt>
                <c:pt idx="42">
                  <c:v>40728</c:v>
                </c:pt>
                <c:pt idx="43">
                  <c:v>40759</c:v>
                </c:pt>
                <c:pt idx="44">
                  <c:v>40790</c:v>
                </c:pt>
                <c:pt idx="45">
                  <c:v>40820</c:v>
                </c:pt>
                <c:pt idx="46">
                  <c:v>40851</c:v>
                </c:pt>
                <c:pt idx="47">
                  <c:v>40882</c:v>
                </c:pt>
                <c:pt idx="48">
                  <c:v>40912</c:v>
                </c:pt>
                <c:pt idx="49">
                  <c:v>40943</c:v>
                </c:pt>
                <c:pt idx="50">
                  <c:v>40974</c:v>
                </c:pt>
                <c:pt idx="51">
                  <c:v>41004</c:v>
                </c:pt>
                <c:pt idx="52">
                  <c:v>41035</c:v>
                </c:pt>
                <c:pt idx="53">
                  <c:v>41065</c:v>
                </c:pt>
                <c:pt idx="54">
                  <c:v>41096</c:v>
                </c:pt>
                <c:pt idx="55">
                  <c:v>41127</c:v>
                </c:pt>
                <c:pt idx="56">
                  <c:v>41157</c:v>
                </c:pt>
                <c:pt idx="57">
                  <c:v>41188</c:v>
                </c:pt>
                <c:pt idx="58">
                  <c:v>41219</c:v>
                </c:pt>
                <c:pt idx="59">
                  <c:v>41249</c:v>
                </c:pt>
                <c:pt idx="60">
                  <c:v>41280</c:v>
                </c:pt>
                <c:pt idx="61">
                  <c:v>41311</c:v>
                </c:pt>
                <c:pt idx="62">
                  <c:v>41341</c:v>
                </c:pt>
                <c:pt idx="63">
                  <c:v>41372</c:v>
                </c:pt>
                <c:pt idx="64">
                  <c:v>41403</c:v>
                </c:pt>
                <c:pt idx="65">
                  <c:v>41434</c:v>
                </c:pt>
                <c:pt idx="66">
                  <c:v>41464</c:v>
                </c:pt>
                <c:pt idx="67">
                  <c:v>41495</c:v>
                </c:pt>
              </c:numCache>
            </c:numRef>
          </c:cat>
          <c:val>
            <c:numRef>
              <c:f>abaca!$C$149:$C$216</c:f>
              <c:numCache>
                <c:formatCode>0</c:formatCode>
                <c:ptCount val="68"/>
                <c:pt idx="0">
                  <c:v>223</c:v>
                </c:pt>
                <c:pt idx="1">
                  <c:v>227</c:v>
                </c:pt>
                <c:pt idx="2">
                  <c:v>238</c:v>
                </c:pt>
                <c:pt idx="3">
                  <c:v>247</c:v>
                </c:pt>
                <c:pt idx="4">
                  <c:v>247</c:v>
                </c:pt>
                <c:pt idx="5">
                  <c:v>247</c:v>
                </c:pt>
                <c:pt idx="6">
                  <c:v>247</c:v>
                </c:pt>
                <c:pt idx="7">
                  <c:v>256</c:v>
                </c:pt>
                <c:pt idx="8">
                  <c:v>256</c:v>
                </c:pt>
                <c:pt idx="9">
                  <c:v>246</c:v>
                </c:pt>
                <c:pt idx="10">
                  <c:v>246</c:v>
                </c:pt>
                <c:pt idx="11">
                  <c:v>240</c:v>
                </c:pt>
                <c:pt idx="12" formatCode="#\ ##0.0">
                  <c:v>234</c:v>
                </c:pt>
                <c:pt idx="13" formatCode="#\ ##0.0">
                  <c:v>205</c:v>
                </c:pt>
                <c:pt idx="14" formatCode="#\ ##0.0">
                  <c:v>184</c:v>
                </c:pt>
                <c:pt idx="15" formatCode="#\ ##0.0">
                  <c:v>179</c:v>
                </c:pt>
                <c:pt idx="16" formatCode="#\ ##0.0">
                  <c:v>177</c:v>
                </c:pt>
                <c:pt idx="17" formatCode="#\ ##0.0">
                  <c:v>177</c:v>
                </c:pt>
                <c:pt idx="18" formatCode="#\ ##0.0">
                  <c:v>170</c:v>
                </c:pt>
                <c:pt idx="19" formatCode="#\ ##0.0">
                  <c:v>170</c:v>
                </c:pt>
                <c:pt idx="20" formatCode="#\ ##0.0">
                  <c:v>170</c:v>
                </c:pt>
                <c:pt idx="21" formatCode="#\ ##0.0">
                  <c:v>170</c:v>
                </c:pt>
                <c:pt idx="22" formatCode="#\ ##0.0">
                  <c:v>170</c:v>
                </c:pt>
                <c:pt idx="23" formatCode="#\ ##0.0">
                  <c:v>170</c:v>
                </c:pt>
                <c:pt idx="24" formatCode="#\ ##0.0">
                  <c:v>170</c:v>
                </c:pt>
                <c:pt idx="25" formatCode="#\ ##0.0">
                  <c:v>170</c:v>
                </c:pt>
                <c:pt idx="26" formatCode="#\ ##0.0">
                  <c:v>174</c:v>
                </c:pt>
                <c:pt idx="27" formatCode="#\ ##0.0">
                  <c:v>175</c:v>
                </c:pt>
                <c:pt idx="28" formatCode="#\ ##0.0">
                  <c:v>177</c:v>
                </c:pt>
                <c:pt idx="29" formatCode="#\ ##0.0">
                  <c:v>177</c:v>
                </c:pt>
                <c:pt idx="30" formatCode="#\ ##0.0">
                  <c:v>178</c:v>
                </c:pt>
                <c:pt idx="31" formatCode="#\ ##0.0">
                  <c:v>178</c:v>
                </c:pt>
                <c:pt idx="32" formatCode="#\ ##0.0">
                  <c:v>178</c:v>
                </c:pt>
                <c:pt idx="33" formatCode="#\ ##0.0">
                  <c:v>181</c:v>
                </c:pt>
                <c:pt idx="34" formatCode="#\ ##0.0">
                  <c:v>181</c:v>
                </c:pt>
                <c:pt idx="35" formatCode="#\ ##0.0">
                  <c:v>182</c:v>
                </c:pt>
                <c:pt idx="36" formatCode="#\ ##0.0">
                  <c:v>185</c:v>
                </c:pt>
                <c:pt idx="37" formatCode="#\ ##0.0">
                  <c:v>185</c:v>
                </c:pt>
                <c:pt idx="38" formatCode="#\ ##0.0">
                  <c:v>185</c:v>
                </c:pt>
                <c:pt idx="39" formatCode="#\ ##0.0">
                  <c:v>187</c:v>
                </c:pt>
                <c:pt idx="40" formatCode="#\ ##0.0">
                  <c:v>189</c:v>
                </c:pt>
                <c:pt idx="41" formatCode="#\ ##0.0">
                  <c:v>192</c:v>
                </c:pt>
                <c:pt idx="42" formatCode="#\ ##0.0">
                  <c:v>197</c:v>
                </c:pt>
                <c:pt idx="43" formatCode="#\ ##0.0">
                  <c:v>197</c:v>
                </c:pt>
                <c:pt idx="44" formatCode="#\ ##0.0">
                  <c:v>197</c:v>
                </c:pt>
                <c:pt idx="45" formatCode="#\ ##0.0">
                  <c:v>197</c:v>
                </c:pt>
                <c:pt idx="46" formatCode="#\ ##0.0">
                  <c:v>197</c:v>
                </c:pt>
                <c:pt idx="47" formatCode="#\ ##0.0">
                  <c:v>197</c:v>
                </c:pt>
                <c:pt idx="48" formatCode="#\ ##0.0">
                  <c:v>197</c:v>
                </c:pt>
                <c:pt idx="49" formatCode="#\ ##0.0">
                  <c:v>197</c:v>
                </c:pt>
                <c:pt idx="50" formatCode="#\ ##0.0">
                  <c:v>197</c:v>
                </c:pt>
                <c:pt idx="51" formatCode="#\ ##0.0">
                  <c:v>197</c:v>
                </c:pt>
                <c:pt idx="52" formatCode="#\ ##0.0">
                  <c:v>197</c:v>
                </c:pt>
                <c:pt idx="53" formatCode="#\ ##0.0">
                  <c:v>197</c:v>
                </c:pt>
                <c:pt idx="54" formatCode="#\ ##0.0">
                  <c:v>197</c:v>
                </c:pt>
                <c:pt idx="55" formatCode="#\ ##0.0">
                  <c:v>197</c:v>
                </c:pt>
                <c:pt idx="56" formatCode="#\ ##0.0">
                  <c:v>197</c:v>
                </c:pt>
                <c:pt idx="57" formatCode="#\ ##0.0">
                  <c:v>197</c:v>
                </c:pt>
                <c:pt idx="58" formatCode="#\ ##0.0">
                  <c:v>197</c:v>
                </c:pt>
                <c:pt idx="59" formatCode="#\ ##0.0">
                  <c:v>197</c:v>
                </c:pt>
                <c:pt idx="60" formatCode="#\ ##0.0">
                  <c:v>197</c:v>
                </c:pt>
                <c:pt idx="61" formatCode="#\ ##0.0">
                  <c:v>197</c:v>
                </c:pt>
                <c:pt idx="62" formatCode="#\ ##0.0">
                  <c:v>197</c:v>
                </c:pt>
                <c:pt idx="63" formatCode="#\ ##0.0">
                  <c:v>197</c:v>
                </c:pt>
                <c:pt idx="64" formatCode="#\ ##0.0">
                  <c:v>197</c:v>
                </c:pt>
                <c:pt idx="65" formatCode="#\ ##0.0">
                  <c:v>197</c:v>
                </c:pt>
                <c:pt idx="66" formatCode="#\ ##0.0">
                  <c:v>197</c:v>
                </c:pt>
                <c:pt idx="67" formatCode="#\ ##0.0">
                  <c:v>201</c:v>
                </c:pt>
              </c:numCache>
            </c:numRef>
          </c:val>
        </c:ser>
        <c:ser>
          <c:idx val="2"/>
          <c:order val="2"/>
          <c:spPr>
            <a:ln w="25400">
              <a:solidFill>
                <a:srgbClr val="0000FF"/>
              </a:solidFill>
              <a:prstDash val="solid"/>
            </a:ln>
          </c:spPr>
          <c:marker>
            <c:symbol val="none"/>
          </c:marker>
          <c:cat>
            <c:numRef>
              <c:f>abaca!$A$149:$A$216</c:f>
              <c:numCache>
                <c:formatCode>mmm\-yy</c:formatCode>
                <c:ptCount val="68"/>
                <c:pt idx="0">
                  <c:v>39461</c:v>
                </c:pt>
                <c:pt idx="1">
                  <c:v>39492</c:v>
                </c:pt>
                <c:pt idx="2">
                  <c:v>39523</c:v>
                </c:pt>
                <c:pt idx="3">
                  <c:v>39554</c:v>
                </c:pt>
                <c:pt idx="4">
                  <c:v>39585</c:v>
                </c:pt>
                <c:pt idx="5">
                  <c:v>39616</c:v>
                </c:pt>
                <c:pt idx="6">
                  <c:v>39647</c:v>
                </c:pt>
                <c:pt idx="7">
                  <c:v>39678</c:v>
                </c:pt>
                <c:pt idx="8">
                  <c:v>39709</c:v>
                </c:pt>
                <c:pt idx="9">
                  <c:v>39740</c:v>
                </c:pt>
                <c:pt idx="10">
                  <c:v>39771</c:v>
                </c:pt>
                <c:pt idx="11">
                  <c:v>39802</c:v>
                </c:pt>
                <c:pt idx="12">
                  <c:v>39833</c:v>
                </c:pt>
                <c:pt idx="13">
                  <c:v>39864</c:v>
                </c:pt>
                <c:pt idx="14">
                  <c:v>39895</c:v>
                </c:pt>
                <c:pt idx="15">
                  <c:v>39926</c:v>
                </c:pt>
                <c:pt idx="16">
                  <c:v>39957</c:v>
                </c:pt>
                <c:pt idx="17">
                  <c:v>39988</c:v>
                </c:pt>
                <c:pt idx="18">
                  <c:v>40019</c:v>
                </c:pt>
                <c:pt idx="19">
                  <c:v>40050</c:v>
                </c:pt>
                <c:pt idx="20">
                  <c:v>40081</c:v>
                </c:pt>
                <c:pt idx="21">
                  <c:v>40112</c:v>
                </c:pt>
                <c:pt idx="22">
                  <c:v>40143</c:v>
                </c:pt>
                <c:pt idx="23">
                  <c:v>40174</c:v>
                </c:pt>
                <c:pt idx="24">
                  <c:v>40205</c:v>
                </c:pt>
                <c:pt idx="25">
                  <c:v>40236</c:v>
                </c:pt>
                <c:pt idx="26">
                  <c:v>40267</c:v>
                </c:pt>
                <c:pt idx="27">
                  <c:v>40298</c:v>
                </c:pt>
                <c:pt idx="28">
                  <c:v>40329</c:v>
                </c:pt>
                <c:pt idx="29">
                  <c:v>40359</c:v>
                </c:pt>
                <c:pt idx="30">
                  <c:v>40390</c:v>
                </c:pt>
                <c:pt idx="31">
                  <c:v>40420</c:v>
                </c:pt>
                <c:pt idx="32">
                  <c:v>40451</c:v>
                </c:pt>
                <c:pt idx="33">
                  <c:v>40481</c:v>
                </c:pt>
                <c:pt idx="34">
                  <c:v>40512</c:v>
                </c:pt>
                <c:pt idx="35">
                  <c:v>40543</c:v>
                </c:pt>
                <c:pt idx="36">
                  <c:v>40574</c:v>
                </c:pt>
                <c:pt idx="37">
                  <c:v>40575</c:v>
                </c:pt>
                <c:pt idx="38">
                  <c:v>40605</c:v>
                </c:pt>
                <c:pt idx="39">
                  <c:v>40636</c:v>
                </c:pt>
                <c:pt idx="40">
                  <c:v>40667</c:v>
                </c:pt>
                <c:pt idx="41">
                  <c:v>40698</c:v>
                </c:pt>
                <c:pt idx="42">
                  <c:v>40728</c:v>
                </c:pt>
                <c:pt idx="43">
                  <c:v>40759</c:v>
                </c:pt>
                <c:pt idx="44">
                  <c:v>40790</c:v>
                </c:pt>
                <c:pt idx="45">
                  <c:v>40820</c:v>
                </c:pt>
                <c:pt idx="46">
                  <c:v>40851</c:v>
                </c:pt>
                <c:pt idx="47">
                  <c:v>40882</c:v>
                </c:pt>
                <c:pt idx="48">
                  <c:v>40912</c:v>
                </c:pt>
                <c:pt idx="49">
                  <c:v>40943</c:v>
                </c:pt>
                <c:pt idx="50">
                  <c:v>40974</c:v>
                </c:pt>
                <c:pt idx="51">
                  <c:v>41004</c:v>
                </c:pt>
                <c:pt idx="52">
                  <c:v>41035</c:v>
                </c:pt>
                <c:pt idx="53">
                  <c:v>41065</c:v>
                </c:pt>
                <c:pt idx="54">
                  <c:v>41096</c:v>
                </c:pt>
                <c:pt idx="55">
                  <c:v>41127</c:v>
                </c:pt>
                <c:pt idx="56">
                  <c:v>41157</c:v>
                </c:pt>
                <c:pt idx="57">
                  <c:v>41188</c:v>
                </c:pt>
                <c:pt idx="58">
                  <c:v>41219</c:v>
                </c:pt>
                <c:pt idx="59">
                  <c:v>41249</c:v>
                </c:pt>
                <c:pt idx="60">
                  <c:v>41280</c:v>
                </c:pt>
                <c:pt idx="61">
                  <c:v>41311</c:v>
                </c:pt>
                <c:pt idx="62">
                  <c:v>41341</c:v>
                </c:pt>
                <c:pt idx="63">
                  <c:v>41372</c:v>
                </c:pt>
                <c:pt idx="64">
                  <c:v>41403</c:v>
                </c:pt>
                <c:pt idx="65">
                  <c:v>41434</c:v>
                </c:pt>
                <c:pt idx="66">
                  <c:v>41464</c:v>
                </c:pt>
                <c:pt idx="67">
                  <c:v>41495</c:v>
                </c:pt>
              </c:numCache>
            </c:numRef>
          </c:cat>
          <c:val>
            <c:numRef>
              <c:f>abaca!$D$149:$D$216</c:f>
              <c:numCache>
                <c:formatCode>0</c:formatCode>
                <c:ptCount val="68"/>
                <c:pt idx="0">
                  <c:v>212</c:v>
                </c:pt>
                <c:pt idx="1">
                  <c:v>215</c:v>
                </c:pt>
                <c:pt idx="2">
                  <c:v>220</c:v>
                </c:pt>
                <c:pt idx="3">
                  <c:v>229</c:v>
                </c:pt>
                <c:pt idx="4">
                  <c:v>229</c:v>
                </c:pt>
                <c:pt idx="5">
                  <c:v>229</c:v>
                </c:pt>
                <c:pt idx="6">
                  <c:v>229</c:v>
                </c:pt>
                <c:pt idx="7">
                  <c:v>240</c:v>
                </c:pt>
                <c:pt idx="8">
                  <c:v>240</c:v>
                </c:pt>
                <c:pt idx="9">
                  <c:v>226</c:v>
                </c:pt>
                <c:pt idx="10">
                  <c:v>226</c:v>
                </c:pt>
                <c:pt idx="11">
                  <c:v>213</c:v>
                </c:pt>
                <c:pt idx="12" formatCode="#\ ##0.0">
                  <c:v>206</c:v>
                </c:pt>
                <c:pt idx="13" formatCode="#\ ##0.0">
                  <c:v>179</c:v>
                </c:pt>
                <c:pt idx="14" formatCode="#\ ##0.0">
                  <c:v>162</c:v>
                </c:pt>
                <c:pt idx="15" formatCode="#\ ##0.0">
                  <c:v>157</c:v>
                </c:pt>
                <c:pt idx="16" formatCode="#\ ##0.0">
                  <c:v>157</c:v>
                </c:pt>
                <c:pt idx="17" formatCode="#\ ##0.0">
                  <c:v>169</c:v>
                </c:pt>
                <c:pt idx="18" formatCode="#\ ##0.0">
                  <c:v>161</c:v>
                </c:pt>
                <c:pt idx="19" formatCode="#\ ##0.0">
                  <c:v>161</c:v>
                </c:pt>
                <c:pt idx="20" formatCode="#\ ##0.0">
                  <c:v>156</c:v>
                </c:pt>
                <c:pt idx="21" formatCode="#\ ##0.0">
                  <c:v>153</c:v>
                </c:pt>
                <c:pt idx="22" formatCode="#\ ##0.0">
                  <c:v>153</c:v>
                </c:pt>
                <c:pt idx="23" formatCode="#\ ##0.0">
                  <c:v>150</c:v>
                </c:pt>
                <c:pt idx="24" formatCode="#\ ##0.0">
                  <c:v>148</c:v>
                </c:pt>
                <c:pt idx="25" formatCode="#\ ##0.0">
                  <c:v>148</c:v>
                </c:pt>
                <c:pt idx="26" formatCode="#\ ##0.0">
                  <c:v>152</c:v>
                </c:pt>
                <c:pt idx="27" formatCode="#\ ##0.0">
                  <c:v>153</c:v>
                </c:pt>
                <c:pt idx="28" formatCode="#\ ##0.0">
                  <c:v>155</c:v>
                </c:pt>
                <c:pt idx="29" formatCode="#\ ##0.0">
                  <c:v>156</c:v>
                </c:pt>
                <c:pt idx="30" formatCode="#\ ##0.0">
                  <c:v>156</c:v>
                </c:pt>
                <c:pt idx="31" formatCode="#\ ##0.0">
                  <c:v>156</c:v>
                </c:pt>
                <c:pt idx="32" formatCode="#\ ##0.0">
                  <c:v>156</c:v>
                </c:pt>
                <c:pt idx="33" formatCode="#\ ##0.0">
                  <c:v>159</c:v>
                </c:pt>
                <c:pt idx="34" formatCode="#\ ##0.0">
                  <c:v>159</c:v>
                </c:pt>
                <c:pt idx="35" formatCode="#\ ##0.0">
                  <c:v>160</c:v>
                </c:pt>
                <c:pt idx="36" formatCode="#\ ##0.0">
                  <c:v>162</c:v>
                </c:pt>
                <c:pt idx="37" formatCode="#\ ##0.0">
                  <c:v>162</c:v>
                </c:pt>
                <c:pt idx="38" formatCode="#\ ##0.0">
                  <c:v>162</c:v>
                </c:pt>
                <c:pt idx="39" formatCode="#\ ##0.0">
                  <c:v>163</c:v>
                </c:pt>
                <c:pt idx="40" formatCode="#\ ##0.0">
                  <c:v>163</c:v>
                </c:pt>
                <c:pt idx="41" formatCode="#\ ##0.0">
                  <c:v>163</c:v>
                </c:pt>
                <c:pt idx="42" formatCode="#\ ##0.0">
                  <c:v>171</c:v>
                </c:pt>
                <c:pt idx="43" formatCode="#\ ##0.0">
                  <c:v>177</c:v>
                </c:pt>
                <c:pt idx="44" formatCode="#\ ##0.0">
                  <c:v>180</c:v>
                </c:pt>
                <c:pt idx="45" formatCode="#\ ##0.0">
                  <c:v>181</c:v>
                </c:pt>
                <c:pt idx="46" formatCode="#\ ##0.0">
                  <c:v>180</c:v>
                </c:pt>
                <c:pt idx="47" formatCode="#\ ##0.0">
                  <c:v>178</c:v>
                </c:pt>
                <c:pt idx="48" formatCode="#\ ##0.0">
                  <c:v>177</c:v>
                </c:pt>
                <c:pt idx="49" formatCode="#\ ##0.0">
                  <c:v>174</c:v>
                </c:pt>
                <c:pt idx="50" formatCode="#\ ##0.0">
                  <c:v>174</c:v>
                </c:pt>
                <c:pt idx="51" formatCode="#\ ##0.0">
                  <c:v>174</c:v>
                </c:pt>
                <c:pt idx="52" formatCode="#\ ##0.0">
                  <c:v>174</c:v>
                </c:pt>
                <c:pt idx="53" formatCode="#\ ##0.0">
                  <c:v>174</c:v>
                </c:pt>
                <c:pt idx="54" formatCode="#\ ##0.0">
                  <c:v>174</c:v>
                </c:pt>
                <c:pt idx="55" formatCode="#\ ##0.0">
                  <c:v>174</c:v>
                </c:pt>
                <c:pt idx="56" formatCode="#\ ##0.0">
                  <c:v>174</c:v>
                </c:pt>
                <c:pt idx="57" formatCode="#\ ##0.0">
                  <c:v>174</c:v>
                </c:pt>
                <c:pt idx="58" formatCode="#\ ##0.0">
                  <c:v>174</c:v>
                </c:pt>
                <c:pt idx="59" formatCode="#\ ##0.0">
                  <c:v>174</c:v>
                </c:pt>
                <c:pt idx="60" formatCode="#\ ##0.0">
                  <c:v>174</c:v>
                </c:pt>
                <c:pt idx="61" formatCode="#\ ##0.0">
                  <c:v>174</c:v>
                </c:pt>
                <c:pt idx="62" formatCode="#\ ##0.0">
                  <c:v>174</c:v>
                </c:pt>
                <c:pt idx="63" formatCode="#\ ##0.0">
                  <c:v>174</c:v>
                </c:pt>
                <c:pt idx="64" formatCode="#\ ##0.0">
                  <c:v>174</c:v>
                </c:pt>
                <c:pt idx="65" formatCode="#\ ##0.0">
                  <c:v>174</c:v>
                </c:pt>
                <c:pt idx="66" formatCode="#\ ##0.0">
                  <c:v>174</c:v>
                </c:pt>
                <c:pt idx="67" formatCode="#\ ##0.0">
                  <c:v>174</c:v>
                </c:pt>
              </c:numCache>
            </c:numRef>
          </c:val>
        </c:ser>
        <c:ser>
          <c:idx val="3"/>
          <c:order val="3"/>
          <c:spPr>
            <a:ln w="38100">
              <a:solidFill>
                <a:srgbClr val="000000"/>
              </a:solidFill>
              <a:prstDash val="solid"/>
            </a:ln>
          </c:spPr>
          <c:marker>
            <c:symbol val="none"/>
          </c:marker>
          <c:cat>
            <c:numRef>
              <c:f>abaca!$A$149:$A$216</c:f>
              <c:numCache>
                <c:formatCode>mmm\-yy</c:formatCode>
                <c:ptCount val="68"/>
                <c:pt idx="0">
                  <c:v>39461</c:v>
                </c:pt>
                <c:pt idx="1">
                  <c:v>39492</c:v>
                </c:pt>
                <c:pt idx="2">
                  <c:v>39523</c:v>
                </c:pt>
                <c:pt idx="3">
                  <c:v>39554</c:v>
                </c:pt>
                <c:pt idx="4">
                  <c:v>39585</c:v>
                </c:pt>
                <c:pt idx="5">
                  <c:v>39616</c:v>
                </c:pt>
                <c:pt idx="6">
                  <c:v>39647</c:v>
                </c:pt>
                <c:pt idx="7">
                  <c:v>39678</c:v>
                </c:pt>
                <c:pt idx="8">
                  <c:v>39709</c:v>
                </c:pt>
                <c:pt idx="9">
                  <c:v>39740</c:v>
                </c:pt>
                <c:pt idx="10">
                  <c:v>39771</c:v>
                </c:pt>
                <c:pt idx="11">
                  <c:v>39802</c:v>
                </c:pt>
                <c:pt idx="12">
                  <c:v>39833</c:v>
                </c:pt>
                <c:pt idx="13">
                  <c:v>39864</c:v>
                </c:pt>
                <c:pt idx="14">
                  <c:v>39895</c:v>
                </c:pt>
                <c:pt idx="15">
                  <c:v>39926</c:v>
                </c:pt>
                <c:pt idx="16">
                  <c:v>39957</c:v>
                </c:pt>
                <c:pt idx="17">
                  <c:v>39988</c:v>
                </c:pt>
                <c:pt idx="18">
                  <c:v>40019</c:v>
                </c:pt>
                <c:pt idx="19">
                  <c:v>40050</c:v>
                </c:pt>
                <c:pt idx="20">
                  <c:v>40081</c:v>
                </c:pt>
                <c:pt idx="21">
                  <c:v>40112</c:v>
                </c:pt>
                <c:pt idx="22">
                  <c:v>40143</c:v>
                </c:pt>
                <c:pt idx="23">
                  <c:v>40174</c:v>
                </c:pt>
                <c:pt idx="24">
                  <c:v>40205</c:v>
                </c:pt>
                <c:pt idx="25">
                  <c:v>40236</c:v>
                </c:pt>
                <c:pt idx="26">
                  <c:v>40267</c:v>
                </c:pt>
                <c:pt idx="27">
                  <c:v>40298</c:v>
                </c:pt>
                <c:pt idx="28">
                  <c:v>40329</c:v>
                </c:pt>
                <c:pt idx="29">
                  <c:v>40359</c:v>
                </c:pt>
                <c:pt idx="30">
                  <c:v>40390</c:v>
                </c:pt>
                <c:pt idx="31">
                  <c:v>40420</c:v>
                </c:pt>
                <c:pt idx="32">
                  <c:v>40451</c:v>
                </c:pt>
                <c:pt idx="33">
                  <c:v>40481</c:v>
                </c:pt>
                <c:pt idx="34">
                  <c:v>40512</c:v>
                </c:pt>
                <c:pt idx="35">
                  <c:v>40543</c:v>
                </c:pt>
                <c:pt idx="36">
                  <c:v>40574</c:v>
                </c:pt>
                <c:pt idx="37">
                  <c:v>40575</c:v>
                </c:pt>
                <c:pt idx="38">
                  <c:v>40605</c:v>
                </c:pt>
                <c:pt idx="39">
                  <c:v>40636</c:v>
                </c:pt>
                <c:pt idx="40">
                  <c:v>40667</c:v>
                </c:pt>
                <c:pt idx="41">
                  <c:v>40698</c:v>
                </c:pt>
                <c:pt idx="42">
                  <c:v>40728</c:v>
                </c:pt>
                <c:pt idx="43">
                  <c:v>40759</c:v>
                </c:pt>
                <c:pt idx="44">
                  <c:v>40790</c:v>
                </c:pt>
                <c:pt idx="45">
                  <c:v>40820</c:v>
                </c:pt>
                <c:pt idx="46">
                  <c:v>40851</c:v>
                </c:pt>
                <c:pt idx="47">
                  <c:v>40882</c:v>
                </c:pt>
                <c:pt idx="48">
                  <c:v>40912</c:v>
                </c:pt>
                <c:pt idx="49">
                  <c:v>40943</c:v>
                </c:pt>
                <c:pt idx="50">
                  <c:v>40974</c:v>
                </c:pt>
                <c:pt idx="51">
                  <c:v>41004</c:v>
                </c:pt>
                <c:pt idx="52">
                  <c:v>41035</c:v>
                </c:pt>
                <c:pt idx="53">
                  <c:v>41065</c:v>
                </c:pt>
                <c:pt idx="54">
                  <c:v>41096</c:v>
                </c:pt>
                <c:pt idx="55">
                  <c:v>41127</c:v>
                </c:pt>
                <c:pt idx="56">
                  <c:v>41157</c:v>
                </c:pt>
                <c:pt idx="57">
                  <c:v>41188</c:v>
                </c:pt>
                <c:pt idx="58">
                  <c:v>41219</c:v>
                </c:pt>
                <c:pt idx="59">
                  <c:v>41249</c:v>
                </c:pt>
                <c:pt idx="60">
                  <c:v>41280</c:v>
                </c:pt>
                <c:pt idx="61">
                  <c:v>41311</c:v>
                </c:pt>
                <c:pt idx="62">
                  <c:v>41341</c:v>
                </c:pt>
                <c:pt idx="63">
                  <c:v>41372</c:v>
                </c:pt>
                <c:pt idx="64">
                  <c:v>41403</c:v>
                </c:pt>
                <c:pt idx="65">
                  <c:v>41434</c:v>
                </c:pt>
                <c:pt idx="66">
                  <c:v>41464</c:v>
                </c:pt>
                <c:pt idx="67">
                  <c:v>41495</c:v>
                </c:pt>
              </c:numCache>
            </c:numRef>
          </c:cat>
          <c:val>
            <c:numRef>
              <c:f>abaca!$E$149:$E$216</c:f>
              <c:numCache>
                <c:formatCode>0.0</c:formatCode>
                <c:ptCount val="68"/>
                <c:pt idx="0">
                  <c:v>226.66666666666657</c:v>
                </c:pt>
                <c:pt idx="1">
                  <c:v>231</c:v>
                </c:pt>
                <c:pt idx="2">
                  <c:v>239.66666666666657</c:v>
                </c:pt>
                <c:pt idx="3">
                  <c:v>250</c:v>
                </c:pt>
                <c:pt idx="4">
                  <c:v>250</c:v>
                </c:pt>
                <c:pt idx="5">
                  <c:v>250</c:v>
                </c:pt>
                <c:pt idx="6">
                  <c:v>250</c:v>
                </c:pt>
                <c:pt idx="7">
                  <c:v>257.33333333333331</c:v>
                </c:pt>
                <c:pt idx="8">
                  <c:v>257.33333333333331</c:v>
                </c:pt>
                <c:pt idx="9">
                  <c:v>248.33333333333343</c:v>
                </c:pt>
                <c:pt idx="10">
                  <c:v>248.33333333333343</c:v>
                </c:pt>
                <c:pt idx="11">
                  <c:v>237.66666666666657</c:v>
                </c:pt>
                <c:pt idx="12" formatCode="#\ ##0.00">
                  <c:v>231.33333333333343</c:v>
                </c:pt>
                <c:pt idx="13" formatCode="#\ ##0.00">
                  <c:v>205.33333333333343</c:v>
                </c:pt>
                <c:pt idx="14" formatCode="#\ ##0.00">
                  <c:v>185</c:v>
                </c:pt>
                <c:pt idx="15" formatCode="#\ ##0.00">
                  <c:v>179.66666666666657</c:v>
                </c:pt>
                <c:pt idx="16" formatCode="#\ ##0.00">
                  <c:v>176.66666666666657</c:v>
                </c:pt>
                <c:pt idx="17" formatCode="#\ ##0.00">
                  <c:v>180.66666666666657</c:v>
                </c:pt>
                <c:pt idx="18" formatCode="#\ ##0.00">
                  <c:v>172.66666666666657</c:v>
                </c:pt>
                <c:pt idx="19" formatCode="#\ ##0.00">
                  <c:v>173.33333333333343</c:v>
                </c:pt>
                <c:pt idx="20" formatCode="#\ ##0.00">
                  <c:v>171.66666666666657</c:v>
                </c:pt>
                <c:pt idx="21" formatCode="#\ ##0.00">
                  <c:v>170.66666666666657</c:v>
                </c:pt>
                <c:pt idx="22" formatCode="#\ ##0.00">
                  <c:v>170.66666666666657</c:v>
                </c:pt>
                <c:pt idx="23" formatCode="#\ ##0.00">
                  <c:v>168.66666666666657</c:v>
                </c:pt>
                <c:pt idx="24" formatCode="#\ ##0.00">
                  <c:v>168</c:v>
                </c:pt>
                <c:pt idx="25" formatCode="#\ ##0.00">
                  <c:v>168</c:v>
                </c:pt>
                <c:pt idx="26" formatCode="#\ ##0.00">
                  <c:v>172</c:v>
                </c:pt>
                <c:pt idx="27" formatCode="#\ ##0.00">
                  <c:v>173.33333333333343</c:v>
                </c:pt>
                <c:pt idx="28" formatCode="#\ ##0.00">
                  <c:v>175.33333333333343</c:v>
                </c:pt>
                <c:pt idx="29" formatCode="#\ ##0.00">
                  <c:v>176</c:v>
                </c:pt>
                <c:pt idx="30" formatCode="#\ ##0.00">
                  <c:v>176.33333333333343</c:v>
                </c:pt>
                <c:pt idx="31" formatCode="#\ ##0.00">
                  <c:v>176.33333333333343</c:v>
                </c:pt>
                <c:pt idx="32" formatCode="#\ ##0.00">
                  <c:v>176.33333333333343</c:v>
                </c:pt>
                <c:pt idx="33" formatCode="#\ ##0.00">
                  <c:v>179.33333333333343</c:v>
                </c:pt>
                <c:pt idx="34" formatCode="#\ ##0.00">
                  <c:v>179.33333333333343</c:v>
                </c:pt>
                <c:pt idx="35" formatCode="#\ ##0.00">
                  <c:v>180.66666666666657</c:v>
                </c:pt>
                <c:pt idx="36" formatCode="#\ ##0.00">
                  <c:v>183</c:v>
                </c:pt>
                <c:pt idx="37" formatCode="#\ ##0.00">
                  <c:v>183</c:v>
                </c:pt>
                <c:pt idx="38" formatCode="#\ ##0.00">
                  <c:v>183</c:v>
                </c:pt>
                <c:pt idx="39" formatCode="#\ ##0.00">
                  <c:v>184.66666666666657</c:v>
                </c:pt>
                <c:pt idx="40" formatCode="#\ ##0.00">
                  <c:v>186.33333333333343</c:v>
                </c:pt>
                <c:pt idx="41" formatCode="#\ ##0.00">
                  <c:v>188.66666666666657</c:v>
                </c:pt>
                <c:pt idx="42" formatCode="#\ ##0.00">
                  <c:v>194.33333333333343</c:v>
                </c:pt>
                <c:pt idx="43" formatCode="#\ ##0.00">
                  <c:v>198</c:v>
                </c:pt>
                <c:pt idx="44" formatCode="#\ ##0.00">
                  <c:v>199</c:v>
                </c:pt>
                <c:pt idx="45" formatCode="#\ ##0.00">
                  <c:v>199.33333333333343</c:v>
                </c:pt>
                <c:pt idx="46" formatCode="#\ ##0.00">
                  <c:v>199</c:v>
                </c:pt>
                <c:pt idx="47" formatCode="#\ ##0.00">
                  <c:v>198.33333333333343</c:v>
                </c:pt>
                <c:pt idx="48" formatCode="#\ ##0.00">
                  <c:v>198</c:v>
                </c:pt>
                <c:pt idx="49" formatCode="#\ ##0.00">
                  <c:v>197</c:v>
                </c:pt>
                <c:pt idx="50" formatCode="#\ ##0.00">
                  <c:v>197</c:v>
                </c:pt>
                <c:pt idx="51" formatCode="#\ ##0.00">
                  <c:v>197</c:v>
                </c:pt>
                <c:pt idx="52" formatCode="#\ ##0.00">
                  <c:v>197</c:v>
                </c:pt>
                <c:pt idx="53" formatCode="#\ ##0.00">
                  <c:v>197</c:v>
                </c:pt>
                <c:pt idx="54" formatCode="#\ ##0.00">
                  <c:v>197</c:v>
                </c:pt>
                <c:pt idx="55" formatCode="#\ ##0.00">
                  <c:v>197</c:v>
                </c:pt>
                <c:pt idx="56" formatCode="#\ ##0.00">
                  <c:v>197</c:v>
                </c:pt>
                <c:pt idx="57" formatCode="#\ ##0.00">
                  <c:v>197</c:v>
                </c:pt>
                <c:pt idx="58" formatCode="#\ ##0.00">
                  <c:v>197</c:v>
                </c:pt>
                <c:pt idx="59" formatCode="#\ ##0.00">
                  <c:v>197</c:v>
                </c:pt>
                <c:pt idx="60" formatCode="#\ ##0.00">
                  <c:v>197</c:v>
                </c:pt>
                <c:pt idx="61" formatCode="#\ ##0.00">
                  <c:v>197</c:v>
                </c:pt>
                <c:pt idx="62" formatCode="#\ ##0.00">
                  <c:v>197</c:v>
                </c:pt>
                <c:pt idx="63" formatCode="#\ ##0.00">
                  <c:v>197</c:v>
                </c:pt>
                <c:pt idx="64" formatCode="#\ ##0.00">
                  <c:v>197</c:v>
                </c:pt>
                <c:pt idx="65" formatCode="#\ ##0.00">
                  <c:v>197</c:v>
                </c:pt>
                <c:pt idx="66" formatCode="#\ ##0.00">
                  <c:v>197</c:v>
                </c:pt>
                <c:pt idx="67" formatCode="#\ ##0.00">
                  <c:v>199</c:v>
                </c:pt>
              </c:numCache>
            </c:numRef>
          </c:val>
        </c:ser>
        <c:ser>
          <c:idx val="4"/>
          <c:order val="4"/>
          <c:spPr>
            <a:ln w="3175">
              <a:solidFill>
                <a:srgbClr val="000000"/>
              </a:solidFill>
              <a:prstDash val="sysDash"/>
            </a:ln>
          </c:spPr>
          <c:marker>
            <c:symbol val="none"/>
          </c:marker>
          <c:cat>
            <c:numRef>
              <c:f>abaca!$A$149:$A$216</c:f>
              <c:numCache>
                <c:formatCode>mmm\-yy</c:formatCode>
                <c:ptCount val="68"/>
                <c:pt idx="0">
                  <c:v>39461</c:v>
                </c:pt>
                <c:pt idx="1">
                  <c:v>39492</c:v>
                </c:pt>
                <c:pt idx="2">
                  <c:v>39523</c:v>
                </c:pt>
                <c:pt idx="3">
                  <c:v>39554</c:v>
                </c:pt>
                <c:pt idx="4">
                  <c:v>39585</c:v>
                </c:pt>
                <c:pt idx="5">
                  <c:v>39616</c:v>
                </c:pt>
                <c:pt idx="6">
                  <c:v>39647</c:v>
                </c:pt>
                <c:pt idx="7">
                  <c:v>39678</c:v>
                </c:pt>
                <c:pt idx="8">
                  <c:v>39709</c:v>
                </c:pt>
                <c:pt idx="9">
                  <c:v>39740</c:v>
                </c:pt>
                <c:pt idx="10">
                  <c:v>39771</c:v>
                </c:pt>
                <c:pt idx="11">
                  <c:v>39802</c:v>
                </c:pt>
                <c:pt idx="12">
                  <c:v>39833</c:v>
                </c:pt>
                <c:pt idx="13">
                  <c:v>39864</c:v>
                </c:pt>
                <c:pt idx="14">
                  <c:v>39895</c:v>
                </c:pt>
                <c:pt idx="15">
                  <c:v>39926</c:v>
                </c:pt>
                <c:pt idx="16">
                  <c:v>39957</c:v>
                </c:pt>
                <c:pt idx="17">
                  <c:v>39988</c:v>
                </c:pt>
                <c:pt idx="18">
                  <c:v>40019</c:v>
                </c:pt>
                <c:pt idx="19">
                  <c:v>40050</c:v>
                </c:pt>
                <c:pt idx="20">
                  <c:v>40081</c:v>
                </c:pt>
                <c:pt idx="21">
                  <c:v>40112</c:v>
                </c:pt>
                <c:pt idx="22">
                  <c:v>40143</c:v>
                </c:pt>
                <c:pt idx="23">
                  <c:v>40174</c:v>
                </c:pt>
                <c:pt idx="24">
                  <c:v>40205</c:v>
                </c:pt>
                <c:pt idx="25">
                  <c:v>40236</c:v>
                </c:pt>
                <c:pt idx="26">
                  <c:v>40267</c:v>
                </c:pt>
                <c:pt idx="27">
                  <c:v>40298</c:v>
                </c:pt>
                <c:pt idx="28">
                  <c:v>40329</c:v>
                </c:pt>
                <c:pt idx="29">
                  <c:v>40359</c:v>
                </c:pt>
                <c:pt idx="30">
                  <c:v>40390</c:v>
                </c:pt>
                <c:pt idx="31">
                  <c:v>40420</c:v>
                </c:pt>
                <c:pt idx="32">
                  <c:v>40451</c:v>
                </c:pt>
                <c:pt idx="33">
                  <c:v>40481</c:v>
                </c:pt>
                <c:pt idx="34">
                  <c:v>40512</c:v>
                </c:pt>
                <c:pt idx="35">
                  <c:v>40543</c:v>
                </c:pt>
                <c:pt idx="36">
                  <c:v>40574</c:v>
                </c:pt>
                <c:pt idx="37">
                  <c:v>40575</c:v>
                </c:pt>
                <c:pt idx="38">
                  <c:v>40605</c:v>
                </c:pt>
                <c:pt idx="39">
                  <c:v>40636</c:v>
                </c:pt>
                <c:pt idx="40">
                  <c:v>40667</c:v>
                </c:pt>
                <c:pt idx="41">
                  <c:v>40698</c:v>
                </c:pt>
                <c:pt idx="42">
                  <c:v>40728</c:v>
                </c:pt>
                <c:pt idx="43">
                  <c:v>40759</c:v>
                </c:pt>
                <c:pt idx="44">
                  <c:v>40790</c:v>
                </c:pt>
                <c:pt idx="45">
                  <c:v>40820</c:v>
                </c:pt>
                <c:pt idx="46">
                  <c:v>40851</c:v>
                </c:pt>
                <c:pt idx="47">
                  <c:v>40882</c:v>
                </c:pt>
                <c:pt idx="48">
                  <c:v>40912</c:v>
                </c:pt>
                <c:pt idx="49">
                  <c:v>40943</c:v>
                </c:pt>
                <c:pt idx="50">
                  <c:v>40974</c:v>
                </c:pt>
                <c:pt idx="51">
                  <c:v>41004</c:v>
                </c:pt>
                <c:pt idx="52">
                  <c:v>41035</c:v>
                </c:pt>
                <c:pt idx="53">
                  <c:v>41065</c:v>
                </c:pt>
                <c:pt idx="54">
                  <c:v>41096</c:v>
                </c:pt>
                <c:pt idx="55">
                  <c:v>41127</c:v>
                </c:pt>
                <c:pt idx="56">
                  <c:v>41157</c:v>
                </c:pt>
                <c:pt idx="57">
                  <c:v>41188</c:v>
                </c:pt>
                <c:pt idx="58">
                  <c:v>41219</c:v>
                </c:pt>
                <c:pt idx="59">
                  <c:v>41249</c:v>
                </c:pt>
                <c:pt idx="60">
                  <c:v>41280</c:v>
                </c:pt>
                <c:pt idx="61">
                  <c:v>41311</c:v>
                </c:pt>
                <c:pt idx="62">
                  <c:v>41341</c:v>
                </c:pt>
                <c:pt idx="63">
                  <c:v>41372</c:v>
                </c:pt>
                <c:pt idx="64">
                  <c:v>41403</c:v>
                </c:pt>
                <c:pt idx="65">
                  <c:v>41434</c:v>
                </c:pt>
                <c:pt idx="66">
                  <c:v>41464</c:v>
                </c:pt>
                <c:pt idx="67">
                  <c:v>41495</c:v>
                </c:pt>
              </c:numCache>
            </c:numRef>
          </c:cat>
          <c:val>
            <c:numRef>
              <c:f>abaca!$F$149:$F$216</c:f>
              <c:numCache>
                <c:formatCode>0</c:formatCode>
                <c:ptCount val="68"/>
                <c:pt idx="0">
                  <c:v>185</c:v>
                </c:pt>
                <c:pt idx="1">
                  <c:v>185</c:v>
                </c:pt>
                <c:pt idx="2">
                  <c:v>185</c:v>
                </c:pt>
                <c:pt idx="3">
                  <c:v>185</c:v>
                </c:pt>
                <c:pt idx="4">
                  <c:v>185</c:v>
                </c:pt>
                <c:pt idx="5">
                  <c:v>185</c:v>
                </c:pt>
                <c:pt idx="6">
                  <c:v>185</c:v>
                </c:pt>
                <c:pt idx="7">
                  <c:v>185</c:v>
                </c:pt>
                <c:pt idx="8">
                  <c:v>185</c:v>
                </c:pt>
                <c:pt idx="9">
                  <c:v>185</c:v>
                </c:pt>
                <c:pt idx="10">
                  <c:v>185</c:v>
                </c:pt>
                <c:pt idx="11">
                  <c:v>185</c:v>
                </c:pt>
                <c:pt idx="12">
                  <c:v>185</c:v>
                </c:pt>
                <c:pt idx="13">
                  <c:v>185</c:v>
                </c:pt>
                <c:pt idx="14">
                  <c:v>185</c:v>
                </c:pt>
                <c:pt idx="15">
                  <c:v>185</c:v>
                </c:pt>
                <c:pt idx="16">
                  <c:v>185</c:v>
                </c:pt>
                <c:pt idx="17">
                  <c:v>185</c:v>
                </c:pt>
                <c:pt idx="18">
                  <c:v>185</c:v>
                </c:pt>
                <c:pt idx="19">
                  <c:v>185</c:v>
                </c:pt>
                <c:pt idx="20">
                  <c:v>185</c:v>
                </c:pt>
                <c:pt idx="21">
                  <c:v>185</c:v>
                </c:pt>
                <c:pt idx="22">
                  <c:v>185</c:v>
                </c:pt>
                <c:pt idx="23">
                  <c:v>185</c:v>
                </c:pt>
                <c:pt idx="24">
                  <c:v>185</c:v>
                </c:pt>
                <c:pt idx="25">
                  <c:v>185</c:v>
                </c:pt>
                <c:pt idx="26">
                  <c:v>185</c:v>
                </c:pt>
                <c:pt idx="27">
                  <c:v>185</c:v>
                </c:pt>
                <c:pt idx="28">
                  <c:v>185</c:v>
                </c:pt>
                <c:pt idx="29">
                  <c:v>185</c:v>
                </c:pt>
                <c:pt idx="30">
                  <c:v>185</c:v>
                </c:pt>
                <c:pt idx="31">
                  <c:v>185</c:v>
                </c:pt>
                <c:pt idx="32">
                  <c:v>185</c:v>
                </c:pt>
                <c:pt idx="33">
                  <c:v>185</c:v>
                </c:pt>
                <c:pt idx="34">
                  <c:v>185</c:v>
                </c:pt>
                <c:pt idx="35">
                  <c:v>185</c:v>
                </c:pt>
                <c:pt idx="36">
                  <c:v>185</c:v>
                </c:pt>
                <c:pt idx="37">
                  <c:v>185</c:v>
                </c:pt>
                <c:pt idx="38">
                  <c:v>185</c:v>
                </c:pt>
                <c:pt idx="39">
                  <c:v>185</c:v>
                </c:pt>
                <c:pt idx="40">
                  <c:v>185</c:v>
                </c:pt>
                <c:pt idx="41">
                  <c:v>185</c:v>
                </c:pt>
                <c:pt idx="42">
                  <c:v>185</c:v>
                </c:pt>
                <c:pt idx="43">
                  <c:v>185</c:v>
                </c:pt>
                <c:pt idx="44">
                  <c:v>185</c:v>
                </c:pt>
                <c:pt idx="45">
                  <c:v>185</c:v>
                </c:pt>
                <c:pt idx="46">
                  <c:v>185</c:v>
                </c:pt>
                <c:pt idx="47">
                  <c:v>185</c:v>
                </c:pt>
                <c:pt idx="48">
                  <c:v>233</c:v>
                </c:pt>
                <c:pt idx="49">
                  <c:v>233</c:v>
                </c:pt>
                <c:pt idx="50">
                  <c:v>233</c:v>
                </c:pt>
                <c:pt idx="51">
                  <c:v>233</c:v>
                </c:pt>
                <c:pt idx="52">
                  <c:v>233</c:v>
                </c:pt>
                <c:pt idx="53">
                  <c:v>233</c:v>
                </c:pt>
                <c:pt idx="54">
                  <c:v>233</c:v>
                </c:pt>
                <c:pt idx="55">
                  <c:v>233</c:v>
                </c:pt>
                <c:pt idx="56">
                  <c:v>233</c:v>
                </c:pt>
                <c:pt idx="57">
                  <c:v>233</c:v>
                </c:pt>
                <c:pt idx="58">
                  <c:v>233</c:v>
                </c:pt>
                <c:pt idx="59">
                  <c:v>233</c:v>
                </c:pt>
                <c:pt idx="60">
                  <c:v>233</c:v>
                </c:pt>
                <c:pt idx="61">
                  <c:v>233</c:v>
                </c:pt>
                <c:pt idx="62">
                  <c:v>233</c:v>
                </c:pt>
                <c:pt idx="63">
                  <c:v>233</c:v>
                </c:pt>
                <c:pt idx="64">
                  <c:v>233</c:v>
                </c:pt>
                <c:pt idx="65">
                  <c:v>233</c:v>
                </c:pt>
                <c:pt idx="66">
                  <c:v>233</c:v>
                </c:pt>
                <c:pt idx="67">
                  <c:v>233</c:v>
                </c:pt>
              </c:numCache>
            </c:numRef>
          </c:val>
        </c:ser>
        <c:ser>
          <c:idx val="5"/>
          <c:order val="5"/>
          <c:spPr>
            <a:ln w="3175">
              <a:solidFill>
                <a:srgbClr val="000000"/>
              </a:solidFill>
              <a:prstDash val="sysDash"/>
            </a:ln>
          </c:spPr>
          <c:marker>
            <c:symbol val="none"/>
          </c:marker>
          <c:cat>
            <c:numRef>
              <c:f>abaca!$A$149:$A$216</c:f>
              <c:numCache>
                <c:formatCode>mmm\-yy</c:formatCode>
                <c:ptCount val="68"/>
                <c:pt idx="0">
                  <c:v>39461</c:v>
                </c:pt>
                <c:pt idx="1">
                  <c:v>39492</c:v>
                </c:pt>
                <c:pt idx="2">
                  <c:v>39523</c:v>
                </c:pt>
                <c:pt idx="3">
                  <c:v>39554</c:v>
                </c:pt>
                <c:pt idx="4">
                  <c:v>39585</c:v>
                </c:pt>
                <c:pt idx="5">
                  <c:v>39616</c:v>
                </c:pt>
                <c:pt idx="6">
                  <c:v>39647</c:v>
                </c:pt>
                <c:pt idx="7">
                  <c:v>39678</c:v>
                </c:pt>
                <c:pt idx="8">
                  <c:v>39709</c:v>
                </c:pt>
                <c:pt idx="9">
                  <c:v>39740</c:v>
                </c:pt>
                <c:pt idx="10">
                  <c:v>39771</c:v>
                </c:pt>
                <c:pt idx="11">
                  <c:v>39802</c:v>
                </c:pt>
                <c:pt idx="12">
                  <c:v>39833</c:v>
                </c:pt>
                <c:pt idx="13">
                  <c:v>39864</c:v>
                </c:pt>
                <c:pt idx="14">
                  <c:v>39895</c:v>
                </c:pt>
                <c:pt idx="15">
                  <c:v>39926</c:v>
                </c:pt>
                <c:pt idx="16">
                  <c:v>39957</c:v>
                </c:pt>
                <c:pt idx="17">
                  <c:v>39988</c:v>
                </c:pt>
                <c:pt idx="18">
                  <c:v>40019</c:v>
                </c:pt>
                <c:pt idx="19">
                  <c:v>40050</c:v>
                </c:pt>
                <c:pt idx="20">
                  <c:v>40081</c:v>
                </c:pt>
                <c:pt idx="21">
                  <c:v>40112</c:v>
                </c:pt>
                <c:pt idx="22">
                  <c:v>40143</c:v>
                </c:pt>
                <c:pt idx="23">
                  <c:v>40174</c:v>
                </c:pt>
                <c:pt idx="24">
                  <c:v>40205</c:v>
                </c:pt>
                <c:pt idx="25">
                  <c:v>40236</c:v>
                </c:pt>
                <c:pt idx="26">
                  <c:v>40267</c:v>
                </c:pt>
                <c:pt idx="27">
                  <c:v>40298</c:v>
                </c:pt>
                <c:pt idx="28">
                  <c:v>40329</c:v>
                </c:pt>
                <c:pt idx="29">
                  <c:v>40359</c:v>
                </c:pt>
                <c:pt idx="30">
                  <c:v>40390</c:v>
                </c:pt>
                <c:pt idx="31">
                  <c:v>40420</c:v>
                </c:pt>
                <c:pt idx="32">
                  <c:v>40451</c:v>
                </c:pt>
                <c:pt idx="33">
                  <c:v>40481</c:v>
                </c:pt>
                <c:pt idx="34">
                  <c:v>40512</c:v>
                </c:pt>
                <c:pt idx="35">
                  <c:v>40543</c:v>
                </c:pt>
                <c:pt idx="36">
                  <c:v>40574</c:v>
                </c:pt>
                <c:pt idx="37">
                  <c:v>40575</c:v>
                </c:pt>
                <c:pt idx="38">
                  <c:v>40605</c:v>
                </c:pt>
                <c:pt idx="39">
                  <c:v>40636</c:v>
                </c:pt>
                <c:pt idx="40">
                  <c:v>40667</c:v>
                </c:pt>
                <c:pt idx="41">
                  <c:v>40698</c:v>
                </c:pt>
                <c:pt idx="42">
                  <c:v>40728</c:v>
                </c:pt>
                <c:pt idx="43">
                  <c:v>40759</c:v>
                </c:pt>
                <c:pt idx="44">
                  <c:v>40790</c:v>
                </c:pt>
                <c:pt idx="45">
                  <c:v>40820</c:v>
                </c:pt>
                <c:pt idx="46">
                  <c:v>40851</c:v>
                </c:pt>
                <c:pt idx="47">
                  <c:v>40882</c:v>
                </c:pt>
                <c:pt idx="48">
                  <c:v>40912</c:v>
                </c:pt>
                <c:pt idx="49">
                  <c:v>40943</c:v>
                </c:pt>
                <c:pt idx="50">
                  <c:v>40974</c:v>
                </c:pt>
                <c:pt idx="51">
                  <c:v>41004</c:v>
                </c:pt>
                <c:pt idx="52">
                  <c:v>41035</c:v>
                </c:pt>
                <c:pt idx="53">
                  <c:v>41065</c:v>
                </c:pt>
                <c:pt idx="54">
                  <c:v>41096</c:v>
                </c:pt>
                <c:pt idx="55">
                  <c:v>41127</c:v>
                </c:pt>
                <c:pt idx="56">
                  <c:v>41157</c:v>
                </c:pt>
                <c:pt idx="57">
                  <c:v>41188</c:v>
                </c:pt>
                <c:pt idx="58">
                  <c:v>41219</c:v>
                </c:pt>
                <c:pt idx="59">
                  <c:v>41249</c:v>
                </c:pt>
                <c:pt idx="60">
                  <c:v>41280</c:v>
                </c:pt>
                <c:pt idx="61">
                  <c:v>41311</c:v>
                </c:pt>
                <c:pt idx="62">
                  <c:v>41341</c:v>
                </c:pt>
                <c:pt idx="63">
                  <c:v>41372</c:v>
                </c:pt>
                <c:pt idx="64">
                  <c:v>41403</c:v>
                </c:pt>
                <c:pt idx="65">
                  <c:v>41434</c:v>
                </c:pt>
                <c:pt idx="66">
                  <c:v>41464</c:v>
                </c:pt>
                <c:pt idx="67">
                  <c:v>41495</c:v>
                </c:pt>
              </c:numCache>
            </c:numRef>
          </c:cat>
          <c:val>
            <c:numRef>
              <c:f>abaca!$G$149:$G$216</c:f>
              <c:numCache>
                <c:formatCode>0</c:formatCode>
                <c:ptCount val="68"/>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pt idx="25">
                  <c:v>128</c:v>
                </c:pt>
                <c:pt idx="26">
                  <c:v>128</c:v>
                </c:pt>
                <c:pt idx="27">
                  <c:v>128</c:v>
                </c:pt>
                <c:pt idx="28">
                  <c:v>128</c:v>
                </c:pt>
                <c:pt idx="29">
                  <c:v>128</c:v>
                </c:pt>
                <c:pt idx="30">
                  <c:v>128</c:v>
                </c:pt>
                <c:pt idx="31">
                  <c:v>128</c:v>
                </c:pt>
                <c:pt idx="32">
                  <c:v>128</c:v>
                </c:pt>
                <c:pt idx="33">
                  <c:v>128</c:v>
                </c:pt>
                <c:pt idx="34">
                  <c:v>128</c:v>
                </c:pt>
                <c:pt idx="35">
                  <c:v>128</c:v>
                </c:pt>
                <c:pt idx="36">
                  <c:v>128</c:v>
                </c:pt>
                <c:pt idx="37">
                  <c:v>128</c:v>
                </c:pt>
                <c:pt idx="38">
                  <c:v>128</c:v>
                </c:pt>
                <c:pt idx="39">
                  <c:v>128</c:v>
                </c:pt>
                <c:pt idx="40">
                  <c:v>128</c:v>
                </c:pt>
                <c:pt idx="41">
                  <c:v>128</c:v>
                </c:pt>
                <c:pt idx="42">
                  <c:v>128</c:v>
                </c:pt>
                <c:pt idx="43">
                  <c:v>128</c:v>
                </c:pt>
                <c:pt idx="44">
                  <c:v>128</c:v>
                </c:pt>
                <c:pt idx="45">
                  <c:v>128</c:v>
                </c:pt>
                <c:pt idx="46">
                  <c:v>128</c:v>
                </c:pt>
                <c:pt idx="47">
                  <c:v>128</c:v>
                </c:pt>
                <c:pt idx="48">
                  <c:v>160</c:v>
                </c:pt>
                <c:pt idx="49">
                  <c:v>160</c:v>
                </c:pt>
                <c:pt idx="50">
                  <c:v>160</c:v>
                </c:pt>
                <c:pt idx="51">
                  <c:v>160</c:v>
                </c:pt>
                <c:pt idx="52">
                  <c:v>160</c:v>
                </c:pt>
                <c:pt idx="53">
                  <c:v>160</c:v>
                </c:pt>
                <c:pt idx="54">
                  <c:v>160</c:v>
                </c:pt>
                <c:pt idx="55">
                  <c:v>160</c:v>
                </c:pt>
                <c:pt idx="56">
                  <c:v>160</c:v>
                </c:pt>
                <c:pt idx="57">
                  <c:v>160</c:v>
                </c:pt>
                <c:pt idx="58">
                  <c:v>160</c:v>
                </c:pt>
                <c:pt idx="59">
                  <c:v>160</c:v>
                </c:pt>
                <c:pt idx="60">
                  <c:v>160</c:v>
                </c:pt>
                <c:pt idx="61">
                  <c:v>160</c:v>
                </c:pt>
                <c:pt idx="62">
                  <c:v>160</c:v>
                </c:pt>
                <c:pt idx="63">
                  <c:v>160</c:v>
                </c:pt>
                <c:pt idx="64">
                  <c:v>160</c:v>
                </c:pt>
                <c:pt idx="65">
                  <c:v>160</c:v>
                </c:pt>
                <c:pt idx="66">
                  <c:v>160</c:v>
                </c:pt>
                <c:pt idx="67">
                  <c:v>160</c:v>
                </c:pt>
              </c:numCache>
            </c:numRef>
          </c:val>
        </c:ser>
        <c:dLbls/>
        <c:marker val="1"/>
        <c:axId val="219292800"/>
        <c:axId val="219294336"/>
      </c:lineChart>
      <c:catAx>
        <c:axId val="219292800"/>
        <c:scaling>
          <c:orientation val="minMax"/>
        </c:scaling>
        <c:axPos val="b"/>
        <c:numFmt formatCode="yyyy" sourceLinked="0"/>
        <c:majorTickMark val="cross"/>
        <c:minorTickMark val="in"/>
        <c:tickLblPos val="nextTo"/>
        <c:spPr>
          <a:ln w="3175">
            <a:solidFill>
              <a:srgbClr val="000000"/>
            </a:solidFill>
            <a:prstDash val="solid"/>
          </a:ln>
        </c:spPr>
        <c:txPr>
          <a:bodyPr rot="0" vert="horz"/>
          <a:lstStyle/>
          <a:p>
            <a:pPr>
              <a:defRPr/>
            </a:pPr>
            <a:endParaRPr lang="en-US"/>
          </a:p>
        </c:txPr>
        <c:crossAx val="219294336"/>
        <c:crosses val="autoZero"/>
        <c:lblAlgn val="ctr"/>
        <c:lblOffset val="100"/>
        <c:tickLblSkip val="12"/>
        <c:tickMarkSkip val="3"/>
      </c:catAx>
      <c:valAx>
        <c:axId val="219294336"/>
        <c:scaling>
          <c:orientation val="minMax"/>
          <c:min val="100"/>
        </c:scaling>
        <c:axPos val="l"/>
        <c:numFmt formatCode="0" sourceLinked="1"/>
        <c:majorTickMark val="cross"/>
        <c:tickLblPos val="nextTo"/>
        <c:spPr>
          <a:ln w="3175">
            <a:solidFill>
              <a:srgbClr val="000000"/>
            </a:solidFill>
            <a:prstDash val="solid"/>
          </a:ln>
        </c:spPr>
        <c:txPr>
          <a:bodyPr rot="0" vert="horz"/>
          <a:lstStyle/>
          <a:p>
            <a:pPr>
              <a:defRPr/>
            </a:pPr>
            <a:endParaRPr lang="en-US"/>
          </a:p>
        </c:txPr>
        <c:crossAx val="219292800"/>
        <c:crosses val="autoZero"/>
        <c:crossBetween val="midCat"/>
        <c:majorUnit val="50"/>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00" b="1" i="0" u="none" strike="noStrike" baseline="0">
          <a:solidFill>
            <a:srgbClr val="000000"/>
          </a:solidFill>
          <a:latin typeface="Garamond" panose="02020404030301010803" pitchFamily="18" charset="0"/>
          <a:ea typeface="Times New Roman"/>
          <a:cs typeface="Times New Roman"/>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Abaca Fibre Production</a:t>
            </a:r>
          </a:p>
        </c:rich>
      </c:tx>
    </c:title>
    <c:view3D>
      <c:rAngAx val="1"/>
    </c:view3D>
    <c:plotArea>
      <c:layout>
        <c:manualLayout>
          <c:layoutTarget val="inner"/>
          <c:xMode val="edge"/>
          <c:yMode val="edge"/>
          <c:x val="9.0605027008272249E-2"/>
          <c:y val="0.14180946050697626"/>
          <c:w val="0.88241608854997111"/>
          <c:h val="0.68416041805875605"/>
        </c:manualLayout>
      </c:layout>
      <c:bar3DChart>
        <c:barDir val="col"/>
        <c:grouping val="stacked"/>
        <c:ser>
          <c:idx val="0"/>
          <c:order val="0"/>
          <c:tx>
            <c:strRef>
              <c:f>'Chart 13'!$A$3</c:f>
              <c:strCache>
                <c:ptCount val="1"/>
                <c:pt idx="0">
                  <c:v>Philippines</c:v>
                </c:pt>
              </c:strCache>
            </c:strRef>
          </c:tx>
          <c:spPr>
            <a:solidFill>
              <a:srgbClr val="F52BCA"/>
            </a:solidFill>
          </c:spPr>
          <c:cat>
            <c:numRef>
              <c:f>'Chart 13'!$B$2:$F$2</c:f>
              <c:numCache>
                <c:formatCode>General</c:formatCode>
                <c:ptCount val="5"/>
                <c:pt idx="0">
                  <c:v>2008</c:v>
                </c:pt>
                <c:pt idx="1">
                  <c:v>2009</c:v>
                </c:pt>
                <c:pt idx="2">
                  <c:v>2010</c:v>
                </c:pt>
                <c:pt idx="3">
                  <c:v>2011</c:v>
                </c:pt>
                <c:pt idx="4">
                  <c:v>2012</c:v>
                </c:pt>
              </c:numCache>
            </c:numRef>
          </c:cat>
          <c:val>
            <c:numRef>
              <c:f>'Chart 13'!$B$3:$F$3</c:f>
              <c:numCache>
                <c:formatCode>General</c:formatCode>
                <c:ptCount val="5"/>
                <c:pt idx="0">
                  <c:v>77.388999999999982</c:v>
                </c:pt>
                <c:pt idx="1">
                  <c:v>54.585000000000001</c:v>
                </c:pt>
                <c:pt idx="2">
                  <c:v>57.222000000000023</c:v>
                </c:pt>
                <c:pt idx="3">
                  <c:v>73.274000000000001</c:v>
                </c:pt>
                <c:pt idx="4">
                  <c:v>64.805999999999983</c:v>
                </c:pt>
              </c:numCache>
            </c:numRef>
          </c:val>
        </c:ser>
        <c:ser>
          <c:idx val="1"/>
          <c:order val="1"/>
          <c:tx>
            <c:strRef>
              <c:f>'Chart 13'!$A$4</c:f>
              <c:strCache>
                <c:ptCount val="1"/>
                <c:pt idx="0">
                  <c:v>Ecuador</c:v>
                </c:pt>
              </c:strCache>
            </c:strRef>
          </c:tx>
          <c:spPr>
            <a:solidFill>
              <a:srgbClr val="92D050"/>
            </a:solidFill>
          </c:spPr>
          <c:cat>
            <c:numRef>
              <c:f>'Chart 13'!$B$2:$F$2</c:f>
              <c:numCache>
                <c:formatCode>General</c:formatCode>
                <c:ptCount val="5"/>
                <c:pt idx="0">
                  <c:v>2008</c:v>
                </c:pt>
                <c:pt idx="1">
                  <c:v>2009</c:v>
                </c:pt>
                <c:pt idx="2">
                  <c:v>2010</c:v>
                </c:pt>
                <c:pt idx="3">
                  <c:v>2011</c:v>
                </c:pt>
                <c:pt idx="4">
                  <c:v>2012</c:v>
                </c:pt>
              </c:numCache>
            </c:numRef>
          </c:cat>
          <c:val>
            <c:numRef>
              <c:f>'Chart 13'!$B$4:$F$4</c:f>
              <c:numCache>
                <c:formatCode>General</c:formatCode>
                <c:ptCount val="5"/>
                <c:pt idx="0">
                  <c:v>11.958</c:v>
                </c:pt>
                <c:pt idx="1">
                  <c:v>10.373000000000006</c:v>
                </c:pt>
                <c:pt idx="2">
                  <c:v>11.065000000000005</c:v>
                </c:pt>
                <c:pt idx="3">
                  <c:v>9.6650000000000027</c:v>
                </c:pt>
                <c:pt idx="4">
                  <c:v>11.066000000000004</c:v>
                </c:pt>
              </c:numCache>
            </c:numRef>
          </c:val>
        </c:ser>
        <c:dLbls/>
        <c:gapWidth val="55"/>
        <c:gapDepth val="55"/>
        <c:shape val="box"/>
        <c:axId val="219679744"/>
        <c:axId val="219407104"/>
        <c:axId val="0"/>
      </c:bar3DChart>
      <c:catAx>
        <c:axId val="219679744"/>
        <c:scaling>
          <c:orientation val="minMax"/>
        </c:scaling>
        <c:axPos val="b"/>
        <c:numFmt formatCode="General" sourceLinked="1"/>
        <c:majorTickMark val="none"/>
        <c:tickLblPos val="nextTo"/>
        <c:txPr>
          <a:bodyPr/>
          <a:lstStyle/>
          <a:p>
            <a:pPr>
              <a:defRPr sz="900" b="1"/>
            </a:pPr>
            <a:endParaRPr lang="en-US"/>
          </a:p>
        </c:txPr>
        <c:crossAx val="219407104"/>
        <c:crosses val="autoZero"/>
        <c:auto val="1"/>
        <c:lblAlgn val="ctr"/>
        <c:lblOffset val="100"/>
      </c:catAx>
      <c:valAx>
        <c:axId val="219407104"/>
        <c:scaling>
          <c:orientation val="minMax"/>
        </c:scaling>
        <c:axPos val="l"/>
        <c:majorGridlines/>
        <c:title>
          <c:tx>
            <c:rich>
              <a:bodyPr rot="-5400000" vert="horz"/>
              <a:lstStyle/>
              <a:p>
                <a:pPr>
                  <a:defRPr sz="900"/>
                </a:pPr>
                <a:r>
                  <a:rPr lang="en-US" sz="900"/>
                  <a:t>thousand tonnes</a:t>
                </a:r>
              </a:p>
            </c:rich>
          </c:tx>
          <c:layout>
            <c:manualLayout>
              <c:xMode val="edge"/>
              <c:yMode val="edge"/>
              <c:x val="1.2326349205144815E-2"/>
              <c:y val="0.38359807710102289"/>
            </c:manualLayout>
          </c:layout>
        </c:title>
        <c:numFmt formatCode="General" sourceLinked="1"/>
        <c:majorTickMark val="none"/>
        <c:tickLblPos val="nextTo"/>
        <c:txPr>
          <a:bodyPr/>
          <a:lstStyle/>
          <a:p>
            <a:pPr>
              <a:defRPr sz="900" b="1"/>
            </a:pPr>
            <a:endParaRPr lang="en-US"/>
          </a:p>
        </c:txPr>
        <c:crossAx val="219679744"/>
        <c:crosses val="autoZero"/>
        <c:crossBetween val="between"/>
      </c:valAx>
    </c:plotArea>
    <c:legend>
      <c:legendPos val="b"/>
      <c:txPr>
        <a:bodyPr/>
        <a:lstStyle/>
        <a:p>
          <a:pPr>
            <a:defRPr sz="900"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title>
      <c:tx>
        <c:rich>
          <a:bodyPr/>
          <a:lstStyle/>
          <a:p>
            <a:pPr algn="l">
              <a:defRPr sz="1200"/>
            </a:pPr>
            <a:r>
              <a:rPr lang="en-GB" sz="1200"/>
              <a:t>  World Exports of Abaca Fibre and Manufactures</a:t>
            </a:r>
          </a:p>
        </c:rich>
      </c:tx>
      <c:layout>
        <c:manualLayout>
          <c:xMode val="edge"/>
          <c:yMode val="edge"/>
          <c:x val="0.1977400815251793"/>
          <c:y val="4.3656201202697774E-2"/>
        </c:manualLayout>
      </c:layout>
    </c:title>
    <c:view3D>
      <c:depthPercent val="100"/>
      <c:rAngAx val="1"/>
    </c:view3D>
    <c:plotArea>
      <c:layout/>
      <c:bar3DChart>
        <c:barDir val="col"/>
        <c:grouping val="clustered"/>
        <c:ser>
          <c:idx val="0"/>
          <c:order val="0"/>
          <c:tx>
            <c:strRef>
              <c:f>'Chart 13'!$A$29</c:f>
              <c:strCache>
                <c:ptCount val="1"/>
                <c:pt idx="0">
                  <c:v>Abaca Fibre</c:v>
                </c:pt>
              </c:strCache>
            </c:strRef>
          </c:tx>
          <c:cat>
            <c:numRef>
              <c:f>'Chart 13'!$B$28:$F$28</c:f>
              <c:numCache>
                <c:formatCode>General</c:formatCode>
                <c:ptCount val="5"/>
                <c:pt idx="0">
                  <c:v>2008</c:v>
                </c:pt>
                <c:pt idx="1">
                  <c:v>2009</c:v>
                </c:pt>
                <c:pt idx="2">
                  <c:v>2010</c:v>
                </c:pt>
                <c:pt idx="3">
                  <c:v>2011</c:v>
                </c:pt>
                <c:pt idx="4">
                  <c:v>2012</c:v>
                </c:pt>
              </c:numCache>
            </c:numRef>
          </c:cat>
          <c:val>
            <c:numRef>
              <c:f>'Chart 13'!$B$29:$F$29</c:f>
              <c:numCache>
                <c:formatCode>General</c:formatCode>
                <c:ptCount val="5"/>
                <c:pt idx="0">
                  <c:v>28.544</c:v>
                </c:pt>
                <c:pt idx="1">
                  <c:v>20.971</c:v>
                </c:pt>
                <c:pt idx="2">
                  <c:v>26.357999999999997</c:v>
                </c:pt>
                <c:pt idx="3">
                  <c:v>23.957999999999988</c:v>
                </c:pt>
                <c:pt idx="4">
                  <c:v>18.523</c:v>
                </c:pt>
              </c:numCache>
            </c:numRef>
          </c:val>
        </c:ser>
        <c:ser>
          <c:idx val="1"/>
          <c:order val="1"/>
          <c:tx>
            <c:strRef>
              <c:f>'Chart 13'!$A$30</c:f>
              <c:strCache>
                <c:ptCount val="1"/>
                <c:pt idx="0">
                  <c:v>Abaca Pulp</c:v>
                </c:pt>
              </c:strCache>
            </c:strRef>
          </c:tx>
          <c:spPr>
            <a:solidFill>
              <a:srgbClr val="EB47D4"/>
            </a:solidFill>
          </c:spPr>
          <c:cat>
            <c:numRef>
              <c:f>'Chart 13'!$B$28:$F$28</c:f>
              <c:numCache>
                <c:formatCode>General</c:formatCode>
                <c:ptCount val="5"/>
                <c:pt idx="0">
                  <c:v>2008</c:v>
                </c:pt>
                <c:pt idx="1">
                  <c:v>2009</c:v>
                </c:pt>
                <c:pt idx="2">
                  <c:v>2010</c:v>
                </c:pt>
                <c:pt idx="3">
                  <c:v>2011</c:v>
                </c:pt>
                <c:pt idx="4">
                  <c:v>2012</c:v>
                </c:pt>
              </c:numCache>
            </c:numRef>
          </c:cat>
          <c:val>
            <c:numRef>
              <c:f>'Chart 13'!$B$30:$F$30</c:f>
              <c:numCache>
                <c:formatCode>General</c:formatCode>
                <c:ptCount val="5"/>
                <c:pt idx="0">
                  <c:v>18.103000000000005</c:v>
                </c:pt>
                <c:pt idx="1">
                  <c:v>12.025</c:v>
                </c:pt>
                <c:pt idx="2">
                  <c:v>20.879000000000001</c:v>
                </c:pt>
                <c:pt idx="3">
                  <c:v>29.773</c:v>
                </c:pt>
                <c:pt idx="4">
                  <c:v>21.524000000000001</c:v>
                </c:pt>
              </c:numCache>
            </c:numRef>
          </c:val>
        </c:ser>
        <c:ser>
          <c:idx val="2"/>
          <c:order val="2"/>
          <c:tx>
            <c:strRef>
              <c:f>'Chart 13'!$A$31</c:f>
              <c:strCache>
                <c:ptCount val="1"/>
                <c:pt idx="0">
                  <c:v>Abaca Cordage, Twine, Ropes</c:v>
                </c:pt>
              </c:strCache>
            </c:strRef>
          </c:tx>
          <c:spPr>
            <a:solidFill>
              <a:srgbClr val="92D050"/>
            </a:solidFill>
          </c:spPr>
          <c:cat>
            <c:numRef>
              <c:f>'Chart 13'!$B$28:$F$28</c:f>
              <c:numCache>
                <c:formatCode>General</c:formatCode>
                <c:ptCount val="5"/>
                <c:pt idx="0">
                  <c:v>2008</c:v>
                </c:pt>
                <c:pt idx="1">
                  <c:v>2009</c:v>
                </c:pt>
                <c:pt idx="2">
                  <c:v>2010</c:v>
                </c:pt>
                <c:pt idx="3">
                  <c:v>2011</c:v>
                </c:pt>
                <c:pt idx="4">
                  <c:v>2012</c:v>
                </c:pt>
              </c:numCache>
            </c:numRef>
          </c:cat>
          <c:val>
            <c:numRef>
              <c:f>'Chart 13'!$B$31:$F$31</c:f>
              <c:numCache>
                <c:formatCode>General</c:formatCode>
                <c:ptCount val="5"/>
                <c:pt idx="0">
                  <c:v>16.698999999999987</c:v>
                </c:pt>
                <c:pt idx="1">
                  <c:v>15.213999999999999</c:v>
                </c:pt>
                <c:pt idx="2">
                  <c:v>16.548000000000002</c:v>
                </c:pt>
                <c:pt idx="3">
                  <c:v>18.182000000000002</c:v>
                </c:pt>
                <c:pt idx="4">
                  <c:v>14.294</c:v>
                </c:pt>
              </c:numCache>
            </c:numRef>
          </c:val>
        </c:ser>
        <c:dLbls/>
        <c:shape val="box"/>
        <c:axId val="219967488"/>
        <c:axId val="219969024"/>
        <c:axId val="0"/>
      </c:bar3DChart>
      <c:catAx>
        <c:axId val="219967488"/>
        <c:scaling>
          <c:orientation val="minMax"/>
        </c:scaling>
        <c:axPos val="b"/>
        <c:numFmt formatCode="General" sourceLinked="1"/>
        <c:majorTickMark val="none"/>
        <c:tickLblPos val="nextTo"/>
        <c:txPr>
          <a:bodyPr/>
          <a:lstStyle/>
          <a:p>
            <a:pPr>
              <a:defRPr sz="900" b="1"/>
            </a:pPr>
            <a:endParaRPr lang="en-US"/>
          </a:p>
        </c:txPr>
        <c:crossAx val="219969024"/>
        <c:crosses val="autoZero"/>
        <c:auto val="1"/>
        <c:lblAlgn val="ctr"/>
        <c:lblOffset val="100"/>
      </c:catAx>
      <c:valAx>
        <c:axId val="219969024"/>
        <c:scaling>
          <c:orientation val="minMax"/>
        </c:scaling>
        <c:axPos val="l"/>
        <c:majorGridlines/>
        <c:title>
          <c:tx>
            <c:rich>
              <a:bodyPr rot="-5400000" vert="horz"/>
              <a:lstStyle/>
              <a:p>
                <a:pPr>
                  <a:defRPr sz="900"/>
                </a:pPr>
                <a:r>
                  <a:rPr lang="en-GB" sz="900"/>
                  <a:t>thousand</a:t>
                </a:r>
                <a:r>
                  <a:rPr lang="en-GB" sz="900" baseline="0"/>
                  <a:t> tonnes</a:t>
                </a:r>
                <a:endParaRPr lang="en-GB" sz="900"/>
              </a:p>
            </c:rich>
          </c:tx>
          <c:layout>
            <c:manualLayout>
              <c:xMode val="edge"/>
              <c:yMode val="edge"/>
              <c:x val="2.1623513410721204E-2"/>
              <c:y val="0.3727858249800689"/>
            </c:manualLayout>
          </c:layout>
        </c:title>
        <c:numFmt formatCode="#,##0" sourceLinked="0"/>
        <c:majorTickMark val="none"/>
        <c:tickLblPos val="nextTo"/>
        <c:txPr>
          <a:bodyPr/>
          <a:lstStyle/>
          <a:p>
            <a:pPr>
              <a:defRPr sz="900" b="1"/>
            </a:pPr>
            <a:endParaRPr lang="en-US"/>
          </a:p>
        </c:txPr>
        <c:crossAx val="219967488"/>
        <c:crosses val="autoZero"/>
        <c:crossBetween val="between"/>
      </c:valAx>
      <c:spPr>
        <a:noFill/>
        <a:ln w="25400">
          <a:noFill/>
        </a:ln>
      </c:spPr>
    </c:plotArea>
    <c:legend>
      <c:legendPos val="b"/>
      <c:txPr>
        <a:bodyPr/>
        <a:lstStyle/>
        <a:p>
          <a:pPr>
            <a:defRPr sz="900"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Share of Global</a:t>
            </a:r>
            <a:r>
              <a:rPr lang="en-GB" sz="1200" baseline="0"/>
              <a:t> </a:t>
            </a:r>
            <a:r>
              <a:rPr lang="en-GB" sz="1200"/>
              <a:t>Production, 2012</a:t>
            </a:r>
          </a:p>
        </c:rich>
      </c:tx>
      <c:layout/>
    </c:title>
    <c:view3D>
      <c:rotX val="30"/>
      <c:perspective val="30"/>
    </c:view3D>
    <c:plotArea>
      <c:layout>
        <c:manualLayout>
          <c:layoutTarget val="inner"/>
          <c:xMode val="edge"/>
          <c:yMode val="edge"/>
          <c:x val="0.12613556155722089"/>
          <c:y val="0.21411273064864683"/>
          <c:w val="0.75916084957465424"/>
          <c:h val="0.64566282214116089"/>
        </c:manualLayout>
      </c:layout>
      <c:pie3DChart>
        <c:varyColors val="1"/>
        <c:ser>
          <c:idx val="0"/>
          <c:order val="0"/>
          <c:explosion val="9"/>
          <c:dPt>
            <c:idx val="1"/>
            <c:spPr>
              <a:solidFill>
                <a:srgbClr val="92D050"/>
              </a:solidFill>
            </c:spPr>
          </c:dPt>
          <c:dPt>
            <c:idx val="2"/>
            <c:spPr>
              <a:solidFill>
                <a:srgbClr val="FFFF00"/>
              </a:solidFill>
            </c:spPr>
          </c:dPt>
          <c:dPt>
            <c:idx val="3"/>
            <c:spPr>
              <a:solidFill>
                <a:srgbClr val="EB47D4"/>
              </a:solidFill>
            </c:spPr>
          </c:dPt>
          <c:dLbls>
            <c:dLbl>
              <c:idx val="0"/>
              <c:layout/>
              <c:tx>
                <c:rich>
                  <a:bodyPr/>
                  <a:lstStyle/>
                  <a:p>
                    <a:r>
                      <a:rPr lang="en-US" sz="900" b="1"/>
                      <a:t>Abaca 1.8%</a:t>
                    </a:r>
                    <a:r>
                      <a:rPr lang="en-GB" sz="900" b="1" i="0" u="none" strike="noStrike" baseline="0">
                        <a:effectLst/>
                      </a:rPr>
                      <a:t> </a:t>
                    </a:r>
                    <a:endParaRPr lang="en-US"/>
                  </a:p>
                </c:rich>
              </c:tx>
            </c:dLbl>
            <c:dLbl>
              <c:idx val="1"/>
              <c:layout>
                <c:manualLayout>
                  <c:x val="3.8218012603497026E-2"/>
                  <c:y val="3.8563602206027783E-3"/>
                </c:manualLayout>
              </c:layout>
              <c:tx>
                <c:rich>
                  <a:bodyPr/>
                  <a:lstStyle/>
                  <a:p>
                    <a:r>
                      <a:rPr lang="en-US" sz="900" b="1"/>
                      <a:t>Sisal, Henequen &amp; Others 6.4%</a:t>
                    </a:r>
                    <a:endParaRPr lang="en-US"/>
                  </a:p>
                </c:rich>
              </c:tx>
              <c:dLblPos val="bestFit"/>
            </c:dLbl>
            <c:dLbl>
              <c:idx val="2"/>
              <c:layout/>
              <c:tx>
                <c:rich>
                  <a:bodyPr/>
                  <a:lstStyle/>
                  <a:p>
                    <a:r>
                      <a:rPr lang="en-US" sz="900" b="1"/>
                      <a:t>Coir (brown fibre) 17.1%</a:t>
                    </a:r>
                    <a:endParaRPr lang="en-US"/>
                  </a:p>
                </c:rich>
              </c:tx>
            </c:dLbl>
            <c:dLbl>
              <c:idx val="3"/>
              <c:layout>
                <c:manualLayout>
                  <c:x val="0.27120018242400551"/>
                  <c:y val="-0.19625886182036964"/>
                </c:manualLayout>
              </c:layout>
              <c:tx>
                <c:rich>
                  <a:bodyPr/>
                  <a:lstStyle/>
                  <a:p>
                    <a:r>
                      <a:rPr lang="en-US" sz="900" b="1"/>
                      <a:t>Jute/Kenaf 74.6%</a:t>
                    </a:r>
                    <a:endParaRPr lang="en-US"/>
                  </a:p>
                </c:rich>
              </c:tx>
              <c:dLblPos val="bestFit"/>
            </c:dLbl>
            <c:txPr>
              <a:bodyPr/>
              <a:lstStyle/>
              <a:p>
                <a:pPr>
                  <a:defRPr sz="900"/>
                </a:pPr>
                <a:endParaRPr lang="en-US"/>
              </a:p>
            </c:txPr>
            <c:showCatName val="1"/>
            <c:showLeaderLines val="1"/>
          </c:dLbls>
          <c:cat>
            <c:strRef>
              <c:f>'chart 2'!$B$26:$E$26</c:f>
              <c:strCache>
                <c:ptCount val="4"/>
                <c:pt idx="0">
                  <c:v>Abaca</c:v>
                </c:pt>
                <c:pt idx="1">
                  <c:v>Sisal, Henequen &amp; Others</c:v>
                </c:pt>
                <c:pt idx="2">
                  <c:v>Coir (brown fibre)</c:v>
                </c:pt>
                <c:pt idx="3">
                  <c:v>Jute</c:v>
                </c:pt>
              </c:strCache>
            </c:strRef>
          </c:cat>
          <c:val>
            <c:numRef>
              <c:f>'chart 2'!$B$27:$E$27</c:f>
              <c:numCache>
                <c:formatCode>0.0</c:formatCode>
                <c:ptCount val="4"/>
                <c:pt idx="0">
                  <c:v>1.8136386412698238</c:v>
                </c:pt>
                <c:pt idx="1">
                  <c:v>6.434802577123885</c:v>
                </c:pt>
                <c:pt idx="2">
                  <c:v>17.142937892642497</c:v>
                </c:pt>
                <c:pt idx="3">
                  <c:v>74.608620888963799</c:v>
                </c:pt>
              </c:numCache>
            </c:numRef>
          </c:val>
        </c:ser>
        <c:dLbls/>
      </c:pie3DChart>
      <c:spPr>
        <a:noFill/>
        <a:ln w="25400">
          <a:noFill/>
        </a:ln>
      </c:spPr>
    </c:plotArea>
    <c:plotVisOnly val="1"/>
    <c:dispBlanksAs val="zero"/>
  </c:chart>
  <c:spPr>
    <a:scene3d>
      <a:camera prst="orthographicFront"/>
      <a:lightRig rig="threePt" dir="t"/>
    </a:scene3d>
    <a:sp3d/>
  </c:spPr>
  <c:txPr>
    <a:bodyPr/>
    <a:lstStyle/>
    <a:p>
      <a:pPr>
        <a:defRPr>
          <a:latin typeface="Garamond" panose="02020404030301010803" pitchFamily="18"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48" b="1"/>
            </a:pPr>
            <a:r>
              <a:rPr lang="en-GB" sz="1048" b="1"/>
              <a:t>Share of Abaca Fibre Exports by</a:t>
            </a:r>
            <a:r>
              <a:rPr lang="en-GB" sz="1048" b="1" baseline="0"/>
              <a:t> Destination</a:t>
            </a:r>
            <a:endParaRPr lang="en-GB" sz="1050" b="1"/>
          </a:p>
        </c:rich>
      </c:tx>
      <c:layout>
        <c:manualLayout>
          <c:xMode val="edge"/>
          <c:yMode val="edge"/>
          <c:x val="0.18656643391274222"/>
          <c:y val="4.5116424667100127E-2"/>
        </c:manualLayout>
      </c:layout>
      <c:spPr>
        <a:noFill/>
        <a:ln w="25363">
          <a:noFill/>
        </a:ln>
      </c:spPr>
    </c:title>
    <c:view3D>
      <c:perspective val="0"/>
    </c:view3D>
    <c:plotArea>
      <c:layout>
        <c:manualLayout>
          <c:layoutTarget val="inner"/>
          <c:xMode val="edge"/>
          <c:yMode val="edge"/>
          <c:x val="0"/>
          <c:y val="0.13373854583966485"/>
          <c:w val="1"/>
          <c:h val="0.86626145416033551"/>
        </c:manualLayout>
      </c:layout>
      <c:pie3DChart>
        <c:varyColors val="1"/>
        <c:ser>
          <c:idx val="0"/>
          <c:order val="0"/>
          <c:spPr>
            <a:solidFill>
              <a:srgbClr val="9999FF"/>
            </a:solidFill>
            <a:ln w="12682">
              <a:solidFill>
                <a:srgbClr val="000000"/>
              </a:solidFill>
              <a:prstDash val="solid"/>
            </a:ln>
          </c:spPr>
          <c:explosion val="8"/>
          <c:dPt>
            <c:idx val="1"/>
            <c:spPr>
              <a:solidFill>
                <a:srgbClr val="FF0000"/>
              </a:solidFill>
              <a:ln w="12682">
                <a:solidFill>
                  <a:srgbClr val="000000"/>
                </a:solidFill>
                <a:prstDash val="solid"/>
              </a:ln>
            </c:spPr>
          </c:dPt>
          <c:dPt>
            <c:idx val="2"/>
            <c:spPr>
              <a:solidFill>
                <a:srgbClr val="FFFFCC"/>
              </a:solidFill>
              <a:ln w="12682">
                <a:solidFill>
                  <a:srgbClr val="000000"/>
                </a:solidFill>
                <a:prstDash val="solid"/>
              </a:ln>
            </c:spPr>
          </c:dPt>
          <c:dLbls>
            <c:dLbl>
              <c:idx val="0"/>
              <c:layout>
                <c:manualLayout>
                  <c:x val="-0.20759065496345705"/>
                  <c:y val="-0.15835834422042547"/>
                </c:manualLayout>
              </c:layout>
              <c:dLblPos val="bestFit"/>
              <c:showCatName val="1"/>
              <c:showPercent val="1"/>
            </c:dLbl>
            <c:dLbl>
              <c:idx val="1"/>
              <c:layout>
                <c:manualLayout>
                  <c:x val="5.7673319671700876E-2"/>
                  <c:y val="-8.5268175558772669E-2"/>
                </c:manualLayout>
              </c:layout>
              <c:dLblPos val="bestFit"/>
              <c:showCatName val="1"/>
              <c:showPercent val="1"/>
            </c:dLbl>
            <c:dLbl>
              <c:idx val="2"/>
              <c:layout>
                <c:manualLayout>
                  <c:x val="8.2970321017565116E-2"/>
                  <c:y val="-1.3302777451326049E-2"/>
                </c:manualLayout>
              </c:layout>
              <c:dLblPos val="bestFit"/>
              <c:showCatName val="1"/>
              <c:showPercent val="1"/>
            </c:dLbl>
            <c:numFmt formatCode="0%" sourceLinked="0"/>
            <c:spPr>
              <a:noFill/>
              <a:ln w="25363">
                <a:noFill/>
              </a:ln>
            </c:spPr>
            <c:txPr>
              <a:bodyPr/>
              <a:lstStyle/>
              <a:p>
                <a:pPr>
                  <a:defRPr b="1"/>
                </a:pPr>
                <a:endParaRPr lang="en-US"/>
              </a:p>
            </c:txPr>
            <c:dLblPos val="inEnd"/>
            <c:showCatName val="1"/>
            <c:showPercent val="1"/>
          </c:dLbls>
          <c:cat>
            <c:strRef>
              <c:f>Sheet2!$D$8:$D$10</c:f>
              <c:strCache>
                <c:ptCount val="3"/>
                <c:pt idx="0">
                  <c:v>EU (27)</c:v>
                </c:pt>
                <c:pt idx="1">
                  <c:v>Japan</c:v>
                </c:pt>
                <c:pt idx="2">
                  <c:v>Others</c:v>
                </c:pt>
              </c:strCache>
            </c:strRef>
          </c:cat>
          <c:val>
            <c:numRef>
              <c:f>Sheet2!$E$8:$E$10</c:f>
              <c:numCache>
                <c:formatCode>0.0</c:formatCode>
                <c:ptCount val="3"/>
                <c:pt idx="0">
                  <c:v>69.11</c:v>
                </c:pt>
                <c:pt idx="1">
                  <c:v>23.8</c:v>
                </c:pt>
                <c:pt idx="2">
                  <c:v>7.09</c:v>
                </c:pt>
              </c:numCache>
            </c:numRef>
          </c:val>
        </c:ser>
        <c:dLbls/>
      </c:pie3DChart>
      <c:spPr>
        <a:noFill/>
        <a:ln w="25363">
          <a:noFill/>
        </a:ln>
      </c:spPr>
    </c:plotArea>
    <c:plotVisOnly val="1"/>
    <c:dispBlanksAs val="zero"/>
  </c:chart>
  <c:spPr>
    <a:solidFill>
      <a:srgbClr val="FFFFFF"/>
    </a:solidFill>
    <a:ln w="3170">
      <a:solidFill>
        <a:srgbClr val="000000"/>
      </a:solidFill>
      <a:prstDash val="solid"/>
    </a:ln>
  </c:spPr>
  <c:txPr>
    <a:bodyPr/>
    <a:lstStyle/>
    <a:p>
      <a:pPr>
        <a:defRPr sz="799" b="0" i="0" u="none" strike="noStrike" baseline="0">
          <a:solidFill>
            <a:srgbClr val="000000"/>
          </a:solidFill>
          <a:latin typeface="Garamond" panose="02020404030301010803" pitchFamily="18" charset="0"/>
          <a:ea typeface="Times New Roman"/>
          <a:cs typeface="Times New Roman"/>
        </a:defRPr>
      </a:pPr>
      <a:endParaRPr lang="en-US"/>
    </a:p>
  </c:txPr>
  <c:externalData r:id="rId2"/>
  <c:userShapes r:id="rId3"/>
</c:chartSpace>
</file>

<file path=word/charts/chart2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a:pPr>
            <a:r>
              <a:rPr lang="en-GB"/>
              <a:t>Share of Abaca Cordage Exports by Destination</a:t>
            </a:r>
          </a:p>
        </c:rich>
      </c:tx>
      <c:layout>
        <c:manualLayout>
          <c:xMode val="edge"/>
          <c:yMode val="edge"/>
          <c:x val="0.13229178428168178"/>
          <c:y val="4.4061560486757335E-2"/>
        </c:manualLayout>
      </c:layout>
      <c:spPr>
        <a:noFill/>
        <a:ln w="25363">
          <a:noFill/>
        </a:ln>
      </c:spPr>
    </c:title>
    <c:view3D>
      <c:perspective val="0"/>
    </c:view3D>
    <c:plotArea>
      <c:layout>
        <c:manualLayout>
          <c:layoutTarget val="inner"/>
          <c:xMode val="edge"/>
          <c:yMode val="edge"/>
          <c:x val="0"/>
          <c:y val="7.6014115707353322E-2"/>
          <c:w val="1"/>
          <c:h val="0.9239858842926465"/>
        </c:manualLayout>
      </c:layout>
      <c:pie3DChart>
        <c:varyColors val="1"/>
        <c:ser>
          <c:idx val="0"/>
          <c:order val="0"/>
          <c:spPr>
            <a:solidFill>
              <a:srgbClr val="9999FF"/>
            </a:solidFill>
            <a:ln w="12682">
              <a:solidFill>
                <a:srgbClr val="000000"/>
              </a:solidFill>
              <a:prstDash val="solid"/>
            </a:ln>
          </c:spPr>
          <c:explosion val="15"/>
          <c:dPt>
            <c:idx val="0"/>
            <c:explosion val="0"/>
          </c:dPt>
          <c:dPt>
            <c:idx val="1"/>
            <c:explosion val="0"/>
            <c:spPr>
              <a:solidFill>
                <a:srgbClr val="993366"/>
              </a:solidFill>
              <a:ln w="12682">
                <a:solidFill>
                  <a:srgbClr val="000000"/>
                </a:solidFill>
                <a:prstDash val="solid"/>
              </a:ln>
            </c:spPr>
          </c:dPt>
          <c:dPt>
            <c:idx val="2"/>
            <c:spPr>
              <a:solidFill>
                <a:srgbClr val="FFFFCC"/>
              </a:solidFill>
              <a:ln w="12682">
                <a:solidFill>
                  <a:srgbClr val="000000"/>
                </a:solidFill>
                <a:prstDash val="solid"/>
              </a:ln>
            </c:spPr>
          </c:dPt>
          <c:dPt>
            <c:idx val="3"/>
            <c:spPr>
              <a:solidFill>
                <a:srgbClr val="CCFFFF"/>
              </a:solidFill>
              <a:ln w="12682">
                <a:solidFill>
                  <a:srgbClr val="000000"/>
                </a:solidFill>
                <a:prstDash val="solid"/>
              </a:ln>
            </c:spPr>
          </c:dPt>
          <c:dPt>
            <c:idx val="4"/>
            <c:spPr>
              <a:solidFill>
                <a:srgbClr val="660066"/>
              </a:solidFill>
              <a:ln w="12682">
                <a:solidFill>
                  <a:srgbClr val="000000"/>
                </a:solidFill>
                <a:prstDash val="solid"/>
              </a:ln>
            </c:spPr>
          </c:dPt>
          <c:dPt>
            <c:idx val="5"/>
            <c:spPr>
              <a:solidFill>
                <a:srgbClr val="FF8080"/>
              </a:solidFill>
              <a:ln w="12682">
                <a:solidFill>
                  <a:srgbClr val="000000"/>
                </a:solidFill>
                <a:prstDash val="solid"/>
              </a:ln>
            </c:spPr>
          </c:dPt>
          <c:dPt>
            <c:idx val="6"/>
            <c:explosion val="3"/>
            <c:spPr>
              <a:solidFill>
                <a:srgbClr val="00FF00"/>
              </a:solidFill>
              <a:ln w="12682">
                <a:solidFill>
                  <a:srgbClr val="000000"/>
                </a:solidFill>
                <a:prstDash val="solid"/>
              </a:ln>
            </c:spPr>
          </c:dPt>
          <c:dLbls>
            <c:dLbl>
              <c:idx val="1"/>
              <c:layout>
                <c:manualLayout>
                  <c:x val="3.7586189471336402E-3"/>
                  <c:y val="7.2120794844021952E-2"/>
                </c:manualLayout>
              </c:layout>
              <c:dLblPos val="bestFit"/>
              <c:showCatName val="1"/>
              <c:showPercent val="1"/>
            </c:dLbl>
            <c:dLbl>
              <c:idx val="2"/>
              <c:layout>
                <c:manualLayout>
                  <c:x val="-0.10883745933390371"/>
                  <c:y val="7.9338639230109156E-2"/>
                </c:manualLayout>
              </c:layout>
              <c:dLblPos val="bestFit"/>
              <c:showCatName val="1"/>
              <c:showPercent val="1"/>
            </c:dLbl>
            <c:dLbl>
              <c:idx val="3"/>
              <c:layout>
                <c:manualLayout>
                  <c:x val="-0.12822895670227474"/>
                  <c:y val="6.267760466928915E-2"/>
                </c:manualLayout>
              </c:layout>
              <c:dLblPos val="bestFit"/>
              <c:showCatName val="1"/>
              <c:showPercent val="1"/>
            </c:dLbl>
            <c:dLbl>
              <c:idx val="5"/>
              <c:layout>
                <c:manualLayout>
                  <c:x val="-3.6504017217839357E-2"/>
                  <c:y val="1.6456816137419443E-2"/>
                </c:manualLayout>
              </c:layout>
              <c:dLblPos val="bestFit"/>
              <c:showCatName val="1"/>
              <c:showPercent val="1"/>
            </c:dLbl>
            <c:txPr>
              <a:bodyPr/>
              <a:lstStyle/>
              <a:p>
                <a:pPr>
                  <a:defRPr sz="800"/>
                </a:pPr>
                <a:endParaRPr lang="en-US"/>
              </a:p>
            </c:txPr>
            <c:showCatName val="1"/>
            <c:showPercent val="1"/>
          </c:dLbls>
          <c:cat>
            <c:strRef>
              <c:f>Sheet2!$D$24:$D$30</c:f>
              <c:strCache>
                <c:ptCount val="7"/>
                <c:pt idx="0">
                  <c:v>United States</c:v>
                </c:pt>
                <c:pt idx="1">
                  <c:v>Hong Kong</c:v>
                </c:pt>
                <c:pt idx="2">
                  <c:v>Malaysia</c:v>
                </c:pt>
                <c:pt idx="3">
                  <c:v>Thailand</c:v>
                </c:pt>
                <c:pt idx="4">
                  <c:v>EU (27)</c:v>
                </c:pt>
                <c:pt idx="5">
                  <c:v>India</c:v>
                </c:pt>
                <c:pt idx="6">
                  <c:v>Others</c:v>
                </c:pt>
              </c:strCache>
            </c:strRef>
          </c:cat>
          <c:val>
            <c:numRef>
              <c:f>Sheet2!$E$24:$E$30</c:f>
              <c:numCache>
                <c:formatCode>#\ ##0.00</c:formatCode>
                <c:ptCount val="7"/>
                <c:pt idx="0">
                  <c:v>32.44</c:v>
                </c:pt>
                <c:pt idx="1">
                  <c:v>5.53</c:v>
                </c:pt>
                <c:pt idx="2">
                  <c:v>6.63</c:v>
                </c:pt>
                <c:pt idx="3">
                  <c:v>6.63</c:v>
                </c:pt>
                <c:pt idx="4">
                  <c:v>4.37</c:v>
                </c:pt>
                <c:pt idx="5">
                  <c:v>5.53</c:v>
                </c:pt>
                <c:pt idx="6">
                  <c:v>38.870000000000005</c:v>
                </c:pt>
              </c:numCache>
            </c:numRef>
          </c:val>
        </c:ser>
        <c:dLbls/>
      </c:pie3DChart>
      <c:spPr>
        <a:noFill/>
        <a:ln w="25363">
          <a:noFill/>
        </a:ln>
      </c:spPr>
    </c:plotArea>
    <c:plotVisOnly val="1"/>
    <c:dispBlanksAs val="zero"/>
  </c:chart>
  <c:spPr>
    <a:solidFill>
      <a:srgbClr val="FFFFFF"/>
    </a:solidFill>
    <a:ln w="3170">
      <a:solidFill>
        <a:srgbClr val="000000"/>
      </a:solidFill>
      <a:prstDash val="solid"/>
    </a:ln>
  </c:spPr>
  <c:txPr>
    <a:bodyPr/>
    <a:lstStyle/>
    <a:p>
      <a:pPr>
        <a:defRPr sz="874" b="1" i="0" u="none" strike="noStrike" baseline="0">
          <a:solidFill>
            <a:srgbClr val="000000"/>
          </a:solidFill>
          <a:latin typeface="Garamond" panose="02020404030301010803" pitchFamily="18" charset="0"/>
          <a:ea typeface="Times New Roman"/>
          <a:cs typeface="Times New Roman"/>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49"/>
            </a:pPr>
            <a:r>
              <a:rPr lang="en-GB" sz="1049"/>
              <a:t>Share of Abaca Pulp Exports by Destination</a:t>
            </a:r>
          </a:p>
        </c:rich>
      </c:tx>
      <c:layout>
        <c:manualLayout>
          <c:xMode val="edge"/>
          <c:yMode val="edge"/>
          <c:x val="0.12115714626580769"/>
          <c:y val="3.861021470676821E-2"/>
        </c:manualLayout>
      </c:layout>
      <c:spPr>
        <a:noFill/>
        <a:ln w="25386">
          <a:noFill/>
        </a:ln>
      </c:spPr>
    </c:title>
    <c:view3D>
      <c:perspective val="0"/>
    </c:view3D>
    <c:plotArea>
      <c:layout>
        <c:manualLayout>
          <c:layoutTarget val="inner"/>
          <c:xMode val="edge"/>
          <c:yMode val="edge"/>
          <c:x val="0"/>
          <c:y val="0.19734450446966947"/>
          <c:w val="1"/>
          <c:h val="0.80265567197801102"/>
        </c:manualLayout>
      </c:layout>
      <c:pie3DChart>
        <c:varyColors val="1"/>
        <c:ser>
          <c:idx val="0"/>
          <c:order val="0"/>
          <c:spPr>
            <a:solidFill>
              <a:srgbClr val="9999FF"/>
            </a:solidFill>
            <a:ln w="12693">
              <a:solidFill>
                <a:srgbClr val="000000"/>
              </a:solidFill>
              <a:prstDash val="solid"/>
            </a:ln>
          </c:spPr>
          <c:explosion val="23"/>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Pt>
            <c:idx val="4"/>
            <c:explosion val="0"/>
            <c:spPr>
              <a:solidFill>
                <a:srgbClr val="92D050"/>
              </a:solidFill>
              <a:ln w="12693">
                <a:solidFill>
                  <a:srgbClr val="000000"/>
                </a:solidFill>
                <a:prstDash val="solid"/>
              </a:ln>
            </c:spPr>
          </c:dPt>
          <c:dLbls>
            <c:dLbl>
              <c:idx val="0"/>
              <c:layout>
                <c:manualLayout>
                  <c:x val="-0.18443947138186681"/>
                  <c:y val="-0.15327505321677309"/>
                </c:manualLayout>
              </c:layout>
              <c:dLblPos val="bestFit"/>
              <c:showCatName val="1"/>
              <c:showPercent val="1"/>
            </c:dLbl>
            <c:dLbl>
              <c:idx val="3"/>
              <c:layout>
                <c:manualLayout>
                  <c:x val="0.12826406788837494"/>
                  <c:y val="-0.13537968770852787"/>
                </c:manualLayout>
              </c:layout>
              <c:dLblPos val="bestFit"/>
              <c:showCatName val="1"/>
              <c:showPercent val="1"/>
            </c:dLbl>
            <c:dLbl>
              <c:idx val="4"/>
              <c:layout>
                <c:manualLayout>
                  <c:x val="0.15286677730306134"/>
                  <c:y val="-1.0774500645046501E-3"/>
                </c:manualLayout>
              </c:layout>
              <c:dLblPos val="bestFit"/>
              <c:showCatName val="1"/>
              <c:showPercent val="1"/>
            </c:dLbl>
            <c:numFmt formatCode="0%" sourceLinked="0"/>
            <c:spPr>
              <a:noFill/>
              <a:ln w="25386">
                <a:noFill/>
              </a:ln>
            </c:spPr>
            <c:txPr>
              <a:bodyPr/>
              <a:lstStyle/>
              <a:p>
                <a:pPr>
                  <a:defRPr sz="800"/>
                </a:pPr>
                <a:endParaRPr lang="en-US"/>
              </a:p>
            </c:txPr>
            <c:showCatName val="1"/>
            <c:showPercent val="1"/>
          </c:dLbls>
          <c:cat>
            <c:strRef>
              <c:f>Sheet2!$D$44:$D$48</c:f>
              <c:strCache>
                <c:ptCount val="5"/>
                <c:pt idx="0">
                  <c:v>EU (27)</c:v>
                </c:pt>
                <c:pt idx="1">
                  <c:v>Japan</c:v>
                </c:pt>
                <c:pt idx="2">
                  <c:v>United States</c:v>
                </c:pt>
                <c:pt idx="3">
                  <c:v>China</c:v>
                </c:pt>
                <c:pt idx="4">
                  <c:v>Singapore</c:v>
                </c:pt>
              </c:strCache>
            </c:strRef>
          </c:cat>
          <c:val>
            <c:numRef>
              <c:f>Sheet2!$E$44:$E$48</c:f>
              <c:numCache>
                <c:formatCode>#\ ##0.00</c:formatCode>
                <c:ptCount val="5"/>
                <c:pt idx="0">
                  <c:v>62.8</c:v>
                </c:pt>
                <c:pt idx="1">
                  <c:v>14.8</c:v>
                </c:pt>
                <c:pt idx="2">
                  <c:v>6.6</c:v>
                </c:pt>
                <c:pt idx="3">
                  <c:v>7.8</c:v>
                </c:pt>
                <c:pt idx="4">
                  <c:v>8</c:v>
                </c:pt>
              </c:numCache>
            </c:numRef>
          </c:val>
        </c:ser>
        <c:dLbls/>
      </c:pie3DChart>
      <c:spPr>
        <a:noFill/>
        <a:ln w="25386">
          <a:noFill/>
        </a:ln>
      </c:spPr>
    </c:plotArea>
    <c:plotVisOnly val="1"/>
    <c:dispBlanksAs val="zero"/>
  </c:chart>
  <c:spPr>
    <a:solidFill>
      <a:srgbClr val="FFFFFF"/>
    </a:solidFill>
    <a:ln w="3173">
      <a:solidFill>
        <a:srgbClr val="000000"/>
      </a:solidFill>
      <a:prstDash val="solid"/>
    </a:ln>
  </c:spPr>
  <c:txPr>
    <a:bodyPr/>
    <a:lstStyle/>
    <a:p>
      <a:pPr>
        <a:defRPr sz="825" b="1" i="0" u="none" strike="noStrike" baseline="0">
          <a:solidFill>
            <a:srgbClr val="000000"/>
          </a:solidFill>
          <a:latin typeface="Garamond" panose="02020404030301010803" pitchFamily="18" charset="0"/>
          <a:ea typeface="Times New Roman"/>
          <a:cs typeface="Times New Roman"/>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Sri Lanka Export Prices of Coir Fibre and Manufactures</a:t>
            </a:r>
          </a:p>
        </c:rich>
      </c:tx>
    </c:title>
    <c:plotArea>
      <c:layout>
        <c:manualLayout>
          <c:layoutTarget val="inner"/>
          <c:xMode val="edge"/>
          <c:yMode val="edge"/>
          <c:x val="0.12113591117881001"/>
          <c:y val="0.18030505299723579"/>
          <c:w val="0.85332981944557751"/>
          <c:h val="0.64721599970178501"/>
        </c:manualLayout>
      </c:layout>
      <c:lineChart>
        <c:grouping val="standard"/>
        <c:ser>
          <c:idx val="0"/>
          <c:order val="0"/>
          <c:tx>
            <c:strRef>
              <c:f>'Chart 16'!$B$21</c:f>
              <c:strCache>
                <c:ptCount val="1"/>
                <c:pt idx="0">
                  <c:v>(Mattress, Bristle and Twisted Fibre)</c:v>
                </c:pt>
              </c:strCache>
            </c:strRef>
          </c:tx>
          <c:cat>
            <c:strRef>
              <c:f>'Chart 16'!$A$22:$A$27</c:f>
              <c:strCache>
                <c:ptCount val="6"/>
                <c:pt idx="0">
                  <c:v>2008</c:v>
                </c:pt>
                <c:pt idx="1">
                  <c:v>2009</c:v>
                </c:pt>
                <c:pt idx="2">
                  <c:v>2010</c:v>
                </c:pt>
                <c:pt idx="3">
                  <c:v>2011</c:v>
                </c:pt>
                <c:pt idx="4">
                  <c:v>2012</c:v>
                </c:pt>
                <c:pt idx="5">
                  <c:v>2013</c:v>
                </c:pt>
              </c:strCache>
            </c:strRef>
          </c:cat>
          <c:val>
            <c:numRef>
              <c:f>'Chart 16'!$B$22:$B$27</c:f>
              <c:numCache>
                <c:formatCode>0</c:formatCode>
                <c:ptCount val="6"/>
                <c:pt idx="0">
                  <c:v>371.1944444444444</c:v>
                </c:pt>
                <c:pt idx="1">
                  <c:v>352.02777777777754</c:v>
                </c:pt>
                <c:pt idx="2">
                  <c:v>402.91666666666674</c:v>
                </c:pt>
                <c:pt idx="3">
                  <c:v>496.94444444444451</c:v>
                </c:pt>
                <c:pt idx="4">
                  <c:v>467.25</c:v>
                </c:pt>
                <c:pt idx="5">
                  <c:v>415</c:v>
                </c:pt>
              </c:numCache>
            </c:numRef>
          </c:val>
        </c:ser>
        <c:ser>
          <c:idx val="1"/>
          <c:order val="1"/>
          <c:tx>
            <c:strRef>
              <c:f>'Chart 16'!$C$21</c:f>
              <c:strCache>
                <c:ptCount val="1"/>
                <c:pt idx="0">
                  <c:v>Yarn</c:v>
                </c:pt>
              </c:strCache>
            </c:strRef>
          </c:tx>
          <c:cat>
            <c:strRef>
              <c:f>'Chart 16'!$A$22:$A$27</c:f>
              <c:strCache>
                <c:ptCount val="6"/>
                <c:pt idx="0">
                  <c:v>2008</c:v>
                </c:pt>
                <c:pt idx="1">
                  <c:v>2009</c:v>
                </c:pt>
                <c:pt idx="2">
                  <c:v>2010</c:v>
                </c:pt>
                <c:pt idx="3">
                  <c:v>2011</c:v>
                </c:pt>
                <c:pt idx="4">
                  <c:v>2012</c:v>
                </c:pt>
                <c:pt idx="5">
                  <c:v>2013</c:v>
                </c:pt>
              </c:strCache>
            </c:strRef>
          </c:cat>
          <c:val>
            <c:numRef>
              <c:f>'Chart 16'!$C$22:$C$27</c:f>
              <c:numCache>
                <c:formatCode>0</c:formatCode>
                <c:ptCount val="6"/>
                <c:pt idx="0">
                  <c:v>757.16666666666663</c:v>
                </c:pt>
                <c:pt idx="1">
                  <c:v>730.66666666666663</c:v>
                </c:pt>
                <c:pt idx="2">
                  <c:v>716.25</c:v>
                </c:pt>
                <c:pt idx="3">
                  <c:v>792.58333333333383</c:v>
                </c:pt>
                <c:pt idx="4">
                  <c:v>936.58333333333383</c:v>
                </c:pt>
                <c:pt idx="5">
                  <c:v>881</c:v>
                </c:pt>
              </c:numCache>
            </c:numRef>
          </c:val>
        </c:ser>
        <c:ser>
          <c:idx val="2"/>
          <c:order val="2"/>
          <c:tx>
            <c:strRef>
              <c:f>'Chart 16'!$D$21</c:f>
              <c:strCache>
                <c:ptCount val="1"/>
                <c:pt idx="0">
                  <c:v>Twine</c:v>
                </c:pt>
              </c:strCache>
            </c:strRef>
          </c:tx>
          <c:cat>
            <c:strRef>
              <c:f>'Chart 16'!$A$22:$A$27</c:f>
              <c:strCache>
                <c:ptCount val="6"/>
                <c:pt idx="0">
                  <c:v>2008</c:v>
                </c:pt>
                <c:pt idx="1">
                  <c:v>2009</c:v>
                </c:pt>
                <c:pt idx="2">
                  <c:v>2010</c:v>
                </c:pt>
                <c:pt idx="3">
                  <c:v>2011</c:v>
                </c:pt>
                <c:pt idx="4">
                  <c:v>2012</c:v>
                </c:pt>
                <c:pt idx="5">
                  <c:v>2013</c:v>
                </c:pt>
              </c:strCache>
            </c:strRef>
          </c:cat>
          <c:val>
            <c:numRef>
              <c:f>'Chart 16'!$D$22:$D$27</c:f>
              <c:numCache>
                <c:formatCode>0</c:formatCode>
                <c:ptCount val="6"/>
                <c:pt idx="0">
                  <c:v>974.58333333333383</c:v>
                </c:pt>
                <c:pt idx="1">
                  <c:v>1034.75</c:v>
                </c:pt>
                <c:pt idx="2">
                  <c:v>961</c:v>
                </c:pt>
                <c:pt idx="3">
                  <c:v>1057.8333333333323</c:v>
                </c:pt>
                <c:pt idx="4">
                  <c:v>1155.5</c:v>
                </c:pt>
                <c:pt idx="5">
                  <c:v>1004</c:v>
                </c:pt>
              </c:numCache>
            </c:numRef>
          </c:val>
        </c:ser>
        <c:dLbls/>
        <c:marker val="1"/>
        <c:axId val="220350336"/>
        <c:axId val="220351872"/>
      </c:lineChart>
      <c:catAx>
        <c:axId val="220350336"/>
        <c:scaling>
          <c:orientation val="minMax"/>
        </c:scaling>
        <c:axPos val="b"/>
        <c:numFmt formatCode="0" sourceLinked="1"/>
        <c:majorTickMark val="none"/>
        <c:tickLblPos val="nextTo"/>
        <c:txPr>
          <a:bodyPr/>
          <a:lstStyle/>
          <a:p>
            <a:pPr>
              <a:defRPr b="1" i="0"/>
            </a:pPr>
            <a:endParaRPr lang="en-US"/>
          </a:p>
        </c:txPr>
        <c:crossAx val="220351872"/>
        <c:crosses val="autoZero"/>
        <c:auto val="1"/>
        <c:lblAlgn val="ctr"/>
        <c:lblOffset val="100"/>
      </c:catAx>
      <c:valAx>
        <c:axId val="220351872"/>
        <c:scaling>
          <c:orientation val="minMax"/>
          <c:max val="1200"/>
          <c:min val="200"/>
        </c:scaling>
        <c:axPos val="l"/>
        <c:title>
          <c:tx>
            <c:rich>
              <a:bodyPr/>
              <a:lstStyle/>
              <a:p>
                <a:pPr>
                  <a:defRPr/>
                </a:pPr>
                <a:r>
                  <a:rPr lang="en-GB"/>
                  <a:t>USD/tonne</a:t>
                </a:r>
              </a:p>
            </c:rich>
          </c:tx>
          <c:layout>
            <c:manualLayout>
              <c:xMode val="edge"/>
              <c:yMode val="edge"/>
              <c:x val="1.9020151406694007E-2"/>
              <c:y val="0.40290530991318391"/>
            </c:manualLayout>
          </c:layout>
        </c:title>
        <c:numFmt formatCode="0" sourceLinked="1"/>
        <c:majorTickMark val="none"/>
        <c:tickLblPos val="nextTo"/>
        <c:txPr>
          <a:bodyPr/>
          <a:lstStyle/>
          <a:p>
            <a:pPr>
              <a:defRPr b="1"/>
            </a:pPr>
            <a:endParaRPr lang="en-US"/>
          </a:p>
        </c:txPr>
        <c:crossAx val="220350336"/>
        <c:crosses val="autoZero"/>
        <c:crossBetween val="between"/>
        <c:majorUnit val="150"/>
      </c:valAx>
    </c:plotArea>
    <c:legend>
      <c:legendPos val="b"/>
      <c:txPr>
        <a:bodyPr/>
        <a:lstStyle/>
        <a:p>
          <a:pPr>
            <a:defRPr b="1"/>
          </a:pPr>
          <a:endParaRPr lang="en-US"/>
        </a:p>
      </c:txPr>
    </c:legend>
    <c:plotVisOnly val="1"/>
    <c:dispBlanksAs val="gap"/>
  </c:chart>
  <c:txPr>
    <a:bodyPr/>
    <a:lstStyle/>
    <a:p>
      <a:pPr>
        <a:defRPr sz="900">
          <a:latin typeface="Garamond" panose="02020404030301010803" pitchFamily="18" charset="0"/>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Production of Coir Fibre</a:t>
            </a:r>
          </a:p>
          <a:p>
            <a:pPr>
              <a:defRPr/>
            </a:pPr>
            <a:r>
              <a:rPr lang="en-US"/>
              <a:t> (Brown Fibre) </a:t>
            </a:r>
          </a:p>
        </c:rich>
      </c:tx>
    </c:title>
    <c:view3D>
      <c:depthPercent val="100"/>
      <c:rAngAx val="1"/>
    </c:view3D>
    <c:plotArea>
      <c:layout>
        <c:manualLayout>
          <c:layoutTarget val="inner"/>
          <c:xMode val="edge"/>
          <c:yMode val="edge"/>
          <c:x val="0.10576273565623344"/>
          <c:y val="0.15436426565857092"/>
          <c:w val="0.87256873410929581"/>
          <c:h val="0.69021427479023156"/>
        </c:manualLayout>
      </c:layout>
      <c:bar3DChart>
        <c:barDir val="col"/>
        <c:grouping val="stacked"/>
        <c:ser>
          <c:idx val="0"/>
          <c:order val="0"/>
          <c:tx>
            <c:strRef>
              <c:f>'Chart 15'!$B$7</c:f>
              <c:strCache>
                <c:ptCount val="1"/>
                <c:pt idx="0">
                  <c:v>India (brown fibre)</c:v>
                </c:pt>
              </c:strCache>
            </c:strRef>
          </c:tx>
          <c:spPr>
            <a:solidFill>
              <a:srgbClr val="0070C0"/>
            </a:solidFill>
          </c:spPr>
          <c:cat>
            <c:numRef>
              <c:f>'Chart 15'!$C$6:$G$6</c:f>
              <c:numCache>
                <c:formatCode>General</c:formatCode>
                <c:ptCount val="5"/>
                <c:pt idx="0">
                  <c:v>2008</c:v>
                </c:pt>
                <c:pt idx="1">
                  <c:v>2009</c:v>
                </c:pt>
                <c:pt idx="2">
                  <c:v>2010</c:v>
                </c:pt>
                <c:pt idx="3">
                  <c:v>2011</c:v>
                </c:pt>
                <c:pt idx="4">
                  <c:v>2012</c:v>
                </c:pt>
              </c:numCache>
            </c:numRef>
          </c:cat>
          <c:val>
            <c:numRef>
              <c:f>'Chart 15'!$C$7:$G$7</c:f>
              <c:numCache>
                <c:formatCode>0.0</c:formatCode>
                <c:ptCount val="5"/>
                <c:pt idx="0">
                  <c:v>340.8</c:v>
                </c:pt>
                <c:pt idx="1">
                  <c:v>394</c:v>
                </c:pt>
                <c:pt idx="2">
                  <c:v>415.5</c:v>
                </c:pt>
                <c:pt idx="3">
                  <c:v>425</c:v>
                </c:pt>
                <c:pt idx="4">
                  <c:v>431.5</c:v>
                </c:pt>
              </c:numCache>
            </c:numRef>
          </c:val>
        </c:ser>
        <c:ser>
          <c:idx val="1"/>
          <c:order val="1"/>
          <c:tx>
            <c:strRef>
              <c:f>'Chart 15'!$B$8</c:f>
              <c:strCache>
                <c:ptCount val="1"/>
                <c:pt idx="0">
                  <c:v>Sri Lanka</c:v>
                </c:pt>
              </c:strCache>
            </c:strRef>
          </c:tx>
          <c:spPr>
            <a:solidFill>
              <a:srgbClr val="EB47D4"/>
            </a:solidFill>
          </c:spPr>
          <c:cat>
            <c:numRef>
              <c:f>'Chart 15'!$C$6:$G$6</c:f>
              <c:numCache>
                <c:formatCode>General</c:formatCode>
                <c:ptCount val="5"/>
                <c:pt idx="0">
                  <c:v>2008</c:v>
                </c:pt>
                <c:pt idx="1">
                  <c:v>2009</c:v>
                </c:pt>
                <c:pt idx="2">
                  <c:v>2010</c:v>
                </c:pt>
                <c:pt idx="3">
                  <c:v>2011</c:v>
                </c:pt>
                <c:pt idx="4">
                  <c:v>2012</c:v>
                </c:pt>
              </c:numCache>
            </c:numRef>
          </c:cat>
          <c:val>
            <c:numRef>
              <c:f>'Chart 15'!$C$8:$G$8</c:f>
              <c:numCache>
                <c:formatCode>0.0</c:formatCode>
                <c:ptCount val="5"/>
                <c:pt idx="0">
                  <c:v>101.63800000000001</c:v>
                </c:pt>
                <c:pt idx="1">
                  <c:v>169.63</c:v>
                </c:pt>
                <c:pt idx="2">
                  <c:v>149.75200000000001</c:v>
                </c:pt>
                <c:pt idx="3">
                  <c:v>135.029</c:v>
                </c:pt>
                <c:pt idx="4">
                  <c:v>131.21899999999999</c:v>
                </c:pt>
              </c:numCache>
            </c:numRef>
          </c:val>
        </c:ser>
        <c:ser>
          <c:idx val="2"/>
          <c:order val="2"/>
          <c:tx>
            <c:strRef>
              <c:f>'Chart 15'!$B$9</c:f>
              <c:strCache>
                <c:ptCount val="1"/>
                <c:pt idx="0">
                  <c:v>VietNam</c:v>
                </c:pt>
              </c:strCache>
            </c:strRef>
          </c:tx>
          <c:spPr>
            <a:solidFill>
              <a:srgbClr val="00FF00"/>
            </a:solidFill>
          </c:spPr>
          <c:cat>
            <c:numRef>
              <c:f>'Chart 15'!$C$6:$G$6</c:f>
              <c:numCache>
                <c:formatCode>General</c:formatCode>
                <c:ptCount val="5"/>
                <c:pt idx="0">
                  <c:v>2008</c:v>
                </c:pt>
                <c:pt idx="1">
                  <c:v>2009</c:v>
                </c:pt>
                <c:pt idx="2">
                  <c:v>2010</c:v>
                </c:pt>
                <c:pt idx="3">
                  <c:v>2011</c:v>
                </c:pt>
                <c:pt idx="4">
                  <c:v>2012</c:v>
                </c:pt>
              </c:numCache>
            </c:numRef>
          </c:cat>
          <c:val>
            <c:numRef>
              <c:f>'Chart 15'!$C$9:$G$9</c:f>
              <c:numCache>
                <c:formatCode>0.0</c:formatCode>
                <c:ptCount val="5"/>
                <c:pt idx="0">
                  <c:v>74.739499999999992</c:v>
                </c:pt>
                <c:pt idx="1">
                  <c:v>91.146000000000001</c:v>
                </c:pt>
                <c:pt idx="2">
                  <c:v>102.99300000000002</c:v>
                </c:pt>
                <c:pt idx="3">
                  <c:v>97.624999999999986</c:v>
                </c:pt>
                <c:pt idx="4">
                  <c:v>115.13700000000001</c:v>
                </c:pt>
              </c:numCache>
            </c:numRef>
          </c:val>
        </c:ser>
        <c:ser>
          <c:idx val="3"/>
          <c:order val="3"/>
          <c:tx>
            <c:strRef>
              <c:f>'Chart 15'!$B$10</c:f>
              <c:strCache>
                <c:ptCount val="1"/>
                <c:pt idx="0">
                  <c:v>Thailand</c:v>
                </c:pt>
              </c:strCache>
            </c:strRef>
          </c:tx>
          <c:spPr>
            <a:solidFill>
              <a:srgbClr val="FFFF00"/>
            </a:solidFill>
          </c:spPr>
          <c:cat>
            <c:numRef>
              <c:f>'Chart 15'!$C$6:$G$6</c:f>
              <c:numCache>
                <c:formatCode>General</c:formatCode>
                <c:ptCount val="5"/>
                <c:pt idx="0">
                  <c:v>2008</c:v>
                </c:pt>
                <c:pt idx="1">
                  <c:v>2009</c:v>
                </c:pt>
                <c:pt idx="2">
                  <c:v>2010</c:v>
                </c:pt>
                <c:pt idx="3">
                  <c:v>2011</c:v>
                </c:pt>
                <c:pt idx="4">
                  <c:v>2012</c:v>
                </c:pt>
              </c:numCache>
            </c:numRef>
          </c:cat>
          <c:val>
            <c:numRef>
              <c:f>'Chart 15'!$C$10:$G$10</c:f>
              <c:numCache>
                <c:formatCode>0.0</c:formatCode>
                <c:ptCount val="5"/>
                <c:pt idx="0">
                  <c:v>55.471000000000004</c:v>
                </c:pt>
                <c:pt idx="1">
                  <c:v>64.59</c:v>
                </c:pt>
                <c:pt idx="2">
                  <c:v>63.694000000000003</c:v>
                </c:pt>
                <c:pt idx="3">
                  <c:v>49.893600000000006</c:v>
                </c:pt>
                <c:pt idx="4">
                  <c:v>45.735800000000012</c:v>
                </c:pt>
              </c:numCache>
            </c:numRef>
          </c:val>
        </c:ser>
        <c:dLbls/>
        <c:shape val="box"/>
        <c:axId val="220864512"/>
        <c:axId val="220866048"/>
        <c:axId val="0"/>
      </c:bar3DChart>
      <c:catAx>
        <c:axId val="220864512"/>
        <c:scaling>
          <c:orientation val="minMax"/>
        </c:scaling>
        <c:axPos val="b"/>
        <c:numFmt formatCode="General" sourceLinked="1"/>
        <c:majorTickMark val="none"/>
        <c:tickLblPos val="nextTo"/>
        <c:txPr>
          <a:bodyPr/>
          <a:lstStyle/>
          <a:p>
            <a:pPr>
              <a:defRPr b="1"/>
            </a:pPr>
            <a:endParaRPr lang="en-US"/>
          </a:p>
        </c:txPr>
        <c:crossAx val="220866048"/>
        <c:crosses val="autoZero"/>
        <c:auto val="1"/>
        <c:lblAlgn val="ctr"/>
        <c:lblOffset val="100"/>
      </c:catAx>
      <c:valAx>
        <c:axId val="220866048"/>
        <c:scaling>
          <c:orientation val="minMax"/>
        </c:scaling>
        <c:axPos val="l"/>
        <c:majorGridlines/>
        <c:title>
          <c:tx>
            <c:rich>
              <a:bodyPr rot="-5400000" vert="horz"/>
              <a:lstStyle/>
              <a:p>
                <a:pPr>
                  <a:defRPr/>
                </a:pPr>
                <a:r>
                  <a:rPr lang="en-GB"/>
                  <a:t>thousand tonnes</a:t>
                </a:r>
              </a:p>
            </c:rich>
          </c:tx>
          <c:layout>
            <c:manualLayout>
              <c:xMode val="edge"/>
              <c:yMode val="edge"/>
              <c:x val="2.2363092938255814E-2"/>
              <c:y val="0.38774370184858981"/>
            </c:manualLayout>
          </c:layout>
        </c:title>
        <c:numFmt formatCode="0" sourceLinked="0"/>
        <c:majorTickMark val="none"/>
        <c:tickLblPos val="nextTo"/>
        <c:txPr>
          <a:bodyPr/>
          <a:lstStyle/>
          <a:p>
            <a:pPr>
              <a:defRPr b="1"/>
            </a:pPr>
            <a:endParaRPr lang="en-US"/>
          </a:p>
        </c:txPr>
        <c:crossAx val="220864512"/>
        <c:crosses val="autoZero"/>
        <c:crossBetween val="between"/>
      </c:valAx>
      <c:spPr>
        <a:noFill/>
        <a:ln w="25400">
          <a:noFill/>
        </a:ln>
      </c:spPr>
    </c:plotArea>
    <c:legend>
      <c:legendPos val="b"/>
      <c:txPr>
        <a:bodyPr/>
        <a:lstStyle/>
        <a:p>
          <a:pPr>
            <a:defRPr b="1"/>
          </a:pPr>
          <a:endParaRPr lang="en-US"/>
        </a:p>
      </c:txPr>
    </c:legend>
    <c:plotVisOnly val="1"/>
    <c:dispBlanksAs val="gap"/>
  </c:chart>
  <c:txPr>
    <a:bodyPr/>
    <a:lstStyle/>
    <a:p>
      <a:pPr>
        <a:defRPr sz="900">
          <a:latin typeface="Garamond" panose="02020404030301010803" pitchFamily="18" charset="0"/>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Exports of Coir Fibre</a:t>
            </a:r>
          </a:p>
        </c:rich>
      </c:tx>
    </c:title>
    <c:view3D>
      <c:rAngAx val="1"/>
    </c:view3D>
    <c:plotArea>
      <c:layout>
        <c:manualLayout>
          <c:layoutTarget val="inner"/>
          <c:xMode val="edge"/>
          <c:yMode val="edge"/>
          <c:x val="0.10283617380681623"/>
          <c:y val="0.15377975189932075"/>
          <c:w val="0.86760505165604662"/>
          <c:h val="0.67438781556492799"/>
        </c:manualLayout>
      </c:layout>
      <c:bar3DChart>
        <c:barDir val="col"/>
        <c:grouping val="stacked"/>
        <c:ser>
          <c:idx val="0"/>
          <c:order val="0"/>
          <c:tx>
            <c:strRef>
              <c:f>Sheet15!$A$3</c:f>
              <c:strCache>
                <c:ptCount val="1"/>
                <c:pt idx="0">
                  <c:v>India</c:v>
                </c:pt>
              </c:strCache>
            </c:strRef>
          </c:tx>
          <c:spPr>
            <a:gradFill>
              <a:gsLst>
                <a:gs pos="0">
                  <a:srgbClr val="FF0000"/>
                </a:gs>
                <a:gs pos="100000">
                  <a:srgbClr val="FF0000"/>
                </a:gs>
                <a:gs pos="100000">
                  <a:schemeClr val="accent1">
                    <a:tint val="23500"/>
                    <a:satMod val="160000"/>
                  </a:schemeClr>
                </a:gs>
              </a:gsLst>
              <a:lin ang="5400000" scaled="0"/>
            </a:gradFill>
            <a:effectLst>
              <a:outerShdw blurRad="50800" dist="736600" dir="10260000" sx="144000" sy="144000" algn="ctr" rotWithShape="0">
                <a:srgbClr val="000000">
                  <a:alpha val="99000"/>
                </a:srgbClr>
              </a:outerShdw>
            </a:effectLst>
          </c:spPr>
          <c:cat>
            <c:numRef>
              <c:f>Sheet15!$B$2:$I$2</c:f>
              <c:numCache>
                <c:formatCode>General</c:formatCode>
                <c:ptCount val="8"/>
                <c:pt idx="0">
                  <c:v>2005</c:v>
                </c:pt>
                <c:pt idx="1">
                  <c:v>2006</c:v>
                </c:pt>
                <c:pt idx="2">
                  <c:v>2007</c:v>
                </c:pt>
                <c:pt idx="3">
                  <c:v>2008</c:v>
                </c:pt>
                <c:pt idx="4">
                  <c:v>2009</c:v>
                </c:pt>
                <c:pt idx="5">
                  <c:v>2010</c:v>
                </c:pt>
                <c:pt idx="6">
                  <c:v>2011</c:v>
                </c:pt>
                <c:pt idx="7">
                  <c:v>2012</c:v>
                </c:pt>
              </c:numCache>
            </c:numRef>
          </c:cat>
          <c:val>
            <c:numRef>
              <c:f>Sheet15!$B$3:$I$3</c:f>
              <c:numCache>
                <c:formatCode>\ #\ ##0.00</c:formatCode>
                <c:ptCount val="8"/>
                <c:pt idx="0">
                  <c:v>55.25</c:v>
                </c:pt>
                <c:pt idx="1">
                  <c:v>64.771000000000001</c:v>
                </c:pt>
                <c:pt idx="2">
                  <c:v>97.441000000000045</c:v>
                </c:pt>
                <c:pt idx="3">
                  <c:v>103.459</c:v>
                </c:pt>
                <c:pt idx="4">
                  <c:v>158.69800000000001</c:v>
                </c:pt>
                <c:pt idx="5">
                  <c:v>259.48099999999977</c:v>
                </c:pt>
                <c:pt idx="6">
                  <c:v>320.98899999999963</c:v>
                </c:pt>
                <c:pt idx="7">
                  <c:v>366.04300000000001</c:v>
                </c:pt>
              </c:numCache>
            </c:numRef>
          </c:val>
        </c:ser>
        <c:ser>
          <c:idx val="1"/>
          <c:order val="1"/>
          <c:tx>
            <c:strRef>
              <c:f>Sheet15!$A$4</c:f>
              <c:strCache>
                <c:ptCount val="1"/>
                <c:pt idx="0">
                  <c:v>Sri Lanka</c:v>
                </c:pt>
              </c:strCache>
            </c:strRef>
          </c:tx>
          <c:spPr>
            <a:gradFill>
              <a:gsLst>
                <a:gs pos="80000">
                  <a:srgbClr val="0070C0"/>
                </a:gs>
                <a:gs pos="0">
                  <a:srgbClr val="4704CC"/>
                </a:gs>
                <a:gs pos="100000">
                  <a:srgbClr val="FF0000"/>
                </a:gs>
                <a:gs pos="100000">
                  <a:schemeClr val="accent1">
                    <a:tint val="23500"/>
                    <a:satMod val="160000"/>
                  </a:schemeClr>
                </a:gs>
              </a:gsLst>
              <a:lin ang="5400000" scaled="0"/>
            </a:gradFill>
          </c:spPr>
          <c:cat>
            <c:numRef>
              <c:f>Sheet15!$B$2:$I$2</c:f>
              <c:numCache>
                <c:formatCode>General</c:formatCode>
                <c:ptCount val="8"/>
                <c:pt idx="0">
                  <c:v>2005</c:v>
                </c:pt>
                <c:pt idx="1">
                  <c:v>2006</c:v>
                </c:pt>
                <c:pt idx="2">
                  <c:v>2007</c:v>
                </c:pt>
                <c:pt idx="3">
                  <c:v>2008</c:v>
                </c:pt>
                <c:pt idx="4">
                  <c:v>2009</c:v>
                </c:pt>
                <c:pt idx="5">
                  <c:v>2010</c:v>
                </c:pt>
                <c:pt idx="6">
                  <c:v>2011</c:v>
                </c:pt>
                <c:pt idx="7">
                  <c:v>2012</c:v>
                </c:pt>
              </c:numCache>
            </c:numRef>
          </c:cat>
          <c:val>
            <c:numRef>
              <c:f>Sheet15!$B$4:$I$4</c:f>
              <c:numCache>
                <c:formatCode>\ #\ ##0.00</c:formatCode>
                <c:ptCount val="8"/>
                <c:pt idx="0">
                  <c:v>49.884999999999998</c:v>
                </c:pt>
                <c:pt idx="1">
                  <c:v>68.292000000000002</c:v>
                </c:pt>
                <c:pt idx="2">
                  <c:v>84.81</c:v>
                </c:pt>
                <c:pt idx="3">
                  <c:v>86.134</c:v>
                </c:pt>
                <c:pt idx="4">
                  <c:v>143.71499999999995</c:v>
                </c:pt>
                <c:pt idx="5">
                  <c:v>126.908</c:v>
                </c:pt>
                <c:pt idx="6">
                  <c:v>114.432</c:v>
                </c:pt>
                <c:pt idx="7">
                  <c:v>111.203</c:v>
                </c:pt>
              </c:numCache>
            </c:numRef>
          </c:val>
        </c:ser>
        <c:ser>
          <c:idx val="2"/>
          <c:order val="2"/>
          <c:tx>
            <c:strRef>
              <c:f>Sheet15!$A$5</c:f>
              <c:strCache>
                <c:ptCount val="1"/>
                <c:pt idx="0">
                  <c:v>VietNam</c:v>
                </c:pt>
              </c:strCache>
            </c:strRef>
          </c:tx>
          <c:spPr>
            <a:gradFill>
              <a:gsLst>
                <a:gs pos="98300">
                  <a:srgbClr val="FFFF00"/>
                </a:gs>
                <a:gs pos="0">
                  <a:srgbClr val="FFFF00"/>
                </a:gs>
                <a:gs pos="100000">
                  <a:srgbClr val="FF0000"/>
                </a:gs>
                <a:gs pos="100000">
                  <a:schemeClr val="accent1">
                    <a:tint val="23500"/>
                    <a:satMod val="160000"/>
                  </a:schemeClr>
                </a:gs>
              </a:gsLst>
              <a:lin ang="5400000" scaled="0"/>
            </a:gradFill>
          </c:spPr>
          <c:cat>
            <c:numRef>
              <c:f>Sheet15!$B$2:$I$2</c:f>
              <c:numCache>
                <c:formatCode>General</c:formatCode>
                <c:ptCount val="8"/>
                <c:pt idx="0">
                  <c:v>2005</c:v>
                </c:pt>
                <c:pt idx="1">
                  <c:v>2006</c:v>
                </c:pt>
                <c:pt idx="2">
                  <c:v>2007</c:v>
                </c:pt>
                <c:pt idx="3">
                  <c:v>2008</c:v>
                </c:pt>
                <c:pt idx="4">
                  <c:v>2009</c:v>
                </c:pt>
                <c:pt idx="5">
                  <c:v>2010</c:v>
                </c:pt>
                <c:pt idx="6">
                  <c:v>2011</c:v>
                </c:pt>
                <c:pt idx="7">
                  <c:v>2012</c:v>
                </c:pt>
              </c:numCache>
            </c:numRef>
          </c:cat>
          <c:val>
            <c:numRef>
              <c:f>Sheet15!$B$5:$I$5</c:f>
              <c:numCache>
                <c:formatCode>\ #\ ##0.00</c:formatCode>
                <c:ptCount val="8"/>
                <c:pt idx="0">
                  <c:v>66.95</c:v>
                </c:pt>
                <c:pt idx="1">
                  <c:v>82.78</c:v>
                </c:pt>
                <c:pt idx="2">
                  <c:v>65.679999999999978</c:v>
                </c:pt>
                <c:pt idx="3">
                  <c:v>67.945000000000007</c:v>
                </c:pt>
                <c:pt idx="4">
                  <c:v>82.86</c:v>
                </c:pt>
                <c:pt idx="5">
                  <c:v>93.63</c:v>
                </c:pt>
                <c:pt idx="6">
                  <c:v>88.75</c:v>
                </c:pt>
                <c:pt idx="7">
                  <c:v>104.66800000000001</c:v>
                </c:pt>
              </c:numCache>
            </c:numRef>
          </c:val>
        </c:ser>
        <c:ser>
          <c:idx val="3"/>
          <c:order val="3"/>
          <c:tx>
            <c:strRef>
              <c:f>Sheet15!$A$6</c:f>
              <c:strCache>
                <c:ptCount val="1"/>
                <c:pt idx="0">
                  <c:v>Others</c:v>
                </c:pt>
              </c:strCache>
            </c:strRef>
          </c:tx>
          <c:spPr>
            <a:gradFill>
              <a:gsLst>
                <a:gs pos="90000">
                  <a:srgbClr val="00FF00"/>
                </a:gs>
                <a:gs pos="0">
                  <a:srgbClr val="32EE7A">
                    <a:lumMod val="99000"/>
                  </a:srgbClr>
                </a:gs>
                <a:gs pos="100000">
                  <a:srgbClr val="FF0000"/>
                </a:gs>
                <a:gs pos="100000">
                  <a:schemeClr val="accent1">
                    <a:tint val="23500"/>
                    <a:satMod val="160000"/>
                  </a:schemeClr>
                </a:gs>
              </a:gsLst>
              <a:lin ang="5400000" scaled="0"/>
            </a:gradFill>
          </c:spPr>
          <c:cat>
            <c:numRef>
              <c:f>Sheet15!$B$2:$I$2</c:f>
              <c:numCache>
                <c:formatCode>General</c:formatCode>
                <c:ptCount val="8"/>
                <c:pt idx="0">
                  <c:v>2005</c:v>
                </c:pt>
                <c:pt idx="1">
                  <c:v>2006</c:v>
                </c:pt>
                <c:pt idx="2">
                  <c:v>2007</c:v>
                </c:pt>
                <c:pt idx="3">
                  <c:v>2008</c:v>
                </c:pt>
                <c:pt idx="4">
                  <c:v>2009</c:v>
                </c:pt>
                <c:pt idx="5">
                  <c:v>2010</c:v>
                </c:pt>
                <c:pt idx="6">
                  <c:v>2011</c:v>
                </c:pt>
                <c:pt idx="7">
                  <c:v>2012</c:v>
                </c:pt>
              </c:numCache>
            </c:numRef>
          </c:cat>
          <c:val>
            <c:numRef>
              <c:f>Sheet15!$B$6:$I$6</c:f>
              <c:numCache>
                <c:formatCode>General</c:formatCode>
                <c:ptCount val="8"/>
                <c:pt idx="0">
                  <c:v>51.130000000000031</c:v>
                </c:pt>
                <c:pt idx="1">
                  <c:v>61.252000000000038</c:v>
                </c:pt>
                <c:pt idx="2">
                  <c:v>97.769000000000091</c:v>
                </c:pt>
                <c:pt idx="3">
                  <c:v>103.73570000000001</c:v>
                </c:pt>
                <c:pt idx="4">
                  <c:v>126.93000000000006</c:v>
                </c:pt>
                <c:pt idx="5">
                  <c:v>134.39300000000003</c:v>
                </c:pt>
                <c:pt idx="6">
                  <c:v>126.31499999999987</c:v>
                </c:pt>
                <c:pt idx="7">
                  <c:v>143.79299999999998</c:v>
                </c:pt>
              </c:numCache>
            </c:numRef>
          </c:val>
        </c:ser>
        <c:dLbls/>
        <c:gapWidth val="55"/>
        <c:gapDepth val="55"/>
        <c:shape val="box"/>
        <c:axId val="235087744"/>
        <c:axId val="235089280"/>
        <c:axId val="0"/>
      </c:bar3DChart>
      <c:catAx>
        <c:axId val="235087744"/>
        <c:scaling>
          <c:orientation val="minMax"/>
        </c:scaling>
        <c:axPos val="b"/>
        <c:numFmt formatCode="General" sourceLinked="1"/>
        <c:majorTickMark val="none"/>
        <c:tickLblPos val="nextTo"/>
        <c:txPr>
          <a:bodyPr/>
          <a:lstStyle/>
          <a:p>
            <a:pPr>
              <a:defRPr b="1"/>
            </a:pPr>
            <a:endParaRPr lang="en-US"/>
          </a:p>
        </c:txPr>
        <c:crossAx val="235089280"/>
        <c:crosses val="autoZero"/>
        <c:auto val="1"/>
        <c:lblAlgn val="ctr"/>
        <c:lblOffset val="100"/>
      </c:catAx>
      <c:valAx>
        <c:axId val="235089280"/>
        <c:scaling>
          <c:orientation val="minMax"/>
        </c:scaling>
        <c:axPos val="l"/>
        <c:majorGridlines/>
        <c:title>
          <c:tx>
            <c:rich>
              <a:bodyPr rot="-5400000" vert="horz"/>
              <a:lstStyle/>
              <a:p>
                <a:pPr>
                  <a:defRPr/>
                </a:pPr>
                <a:r>
                  <a:rPr lang="en-US"/>
                  <a:t>thousand tonnes</a:t>
                </a:r>
              </a:p>
            </c:rich>
          </c:tx>
          <c:layout>
            <c:manualLayout>
              <c:xMode val="edge"/>
              <c:yMode val="edge"/>
              <c:x val="1.5155870222104597E-2"/>
              <c:y val="0.39508875114262854"/>
            </c:manualLayout>
          </c:layout>
        </c:title>
        <c:numFmt formatCode="#,##0" sourceLinked="0"/>
        <c:majorTickMark val="none"/>
        <c:tickLblPos val="nextTo"/>
        <c:txPr>
          <a:bodyPr/>
          <a:lstStyle/>
          <a:p>
            <a:pPr>
              <a:defRPr b="1"/>
            </a:pPr>
            <a:endParaRPr lang="en-US"/>
          </a:p>
        </c:txPr>
        <c:crossAx val="235087744"/>
        <c:crosses val="autoZero"/>
        <c:crossBetween val="between"/>
      </c:valAx>
    </c:plotArea>
    <c:legend>
      <c:legendPos val="b"/>
      <c:txPr>
        <a:bodyPr/>
        <a:lstStyle/>
        <a:p>
          <a:pPr>
            <a:defRPr b="1"/>
          </a:pPr>
          <a:endParaRPr lang="en-US"/>
        </a:p>
      </c:txPr>
    </c:legend>
    <c:plotVisOnly val="1"/>
    <c:dispBlanksAs val="gap"/>
  </c:chart>
  <c:txPr>
    <a:bodyPr/>
    <a:lstStyle/>
    <a:p>
      <a:pPr>
        <a:defRPr sz="900">
          <a:latin typeface="Garamond" panose="02020404030301010803" pitchFamily="18"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GB" sz="1100"/>
              <a:t>Share of Coir Fibre Exports,</a:t>
            </a:r>
            <a:r>
              <a:rPr lang="en-GB" sz="1100" baseline="0"/>
              <a:t> </a:t>
            </a:r>
            <a:r>
              <a:rPr lang="en-GB" sz="1100"/>
              <a:t>2012</a:t>
            </a:r>
          </a:p>
        </c:rich>
      </c:tx>
    </c:title>
    <c:view3D>
      <c:rotX val="30"/>
      <c:perspective val="30"/>
    </c:view3D>
    <c:plotArea>
      <c:layout>
        <c:manualLayout>
          <c:layoutTarget val="inner"/>
          <c:xMode val="edge"/>
          <c:yMode val="edge"/>
          <c:x val="3.553921568627455E-2"/>
          <c:y val="0.23420733304592892"/>
          <c:w val="0.85784313725490224"/>
          <c:h val="0.72170200294374365"/>
        </c:manualLayout>
      </c:layout>
      <c:pie3DChart>
        <c:varyColors val="1"/>
        <c:ser>
          <c:idx val="0"/>
          <c:order val="0"/>
          <c:explosion val="6"/>
          <c:dPt>
            <c:idx val="1"/>
            <c:spPr>
              <a:solidFill>
                <a:srgbClr val="FFFF00"/>
              </a:solidFill>
            </c:spPr>
          </c:dPt>
          <c:dPt>
            <c:idx val="2"/>
            <c:spPr>
              <a:solidFill>
                <a:srgbClr val="92D050"/>
              </a:solidFill>
            </c:spPr>
          </c:dPt>
          <c:dPt>
            <c:idx val="3"/>
            <c:spPr>
              <a:solidFill>
                <a:srgbClr val="EB47D4"/>
              </a:solidFill>
            </c:spPr>
          </c:dPt>
          <c:dLbls>
            <c:dLbl>
              <c:idx val="2"/>
              <c:tx>
                <c:rich>
                  <a:bodyPr/>
                  <a:lstStyle/>
                  <a:p>
                    <a:r>
                      <a:rPr lang="en-US"/>
                      <a:t>India </a:t>
                    </a:r>
                  </a:p>
                  <a:p>
                    <a:r>
                      <a:rPr lang="en-US"/>
                      <a:t>(includes coir pith)  
50%</a:t>
                    </a:r>
                  </a:p>
                </c:rich>
              </c:tx>
              <c:showCatName val="1"/>
              <c:showPercent val="1"/>
            </c:dLbl>
            <c:txPr>
              <a:bodyPr/>
              <a:lstStyle/>
              <a:p>
                <a:pPr>
                  <a:defRPr b="1"/>
                </a:pPr>
                <a:endParaRPr lang="en-US"/>
              </a:p>
            </c:txPr>
            <c:showCatName val="1"/>
            <c:showPercent val="1"/>
            <c:showLeaderLines val="1"/>
          </c:dLbls>
          <c:cat>
            <c:strRef>
              <c:f>'Chart 17'!$B$33:$B$38</c:f>
              <c:strCache>
                <c:ptCount val="6"/>
                <c:pt idx="0">
                  <c:v>Sri Lanka</c:v>
                </c:pt>
                <c:pt idx="1">
                  <c:v>Indonesia</c:v>
                </c:pt>
                <c:pt idx="2">
                  <c:v>India (includes coir pith)  </c:v>
                </c:pt>
                <c:pt idx="3">
                  <c:v>Thailand </c:v>
                </c:pt>
                <c:pt idx="4">
                  <c:v>VietNam</c:v>
                </c:pt>
                <c:pt idx="5">
                  <c:v>Others</c:v>
                </c:pt>
              </c:strCache>
            </c:strRef>
          </c:cat>
          <c:val>
            <c:numRef>
              <c:f>'Chart 17'!$C$33:$C$38</c:f>
              <c:numCache>
                <c:formatCode>0.0</c:formatCode>
                <c:ptCount val="6"/>
                <c:pt idx="0">
                  <c:v>15.3</c:v>
                </c:pt>
                <c:pt idx="1">
                  <c:v>6.4</c:v>
                </c:pt>
                <c:pt idx="2">
                  <c:v>50.4</c:v>
                </c:pt>
                <c:pt idx="3">
                  <c:v>7.1</c:v>
                </c:pt>
                <c:pt idx="4">
                  <c:v>14.4</c:v>
                </c:pt>
                <c:pt idx="5">
                  <c:v>6.4</c:v>
                </c:pt>
              </c:numCache>
            </c:numRef>
          </c:val>
        </c:ser>
        <c:dLbls/>
      </c:pie3DChart>
      <c:spPr>
        <a:noFill/>
        <a:ln w="25400">
          <a:noFill/>
        </a:ln>
      </c:spPr>
    </c:plotArea>
    <c:plotVisOnly val="1"/>
    <c:dispBlanksAs val="zero"/>
  </c:chart>
  <c:txPr>
    <a:bodyPr/>
    <a:lstStyle/>
    <a:p>
      <a:pPr>
        <a:defRPr sz="900">
          <a:latin typeface="Garamond" panose="02020404030301010803"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Propylene EU Contract Price </a:t>
            </a:r>
          </a:p>
        </c:rich>
      </c:tx>
      <c:layout/>
    </c:title>
    <c:plotArea>
      <c:layout>
        <c:manualLayout>
          <c:layoutTarget val="inner"/>
          <c:xMode val="edge"/>
          <c:yMode val="edge"/>
          <c:x val="9.7248929243825208E-2"/>
          <c:y val="0.13310186633562998"/>
          <c:w val="0.87580820998386555"/>
          <c:h val="0.68837331968474769"/>
        </c:manualLayout>
      </c:layout>
      <c:lineChart>
        <c:grouping val="standard"/>
        <c:ser>
          <c:idx val="0"/>
          <c:order val="0"/>
          <c:tx>
            <c:strRef>
              <c:f>'chart 3'!$B$4</c:f>
              <c:strCache>
                <c:ptCount val="1"/>
                <c:pt idx="0">
                  <c:v>USD/tonne</c:v>
                </c:pt>
              </c:strCache>
            </c:strRef>
          </c:tx>
          <c:cat>
            <c:numRef>
              <c:f>'chart 3'!$A$5:$A$11</c:f>
              <c:numCache>
                <c:formatCode>General</c:formatCode>
                <c:ptCount val="7"/>
                <c:pt idx="0">
                  <c:v>2005</c:v>
                </c:pt>
                <c:pt idx="1">
                  <c:v>2006</c:v>
                </c:pt>
                <c:pt idx="2">
                  <c:v>2007</c:v>
                </c:pt>
                <c:pt idx="3">
                  <c:v>2008</c:v>
                </c:pt>
                <c:pt idx="4">
                  <c:v>2009</c:v>
                </c:pt>
                <c:pt idx="5">
                  <c:v>2010</c:v>
                </c:pt>
                <c:pt idx="6">
                  <c:v>2011</c:v>
                </c:pt>
              </c:numCache>
            </c:numRef>
          </c:cat>
          <c:val>
            <c:numRef>
              <c:f>'chart 3'!$B$5:$B$11</c:f>
              <c:numCache>
                <c:formatCode>General</c:formatCode>
                <c:ptCount val="7"/>
                <c:pt idx="0">
                  <c:v>899.3333333333336</c:v>
                </c:pt>
                <c:pt idx="1">
                  <c:v>1029.9000000000001</c:v>
                </c:pt>
                <c:pt idx="2">
                  <c:v>1141</c:v>
                </c:pt>
                <c:pt idx="3">
                  <c:v>1444</c:v>
                </c:pt>
                <c:pt idx="4">
                  <c:v>800</c:v>
                </c:pt>
                <c:pt idx="5">
                  <c:v>1378</c:v>
                </c:pt>
                <c:pt idx="6">
                  <c:v>1674</c:v>
                </c:pt>
              </c:numCache>
            </c:numRef>
          </c:val>
        </c:ser>
        <c:ser>
          <c:idx val="1"/>
          <c:order val="1"/>
          <c:tx>
            <c:strRef>
              <c:f>'chart 3'!$C$4</c:f>
              <c:strCache>
                <c:ptCount val="1"/>
                <c:pt idx="0">
                  <c:v>€/tonne</c:v>
                </c:pt>
              </c:strCache>
            </c:strRef>
          </c:tx>
          <c:spPr>
            <a:ln>
              <a:solidFill>
                <a:srgbClr val="EB47D4"/>
              </a:solidFill>
            </a:ln>
          </c:spPr>
          <c:marker>
            <c:spPr>
              <a:solidFill>
                <a:srgbClr val="EB47D4"/>
              </a:solidFill>
            </c:spPr>
          </c:marker>
          <c:cat>
            <c:numRef>
              <c:f>'chart 3'!$A$5:$A$11</c:f>
              <c:numCache>
                <c:formatCode>General</c:formatCode>
                <c:ptCount val="7"/>
                <c:pt idx="0">
                  <c:v>2005</c:v>
                </c:pt>
                <c:pt idx="1">
                  <c:v>2006</c:v>
                </c:pt>
                <c:pt idx="2">
                  <c:v>2007</c:v>
                </c:pt>
                <c:pt idx="3">
                  <c:v>2008</c:v>
                </c:pt>
                <c:pt idx="4">
                  <c:v>2009</c:v>
                </c:pt>
                <c:pt idx="5">
                  <c:v>2010</c:v>
                </c:pt>
                <c:pt idx="6">
                  <c:v>2011</c:v>
                </c:pt>
              </c:numCache>
            </c:numRef>
          </c:cat>
          <c:val>
            <c:numRef>
              <c:f>'chart 3'!$C$5:$C$11</c:f>
              <c:numCache>
                <c:formatCode>General</c:formatCode>
                <c:ptCount val="7"/>
                <c:pt idx="0">
                  <c:v>711</c:v>
                </c:pt>
                <c:pt idx="1">
                  <c:v>830.6700000000003</c:v>
                </c:pt>
                <c:pt idx="2">
                  <c:v>860.66</c:v>
                </c:pt>
                <c:pt idx="3">
                  <c:v>953</c:v>
                </c:pt>
                <c:pt idx="4">
                  <c:v>607</c:v>
                </c:pt>
                <c:pt idx="5">
                  <c:v>956</c:v>
                </c:pt>
                <c:pt idx="6">
                  <c:v>1118</c:v>
                </c:pt>
              </c:numCache>
            </c:numRef>
          </c:val>
        </c:ser>
        <c:dLbls/>
        <c:marker val="1"/>
        <c:axId val="103102336"/>
        <c:axId val="103103872"/>
      </c:lineChart>
      <c:catAx>
        <c:axId val="103102336"/>
        <c:scaling>
          <c:orientation val="minMax"/>
        </c:scaling>
        <c:axPos val="b"/>
        <c:numFmt formatCode="General" sourceLinked="1"/>
        <c:majorTickMark val="none"/>
        <c:tickLblPos val="nextTo"/>
        <c:txPr>
          <a:bodyPr/>
          <a:lstStyle/>
          <a:p>
            <a:pPr>
              <a:defRPr sz="900" b="1"/>
            </a:pPr>
            <a:endParaRPr lang="en-US"/>
          </a:p>
        </c:txPr>
        <c:crossAx val="103103872"/>
        <c:crosses val="autoZero"/>
        <c:auto val="1"/>
        <c:lblAlgn val="ctr"/>
        <c:lblOffset val="100"/>
      </c:catAx>
      <c:valAx>
        <c:axId val="103103872"/>
        <c:scaling>
          <c:orientation val="minMax"/>
          <c:min val="400"/>
        </c:scaling>
        <c:axPos val="l"/>
        <c:numFmt formatCode="General" sourceLinked="1"/>
        <c:majorTickMark val="none"/>
        <c:tickLblPos val="nextTo"/>
        <c:txPr>
          <a:bodyPr/>
          <a:lstStyle/>
          <a:p>
            <a:pPr>
              <a:defRPr sz="900" b="1"/>
            </a:pPr>
            <a:endParaRPr lang="en-US"/>
          </a:p>
        </c:txPr>
        <c:crossAx val="103102336"/>
        <c:crosses val="autoZero"/>
        <c:crossBetween val="between"/>
      </c:valAx>
    </c:plotArea>
    <c:legend>
      <c:legendPos val="b"/>
      <c:layout/>
      <c:txPr>
        <a:bodyPr/>
        <a:lstStyle/>
        <a:p>
          <a:pPr>
            <a:defRPr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GB" sz="1400"/>
              <a:t>Production</a:t>
            </a:r>
            <a:r>
              <a:rPr lang="en-GB" sz="1400" baseline="0"/>
              <a:t> of Jute/Kenaf Fibre</a:t>
            </a:r>
            <a:endParaRPr lang="en-GB" sz="1400"/>
          </a:p>
        </c:rich>
      </c:tx>
    </c:title>
    <c:view3D>
      <c:depthPercent val="100"/>
      <c:rAngAx val="1"/>
    </c:view3D>
    <c:plotArea>
      <c:layout/>
      <c:bar3DChart>
        <c:barDir val="col"/>
        <c:grouping val="stacked"/>
        <c:ser>
          <c:idx val="0"/>
          <c:order val="0"/>
          <c:tx>
            <c:strRef>
              <c:f>'chart 4'!$A$24</c:f>
              <c:strCache>
                <c:ptCount val="1"/>
                <c:pt idx="0">
                  <c:v>Bangladesh</c:v>
                </c:pt>
              </c:strCache>
            </c:strRef>
          </c:tx>
          <c:cat>
            <c:strRef>
              <c:f>'chart 4'!$B$23:$F$23</c:f>
              <c:strCache>
                <c:ptCount val="5"/>
                <c:pt idx="0">
                  <c:v>2008/09</c:v>
                </c:pt>
                <c:pt idx="1">
                  <c:v>2009/10</c:v>
                </c:pt>
                <c:pt idx="2">
                  <c:v>2010/11</c:v>
                </c:pt>
                <c:pt idx="3">
                  <c:v>2011/12</c:v>
                </c:pt>
                <c:pt idx="4">
                  <c:v>2012/13</c:v>
                </c:pt>
              </c:strCache>
            </c:strRef>
          </c:cat>
          <c:val>
            <c:numRef>
              <c:f>'chart 4'!$B$24:$F$24</c:f>
              <c:numCache>
                <c:formatCode>0.0</c:formatCode>
                <c:ptCount val="5"/>
                <c:pt idx="0">
                  <c:v>930.9599999999997</c:v>
                </c:pt>
                <c:pt idx="1">
                  <c:v>1070.0999999999999</c:v>
                </c:pt>
                <c:pt idx="2">
                  <c:v>1404.36</c:v>
                </c:pt>
                <c:pt idx="3">
                  <c:v>1332.8999999999999</c:v>
                </c:pt>
                <c:pt idx="4">
                  <c:v>1362.96</c:v>
                </c:pt>
              </c:numCache>
            </c:numRef>
          </c:val>
        </c:ser>
        <c:ser>
          <c:idx val="1"/>
          <c:order val="1"/>
          <c:tx>
            <c:strRef>
              <c:f>'chart 4'!$A$25</c:f>
              <c:strCache>
                <c:ptCount val="1"/>
                <c:pt idx="0">
                  <c:v>India</c:v>
                </c:pt>
              </c:strCache>
            </c:strRef>
          </c:tx>
          <c:spPr>
            <a:solidFill>
              <a:srgbClr val="EB47D4"/>
            </a:solidFill>
          </c:spPr>
          <c:cat>
            <c:strRef>
              <c:f>'chart 4'!$B$23:$F$23</c:f>
              <c:strCache>
                <c:ptCount val="5"/>
                <c:pt idx="0">
                  <c:v>2008/09</c:v>
                </c:pt>
                <c:pt idx="1">
                  <c:v>2009/10</c:v>
                </c:pt>
                <c:pt idx="2">
                  <c:v>2010/11</c:v>
                </c:pt>
                <c:pt idx="3">
                  <c:v>2011/12</c:v>
                </c:pt>
                <c:pt idx="4">
                  <c:v>2012/13</c:v>
                </c:pt>
              </c:strCache>
            </c:strRef>
          </c:cat>
          <c:val>
            <c:numRef>
              <c:f>'chart 4'!$B$25:$F$25</c:f>
              <c:numCache>
                <c:formatCode>0.0</c:formatCode>
                <c:ptCount val="5"/>
                <c:pt idx="0">
                  <c:v>1476</c:v>
                </c:pt>
                <c:pt idx="1">
                  <c:v>1620</c:v>
                </c:pt>
                <c:pt idx="2">
                  <c:v>1800</c:v>
                </c:pt>
                <c:pt idx="3">
                  <c:v>1845</c:v>
                </c:pt>
                <c:pt idx="4">
                  <c:v>1674</c:v>
                </c:pt>
              </c:numCache>
            </c:numRef>
          </c:val>
        </c:ser>
        <c:ser>
          <c:idx val="2"/>
          <c:order val="2"/>
          <c:tx>
            <c:strRef>
              <c:f>'chart 4'!$A$26</c:f>
              <c:strCache>
                <c:ptCount val="1"/>
                <c:pt idx="0">
                  <c:v>Rest of the World</c:v>
                </c:pt>
              </c:strCache>
            </c:strRef>
          </c:tx>
          <c:spPr>
            <a:solidFill>
              <a:srgbClr val="FFFF00"/>
            </a:solidFill>
          </c:spPr>
          <c:cat>
            <c:strRef>
              <c:f>'chart 4'!$B$23:$F$23</c:f>
              <c:strCache>
                <c:ptCount val="5"/>
                <c:pt idx="0">
                  <c:v>2008/09</c:v>
                </c:pt>
                <c:pt idx="1">
                  <c:v>2009/10</c:v>
                </c:pt>
                <c:pt idx="2">
                  <c:v>2010/11</c:v>
                </c:pt>
                <c:pt idx="3">
                  <c:v>2011/12</c:v>
                </c:pt>
                <c:pt idx="4">
                  <c:v>2012/13</c:v>
                </c:pt>
              </c:strCache>
            </c:strRef>
          </c:cat>
          <c:val>
            <c:numRef>
              <c:f>'chart 4'!$B$26:$F$26</c:f>
              <c:numCache>
                <c:formatCode>0.0</c:formatCode>
                <c:ptCount val="5"/>
                <c:pt idx="0">
                  <c:v>181.04173963299999</c:v>
                </c:pt>
                <c:pt idx="1">
                  <c:v>173.28795206999939</c:v>
                </c:pt>
                <c:pt idx="2">
                  <c:v>164.48937510000042</c:v>
                </c:pt>
                <c:pt idx="3">
                  <c:v>164.21922375800014</c:v>
                </c:pt>
                <c:pt idx="4">
                  <c:v>164.44515464299997</c:v>
                </c:pt>
              </c:numCache>
            </c:numRef>
          </c:val>
        </c:ser>
        <c:dLbls/>
        <c:shape val="box"/>
        <c:axId val="195029248"/>
        <c:axId val="208470016"/>
        <c:axId val="0"/>
      </c:bar3DChart>
      <c:catAx>
        <c:axId val="195029248"/>
        <c:scaling>
          <c:orientation val="minMax"/>
        </c:scaling>
        <c:axPos val="b"/>
        <c:numFmt formatCode="General" sourceLinked="1"/>
        <c:tickLblPos val="nextTo"/>
        <c:txPr>
          <a:bodyPr/>
          <a:lstStyle/>
          <a:p>
            <a:pPr>
              <a:defRPr sz="900" b="1"/>
            </a:pPr>
            <a:endParaRPr lang="en-US"/>
          </a:p>
        </c:txPr>
        <c:crossAx val="208470016"/>
        <c:crosses val="autoZero"/>
        <c:auto val="1"/>
        <c:lblAlgn val="ctr"/>
        <c:lblOffset val="100"/>
      </c:catAx>
      <c:valAx>
        <c:axId val="208470016"/>
        <c:scaling>
          <c:orientation val="minMax"/>
        </c:scaling>
        <c:axPos val="l"/>
        <c:majorGridlines/>
        <c:title>
          <c:tx>
            <c:rich>
              <a:bodyPr rot="-5400000" vert="horz"/>
              <a:lstStyle/>
              <a:p>
                <a:pPr>
                  <a:defRPr sz="900"/>
                </a:pPr>
                <a:r>
                  <a:rPr lang="en-GB" sz="900"/>
                  <a:t>thosand tonnes</a:t>
                </a:r>
              </a:p>
            </c:rich>
          </c:tx>
          <c:layout>
            <c:manualLayout>
              <c:xMode val="edge"/>
              <c:yMode val="edge"/>
              <c:x val="2.1774128533124441E-2"/>
              <c:y val="0.40240155379830589"/>
            </c:manualLayout>
          </c:layout>
        </c:title>
        <c:numFmt formatCode="0" sourceLinked="0"/>
        <c:tickLblPos val="nextTo"/>
        <c:txPr>
          <a:bodyPr/>
          <a:lstStyle/>
          <a:p>
            <a:pPr>
              <a:defRPr sz="900" b="1"/>
            </a:pPr>
            <a:endParaRPr lang="en-US"/>
          </a:p>
        </c:txPr>
        <c:crossAx val="195029248"/>
        <c:crosses val="autoZero"/>
        <c:crossBetween val="between"/>
      </c:valAx>
      <c:spPr>
        <a:noFill/>
        <a:ln w="25400">
          <a:noFill/>
        </a:ln>
      </c:spPr>
    </c:plotArea>
    <c:legend>
      <c:legendPos val="b"/>
      <c:txPr>
        <a:bodyPr/>
        <a:lstStyle/>
        <a:p>
          <a:pPr>
            <a:defRPr sz="900"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578959271134118"/>
          <c:y val="0.24079320113314456"/>
          <c:w val="0.82947453687760786"/>
          <c:h val="0.64872521246459058"/>
        </c:manualLayout>
      </c:layout>
      <c:lineChart>
        <c:grouping val="standard"/>
        <c:ser>
          <c:idx val="2"/>
          <c:order val="0"/>
          <c:spPr>
            <a:ln w="38100">
              <a:solidFill>
                <a:srgbClr val="0000FF"/>
              </a:solidFill>
              <a:prstDash val="solid"/>
            </a:ln>
          </c:spPr>
          <c:marker>
            <c:symbol val="none"/>
          </c:marker>
          <c:cat>
            <c:numRef>
              <c:f>Sheet1!$A$8:$A$88</c:f>
              <c:numCache>
                <c:formatCode>mmm\-yy</c:formatCode>
                <c:ptCount val="81"/>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numCache>
            </c:numRef>
          </c:cat>
          <c:val>
            <c:numRef>
              <c:f>Sheet1!$B$8:$B$88</c:f>
              <c:numCache>
                <c:formatCode>General</c:formatCode>
                <c:ptCount val="81"/>
                <c:pt idx="0">
                  <c:v>330</c:v>
                </c:pt>
                <c:pt idx="1">
                  <c:v>330</c:v>
                </c:pt>
                <c:pt idx="2">
                  <c:v>325</c:v>
                </c:pt>
                <c:pt idx="3">
                  <c:v>325</c:v>
                </c:pt>
                <c:pt idx="4">
                  <c:v>325</c:v>
                </c:pt>
                <c:pt idx="5">
                  <c:v>325</c:v>
                </c:pt>
                <c:pt idx="6">
                  <c:v>330</c:v>
                </c:pt>
                <c:pt idx="7">
                  <c:v>330</c:v>
                </c:pt>
                <c:pt idx="8">
                  <c:v>330</c:v>
                </c:pt>
                <c:pt idx="9">
                  <c:v>330</c:v>
                </c:pt>
                <c:pt idx="10">
                  <c:v>350</c:v>
                </c:pt>
                <c:pt idx="11">
                  <c:v>370</c:v>
                </c:pt>
                <c:pt idx="12">
                  <c:v>382.5</c:v>
                </c:pt>
                <c:pt idx="13">
                  <c:v>382.5</c:v>
                </c:pt>
                <c:pt idx="14">
                  <c:v>410</c:v>
                </c:pt>
                <c:pt idx="15">
                  <c:v>460</c:v>
                </c:pt>
                <c:pt idx="16">
                  <c:v>460</c:v>
                </c:pt>
                <c:pt idx="17">
                  <c:v>460</c:v>
                </c:pt>
                <c:pt idx="18">
                  <c:v>510</c:v>
                </c:pt>
                <c:pt idx="19">
                  <c:v>510</c:v>
                </c:pt>
                <c:pt idx="20">
                  <c:v>510</c:v>
                </c:pt>
                <c:pt idx="21">
                  <c:v>510</c:v>
                </c:pt>
                <c:pt idx="22">
                  <c:v>510</c:v>
                </c:pt>
                <c:pt idx="23">
                  <c:v>505</c:v>
                </c:pt>
                <c:pt idx="24">
                  <c:v>480</c:v>
                </c:pt>
                <c:pt idx="25">
                  <c:v>480</c:v>
                </c:pt>
                <c:pt idx="26">
                  <c:v>490</c:v>
                </c:pt>
                <c:pt idx="27">
                  <c:v>525</c:v>
                </c:pt>
                <c:pt idx="28">
                  <c:v>560</c:v>
                </c:pt>
                <c:pt idx="29">
                  <c:v>610</c:v>
                </c:pt>
                <c:pt idx="30">
                  <c:v>575</c:v>
                </c:pt>
                <c:pt idx="31">
                  <c:v>525</c:v>
                </c:pt>
                <c:pt idx="32">
                  <c:v>550</c:v>
                </c:pt>
                <c:pt idx="33">
                  <c:v>630</c:v>
                </c:pt>
                <c:pt idx="34">
                  <c:v>650</c:v>
                </c:pt>
                <c:pt idx="35">
                  <c:v>750</c:v>
                </c:pt>
                <c:pt idx="36">
                  <c:v>813</c:v>
                </c:pt>
                <c:pt idx="37">
                  <c:v>820</c:v>
                </c:pt>
                <c:pt idx="38">
                  <c:v>1020</c:v>
                </c:pt>
                <c:pt idx="39">
                  <c:v>1050</c:v>
                </c:pt>
                <c:pt idx="40">
                  <c:v>1075</c:v>
                </c:pt>
                <c:pt idx="41">
                  <c:v>1000</c:v>
                </c:pt>
                <c:pt idx="42">
                  <c:v>660</c:v>
                </c:pt>
                <c:pt idx="43">
                  <c:v>700</c:v>
                </c:pt>
                <c:pt idx="44">
                  <c:v>820</c:v>
                </c:pt>
                <c:pt idx="45">
                  <c:v>800</c:v>
                </c:pt>
                <c:pt idx="46">
                  <c:v>800</c:v>
                </c:pt>
                <c:pt idx="47">
                  <c:v>800</c:v>
                </c:pt>
                <c:pt idx="48" formatCode="0">
                  <c:v>800</c:v>
                </c:pt>
                <c:pt idx="49" formatCode="0">
                  <c:v>750</c:v>
                </c:pt>
                <c:pt idx="50" formatCode="0">
                  <c:v>720</c:v>
                </c:pt>
                <c:pt idx="51" formatCode="0">
                  <c:v>740</c:v>
                </c:pt>
                <c:pt idx="52" formatCode="0">
                  <c:v>670</c:v>
                </c:pt>
                <c:pt idx="53" formatCode="0">
                  <c:v>640</c:v>
                </c:pt>
                <c:pt idx="54" formatCode="0">
                  <c:v>600</c:v>
                </c:pt>
                <c:pt idx="55" formatCode="0">
                  <c:v>650</c:v>
                </c:pt>
                <c:pt idx="56" formatCode="0">
                  <c:v>620</c:v>
                </c:pt>
                <c:pt idx="57" formatCode="0">
                  <c:v>520</c:v>
                </c:pt>
                <c:pt idx="58" formatCode="0">
                  <c:v>500</c:v>
                </c:pt>
                <c:pt idx="59" formatCode="0">
                  <c:v>450</c:v>
                </c:pt>
                <c:pt idx="60" formatCode="0">
                  <c:v>480</c:v>
                </c:pt>
                <c:pt idx="61" formatCode="0.0">
                  <c:v>540</c:v>
                </c:pt>
                <c:pt idx="62" formatCode="0.0">
                  <c:v>560</c:v>
                </c:pt>
                <c:pt idx="63" formatCode="0.0">
                  <c:v>540</c:v>
                </c:pt>
                <c:pt idx="64" formatCode="0.0">
                  <c:v>490</c:v>
                </c:pt>
                <c:pt idx="65" formatCode="0.0">
                  <c:v>485</c:v>
                </c:pt>
                <c:pt idx="66" formatCode="0.0">
                  <c:v>550</c:v>
                </c:pt>
                <c:pt idx="67" formatCode="0.0">
                  <c:v>500</c:v>
                </c:pt>
                <c:pt idx="68" formatCode="0.0">
                  <c:v>520</c:v>
                </c:pt>
                <c:pt idx="69" formatCode="0.0">
                  <c:v>520</c:v>
                </c:pt>
                <c:pt idx="70" formatCode="0.0">
                  <c:v>500</c:v>
                </c:pt>
                <c:pt idx="71" formatCode="0.0">
                  <c:v>500</c:v>
                </c:pt>
                <c:pt idx="72" formatCode="0.0">
                  <c:v>575</c:v>
                </c:pt>
                <c:pt idx="73" formatCode="0.0">
                  <c:v>600</c:v>
                </c:pt>
                <c:pt idx="74" formatCode="0.0">
                  <c:v>600</c:v>
                </c:pt>
                <c:pt idx="75" formatCode="0.0">
                  <c:v>600</c:v>
                </c:pt>
                <c:pt idx="76" formatCode="0.0">
                  <c:v>600</c:v>
                </c:pt>
                <c:pt idx="77" formatCode="0.0">
                  <c:v>650</c:v>
                </c:pt>
                <c:pt idx="78" formatCode="0.0">
                  <c:v>590</c:v>
                </c:pt>
                <c:pt idx="79" formatCode="0.0">
                  <c:v>590</c:v>
                </c:pt>
                <c:pt idx="80" formatCode="0.0">
                  <c:v>590</c:v>
                </c:pt>
              </c:numCache>
            </c:numRef>
          </c:val>
        </c:ser>
        <c:ser>
          <c:idx val="2"/>
          <c:order val="1"/>
          <c:spPr>
            <a:ln w="3175">
              <a:solidFill>
                <a:srgbClr val="000000"/>
              </a:solidFill>
              <a:prstDash val="sysDash"/>
            </a:ln>
          </c:spPr>
          <c:marker>
            <c:symbol val="none"/>
          </c:marker>
          <c:cat>
            <c:numRef>
              <c:f>Sheet1!$A$8:$A$88</c:f>
              <c:numCache>
                <c:formatCode>mmm\-yy</c:formatCode>
                <c:ptCount val="81"/>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numCache>
            </c:numRef>
          </c:cat>
          <c:val>
            <c:numRef>
              <c:f>Sheet1!$C$8:$C$88</c:f>
              <c:numCache>
                <c:formatCode>General</c:formatCode>
                <c:ptCount val="81"/>
                <c:pt idx="0">
                  <c:v>460</c:v>
                </c:pt>
                <c:pt idx="1">
                  <c:v>460</c:v>
                </c:pt>
                <c:pt idx="2">
                  <c:v>460</c:v>
                </c:pt>
                <c:pt idx="3">
                  <c:v>460</c:v>
                </c:pt>
                <c:pt idx="4">
                  <c:v>460</c:v>
                </c:pt>
                <c:pt idx="5">
                  <c:v>460</c:v>
                </c:pt>
                <c:pt idx="6">
                  <c:v>460</c:v>
                </c:pt>
                <c:pt idx="7">
                  <c:v>460</c:v>
                </c:pt>
                <c:pt idx="8">
                  <c:v>460</c:v>
                </c:pt>
                <c:pt idx="9">
                  <c:v>460</c:v>
                </c:pt>
                <c:pt idx="10">
                  <c:v>460</c:v>
                </c:pt>
                <c:pt idx="11">
                  <c:v>460</c:v>
                </c:pt>
                <c:pt idx="12">
                  <c:v>460</c:v>
                </c:pt>
                <c:pt idx="13">
                  <c:v>460</c:v>
                </c:pt>
                <c:pt idx="14">
                  <c:v>460</c:v>
                </c:pt>
                <c:pt idx="15">
                  <c:v>460</c:v>
                </c:pt>
                <c:pt idx="16">
                  <c:v>460</c:v>
                </c:pt>
                <c:pt idx="17">
                  <c:v>460</c:v>
                </c:pt>
                <c:pt idx="18">
                  <c:v>460</c:v>
                </c:pt>
                <c:pt idx="19">
                  <c:v>460</c:v>
                </c:pt>
                <c:pt idx="20">
                  <c:v>460</c:v>
                </c:pt>
                <c:pt idx="21">
                  <c:v>460</c:v>
                </c:pt>
                <c:pt idx="22">
                  <c:v>460</c:v>
                </c:pt>
                <c:pt idx="23">
                  <c:v>460</c:v>
                </c:pt>
                <c:pt idx="24">
                  <c:v>460</c:v>
                </c:pt>
                <c:pt idx="25">
                  <c:v>460</c:v>
                </c:pt>
                <c:pt idx="26">
                  <c:v>460</c:v>
                </c:pt>
                <c:pt idx="27">
                  <c:v>460</c:v>
                </c:pt>
                <c:pt idx="28">
                  <c:v>460</c:v>
                </c:pt>
                <c:pt idx="29">
                  <c:v>460</c:v>
                </c:pt>
                <c:pt idx="30">
                  <c:v>460</c:v>
                </c:pt>
                <c:pt idx="31">
                  <c:v>460</c:v>
                </c:pt>
                <c:pt idx="32">
                  <c:v>460</c:v>
                </c:pt>
                <c:pt idx="33">
                  <c:v>460</c:v>
                </c:pt>
                <c:pt idx="34">
                  <c:v>460</c:v>
                </c:pt>
                <c:pt idx="35">
                  <c:v>460</c:v>
                </c:pt>
                <c:pt idx="36">
                  <c:v>630</c:v>
                </c:pt>
                <c:pt idx="37">
                  <c:v>630</c:v>
                </c:pt>
                <c:pt idx="38">
                  <c:v>630</c:v>
                </c:pt>
                <c:pt idx="39">
                  <c:v>630</c:v>
                </c:pt>
                <c:pt idx="40">
                  <c:v>630</c:v>
                </c:pt>
                <c:pt idx="41">
                  <c:v>630</c:v>
                </c:pt>
                <c:pt idx="42">
                  <c:v>630</c:v>
                </c:pt>
                <c:pt idx="43">
                  <c:v>630</c:v>
                </c:pt>
                <c:pt idx="44">
                  <c:v>630</c:v>
                </c:pt>
                <c:pt idx="45">
                  <c:v>630</c:v>
                </c:pt>
                <c:pt idx="46">
                  <c:v>630</c:v>
                </c:pt>
                <c:pt idx="47">
                  <c:v>630</c:v>
                </c:pt>
                <c:pt idx="48">
                  <c:v>630</c:v>
                </c:pt>
                <c:pt idx="49">
                  <c:v>630</c:v>
                </c:pt>
                <c:pt idx="50">
                  <c:v>630</c:v>
                </c:pt>
                <c:pt idx="51">
                  <c:v>630</c:v>
                </c:pt>
                <c:pt idx="52">
                  <c:v>630</c:v>
                </c:pt>
                <c:pt idx="53">
                  <c:v>630</c:v>
                </c:pt>
                <c:pt idx="54">
                  <c:v>630</c:v>
                </c:pt>
                <c:pt idx="55">
                  <c:v>630</c:v>
                </c:pt>
                <c:pt idx="56">
                  <c:v>630</c:v>
                </c:pt>
                <c:pt idx="57">
                  <c:v>630</c:v>
                </c:pt>
                <c:pt idx="58">
                  <c:v>630</c:v>
                </c:pt>
                <c:pt idx="59">
                  <c:v>630</c:v>
                </c:pt>
                <c:pt idx="60">
                  <c:v>300</c:v>
                </c:pt>
                <c:pt idx="61">
                  <c:v>300</c:v>
                </c:pt>
                <c:pt idx="62">
                  <c:v>300</c:v>
                </c:pt>
                <c:pt idx="63">
                  <c:v>300</c:v>
                </c:pt>
                <c:pt idx="64">
                  <c:v>300</c:v>
                </c:pt>
                <c:pt idx="65">
                  <c:v>300</c:v>
                </c:pt>
                <c:pt idx="66">
                  <c:v>300</c:v>
                </c:pt>
                <c:pt idx="67">
                  <c:v>300</c:v>
                </c:pt>
                <c:pt idx="68">
                  <c:v>300</c:v>
                </c:pt>
                <c:pt idx="69">
                  <c:v>300</c:v>
                </c:pt>
                <c:pt idx="70">
                  <c:v>300</c:v>
                </c:pt>
                <c:pt idx="71">
                  <c:v>300</c:v>
                </c:pt>
                <c:pt idx="72">
                  <c:v>300</c:v>
                </c:pt>
                <c:pt idx="73">
                  <c:v>300</c:v>
                </c:pt>
                <c:pt idx="74">
                  <c:v>300</c:v>
                </c:pt>
                <c:pt idx="75">
                  <c:v>300</c:v>
                </c:pt>
                <c:pt idx="76">
                  <c:v>300</c:v>
                </c:pt>
                <c:pt idx="77">
                  <c:v>300</c:v>
                </c:pt>
                <c:pt idx="78">
                  <c:v>300</c:v>
                </c:pt>
                <c:pt idx="79">
                  <c:v>300</c:v>
                </c:pt>
                <c:pt idx="80">
                  <c:v>300</c:v>
                </c:pt>
              </c:numCache>
            </c:numRef>
          </c:val>
        </c:ser>
        <c:dLbls/>
        <c:marker val="1"/>
        <c:axId val="195017728"/>
        <c:axId val="89654016"/>
      </c:lineChart>
      <c:catAx>
        <c:axId val="195017728"/>
        <c:scaling>
          <c:orientation val="minMax"/>
        </c:scaling>
        <c:axPos val="b"/>
        <c:numFmt formatCode="\ \ yyyy" sourceLinked="0"/>
        <c:majorTickMark val="cross"/>
        <c:minorTickMark val="in"/>
        <c:tickLblPos val="nextTo"/>
        <c:spPr>
          <a:ln w="3175">
            <a:solidFill>
              <a:srgbClr val="000000"/>
            </a:solidFill>
            <a:prstDash val="solid"/>
          </a:ln>
        </c:spPr>
        <c:txPr>
          <a:bodyPr rot="0" vert="horz"/>
          <a:lstStyle/>
          <a:p>
            <a:pPr>
              <a:defRPr b="1"/>
            </a:pPr>
            <a:endParaRPr lang="en-US"/>
          </a:p>
        </c:txPr>
        <c:crossAx val="89654016"/>
        <c:crosses val="autoZero"/>
        <c:lblAlgn val="ctr"/>
        <c:lblOffset val="100"/>
        <c:tickLblSkip val="12"/>
        <c:tickMarkSkip val="3"/>
      </c:catAx>
      <c:valAx>
        <c:axId val="89654016"/>
        <c:scaling>
          <c:orientation val="minMax"/>
          <c:max val="1100"/>
          <c:min val="200"/>
        </c:scaling>
        <c:axPos val="l"/>
        <c:numFmt formatCode="0" sourceLinked="0"/>
        <c:majorTickMark val="cross"/>
        <c:tickLblPos val="nextTo"/>
        <c:spPr>
          <a:ln w="3175">
            <a:solidFill>
              <a:srgbClr val="000000"/>
            </a:solidFill>
            <a:prstDash val="solid"/>
          </a:ln>
        </c:spPr>
        <c:txPr>
          <a:bodyPr rot="0" vert="horz"/>
          <a:lstStyle/>
          <a:p>
            <a:pPr>
              <a:defRPr b="1"/>
            </a:pPr>
            <a:endParaRPr lang="en-US"/>
          </a:p>
        </c:txPr>
        <c:crossAx val="195017728"/>
        <c:crosses val="autoZero"/>
        <c:crossBetween val="midCat"/>
      </c:valAx>
      <c:spPr>
        <a:solidFill>
          <a:srgbClr val="FFFFFF"/>
        </a:solidFill>
        <a:ln w="12700">
          <a:noFill/>
          <a:prstDash val="solid"/>
        </a:ln>
      </c:spPr>
    </c:plotArea>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Garamond" panose="02020404030301010803" pitchFamily="18" charset="0"/>
          <a:ea typeface="Arial"/>
          <a:cs typeface="Leelawadee" panose="020B0502040204020203" pitchFamily="34" charset="-34"/>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Exports Trend</a:t>
            </a:r>
            <a:r>
              <a:rPr lang="en-GB" sz="1200" baseline="0"/>
              <a:t> </a:t>
            </a:r>
            <a:r>
              <a:rPr lang="en-GB" sz="1200"/>
              <a:t>of World Jute Fibre and Goods</a:t>
            </a:r>
          </a:p>
          <a:p>
            <a:pPr>
              <a:defRPr sz="1200"/>
            </a:pPr>
            <a:endParaRPr lang="en-GB" sz="1200"/>
          </a:p>
        </c:rich>
      </c:tx>
    </c:title>
    <c:plotArea>
      <c:layout>
        <c:manualLayout>
          <c:layoutTarget val="inner"/>
          <c:xMode val="edge"/>
          <c:yMode val="edge"/>
          <c:x val="0.13120008207443137"/>
          <c:y val="0.16608397428621385"/>
          <c:w val="0.84491283866389733"/>
          <c:h val="0.7267332203861685"/>
        </c:manualLayout>
      </c:layout>
      <c:lineChart>
        <c:grouping val="standard"/>
        <c:ser>
          <c:idx val="0"/>
          <c:order val="0"/>
          <c:tx>
            <c:strRef>
              <c:f>'jute exp'!$A$5</c:f>
              <c:strCache>
                <c:ptCount val="1"/>
                <c:pt idx="0">
                  <c:v>Jute Goods</c:v>
                </c:pt>
              </c:strCache>
            </c:strRef>
          </c:tx>
          <c:cat>
            <c:strRef>
              <c:f>'jute exp'!$B$4:$G$4</c:f>
              <c:strCache>
                <c:ptCount val="6"/>
                <c:pt idx="0">
                  <c:v>2007/08</c:v>
                </c:pt>
                <c:pt idx="1">
                  <c:v>2008/09</c:v>
                </c:pt>
                <c:pt idx="2">
                  <c:v>2009/10</c:v>
                </c:pt>
                <c:pt idx="3">
                  <c:v>2010/11</c:v>
                </c:pt>
                <c:pt idx="4">
                  <c:v>2011/12</c:v>
                </c:pt>
                <c:pt idx="5">
                  <c:v>2012/13</c:v>
                </c:pt>
              </c:strCache>
            </c:strRef>
          </c:cat>
          <c:val>
            <c:numRef>
              <c:f>'jute exp'!$B$5:$G$5</c:f>
              <c:numCache>
                <c:formatCode>General</c:formatCode>
                <c:ptCount val="6"/>
                <c:pt idx="0">
                  <c:v>732.72199999999998</c:v>
                </c:pt>
                <c:pt idx="1">
                  <c:v>745.74200000000008</c:v>
                </c:pt>
                <c:pt idx="2">
                  <c:v>709.66199999999969</c:v>
                </c:pt>
                <c:pt idx="3">
                  <c:v>760.55800000000011</c:v>
                </c:pt>
                <c:pt idx="4">
                  <c:v>980.23299999999961</c:v>
                </c:pt>
                <c:pt idx="5">
                  <c:v>902.44049999999959</c:v>
                </c:pt>
              </c:numCache>
            </c:numRef>
          </c:val>
        </c:ser>
        <c:ser>
          <c:idx val="1"/>
          <c:order val="1"/>
          <c:tx>
            <c:strRef>
              <c:f>'jute exp'!$A$6</c:f>
              <c:strCache>
                <c:ptCount val="1"/>
                <c:pt idx="0">
                  <c:v>Jute Fibre</c:v>
                </c:pt>
              </c:strCache>
            </c:strRef>
          </c:tx>
          <c:spPr>
            <a:ln>
              <a:solidFill>
                <a:srgbClr val="ED5DC4"/>
              </a:solidFill>
            </a:ln>
          </c:spPr>
          <c:marker>
            <c:symbol val="square"/>
            <c:size val="7"/>
            <c:spPr>
              <a:solidFill>
                <a:srgbClr val="ED5DC4"/>
              </a:solidFill>
              <a:ln>
                <a:solidFill>
                  <a:srgbClr val="ED5DC4"/>
                </a:solidFill>
              </a:ln>
            </c:spPr>
          </c:marker>
          <c:cat>
            <c:strRef>
              <c:f>'jute exp'!$B$4:$G$4</c:f>
              <c:strCache>
                <c:ptCount val="6"/>
                <c:pt idx="0">
                  <c:v>2007/08</c:v>
                </c:pt>
                <c:pt idx="1">
                  <c:v>2008/09</c:v>
                </c:pt>
                <c:pt idx="2">
                  <c:v>2009/10</c:v>
                </c:pt>
                <c:pt idx="3">
                  <c:v>2010/11</c:v>
                </c:pt>
                <c:pt idx="4">
                  <c:v>2011/12</c:v>
                </c:pt>
                <c:pt idx="5">
                  <c:v>2012/13</c:v>
                </c:pt>
              </c:strCache>
            </c:strRef>
          </c:cat>
          <c:val>
            <c:numRef>
              <c:f>'jute exp'!$B$6:$G$6</c:f>
              <c:numCache>
                <c:formatCode>General</c:formatCode>
                <c:ptCount val="6"/>
                <c:pt idx="0">
                  <c:v>530.92232099999978</c:v>
                </c:pt>
                <c:pt idx="1">
                  <c:v>326.22599999999983</c:v>
                </c:pt>
                <c:pt idx="2">
                  <c:v>331.8603999999998</c:v>
                </c:pt>
                <c:pt idx="3">
                  <c:v>431.12931599999979</c:v>
                </c:pt>
                <c:pt idx="4">
                  <c:v>444.60763500000002</c:v>
                </c:pt>
                <c:pt idx="5">
                  <c:v>415.58119999999963</c:v>
                </c:pt>
              </c:numCache>
            </c:numRef>
          </c:val>
        </c:ser>
        <c:dLbls/>
        <c:marker val="1"/>
        <c:axId val="205366400"/>
        <c:axId val="205367936"/>
      </c:lineChart>
      <c:catAx>
        <c:axId val="205366400"/>
        <c:scaling>
          <c:orientation val="minMax"/>
        </c:scaling>
        <c:axPos val="b"/>
        <c:majorTickMark val="cross"/>
        <c:tickLblPos val="nextTo"/>
        <c:txPr>
          <a:bodyPr/>
          <a:lstStyle/>
          <a:p>
            <a:pPr>
              <a:defRPr sz="900" b="1"/>
            </a:pPr>
            <a:endParaRPr lang="en-US"/>
          </a:p>
        </c:txPr>
        <c:crossAx val="205367936"/>
        <c:crosses val="autoZero"/>
        <c:auto val="1"/>
        <c:lblAlgn val="ctr"/>
        <c:lblOffset val="100"/>
      </c:catAx>
      <c:valAx>
        <c:axId val="205367936"/>
        <c:scaling>
          <c:orientation val="minMax"/>
          <c:min val="200"/>
        </c:scaling>
        <c:axPos val="l"/>
        <c:majorGridlines>
          <c:spPr>
            <a:ln>
              <a:noFill/>
            </a:ln>
          </c:spPr>
        </c:majorGridlines>
        <c:title>
          <c:tx>
            <c:rich>
              <a:bodyPr/>
              <a:lstStyle/>
              <a:p>
                <a:pPr>
                  <a:defRPr sz="900"/>
                </a:pPr>
                <a:r>
                  <a:rPr lang="en-US" sz="900"/>
                  <a:t>thousand tonnes</a:t>
                </a:r>
              </a:p>
              <a:p>
                <a:pPr>
                  <a:defRPr sz="900"/>
                </a:pPr>
                <a:endParaRPr lang="en-US" sz="900"/>
              </a:p>
            </c:rich>
          </c:tx>
          <c:layout>
            <c:manualLayout>
              <c:xMode val="edge"/>
              <c:yMode val="edge"/>
              <c:x val="2.1985255256062281E-2"/>
              <c:y val="0.37926701468018625"/>
            </c:manualLayout>
          </c:layout>
        </c:title>
        <c:numFmt formatCode="General" sourceLinked="1"/>
        <c:majorTickMark val="none"/>
        <c:tickLblPos val="nextTo"/>
        <c:txPr>
          <a:bodyPr/>
          <a:lstStyle/>
          <a:p>
            <a:pPr>
              <a:defRPr sz="900" b="1"/>
            </a:pPr>
            <a:endParaRPr lang="en-US"/>
          </a:p>
        </c:txPr>
        <c:crossAx val="205366400"/>
        <c:crosses val="autoZero"/>
        <c:crossBetween val="between"/>
      </c:valAx>
    </c:plotArea>
    <c:plotVisOnly val="1"/>
    <c:dispBlanksAs val="gap"/>
  </c:chart>
  <c:txPr>
    <a:bodyPr/>
    <a:lstStyle/>
    <a:p>
      <a:pPr>
        <a:defRPr sz="1000">
          <a:latin typeface="Garamond" panose="02020404030301010803" pitchFamily="18" charset="0"/>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Exports of Jute Fibre</a:t>
            </a:r>
          </a:p>
        </c:rich>
      </c:tx>
    </c:title>
    <c:view3D>
      <c:rAngAx val="1"/>
    </c:view3D>
    <c:plotArea>
      <c:layout>
        <c:manualLayout>
          <c:layoutTarget val="inner"/>
          <c:xMode val="edge"/>
          <c:yMode val="edge"/>
          <c:x val="0.13127723382403295"/>
          <c:y val="0.1383161512027492"/>
          <c:w val="0.84321551979915554"/>
          <c:h val="0.71861162973185055"/>
        </c:manualLayout>
      </c:layout>
      <c:bar3DChart>
        <c:barDir val="col"/>
        <c:grouping val="clustered"/>
        <c:ser>
          <c:idx val="0"/>
          <c:order val="0"/>
          <c:tx>
            <c:strRef>
              <c:f>'jute exp'!$B$35</c:f>
              <c:strCache>
                <c:ptCount val="1"/>
                <c:pt idx="0">
                  <c:v>World</c:v>
                </c:pt>
              </c:strCache>
            </c:strRef>
          </c:tx>
          <c:spPr>
            <a:solidFill>
              <a:srgbClr val="35FD65"/>
            </a:solidFill>
          </c:spPr>
          <c:cat>
            <c:strRef>
              <c:f>'jute exp'!$A$36:$A$40</c:f>
              <c:strCache>
                <c:ptCount val="5"/>
                <c:pt idx="0">
                  <c:v>2008/09</c:v>
                </c:pt>
                <c:pt idx="1">
                  <c:v>2009/10</c:v>
                </c:pt>
                <c:pt idx="2">
                  <c:v>2010/11</c:v>
                </c:pt>
                <c:pt idx="3">
                  <c:v>2011/12</c:v>
                </c:pt>
                <c:pt idx="4">
                  <c:v>2012/13</c:v>
                </c:pt>
              </c:strCache>
            </c:strRef>
          </c:cat>
          <c:val>
            <c:numRef>
              <c:f>'jute exp'!$B$36:$B$40</c:f>
              <c:numCache>
                <c:formatCode>0.0</c:formatCode>
                <c:ptCount val="5"/>
                <c:pt idx="0">
                  <c:v>326.22599999999983</c:v>
                </c:pt>
                <c:pt idx="1">
                  <c:v>331.8603999999998</c:v>
                </c:pt>
                <c:pt idx="2">
                  <c:v>431.12931599999979</c:v>
                </c:pt>
                <c:pt idx="3">
                  <c:v>444.60763500000002</c:v>
                </c:pt>
                <c:pt idx="4">
                  <c:v>415.58119999999963</c:v>
                </c:pt>
              </c:numCache>
            </c:numRef>
          </c:val>
        </c:ser>
        <c:ser>
          <c:idx val="1"/>
          <c:order val="1"/>
          <c:tx>
            <c:strRef>
              <c:f>'jute exp'!$C$35</c:f>
              <c:strCache>
                <c:ptCount val="1"/>
                <c:pt idx="0">
                  <c:v>Bangladesh</c:v>
                </c:pt>
              </c:strCache>
            </c:strRef>
          </c:tx>
          <c:spPr>
            <a:solidFill>
              <a:srgbClr val="FF00FF"/>
            </a:solidFill>
          </c:spPr>
          <c:cat>
            <c:strRef>
              <c:f>'jute exp'!$A$36:$A$40</c:f>
              <c:strCache>
                <c:ptCount val="5"/>
                <c:pt idx="0">
                  <c:v>2008/09</c:v>
                </c:pt>
                <c:pt idx="1">
                  <c:v>2009/10</c:v>
                </c:pt>
                <c:pt idx="2">
                  <c:v>2010/11</c:v>
                </c:pt>
                <c:pt idx="3">
                  <c:v>2011/12</c:v>
                </c:pt>
                <c:pt idx="4">
                  <c:v>2012/13</c:v>
                </c:pt>
              </c:strCache>
            </c:strRef>
          </c:cat>
          <c:val>
            <c:numRef>
              <c:f>'jute exp'!$C$36:$C$40</c:f>
              <c:numCache>
                <c:formatCode>0.0</c:formatCode>
                <c:ptCount val="5"/>
                <c:pt idx="0">
                  <c:v>314.91000000000003</c:v>
                </c:pt>
                <c:pt idx="1">
                  <c:v>287.83</c:v>
                </c:pt>
                <c:pt idx="2">
                  <c:v>380.26</c:v>
                </c:pt>
                <c:pt idx="3">
                  <c:v>411.12</c:v>
                </c:pt>
                <c:pt idx="4">
                  <c:v>396</c:v>
                </c:pt>
              </c:numCache>
            </c:numRef>
          </c:val>
        </c:ser>
        <c:dLbls/>
        <c:shape val="box"/>
        <c:axId val="205693312"/>
        <c:axId val="205694848"/>
        <c:axId val="0"/>
      </c:bar3DChart>
      <c:catAx>
        <c:axId val="205693312"/>
        <c:scaling>
          <c:orientation val="minMax"/>
        </c:scaling>
        <c:axPos val="b"/>
        <c:majorTickMark val="none"/>
        <c:tickLblPos val="nextTo"/>
        <c:txPr>
          <a:bodyPr/>
          <a:lstStyle/>
          <a:p>
            <a:pPr>
              <a:defRPr sz="900" b="1"/>
            </a:pPr>
            <a:endParaRPr lang="en-US"/>
          </a:p>
        </c:txPr>
        <c:crossAx val="205694848"/>
        <c:crosses val="autoZero"/>
        <c:auto val="1"/>
        <c:lblAlgn val="ctr"/>
        <c:lblOffset val="100"/>
      </c:catAx>
      <c:valAx>
        <c:axId val="205694848"/>
        <c:scaling>
          <c:orientation val="minMax"/>
        </c:scaling>
        <c:axPos val="l"/>
        <c:majorGridlines/>
        <c:title>
          <c:tx>
            <c:rich>
              <a:bodyPr rot="-5400000" vert="horz"/>
              <a:lstStyle/>
              <a:p>
                <a:pPr>
                  <a:defRPr sz="900"/>
                </a:pPr>
                <a:r>
                  <a:rPr lang="en-US" sz="900"/>
                  <a:t>thousand tonnes</a:t>
                </a:r>
              </a:p>
            </c:rich>
          </c:tx>
          <c:layout>
            <c:manualLayout>
              <c:xMode val="edge"/>
              <c:yMode val="edge"/>
              <c:x val="1.8609699874472217E-2"/>
              <c:y val="0.37776442893091988"/>
            </c:manualLayout>
          </c:layout>
        </c:title>
        <c:numFmt formatCode="0" sourceLinked="0"/>
        <c:majorTickMark val="none"/>
        <c:tickLblPos val="nextTo"/>
        <c:txPr>
          <a:bodyPr/>
          <a:lstStyle/>
          <a:p>
            <a:pPr>
              <a:defRPr sz="900" b="1"/>
            </a:pPr>
            <a:endParaRPr lang="en-US"/>
          </a:p>
        </c:txPr>
        <c:crossAx val="205693312"/>
        <c:crosses val="autoZero"/>
        <c:crossBetween val="between"/>
      </c:valAx>
    </c:plotArea>
    <c:legend>
      <c:legendPos val="b"/>
      <c:txPr>
        <a:bodyPr/>
        <a:lstStyle/>
        <a:p>
          <a:pPr>
            <a:defRPr sz="900"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Exports of Jute Goods</a:t>
            </a:r>
          </a:p>
        </c:rich>
      </c:tx>
    </c:title>
    <c:view3D>
      <c:rAngAx val="1"/>
    </c:view3D>
    <c:plotArea>
      <c:layout>
        <c:manualLayout>
          <c:layoutTarget val="inner"/>
          <c:xMode val="edge"/>
          <c:yMode val="edge"/>
          <c:x val="0.10554374759099169"/>
          <c:y val="0.14743589743589758"/>
          <c:w val="0.86881522676798273"/>
          <c:h val="0.68174353205849336"/>
        </c:manualLayout>
      </c:layout>
      <c:bar3DChart>
        <c:barDir val="col"/>
        <c:grouping val="stacked"/>
        <c:ser>
          <c:idx val="0"/>
          <c:order val="0"/>
          <c:tx>
            <c:strRef>
              <c:f>'jute exp'!$A$53</c:f>
              <c:strCache>
                <c:ptCount val="1"/>
                <c:pt idx="0">
                  <c:v>  Bangladesh</c:v>
                </c:pt>
              </c:strCache>
            </c:strRef>
          </c:tx>
          <c:spPr>
            <a:solidFill>
              <a:srgbClr val="00B0F0"/>
            </a:solidFill>
          </c:spPr>
          <c:cat>
            <c:strRef>
              <c:f>'jute exp'!$B$52:$F$52</c:f>
              <c:strCache>
                <c:ptCount val="5"/>
                <c:pt idx="0">
                  <c:v>2008/09</c:v>
                </c:pt>
                <c:pt idx="1">
                  <c:v>2009/10</c:v>
                </c:pt>
                <c:pt idx="2">
                  <c:v>2010/11</c:v>
                </c:pt>
                <c:pt idx="3">
                  <c:v>2011/12</c:v>
                </c:pt>
                <c:pt idx="4">
                  <c:v>2012/13</c:v>
                </c:pt>
              </c:strCache>
            </c:strRef>
          </c:cat>
          <c:val>
            <c:numRef>
              <c:f>'jute exp'!$B$53:$F$53</c:f>
              <c:numCache>
                <c:formatCode>General</c:formatCode>
                <c:ptCount val="5"/>
                <c:pt idx="0">
                  <c:v>491.46</c:v>
                </c:pt>
                <c:pt idx="1">
                  <c:v>459.42999999999984</c:v>
                </c:pt>
                <c:pt idx="2">
                  <c:v>475.49599999999975</c:v>
                </c:pt>
                <c:pt idx="3">
                  <c:v>696.34299999999939</c:v>
                </c:pt>
                <c:pt idx="4">
                  <c:v>651.94599999999957</c:v>
                </c:pt>
              </c:numCache>
            </c:numRef>
          </c:val>
        </c:ser>
        <c:ser>
          <c:idx val="1"/>
          <c:order val="1"/>
          <c:tx>
            <c:strRef>
              <c:f>'jute exp'!$A$54</c:f>
              <c:strCache>
                <c:ptCount val="1"/>
                <c:pt idx="0">
                  <c:v>  India</c:v>
                </c:pt>
              </c:strCache>
            </c:strRef>
          </c:tx>
          <c:spPr>
            <a:solidFill>
              <a:srgbClr val="ED5DC4"/>
            </a:solidFill>
          </c:spPr>
          <c:cat>
            <c:strRef>
              <c:f>'jute exp'!$B$52:$F$52</c:f>
              <c:strCache>
                <c:ptCount val="5"/>
                <c:pt idx="0">
                  <c:v>2008/09</c:v>
                </c:pt>
                <c:pt idx="1">
                  <c:v>2009/10</c:v>
                </c:pt>
                <c:pt idx="2">
                  <c:v>2010/11</c:v>
                </c:pt>
                <c:pt idx="3">
                  <c:v>2011/12</c:v>
                </c:pt>
                <c:pt idx="4">
                  <c:v>2012/13</c:v>
                </c:pt>
              </c:strCache>
            </c:strRef>
          </c:cat>
          <c:val>
            <c:numRef>
              <c:f>'jute exp'!$B$54:$F$54</c:f>
              <c:numCache>
                <c:formatCode>General</c:formatCode>
                <c:ptCount val="5"/>
                <c:pt idx="0">
                  <c:v>173.6</c:v>
                </c:pt>
                <c:pt idx="1">
                  <c:v>163.5</c:v>
                </c:pt>
                <c:pt idx="2">
                  <c:v>182.9</c:v>
                </c:pt>
                <c:pt idx="3">
                  <c:v>211.7</c:v>
                </c:pt>
                <c:pt idx="4">
                  <c:v>171.1</c:v>
                </c:pt>
              </c:numCache>
            </c:numRef>
          </c:val>
        </c:ser>
        <c:ser>
          <c:idx val="2"/>
          <c:order val="2"/>
          <c:tx>
            <c:strRef>
              <c:f>'jute exp'!$A$55</c:f>
              <c:strCache>
                <c:ptCount val="1"/>
                <c:pt idx="0">
                  <c:v>  Other</c:v>
                </c:pt>
              </c:strCache>
            </c:strRef>
          </c:tx>
          <c:spPr>
            <a:solidFill>
              <a:srgbClr val="FFFF00"/>
            </a:solidFill>
          </c:spPr>
          <c:cat>
            <c:strRef>
              <c:f>'jute exp'!$B$52:$F$52</c:f>
              <c:strCache>
                <c:ptCount val="5"/>
                <c:pt idx="0">
                  <c:v>2008/09</c:v>
                </c:pt>
                <c:pt idx="1">
                  <c:v>2009/10</c:v>
                </c:pt>
                <c:pt idx="2">
                  <c:v>2010/11</c:v>
                </c:pt>
                <c:pt idx="3">
                  <c:v>2011/12</c:v>
                </c:pt>
                <c:pt idx="4">
                  <c:v>2012/13</c:v>
                </c:pt>
              </c:strCache>
            </c:strRef>
          </c:cat>
          <c:val>
            <c:numRef>
              <c:f>'jute exp'!$B$55:$F$55</c:f>
              <c:numCache>
                <c:formatCode>General</c:formatCode>
                <c:ptCount val="5"/>
                <c:pt idx="0">
                  <c:v>80.682000000000087</c:v>
                </c:pt>
                <c:pt idx="1">
                  <c:v>86.732000000000014</c:v>
                </c:pt>
                <c:pt idx="2">
                  <c:v>102.16200000000001</c:v>
                </c:pt>
                <c:pt idx="3">
                  <c:v>72.190000000000055</c:v>
                </c:pt>
                <c:pt idx="4">
                  <c:v>79.394499999999994</c:v>
                </c:pt>
              </c:numCache>
            </c:numRef>
          </c:val>
        </c:ser>
        <c:dLbls/>
        <c:shape val="box"/>
        <c:axId val="206017664"/>
        <c:axId val="206019200"/>
        <c:axId val="0"/>
      </c:bar3DChart>
      <c:catAx>
        <c:axId val="206017664"/>
        <c:scaling>
          <c:orientation val="minMax"/>
        </c:scaling>
        <c:axPos val="b"/>
        <c:tickLblPos val="nextTo"/>
        <c:txPr>
          <a:bodyPr/>
          <a:lstStyle/>
          <a:p>
            <a:pPr>
              <a:defRPr sz="900" b="1"/>
            </a:pPr>
            <a:endParaRPr lang="en-US"/>
          </a:p>
        </c:txPr>
        <c:crossAx val="206019200"/>
        <c:crosses val="autoZero"/>
        <c:auto val="1"/>
        <c:lblAlgn val="ctr"/>
        <c:lblOffset val="100"/>
      </c:catAx>
      <c:valAx>
        <c:axId val="206019200"/>
        <c:scaling>
          <c:orientation val="minMax"/>
        </c:scaling>
        <c:axPos val="l"/>
        <c:majorGridlines/>
        <c:title>
          <c:tx>
            <c:rich>
              <a:bodyPr rot="-5400000" vert="horz"/>
              <a:lstStyle/>
              <a:p>
                <a:pPr>
                  <a:defRPr sz="900"/>
                </a:pPr>
                <a:r>
                  <a:rPr lang="en-US" sz="900"/>
                  <a:t>thousand tonnes</a:t>
                </a:r>
              </a:p>
            </c:rich>
          </c:tx>
          <c:layout>
            <c:manualLayout>
              <c:xMode val="edge"/>
              <c:yMode val="edge"/>
              <c:x val="2.5136222273017414E-2"/>
              <c:y val="0.38777587050595896"/>
            </c:manualLayout>
          </c:layout>
        </c:title>
        <c:numFmt formatCode="General" sourceLinked="1"/>
        <c:tickLblPos val="nextTo"/>
        <c:txPr>
          <a:bodyPr/>
          <a:lstStyle/>
          <a:p>
            <a:pPr>
              <a:defRPr sz="900" b="1"/>
            </a:pPr>
            <a:endParaRPr lang="en-US"/>
          </a:p>
        </c:txPr>
        <c:crossAx val="206017664"/>
        <c:crosses val="autoZero"/>
        <c:crossBetween val="between"/>
      </c:valAx>
    </c:plotArea>
    <c:legend>
      <c:legendPos val="b"/>
      <c:txPr>
        <a:bodyPr/>
        <a:lstStyle/>
        <a:p>
          <a:pPr>
            <a:defRPr sz="900" b="1"/>
          </a:pPr>
          <a:endParaRPr lang="en-US"/>
        </a:p>
      </c:txPr>
    </c:legend>
    <c:plotVisOnly val="1"/>
    <c:dispBlanksAs val="gap"/>
  </c:chart>
  <c:txPr>
    <a:bodyPr/>
    <a:lstStyle/>
    <a:p>
      <a:pPr>
        <a:defRPr>
          <a:latin typeface="Garamond" panose="02020404030301010803"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GB" sz="1200"/>
              <a:t>Share of World Imports of Jute Fibre, 2012</a:t>
            </a:r>
          </a:p>
        </c:rich>
      </c:tx>
    </c:title>
    <c:view3D>
      <c:rotX val="30"/>
      <c:perspective val="30"/>
    </c:view3D>
    <c:plotArea>
      <c:layout/>
      <c:pie3DChart>
        <c:varyColors val="1"/>
        <c:ser>
          <c:idx val="0"/>
          <c:order val="0"/>
          <c:tx>
            <c:strRef>
              <c:f>'imp raw'!$C$11</c:f>
              <c:strCache>
                <c:ptCount val="1"/>
                <c:pt idx="0">
                  <c:v>%share 2012</c:v>
                </c:pt>
              </c:strCache>
            </c:strRef>
          </c:tx>
          <c:explosion val="4"/>
          <c:dPt>
            <c:idx val="0"/>
            <c:spPr>
              <a:solidFill>
                <a:srgbClr val="EB41DF"/>
              </a:solidFill>
            </c:spPr>
          </c:dPt>
          <c:dPt>
            <c:idx val="1"/>
            <c:explosion val="13"/>
            <c:spPr>
              <a:solidFill>
                <a:srgbClr val="0070C0"/>
              </a:solidFill>
            </c:spPr>
          </c:dPt>
          <c:dPt>
            <c:idx val="2"/>
            <c:spPr>
              <a:solidFill>
                <a:srgbClr val="FFFF00"/>
              </a:solidFill>
            </c:spPr>
          </c:dPt>
          <c:dPt>
            <c:idx val="3"/>
            <c:spPr>
              <a:solidFill>
                <a:srgbClr val="92D050"/>
              </a:solidFill>
            </c:spPr>
          </c:dPt>
          <c:dLbls>
            <c:dLbl>
              <c:idx val="0"/>
              <c:layout>
                <c:manualLayout>
                  <c:x val="-0.11907311812609525"/>
                  <c:y val="9.1252396782265544E-2"/>
                </c:manualLayout>
              </c:layout>
              <c:showCatName val="1"/>
              <c:showPercent val="1"/>
            </c:dLbl>
            <c:dLbl>
              <c:idx val="1"/>
              <c:layout>
                <c:manualLayout>
                  <c:x val="-0.1416419662043755"/>
                  <c:y val="-0.17487487202671217"/>
                </c:manualLayout>
              </c:layout>
              <c:showCatName val="1"/>
              <c:showPercent val="1"/>
            </c:dLbl>
            <c:dLbl>
              <c:idx val="2"/>
              <c:layout>
                <c:manualLayout>
                  <c:x val="0.13130369277858386"/>
                  <c:y val="-0.17240445407636107"/>
                </c:manualLayout>
              </c:layout>
              <c:showCatName val="1"/>
              <c:showPercent val="1"/>
            </c:dLbl>
            <c:dLbl>
              <c:idx val="3"/>
              <c:layout>
                <c:manualLayout>
                  <c:x val="9.4707995337440926E-2"/>
                  <c:y val="6.0243474613735394E-2"/>
                </c:manualLayout>
              </c:layout>
              <c:showCatName val="1"/>
              <c:showPercent val="1"/>
            </c:dLbl>
            <c:numFmt formatCode="General" sourceLinked="0"/>
            <c:txPr>
              <a:bodyPr/>
              <a:lstStyle/>
              <a:p>
                <a:pPr>
                  <a:defRPr sz="900" b="1"/>
                </a:pPr>
                <a:endParaRPr lang="en-US"/>
              </a:p>
            </c:txPr>
            <c:showCatName val="1"/>
            <c:showPercent val="1"/>
          </c:dLbls>
          <c:cat>
            <c:strRef>
              <c:f>'imp raw'!$B$12:$B$15</c:f>
              <c:strCache>
                <c:ptCount val="4"/>
                <c:pt idx="0">
                  <c:v>China</c:v>
                </c:pt>
                <c:pt idx="1">
                  <c:v>India</c:v>
                </c:pt>
                <c:pt idx="2">
                  <c:v>Pakistan</c:v>
                </c:pt>
                <c:pt idx="3">
                  <c:v>Other</c:v>
                </c:pt>
              </c:strCache>
            </c:strRef>
          </c:cat>
          <c:val>
            <c:numRef>
              <c:f>'imp raw'!$C$12:$C$15</c:f>
              <c:numCache>
                <c:formatCode>0.00</c:formatCode>
                <c:ptCount val="4"/>
                <c:pt idx="0">
                  <c:v>21.63000000000001</c:v>
                </c:pt>
                <c:pt idx="1">
                  <c:v>30.97</c:v>
                </c:pt>
                <c:pt idx="2">
                  <c:v>20.2</c:v>
                </c:pt>
                <c:pt idx="3">
                  <c:v>27.19</c:v>
                </c:pt>
              </c:numCache>
            </c:numRef>
          </c:val>
        </c:ser>
        <c:dLbls/>
      </c:pie3DChart>
    </c:plotArea>
    <c:plotVisOnly val="1"/>
    <c:dispBlanksAs val="zero"/>
  </c:chart>
  <c:txPr>
    <a:bodyPr/>
    <a:lstStyle/>
    <a:p>
      <a:pPr>
        <a:defRPr>
          <a:latin typeface="Garamond" panose="02020404030301010803"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0.0105</cdr:x>
      <cdr:y>0.14361</cdr:y>
    </cdr:from>
    <cdr:to>
      <cdr:x>0.24791</cdr:x>
      <cdr:y>0.21698</cdr:y>
    </cdr:to>
    <cdr:sp macro="" textlink="">
      <cdr:nvSpPr>
        <cdr:cNvPr id="14343" name="Text 9"/>
        <cdr:cNvSpPr txBox="1">
          <a:spLocks xmlns:a="http://schemas.openxmlformats.org/drawingml/2006/main" noChangeArrowheads="1"/>
        </cdr:cNvSpPr>
      </cdr:nvSpPr>
      <cdr:spPr bwMode="auto">
        <a:xfrm xmlns:a="http://schemas.openxmlformats.org/drawingml/2006/main">
          <a:off x="50800" y="487407"/>
          <a:ext cx="1076373" cy="247383"/>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Garamond" panose="02020404030301010803" pitchFamily="18" charset="0"/>
              <a:cs typeface="Times New Roman"/>
            </a:rPr>
            <a:t>USD/tonne</a:t>
          </a:r>
        </a:p>
      </cdr:txBody>
    </cdr:sp>
  </cdr:relSizeAnchor>
  <cdr:relSizeAnchor xmlns:cdr="http://schemas.openxmlformats.org/drawingml/2006/chartDrawing">
    <cdr:from>
      <cdr:x>0.23053</cdr:x>
      <cdr:y>0.02141</cdr:y>
    </cdr:from>
    <cdr:to>
      <cdr:x>0.81254</cdr:x>
      <cdr:y>0.21625</cdr:y>
    </cdr:to>
    <cdr:sp macro="" textlink="">
      <cdr:nvSpPr>
        <cdr:cNvPr id="14344" name="Text 10"/>
        <cdr:cNvSpPr txBox="1">
          <a:spLocks xmlns:a="http://schemas.openxmlformats.org/drawingml/2006/main" noChangeArrowheads="1"/>
        </cdr:cNvSpPr>
      </cdr:nvSpPr>
      <cdr:spPr bwMode="auto">
        <a:xfrm xmlns:a="http://schemas.openxmlformats.org/drawingml/2006/main">
          <a:off x="1048387" y="75375"/>
          <a:ext cx="2638777" cy="65695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400" b="1" i="0" u="none" strike="noStrike" baseline="0">
              <a:solidFill>
                <a:srgbClr val="000000"/>
              </a:solidFill>
              <a:latin typeface="Garamond" panose="02020404030301010803" pitchFamily="18" charset="0"/>
              <a:cs typeface="Times New Roman"/>
            </a:rPr>
            <a:t>   Jute Export Prices</a:t>
          </a:r>
        </a:p>
        <a:p xmlns:a="http://schemas.openxmlformats.org/drawingml/2006/main">
          <a:pPr algn="ctr" rtl="0">
            <a:defRPr sz="1000"/>
          </a:pPr>
          <a:r>
            <a:rPr lang="en-US" sz="1400" b="1" i="0" u="none" strike="noStrike" baseline="0">
              <a:solidFill>
                <a:srgbClr val="000000"/>
              </a:solidFill>
              <a:latin typeface="Garamond" panose="02020404030301010803" pitchFamily="18" charset="0"/>
              <a:cs typeface="Times New Roman"/>
            </a:rPr>
            <a:t>BTD f.o.b. </a:t>
          </a:r>
          <a:r>
            <a:rPr lang="en-US" sz="1200" b="1" i="0" u="none" strike="noStrike" baseline="0">
              <a:solidFill>
                <a:srgbClr val="000000"/>
              </a:solidFill>
              <a:latin typeface="Garamond" panose="02020404030301010803" pitchFamily="18" charset="0"/>
              <a:cs typeface="Times New Roman"/>
            </a:rPr>
            <a:t>Bangladesh</a:t>
          </a:r>
          <a:r>
            <a:rPr lang="en-US" sz="1400" b="1" i="0" u="none" strike="noStrike" baseline="0">
              <a:solidFill>
                <a:srgbClr val="000000"/>
              </a:solidFill>
              <a:latin typeface="Garamond" panose="02020404030301010803" pitchFamily="18" charset="0"/>
              <a:cs typeface="Times New Roman"/>
            </a:rPr>
            <a:t> Port</a:t>
          </a:r>
        </a:p>
      </cdr:txBody>
    </cdr:sp>
  </cdr:relSizeAnchor>
  <cdr:relSizeAnchor xmlns:cdr="http://schemas.openxmlformats.org/drawingml/2006/chartDrawing">
    <cdr:from>
      <cdr:x>0.16176</cdr:x>
      <cdr:y>0.02825</cdr:y>
    </cdr:from>
    <cdr:to>
      <cdr:x>0.46843</cdr:x>
      <cdr:y>1</cdr:y>
    </cdr:to>
    <cdr:sp macro="" textlink="">
      <cdr:nvSpPr>
        <cdr:cNvPr id="14351" name="Text Box 15"/>
        <cdr:cNvSpPr txBox="1">
          <a:spLocks xmlns:a="http://schemas.openxmlformats.org/drawingml/2006/main" noChangeArrowheads="1"/>
        </cdr:cNvSpPr>
      </cdr:nvSpPr>
      <cdr:spPr bwMode="auto">
        <a:xfrm xmlns:a="http://schemas.openxmlformats.org/drawingml/2006/main">
          <a:off x="736571" y="2595080"/>
          <a:ext cx="1390408" cy="3276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0.16176</cdr:x>
      <cdr:y>0.06785</cdr:y>
    </cdr:from>
    <cdr:to>
      <cdr:x>0.46843</cdr:x>
      <cdr:y>1</cdr:y>
    </cdr:to>
    <cdr:sp macro="" textlink="">
      <cdr:nvSpPr>
        <cdr:cNvPr id="14356" name="Text Box 20"/>
        <cdr:cNvSpPr txBox="1">
          <a:spLocks xmlns:a="http://schemas.openxmlformats.org/drawingml/2006/main" noChangeArrowheads="1"/>
        </cdr:cNvSpPr>
      </cdr:nvSpPr>
      <cdr:spPr bwMode="auto">
        <a:xfrm xmlns:a="http://schemas.openxmlformats.org/drawingml/2006/main">
          <a:off x="736571" y="2625388"/>
          <a:ext cx="1390408" cy="31430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pPr algn="ctr"/>
          <a:endParaRPr lang="en-GB" b="1"/>
        </a:p>
      </cdr:txBody>
    </cdr:sp>
  </cdr:relSizeAnchor>
  <cdr:relSizeAnchor xmlns:cdr="http://schemas.openxmlformats.org/drawingml/2006/chartDrawing">
    <cdr:from>
      <cdr:x>0.15439</cdr:x>
      <cdr:y>0.63021</cdr:y>
    </cdr:from>
    <cdr:to>
      <cdr:x>0.64514</cdr:x>
      <cdr:y>0.7785</cdr:y>
    </cdr:to>
    <cdr:sp macro="" textlink="">
      <cdr:nvSpPr>
        <cdr:cNvPr id="14357" name="Text 11"/>
        <cdr:cNvSpPr txBox="1">
          <a:spLocks xmlns:a="http://schemas.openxmlformats.org/drawingml/2006/main" noChangeArrowheads="1"/>
        </cdr:cNvSpPr>
      </cdr:nvSpPr>
      <cdr:spPr bwMode="auto">
        <a:xfrm xmlns:a="http://schemas.openxmlformats.org/drawingml/2006/main">
          <a:off x="698500" y="2159000"/>
          <a:ext cx="2220335" cy="50800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US" sz="1000" b="1" i="0" u="none" strike="noStrike" baseline="0">
            <a:solidFill>
              <a:srgbClr val="000000"/>
            </a:solidFill>
            <a:latin typeface="Times New Roman"/>
            <a:cs typeface="Times New Roman"/>
          </a:endParaRPr>
        </a:p>
        <a:p xmlns:a="http://schemas.openxmlformats.org/drawingml/2006/main">
          <a:pPr algn="l" rtl="0">
            <a:defRPr sz="1000"/>
          </a:pPr>
          <a:endParaRPr lang="en-US" sz="1000" b="1" i="0" u="none" strike="noStrike" baseline="0">
            <a:solidFill>
              <a:srgbClr val="000000"/>
            </a:solidFill>
            <a:latin typeface="Times New Roman"/>
            <a:cs typeface="Times New Roman"/>
          </a:endParaRPr>
        </a:p>
        <a:p xmlns:a="http://schemas.openxmlformats.org/drawingml/2006/main">
          <a:pPr algn="l" rtl="0">
            <a:defRPr sz="1000"/>
          </a:pPr>
          <a:r>
            <a:rPr lang="en-US" sz="900" b="1" i="0" u="none" strike="noStrike" baseline="0">
              <a:solidFill>
                <a:srgbClr val="000000"/>
              </a:solidFill>
              <a:latin typeface="Garamond" panose="02020404030301010803" pitchFamily="18" charset="0"/>
              <a:cs typeface="Times New Roman"/>
            </a:rPr>
            <a:t>                         Indicative price </a:t>
          </a:r>
        </a:p>
      </cdr:txBody>
    </cdr:sp>
  </cdr:relSizeAnchor>
</c:userShapes>
</file>

<file path=word/drawings/drawing2.xml><?xml version="1.0" encoding="utf-8"?>
<c:userShapes xmlns:c="http://schemas.openxmlformats.org/drawingml/2006/chart">
  <cdr:relSizeAnchor xmlns:cdr="http://schemas.openxmlformats.org/drawingml/2006/chartDrawing">
    <cdr:from>
      <cdr:x>0.35016</cdr:x>
      <cdr:y>0.69538</cdr:y>
    </cdr:from>
    <cdr:to>
      <cdr:x>0.53257</cdr:x>
      <cdr:y>0.78277</cdr:y>
    </cdr:to>
    <cdr:sp macro="" textlink="">
      <cdr:nvSpPr>
        <cdr:cNvPr id="2" name="TextBox 1"/>
        <cdr:cNvSpPr txBox="1"/>
      </cdr:nvSpPr>
      <cdr:spPr>
        <a:xfrm xmlns:a="http://schemas.openxmlformats.org/drawingml/2006/main">
          <a:off x="2047875" y="2652714"/>
          <a:ext cx="10668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latin typeface="Garamond" panose="02020404030301010803" pitchFamily="18" charset="0"/>
            </a:rPr>
            <a:t>     Jute Fibre</a:t>
          </a:r>
        </a:p>
      </cdr:txBody>
    </cdr:sp>
  </cdr:relSizeAnchor>
  <cdr:relSizeAnchor xmlns:cdr="http://schemas.openxmlformats.org/drawingml/2006/chartDrawing">
    <cdr:from>
      <cdr:x>0.28827</cdr:x>
      <cdr:y>0.35581</cdr:y>
    </cdr:from>
    <cdr:to>
      <cdr:x>0.52443</cdr:x>
      <cdr:y>0.41823</cdr:y>
    </cdr:to>
    <cdr:sp macro="" textlink="">
      <cdr:nvSpPr>
        <cdr:cNvPr id="3" name="TextBox 1"/>
        <cdr:cNvSpPr txBox="1"/>
      </cdr:nvSpPr>
      <cdr:spPr>
        <a:xfrm xmlns:a="http://schemas.openxmlformats.org/drawingml/2006/main">
          <a:off x="1685925" y="1357313"/>
          <a:ext cx="13811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latin typeface="Garamond" panose="02020404030301010803" pitchFamily="18" charset="0"/>
            </a:rPr>
            <a:t>Jute Goods</a:t>
          </a:r>
        </a:p>
      </cdr:txBody>
    </cdr:sp>
  </cdr:relSizeAnchor>
</c:userShapes>
</file>

<file path=word/drawings/drawing3.xml><?xml version="1.0" encoding="utf-8"?>
<c:userShapes xmlns:c="http://schemas.openxmlformats.org/drawingml/2006/chart">
  <cdr:relSizeAnchor xmlns:cdr="http://schemas.openxmlformats.org/drawingml/2006/chartDrawing">
    <cdr:from>
      <cdr:x>0.09465</cdr:x>
      <cdr:y>0.7578</cdr:y>
    </cdr:from>
    <cdr:to>
      <cdr:x>0.31469</cdr:x>
      <cdr:y>0.84768</cdr:y>
    </cdr:to>
    <cdr:sp macro="" textlink="">
      <cdr:nvSpPr>
        <cdr:cNvPr id="235521" name="Text Box 1025"/>
        <cdr:cNvSpPr txBox="1">
          <a:spLocks xmlns:a="http://schemas.openxmlformats.org/drawingml/2006/main" noChangeArrowheads="1"/>
        </cdr:cNvSpPr>
      </cdr:nvSpPr>
      <cdr:spPr bwMode="auto">
        <a:xfrm xmlns:a="http://schemas.openxmlformats.org/drawingml/2006/main">
          <a:off x="515684" y="2629778"/>
          <a:ext cx="1198816" cy="31189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875" b="1" i="0" u="none" strike="noStrike" baseline="0">
              <a:solidFill>
                <a:srgbClr val="000000"/>
              </a:solidFill>
              <a:latin typeface="Garamond" panose="02020404030301010803" pitchFamily="18" charset="0"/>
              <a:cs typeface="Times New Roman"/>
            </a:rPr>
            <a:t>Indicative price No 3</a:t>
          </a:r>
        </a:p>
      </cdr:txBody>
    </cdr:sp>
  </cdr:relSizeAnchor>
  <cdr:relSizeAnchor xmlns:cdr="http://schemas.openxmlformats.org/drawingml/2006/chartDrawing">
    <cdr:from>
      <cdr:x>0.4359</cdr:x>
      <cdr:y>0.54819</cdr:y>
    </cdr:from>
    <cdr:to>
      <cdr:x>0.63992</cdr:x>
      <cdr:y>0.69368</cdr:y>
    </cdr:to>
    <cdr:sp macro="" textlink="">
      <cdr:nvSpPr>
        <cdr:cNvPr id="235522" name="Text Box 1026"/>
        <cdr:cNvSpPr txBox="1">
          <a:spLocks xmlns:a="http://schemas.openxmlformats.org/drawingml/2006/main" noChangeArrowheads="1"/>
        </cdr:cNvSpPr>
      </cdr:nvSpPr>
      <cdr:spPr bwMode="auto">
        <a:xfrm xmlns:a="http://schemas.openxmlformats.org/drawingml/2006/main">
          <a:off x="2374900" y="1902380"/>
          <a:ext cx="1111563" cy="5048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875" b="1" i="0" u="none" strike="noStrike" baseline="0">
              <a:solidFill>
                <a:srgbClr val="000000"/>
              </a:solidFill>
              <a:latin typeface="Garamond" panose="02020404030301010803" pitchFamily="18" charset="0"/>
              <a:cs typeface="Times New Roman"/>
            </a:rPr>
            <a:t>  Indicative price UG </a:t>
          </a:r>
        </a:p>
      </cdr:txBody>
    </cdr:sp>
  </cdr:relSizeAnchor>
  <cdr:relSizeAnchor xmlns:cdr="http://schemas.openxmlformats.org/drawingml/2006/chartDrawing">
    <cdr:from>
      <cdr:x>0.47119</cdr:x>
      <cdr:y>0.42771</cdr:y>
    </cdr:from>
    <cdr:to>
      <cdr:x>0.57613</cdr:x>
      <cdr:y>0.54601</cdr:y>
    </cdr:to>
    <cdr:sp macro="" textlink="">
      <cdr:nvSpPr>
        <cdr:cNvPr id="235523" name="Text 1"/>
        <cdr:cNvSpPr txBox="1">
          <a:spLocks xmlns:a="http://schemas.openxmlformats.org/drawingml/2006/main" noChangeArrowheads="1"/>
        </cdr:cNvSpPr>
      </cdr:nvSpPr>
      <cdr:spPr bwMode="auto">
        <a:xfrm xmlns:a="http://schemas.openxmlformats.org/drawingml/2006/main" flipH="1">
          <a:off x="2908297" y="1577975"/>
          <a:ext cx="647701" cy="4364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GB" sz="725" b="1" i="0" u="none" strike="noStrike" baseline="0">
              <a:solidFill>
                <a:srgbClr val="000000"/>
              </a:solidFill>
              <a:latin typeface="Garamond" panose="02020404030301010803" pitchFamily="18" charset="0"/>
              <a:cs typeface="Times New Roman"/>
            </a:rPr>
            <a:t> </a:t>
          </a:r>
          <a:r>
            <a:rPr lang="en-GB" sz="875" b="1" i="0" u="none" strike="noStrike" baseline="0">
              <a:solidFill>
                <a:srgbClr val="000000"/>
              </a:solidFill>
              <a:latin typeface="Garamond" panose="02020404030301010803" pitchFamily="18" charset="0"/>
              <a:cs typeface="Times New Roman"/>
            </a:rPr>
            <a:t>3L</a:t>
          </a:r>
        </a:p>
      </cdr:txBody>
    </cdr:sp>
  </cdr:relSizeAnchor>
  <cdr:relSizeAnchor xmlns:cdr="http://schemas.openxmlformats.org/drawingml/2006/chartDrawing">
    <cdr:from>
      <cdr:x>0.83539</cdr:x>
      <cdr:y>0.5895</cdr:y>
    </cdr:from>
    <cdr:to>
      <cdr:x>0.89876</cdr:x>
      <cdr:y>0.66179</cdr:y>
    </cdr:to>
    <cdr:sp macro="" textlink="">
      <cdr:nvSpPr>
        <cdr:cNvPr id="235524" name="Text 5"/>
        <cdr:cNvSpPr txBox="1">
          <a:spLocks xmlns:a="http://schemas.openxmlformats.org/drawingml/2006/main" noChangeArrowheads="1"/>
        </cdr:cNvSpPr>
      </cdr:nvSpPr>
      <cdr:spPr bwMode="auto">
        <a:xfrm xmlns:a="http://schemas.openxmlformats.org/drawingml/2006/main">
          <a:off x="5156200" y="2174876"/>
          <a:ext cx="391124" cy="26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875" b="0" i="0" u="none" strike="noStrike" baseline="0">
              <a:solidFill>
                <a:srgbClr val="000000"/>
              </a:solidFill>
              <a:latin typeface="Garamond" panose="02020404030301010803" pitchFamily="18" charset="0"/>
              <a:cs typeface="Times New Roman"/>
            </a:rPr>
            <a:t> </a:t>
          </a:r>
          <a:r>
            <a:rPr lang="en-GB" sz="875" b="1" i="0" u="none" strike="noStrike" baseline="0">
              <a:solidFill>
                <a:srgbClr val="000000"/>
              </a:solidFill>
              <a:latin typeface="Garamond" panose="02020404030301010803" pitchFamily="18" charset="0"/>
              <a:cs typeface="Times New Roman"/>
            </a:rPr>
            <a:t>No 3</a:t>
          </a:r>
        </a:p>
      </cdr:txBody>
    </cdr:sp>
  </cdr:relSizeAnchor>
  <cdr:relSizeAnchor xmlns:cdr="http://schemas.openxmlformats.org/drawingml/2006/chartDrawing">
    <cdr:from>
      <cdr:x>0.75514</cdr:x>
      <cdr:y>0.39329</cdr:y>
    </cdr:from>
    <cdr:to>
      <cdr:x>0.82718</cdr:x>
      <cdr:y>0.51377</cdr:y>
    </cdr:to>
    <cdr:sp macro="" textlink="">
      <cdr:nvSpPr>
        <cdr:cNvPr id="235525" name="Text 2"/>
        <cdr:cNvSpPr txBox="1">
          <a:spLocks xmlns:a="http://schemas.openxmlformats.org/drawingml/2006/main" noChangeArrowheads="1"/>
        </cdr:cNvSpPr>
      </cdr:nvSpPr>
      <cdr:spPr bwMode="auto">
        <a:xfrm xmlns:a="http://schemas.openxmlformats.org/drawingml/2006/main" flipV="1">
          <a:off x="4660900" y="1450975"/>
          <a:ext cx="444608" cy="4445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875" b="1" i="0" u="none" strike="noStrike" baseline="0">
              <a:solidFill>
                <a:srgbClr val="000000"/>
              </a:solidFill>
              <a:latin typeface="Garamond" panose="02020404030301010803" pitchFamily="18" charset="0"/>
              <a:cs typeface="Times New Roman"/>
            </a:rPr>
            <a:t> UG</a:t>
          </a:r>
        </a:p>
      </cdr:txBody>
    </cdr:sp>
  </cdr:relSizeAnchor>
  <cdr:relSizeAnchor xmlns:cdr="http://schemas.openxmlformats.org/drawingml/2006/chartDrawing">
    <cdr:from>
      <cdr:x>0.10296</cdr:x>
      <cdr:y>0.01312</cdr:y>
    </cdr:from>
    <cdr:to>
      <cdr:x>0.83796</cdr:x>
      <cdr:y>0.18377</cdr:y>
    </cdr:to>
    <cdr:sp macro="" textlink="">
      <cdr:nvSpPr>
        <cdr:cNvPr id="235526" name="Text 10"/>
        <cdr:cNvSpPr txBox="1">
          <a:spLocks xmlns:a="http://schemas.openxmlformats.org/drawingml/2006/main" noChangeArrowheads="1"/>
        </cdr:cNvSpPr>
      </cdr:nvSpPr>
      <cdr:spPr bwMode="auto">
        <a:xfrm xmlns:a="http://schemas.openxmlformats.org/drawingml/2006/main">
          <a:off x="639666" y="50800"/>
          <a:ext cx="4543554" cy="6192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lnSpc>
              <a:spcPts val="700"/>
            </a:lnSpc>
            <a:defRPr sz="1000"/>
          </a:pPr>
          <a:endParaRPr lang="en-GB" sz="725" b="0" i="0" u="none" strike="noStrike" baseline="0">
            <a:solidFill>
              <a:srgbClr val="000000"/>
            </a:solidFill>
            <a:latin typeface="Times New Roman"/>
            <a:cs typeface="Times New Roman"/>
          </a:endParaRPr>
        </a:p>
        <a:p xmlns:a="http://schemas.openxmlformats.org/drawingml/2006/main">
          <a:pPr algn="ctr" rtl="0">
            <a:lnSpc>
              <a:spcPts val="1100"/>
            </a:lnSpc>
            <a:defRPr sz="1000"/>
          </a:pPr>
          <a:r>
            <a:rPr lang="en-GB" sz="1175" b="1" i="0" u="none" strike="noStrike" baseline="0">
              <a:solidFill>
                <a:srgbClr val="000000"/>
              </a:solidFill>
              <a:latin typeface="Times New Roman"/>
              <a:cs typeface="Times New Roman"/>
            </a:rPr>
            <a:t>    </a:t>
          </a:r>
          <a:r>
            <a:rPr lang="en-GB" sz="1175" b="1" i="0" u="none" strike="noStrike" baseline="0">
              <a:solidFill>
                <a:srgbClr val="000000"/>
              </a:solidFill>
              <a:latin typeface="Garamond" panose="02020404030301010803" pitchFamily="18" charset="0"/>
              <a:cs typeface="Times New Roman"/>
            </a:rPr>
            <a:t>Sisal Prices  (f.o.b.) - East Africa: 3L and UG </a:t>
          </a:r>
        </a:p>
        <a:p xmlns:a="http://schemas.openxmlformats.org/drawingml/2006/main">
          <a:pPr algn="ctr" rtl="0">
            <a:defRPr sz="1000"/>
          </a:pPr>
          <a:r>
            <a:rPr lang="en-GB" sz="1175" b="1" i="0" u="none" strike="noStrike" baseline="0">
              <a:solidFill>
                <a:srgbClr val="000000"/>
              </a:solidFill>
              <a:latin typeface="Garamond" panose="02020404030301010803" pitchFamily="18" charset="0"/>
              <a:cs typeface="Times New Roman"/>
            </a:rPr>
            <a:t>                     Brazil: No 3</a:t>
          </a:r>
          <a:endParaRPr lang="en-GB" sz="725" b="1" i="0" u="none" strike="noStrike" baseline="0">
            <a:solidFill>
              <a:srgbClr val="000000"/>
            </a:solidFill>
            <a:latin typeface="Garamond" panose="02020404030301010803" pitchFamily="18" charset="0"/>
            <a:cs typeface="Times New Roman"/>
          </a:endParaRPr>
        </a:p>
        <a:p xmlns:a="http://schemas.openxmlformats.org/drawingml/2006/main">
          <a:pPr algn="ctr" rtl="0">
            <a:defRPr sz="1000"/>
          </a:pPr>
          <a:endParaRPr lang="en-GB" sz="725" b="0" i="0" u="none" strike="noStrike" baseline="0">
            <a:solidFill>
              <a:srgbClr val="000000"/>
            </a:solidFill>
            <a:latin typeface="Times New Roman"/>
            <a:cs typeface="Times New Roman"/>
          </a:endParaRPr>
        </a:p>
        <a:p xmlns:a="http://schemas.openxmlformats.org/drawingml/2006/main">
          <a:pPr algn="ctr" rtl="0">
            <a:defRPr sz="1000"/>
          </a:pPr>
          <a:endParaRPr lang="en-GB" sz="725" b="0" i="0" u="none" strike="noStrike" baseline="0">
            <a:solidFill>
              <a:srgbClr val="000000"/>
            </a:solidFill>
            <a:latin typeface="Times New Roman"/>
            <a:cs typeface="Times New Roman"/>
          </a:endParaRPr>
        </a:p>
        <a:p xmlns:a="http://schemas.openxmlformats.org/drawingml/2006/main">
          <a:pPr algn="ctr" rtl="0">
            <a:defRPr sz="1000"/>
          </a:pPr>
          <a:endParaRPr lang="en-GB" sz="725" b="0" i="0" u="none" strike="noStrike" baseline="0">
            <a:solidFill>
              <a:srgbClr val="000000"/>
            </a:solidFill>
            <a:latin typeface="Times New Roman"/>
            <a:cs typeface="Times New Roman"/>
          </a:endParaRPr>
        </a:p>
      </cdr:txBody>
    </cdr:sp>
  </cdr:relSizeAnchor>
  <cdr:relSizeAnchor xmlns:cdr="http://schemas.openxmlformats.org/drawingml/2006/chartDrawing">
    <cdr:from>
      <cdr:x>0.0077</cdr:x>
      <cdr:y>0.11878</cdr:y>
    </cdr:from>
    <cdr:to>
      <cdr:x>0.18173</cdr:x>
      <cdr:y>0.18694</cdr:y>
    </cdr:to>
    <cdr:sp macro="" textlink="">
      <cdr:nvSpPr>
        <cdr:cNvPr id="235527" name="Text 9"/>
        <cdr:cNvSpPr txBox="1">
          <a:spLocks xmlns:a="http://schemas.openxmlformats.org/drawingml/2006/main" noChangeArrowheads="1"/>
        </cdr:cNvSpPr>
      </cdr:nvSpPr>
      <cdr:spPr bwMode="auto">
        <a:xfrm xmlns:a="http://schemas.openxmlformats.org/drawingml/2006/main">
          <a:off x="50800" y="434215"/>
          <a:ext cx="1075784" cy="247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00" b="1" i="0" u="none" strike="noStrike" baseline="0">
              <a:solidFill>
                <a:srgbClr val="000000"/>
              </a:solidFill>
              <a:latin typeface="Garamond" panose="02020404030301010803" pitchFamily="18" charset="0"/>
              <a:cs typeface="Times New Roman"/>
            </a:rPr>
            <a:t>USD / tonne</a:t>
          </a:r>
        </a:p>
      </cdr:txBody>
    </cdr:sp>
  </cdr:relSizeAnchor>
</c:userShapes>
</file>

<file path=word/drawings/drawing4.xml><?xml version="1.0" encoding="utf-8"?>
<c:userShapes xmlns:c="http://schemas.openxmlformats.org/drawingml/2006/chart">
  <cdr:relSizeAnchor xmlns:cdr="http://schemas.openxmlformats.org/drawingml/2006/chartDrawing">
    <cdr:from>
      <cdr:x>0.61471</cdr:x>
      <cdr:y>0.38522</cdr:y>
    </cdr:from>
    <cdr:to>
      <cdr:x>0.72994</cdr:x>
      <cdr:y>0.48926</cdr:y>
    </cdr:to>
    <cdr:sp macro="" textlink="">
      <cdr:nvSpPr>
        <cdr:cNvPr id="9217" name="Text 4"/>
        <cdr:cNvSpPr txBox="1">
          <a:spLocks xmlns:a="http://schemas.openxmlformats.org/drawingml/2006/main" noChangeArrowheads="1"/>
        </cdr:cNvSpPr>
      </cdr:nvSpPr>
      <cdr:spPr bwMode="auto">
        <a:xfrm xmlns:a="http://schemas.openxmlformats.org/drawingml/2006/main">
          <a:off x="3794125" y="1397000"/>
          <a:ext cx="711200" cy="3810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50" b="1" i="0" u="none" strike="noStrike" baseline="0">
              <a:solidFill>
                <a:srgbClr val="000000"/>
              </a:solidFill>
              <a:latin typeface="Times New Roman"/>
              <a:cs typeface="Times New Roman"/>
            </a:rPr>
            <a:t>S2</a:t>
          </a:r>
        </a:p>
        <a:p xmlns:a="http://schemas.openxmlformats.org/drawingml/2006/main">
          <a:pPr algn="l" rtl="0">
            <a:defRPr sz="1000"/>
          </a:pPr>
          <a:endParaRPr lang="en-GB" sz="12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0.6568</cdr:x>
      <cdr:y>0.62606</cdr:y>
    </cdr:from>
    <cdr:to>
      <cdr:x>0.72006</cdr:x>
      <cdr:y>0.78206</cdr:y>
    </cdr:to>
    <cdr:sp macro="" textlink="">
      <cdr:nvSpPr>
        <cdr:cNvPr id="9219" name="Text 6"/>
        <cdr:cNvSpPr txBox="1">
          <a:spLocks xmlns:a="http://schemas.openxmlformats.org/drawingml/2006/main" noChangeArrowheads="1"/>
        </cdr:cNvSpPr>
      </cdr:nvSpPr>
      <cdr:spPr bwMode="auto">
        <a:xfrm xmlns:a="http://schemas.openxmlformats.org/drawingml/2006/main">
          <a:off x="4063309" y="2246958"/>
          <a:ext cx="391056" cy="5619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50" b="1" i="0" u="none" strike="noStrike" baseline="0">
              <a:solidFill>
                <a:srgbClr val="000000"/>
              </a:solidFill>
              <a:latin typeface="Times New Roman"/>
              <a:cs typeface="Times New Roman"/>
            </a:rPr>
            <a:t>JK</a:t>
          </a:r>
        </a:p>
      </cdr:txBody>
    </cdr:sp>
  </cdr:relSizeAnchor>
  <cdr:relSizeAnchor xmlns:cdr="http://schemas.openxmlformats.org/drawingml/2006/chartDrawing">
    <cdr:from>
      <cdr:x>0.27109</cdr:x>
      <cdr:y>0.26351</cdr:y>
    </cdr:from>
    <cdr:to>
      <cdr:x>0.52623</cdr:x>
      <cdr:y>0.36431</cdr:y>
    </cdr:to>
    <cdr:sp macro="" textlink="">
      <cdr:nvSpPr>
        <cdr:cNvPr id="9220" name="Text 7"/>
        <cdr:cNvSpPr txBox="1">
          <a:spLocks xmlns:a="http://schemas.openxmlformats.org/drawingml/2006/main" noChangeArrowheads="1"/>
        </cdr:cNvSpPr>
      </cdr:nvSpPr>
      <cdr:spPr bwMode="auto">
        <a:xfrm xmlns:a="http://schemas.openxmlformats.org/drawingml/2006/main">
          <a:off x="1673225" y="952500"/>
          <a:ext cx="1574800" cy="3683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1" i="0" u="none" strike="noStrike" baseline="0">
              <a:solidFill>
                <a:srgbClr val="000000"/>
              </a:solidFill>
              <a:latin typeface="Times New Roman"/>
              <a:cs typeface="Times New Roman"/>
            </a:rPr>
            <a:t>Indicator price</a:t>
          </a:r>
        </a:p>
        <a:p xmlns:a="http://schemas.openxmlformats.org/drawingml/2006/main">
          <a:pPr algn="l" rtl="0">
            <a:defRPr sz="1000"/>
          </a:pPr>
          <a:endParaRPr lang="en-GB" sz="12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0.06924</cdr:x>
      <cdr:y>0.13202</cdr:y>
    </cdr:from>
    <cdr:to>
      <cdr:x>0.06924</cdr:x>
      <cdr:y>0.14005</cdr:y>
    </cdr:to>
    <cdr:sp macro="" textlink="">
      <cdr:nvSpPr>
        <cdr:cNvPr id="9221" name="Text 9"/>
        <cdr:cNvSpPr txBox="1">
          <a:spLocks xmlns:a="http://schemas.openxmlformats.org/drawingml/2006/main" noChangeArrowheads="1"/>
        </cdr:cNvSpPr>
      </cdr:nvSpPr>
      <cdr:spPr bwMode="auto">
        <a:xfrm xmlns:a="http://schemas.openxmlformats.org/drawingml/2006/main">
          <a:off x="431205" y="471155"/>
          <a:ext cx="0" cy="288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0.01041</cdr:x>
      <cdr:y>0.10964</cdr:y>
    </cdr:from>
    <cdr:to>
      <cdr:x>0.17213</cdr:x>
      <cdr:y>0.21648</cdr:y>
    </cdr:to>
    <cdr:sp macro="" textlink="">
      <cdr:nvSpPr>
        <cdr:cNvPr id="9222" name="Text 10"/>
        <cdr:cNvSpPr txBox="1">
          <a:spLocks xmlns:a="http://schemas.openxmlformats.org/drawingml/2006/main" noChangeArrowheads="1"/>
        </cdr:cNvSpPr>
      </cdr:nvSpPr>
      <cdr:spPr bwMode="auto">
        <a:xfrm xmlns:a="http://schemas.openxmlformats.org/drawingml/2006/main">
          <a:off x="67538" y="391628"/>
          <a:ext cx="999703" cy="3810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1" i="0" u="none" strike="noStrike" baseline="0">
              <a:solidFill>
                <a:srgbClr val="000000"/>
              </a:solidFill>
              <a:latin typeface="Garamond" panose="02020404030301010803" pitchFamily="18" charset="0"/>
              <a:cs typeface="Times New Roman"/>
            </a:rPr>
            <a:t>USD / bale</a:t>
          </a:r>
        </a:p>
      </cdr:txBody>
    </cdr:sp>
  </cdr:relSizeAnchor>
  <cdr:relSizeAnchor xmlns:cdr="http://schemas.openxmlformats.org/drawingml/2006/chartDrawing">
    <cdr:from>
      <cdr:x>0.71348</cdr:x>
      <cdr:y>0.3332</cdr:y>
    </cdr:from>
    <cdr:to>
      <cdr:x>0.9892</cdr:x>
      <cdr:y>0.40588</cdr:y>
    </cdr:to>
    <cdr:sp macro="" textlink="">
      <cdr:nvSpPr>
        <cdr:cNvPr id="9223" name="Text 11"/>
        <cdr:cNvSpPr txBox="1">
          <a:spLocks xmlns:a="http://schemas.openxmlformats.org/drawingml/2006/main" noChangeArrowheads="1"/>
        </cdr:cNvSpPr>
      </cdr:nvSpPr>
      <cdr:spPr bwMode="auto">
        <a:xfrm xmlns:a="http://schemas.openxmlformats.org/drawingml/2006/main">
          <a:off x="4403725" y="1206500"/>
          <a:ext cx="1701800" cy="26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1" i="0" u="none" strike="noStrike" baseline="0">
              <a:solidFill>
                <a:srgbClr val="000000"/>
              </a:solidFill>
              <a:latin typeface="Times New Roman"/>
              <a:cs typeface="Times New Roman"/>
            </a:rPr>
            <a:t>Max. Indicative price </a:t>
          </a:r>
        </a:p>
      </cdr:txBody>
    </cdr:sp>
  </cdr:relSizeAnchor>
  <cdr:relSizeAnchor xmlns:cdr="http://schemas.openxmlformats.org/drawingml/2006/chartDrawing">
    <cdr:from>
      <cdr:x>0.08426</cdr:x>
      <cdr:y>0.03224</cdr:y>
    </cdr:from>
    <cdr:to>
      <cdr:x>0.83919</cdr:x>
      <cdr:y>0.13689</cdr:y>
    </cdr:to>
    <cdr:sp macro="" textlink="">
      <cdr:nvSpPr>
        <cdr:cNvPr id="9227" name="Text Box 11"/>
        <cdr:cNvSpPr txBox="1">
          <a:spLocks xmlns:a="http://schemas.openxmlformats.org/drawingml/2006/main" noChangeArrowheads="1"/>
        </cdr:cNvSpPr>
      </cdr:nvSpPr>
      <cdr:spPr bwMode="auto">
        <a:xfrm xmlns:a="http://schemas.openxmlformats.org/drawingml/2006/main">
          <a:off x="524023" y="118092"/>
          <a:ext cx="4666805" cy="3714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FFFFFF" mc:Ignorable="a14" a14:legacySpreadsheetColorIndex="9"/>
              </a:solidFill>
            </a14:hiddenFill>
          </a:ext>
          <a:ext uri="{91240B29-F687-4F45-9708-019B960494DF}">
            <a14:hiddenLine xmlns:a14="http://schemas.microsoft.com/office/drawing/2010/main" xmlns=""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GB" sz="1400" b="1" i="0" u="none" strike="noStrike" baseline="0">
              <a:solidFill>
                <a:srgbClr val="000000"/>
              </a:solidFill>
              <a:latin typeface="Garamond" panose="02020404030301010803" pitchFamily="18" charset="0"/>
              <a:cs typeface="Times New Roman"/>
            </a:rPr>
            <a:t>Abaca Prices - Philippines</a:t>
          </a:r>
          <a:endParaRPr lang="en-GB" sz="1200" b="0" i="0" u="none" strike="noStrike" baseline="0">
            <a:solidFill>
              <a:srgbClr val="000000"/>
            </a:solidFill>
            <a:latin typeface="Garamond" panose="02020404030301010803" pitchFamily="18" charset="0"/>
            <a:cs typeface="Times New Roman"/>
          </a:endParaRPr>
        </a:p>
        <a:p xmlns:a="http://schemas.openxmlformats.org/drawingml/2006/main">
          <a:pPr algn="ctr" rtl="0">
            <a:defRPr sz="1000"/>
          </a:pPr>
          <a:endParaRPr lang="en-GB" sz="12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0.77521</cdr:x>
      <cdr:y>0.47557</cdr:y>
    </cdr:from>
    <cdr:to>
      <cdr:x>0.9213</cdr:x>
      <cdr:y>0.59703</cdr:y>
    </cdr:to>
    <cdr:sp macro="" textlink="">
      <cdr:nvSpPr>
        <cdr:cNvPr id="9228" name="Text Box 12"/>
        <cdr:cNvSpPr txBox="1">
          <a:spLocks xmlns:a="http://schemas.openxmlformats.org/drawingml/2006/main" noChangeArrowheads="1"/>
        </cdr:cNvSpPr>
      </cdr:nvSpPr>
      <cdr:spPr bwMode="auto">
        <a:xfrm xmlns:a="http://schemas.openxmlformats.org/drawingml/2006/main">
          <a:off x="4784725" y="1727200"/>
          <a:ext cx="901700" cy="4445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FFFFFF" mc:Ignorable="a14" a14:legacySpreadsheetColorIndex="9"/>
              </a:solidFill>
            </a14:hiddenFill>
          </a:ext>
          <a:ext uri="{91240B29-F687-4F45-9708-019B960494DF}">
            <a14:hiddenLine xmlns:a14="http://schemas.microsoft.com/office/drawing/2010/main" xmlns=""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50" b="1" i="0" u="none" strike="noStrike" baseline="0">
              <a:solidFill>
                <a:srgbClr val="000000"/>
              </a:solidFill>
              <a:latin typeface="Times New Roman"/>
              <a:cs typeface="Times New Roman"/>
            </a:rPr>
            <a:t> G</a:t>
          </a:r>
        </a:p>
      </cdr:txBody>
    </cdr:sp>
  </cdr:relSizeAnchor>
  <cdr:relSizeAnchor xmlns:cdr="http://schemas.openxmlformats.org/drawingml/2006/chartDrawing">
    <cdr:from>
      <cdr:x>0.20525</cdr:x>
      <cdr:y>0.31229</cdr:y>
    </cdr:from>
    <cdr:to>
      <cdr:x>0.27109</cdr:x>
      <cdr:y>0.36083</cdr:y>
    </cdr:to>
    <cdr:sp macro="" textlink="">
      <cdr:nvSpPr>
        <cdr:cNvPr id="9230" name="Line 14"/>
        <cdr:cNvSpPr>
          <a:spLocks xmlns:a="http://schemas.openxmlformats.org/drawingml/2006/main" noChangeShapeType="1"/>
        </cdr:cNvSpPr>
      </cdr:nvSpPr>
      <cdr:spPr bwMode="auto">
        <a:xfrm xmlns:a="http://schemas.openxmlformats.org/drawingml/2006/main" flipV="1">
          <a:off x="1266825" y="1130300"/>
          <a:ext cx="406400" cy="177800"/>
        </a:xfrm>
        <a:prstGeom xmlns:a="http://schemas.openxmlformats.org/drawingml/2006/main" prst="line">
          <a:avLst/>
        </a:prstGeom>
        <a:noFill xmlns:a="http://schemas.openxmlformats.org/drawingml/2006/main"/>
        <a:ln xmlns:a="http://schemas.openxmlformats.org/drawingml/2006/main" w="12700">
          <a:solidFill>
            <a:srgbClr val="000000"/>
          </a:solidFill>
          <a:round/>
          <a:headEnd/>
          <a:tailEnd type="triangle" w="lg" len="lg"/>
        </a:ln>
        <a:extLst xmlns:a="http://schemas.openxmlformats.org/drawingml/2006/main">
          <a:ext uri="{909E8E84-426E-40DD-AFC4-6F175D3DCCD1}">
            <a14:hiddenFill xmlns:a14="http://schemas.microsoft.com/office/drawing/2010/main" xmlns="">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0.4357</cdr:x>
      <cdr:y>0.77003</cdr:y>
    </cdr:from>
    <cdr:to>
      <cdr:x>0.80129</cdr:x>
      <cdr:y>0.84669</cdr:y>
    </cdr:to>
    <cdr:sp macro="" textlink="">
      <cdr:nvSpPr>
        <cdr:cNvPr id="9233" name="Text Box 17"/>
        <cdr:cNvSpPr txBox="1">
          <a:spLocks xmlns:a="http://schemas.openxmlformats.org/drawingml/2006/main" noChangeArrowheads="1"/>
        </cdr:cNvSpPr>
      </cdr:nvSpPr>
      <cdr:spPr bwMode="auto">
        <a:xfrm xmlns:a="http://schemas.openxmlformats.org/drawingml/2006/main">
          <a:off x="2689225" y="2806700"/>
          <a:ext cx="2256467" cy="2794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1" i="0" u="none" strike="noStrike" baseline="0">
              <a:solidFill>
                <a:srgbClr val="000000"/>
              </a:solidFill>
              <a:latin typeface="Times New Roman"/>
              <a:cs typeface="Times New Roman"/>
            </a:rPr>
            <a:t>Min. Indicative price </a:t>
          </a:r>
        </a:p>
      </cdr:txBody>
    </cdr:sp>
  </cdr:relSizeAnchor>
</c:userShapes>
</file>

<file path=word/drawings/drawing5.xml><?xml version="1.0" encoding="utf-8"?>
<c:userShapes xmlns:c="http://schemas.openxmlformats.org/drawingml/2006/chart">
  <cdr:relSizeAnchor xmlns:cdr="http://schemas.openxmlformats.org/drawingml/2006/chartDrawing">
    <cdr:from>
      <cdr:x>0.36991</cdr:x>
      <cdr:y>0.2398</cdr:y>
    </cdr:from>
    <cdr:to>
      <cdr:x>0.49147</cdr:x>
      <cdr:y>0.32549</cdr:y>
    </cdr:to>
    <cdr:sp macro="" textlink="">
      <cdr:nvSpPr>
        <cdr:cNvPr id="2052" name="Text Box 4"/>
        <cdr:cNvSpPr txBox="1">
          <a:spLocks xmlns:a="http://schemas.openxmlformats.org/drawingml/2006/main" noChangeArrowheads="1"/>
        </cdr:cNvSpPr>
      </cdr:nvSpPr>
      <cdr:spPr bwMode="auto">
        <a:xfrm xmlns:a="http://schemas.openxmlformats.org/drawingml/2006/main">
          <a:off x="1380838" y="617588"/>
          <a:ext cx="452721" cy="2195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120C8-72C6-4D3C-A94C-0957E759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Kaison Chang (EST)</dc:creator>
  <cp:lastModifiedBy>Margarita Brattlof (EST)</cp:lastModifiedBy>
  <cp:revision>2</cp:revision>
  <cp:lastPrinted>2013-11-13T16:12:00Z</cp:lastPrinted>
  <dcterms:created xsi:type="dcterms:W3CDTF">2014-01-13T14:54:00Z</dcterms:created>
  <dcterms:modified xsi:type="dcterms:W3CDTF">2014-01-13T14:54:00Z</dcterms:modified>
</cp:coreProperties>
</file>