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86" w:rsidRPr="0073685B" w:rsidRDefault="00012386" w:rsidP="00D75971">
      <w:pPr>
        <w:pStyle w:val="Hidden"/>
      </w:pPr>
      <w:bookmarkStart w:id="0" w:name="_GoBack"/>
      <w:bookmarkEnd w:id="0"/>
    </w:p>
    <w:p w:rsidR="00012386" w:rsidRPr="003F76E2" w:rsidRDefault="00012386" w:rsidP="00D75971">
      <w:pPr>
        <w:pStyle w:val="DocTitle"/>
      </w:pPr>
      <w:bookmarkStart w:id="1" w:name="CoverTitleBookmark"/>
      <w:bookmarkStart w:id="2" w:name="CoverBookmark"/>
      <w:r>
        <w:rPr>
          <w:smallCaps/>
        </w:rPr>
        <w:t>Committee on Co</w:t>
      </w:r>
      <w:r w:rsidR="0078197B">
        <w:rPr>
          <w:smallCaps/>
        </w:rPr>
        <w:t>mmodity Problem</w:t>
      </w:r>
      <w:r>
        <w:rPr>
          <w:smallCaps/>
        </w:rPr>
        <w:t>s</w:t>
      </w:r>
    </w:p>
    <w:bookmarkEnd w:id="1"/>
    <w:p w:rsidR="00012386" w:rsidRDefault="0078197B" w:rsidP="00D75971">
      <w:pPr>
        <w:pStyle w:val="MeetingInfo"/>
      </w:pPr>
      <w:r>
        <w:t>JOINT MEETING OF THE THIRTY-EIGHTH SESSION OF THE INTERGOVERNMENTAL GROUP ON HARD FIBRES AND THE FORTIETH SESSION OF THE INTERGOVERNMENTAL GROUP ON JUTE, KENAF AND ALLIED FIBRES</w:t>
      </w:r>
    </w:p>
    <w:p w:rsidR="00012386" w:rsidRDefault="0078197B" w:rsidP="00D75971">
      <w:pPr>
        <w:pStyle w:val="MeetingInfo"/>
      </w:pPr>
      <w:r>
        <w:t>Bogota, 25 – 27 November 2015</w:t>
      </w:r>
    </w:p>
    <w:bookmarkEnd w:id="2"/>
    <w:p w:rsidR="00DC60D2" w:rsidRDefault="00EE3936" w:rsidP="00EE3936">
      <w:pPr>
        <w:pStyle w:val="MeetingInfo"/>
      </w:pPr>
      <w:r>
        <w:t xml:space="preserve">TERMS OF REFERENCE AND RULES OF PROCEDURE OF </w:t>
      </w:r>
      <w:r>
        <w:br/>
        <w:t xml:space="preserve">THE </w:t>
      </w:r>
      <w:r w:rsidRPr="001550AF">
        <w:t xml:space="preserve">IGG ON HARD FIBRES AND THE IGG ON JUTE, KENAF </w:t>
      </w:r>
      <w:r>
        <w:br/>
      </w:r>
      <w:r w:rsidRPr="001550AF">
        <w:t>AND ALLIED FIBRES</w:t>
      </w:r>
      <w:r>
        <w:t xml:space="preserve"> AND THEIR RELEVANCE TO THE </w:t>
      </w:r>
      <w:r w:rsidRPr="001550AF">
        <w:t>STRATEGIC OBJECTIVES FRAMEWORK OF FAO</w:t>
      </w:r>
    </w:p>
    <w:p w:rsidR="007B121A" w:rsidRPr="00232BA8" w:rsidRDefault="00232BA8" w:rsidP="007B121A">
      <w:pPr>
        <w:pStyle w:val="Prrafodelista"/>
        <w:numPr>
          <w:ilvl w:val="0"/>
          <w:numId w:val="1"/>
        </w:numPr>
        <w:rPr>
          <w:sz w:val="28"/>
          <w:szCs w:val="28"/>
          <w:lang w:val="es-ES_tradnl"/>
        </w:rPr>
      </w:pPr>
      <w:r w:rsidRPr="00232BA8">
        <w:rPr>
          <w:b/>
          <w:sz w:val="28"/>
          <w:szCs w:val="28"/>
          <w:lang w:val="es-ES_tradnl"/>
        </w:rPr>
        <w:t xml:space="preserve">OBJETIVOS ESTRATÉGICOS DE LA FAO </w:t>
      </w:r>
      <w:r w:rsidR="007B121A" w:rsidRPr="00232BA8">
        <w:rPr>
          <w:b/>
          <w:sz w:val="28"/>
          <w:szCs w:val="28"/>
          <w:lang w:val="es-ES_tradnl"/>
        </w:rPr>
        <w:t>2016-2017</w:t>
      </w:r>
    </w:p>
    <w:p w:rsidR="007B121A" w:rsidRPr="00232BA8" w:rsidRDefault="00232BA8" w:rsidP="007B121A">
      <w:pPr>
        <w:spacing w:after="0"/>
        <w:rPr>
          <w:b/>
          <w:szCs w:val="24"/>
          <w:lang w:val="es-ES_tradnl"/>
        </w:rPr>
      </w:pPr>
      <w:r w:rsidRPr="00232BA8">
        <w:rPr>
          <w:b/>
          <w:szCs w:val="24"/>
          <w:lang w:val="es-ES_tradnl"/>
        </w:rPr>
        <w:t>Objetivo estratégico 1: Contribuir a la erradicación del hambre, la inseguridad alimentaria y la malnutrición</w:t>
      </w:r>
    </w:p>
    <w:p w:rsidR="007B121A" w:rsidRDefault="00842033" w:rsidP="007B121A">
      <w:pPr>
        <w:spacing w:after="0"/>
        <w:rPr>
          <w:b/>
          <w:szCs w:val="24"/>
          <w:lang w:val="en-US"/>
        </w:rPr>
      </w:pPr>
      <w:proofErr w:type="spellStart"/>
      <w:r>
        <w:rPr>
          <w:b/>
          <w:szCs w:val="24"/>
          <w:lang w:val="en-US"/>
        </w:rPr>
        <w:t>Logros</w:t>
      </w:r>
      <w:proofErr w:type="spellEnd"/>
      <w:r w:rsidR="007B121A" w:rsidRPr="00D83F8D">
        <w:rPr>
          <w:b/>
          <w:szCs w:val="24"/>
          <w:lang w:val="en-US"/>
        </w:rPr>
        <w:t>:</w:t>
      </w:r>
    </w:p>
    <w:p w:rsidR="007B121A" w:rsidRPr="00D83F8D" w:rsidRDefault="007B121A" w:rsidP="007B121A">
      <w:pPr>
        <w:spacing w:after="0"/>
        <w:rPr>
          <w:b/>
          <w:szCs w:val="24"/>
          <w:lang w:val="en-US"/>
        </w:rPr>
      </w:pPr>
    </w:p>
    <w:p w:rsidR="00232BA8" w:rsidRPr="00232BA8" w:rsidRDefault="00232BA8" w:rsidP="007B121A">
      <w:pPr>
        <w:pStyle w:val="Prrafodelista"/>
        <w:numPr>
          <w:ilvl w:val="0"/>
          <w:numId w:val="2"/>
        </w:numPr>
        <w:spacing w:after="0"/>
        <w:rPr>
          <w:szCs w:val="24"/>
          <w:lang w:val="es-ES_tradnl"/>
        </w:rPr>
      </w:pPr>
      <w:r w:rsidRPr="00232BA8">
        <w:rPr>
          <w:lang w:val="es-ES_tradnl"/>
        </w:rPr>
        <w:t>Los Estados Miembros y sus asociados en el desarrollo formulan compromisos políticos explícitos en forma de políticas, planes de inversiones, programas, marcos jurídicos y la asignación de los recursos precisos para erradicar el hambre, la inseguridad alimentaria y la malnutrición.</w:t>
      </w:r>
    </w:p>
    <w:p w:rsidR="007B121A" w:rsidRPr="00232BA8" w:rsidRDefault="00232BA8" w:rsidP="007B121A">
      <w:pPr>
        <w:pStyle w:val="Prrafodelista"/>
        <w:numPr>
          <w:ilvl w:val="0"/>
          <w:numId w:val="2"/>
        </w:numPr>
        <w:spacing w:after="0"/>
        <w:rPr>
          <w:szCs w:val="24"/>
          <w:lang w:val="es-ES_tradnl"/>
        </w:rPr>
      </w:pPr>
      <w:r w:rsidRPr="00232BA8">
        <w:rPr>
          <w:lang w:val="es-ES_tradnl"/>
        </w:rPr>
        <w:t>Los Estados Miembros y sus asociados en el desarrollo adoptan una gobernanza inclusiva y mecanismos de coordinación para erradicar el hambre, la inseguridad alimentaria y la malnutrición.</w:t>
      </w:r>
    </w:p>
    <w:p w:rsidR="007B121A" w:rsidRPr="00232BA8" w:rsidRDefault="007B121A" w:rsidP="007B121A">
      <w:pPr>
        <w:spacing w:after="0"/>
        <w:rPr>
          <w:szCs w:val="24"/>
          <w:lang w:val="es-ES_tradnl"/>
        </w:rPr>
      </w:pPr>
    </w:p>
    <w:p w:rsidR="007B121A" w:rsidRPr="00842033" w:rsidRDefault="00842033" w:rsidP="007B121A">
      <w:pPr>
        <w:spacing w:after="0"/>
        <w:rPr>
          <w:b/>
          <w:szCs w:val="24"/>
          <w:lang w:val="es-ES_tradnl"/>
        </w:rPr>
      </w:pPr>
      <w:r w:rsidRPr="00842033">
        <w:rPr>
          <w:b/>
          <w:lang w:val="es-ES_tradnl"/>
        </w:rPr>
        <w:t xml:space="preserve">Objetivo estratégico 2 </w:t>
      </w:r>
      <w:r w:rsidR="007B121A" w:rsidRPr="00842033">
        <w:rPr>
          <w:b/>
          <w:szCs w:val="24"/>
          <w:lang w:val="es-ES_tradnl"/>
        </w:rPr>
        <w:t xml:space="preserve">– </w:t>
      </w:r>
      <w:r w:rsidR="009D22C4">
        <w:rPr>
          <w:b/>
          <w:lang w:val="es-ES_tradnl"/>
        </w:rPr>
        <w:t>A</w:t>
      </w:r>
      <w:r w:rsidRPr="00842033">
        <w:rPr>
          <w:b/>
          <w:lang w:val="es-ES_tradnl"/>
        </w:rPr>
        <w:t>umentar y mejorar el suministro de bienes y servicios procedentes de la agricultura, la actividad forestal y la pesca de una manera sostenible</w:t>
      </w:r>
    </w:p>
    <w:p w:rsidR="007B121A" w:rsidRPr="00842033" w:rsidRDefault="007B121A" w:rsidP="007B121A">
      <w:pPr>
        <w:spacing w:after="0"/>
        <w:rPr>
          <w:b/>
          <w:szCs w:val="24"/>
          <w:lang w:val="es-ES_tradnl"/>
        </w:rPr>
      </w:pPr>
    </w:p>
    <w:p w:rsidR="007B121A" w:rsidRDefault="00842033" w:rsidP="007B121A">
      <w:pPr>
        <w:spacing w:after="0"/>
        <w:rPr>
          <w:b/>
          <w:szCs w:val="24"/>
          <w:lang w:val="en-US"/>
        </w:rPr>
      </w:pPr>
      <w:proofErr w:type="spellStart"/>
      <w:r>
        <w:rPr>
          <w:b/>
          <w:szCs w:val="24"/>
          <w:lang w:val="en-US"/>
        </w:rPr>
        <w:t>Logros</w:t>
      </w:r>
      <w:proofErr w:type="spellEnd"/>
      <w:r w:rsidR="007B121A" w:rsidRPr="00D83F8D">
        <w:rPr>
          <w:b/>
          <w:szCs w:val="24"/>
          <w:lang w:val="en-US"/>
        </w:rPr>
        <w:t>:</w:t>
      </w:r>
    </w:p>
    <w:p w:rsidR="007B121A" w:rsidRPr="00D83F8D" w:rsidRDefault="007B121A" w:rsidP="007B121A">
      <w:pPr>
        <w:spacing w:after="0"/>
        <w:rPr>
          <w:b/>
          <w:szCs w:val="24"/>
          <w:lang w:val="en-US"/>
        </w:rPr>
      </w:pPr>
    </w:p>
    <w:p w:rsidR="00842033" w:rsidRPr="00842033" w:rsidRDefault="00842033" w:rsidP="007B121A">
      <w:pPr>
        <w:pStyle w:val="Prrafodelista"/>
        <w:numPr>
          <w:ilvl w:val="0"/>
          <w:numId w:val="3"/>
        </w:numPr>
        <w:spacing w:after="0"/>
        <w:rPr>
          <w:szCs w:val="24"/>
          <w:lang w:val="es-ES_tradnl"/>
        </w:rPr>
      </w:pPr>
      <w:r w:rsidRPr="00842033">
        <w:rPr>
          <w:lang w:val="es-ES_tradnl"/>
        </w:rPr>
        <w:t xml:space="preserve">Los productores y los gestores de recursos naturales adoptan prácticas que aumentan y mejoran la producción del sector agrícola de forma sostenible. </w:t>
      </w:r>
    </w:p>
    <w:p w:rsidR="007B121A" w:rsidRPr="00842033" w:rsidRDefault="00842033" w:rsidP="007B121A">
      <w:pPr>
        <w:pStyle w:val="Prrafodelista"/>
        <w:numPr>
          <w:ilvl w:val="0"/>
          <w:numId w:val="3"/>
        </w:numPr>
        <w:spacing w:after="0"/>
        <w:rPr>
          <w:szCs w:val="24"/>
          <w:lang w:val="es-ES_tradnl"/>
        </w:rPr>
      </w:pPr>
      <w:r w:rsidRPr="00842033">
        <w:rPr>
          <w:lang w:val="es-ES_tradnl"/>
        </w:rPr>
        <w:t>Los interesados de los Estados Miembros refuerzan la gobernanza (las políticas, las leyes, los marcos de gestión y las instituciones que son necesarios para apoyar a los productores y los gestores de recursos naturales) en la transición a sistemas de producción sostenible en el sector agrícola.</w:t>
      </w:r>
    </w:p>
    <w:p w:rsidR="007B121A" w:rsidRPr="00842033" w:rsidRDefault="00842033" w:rsidP="007B121A">
      <w:pPr>
        <w:pStyle w:val="Prrafodelista"/>
        <w:numPr>
          <w:ilvl w:val="0"/>
          <w:numId w:val="3"/>
        </w:numPr>
        <w:spacing w:after="0"/>
        <w:rPr>
          <w:szCs w:val="24"/>
          <w:lang w:val="es-ES_tradnl"/>
        </w:rPr>
      </w:pPr>
      <w:r w:rsidRPr="00842033">
        <w:rPr>
          <w:lang w:val="es-ES_tradnl"/>
        </w:rPr>
        <w:lastRenderedPageBreak/>
        <w:t>Los interesados aprueban o adoptan instrumentos internacionales (incluidos los regionales) y apoyan mecanismos de gobernanza conexos para los sistemas de producción sostenible del sector agrícola.</w:t>
      </w:r>
    </w:p>
    <w:p w:rsidR="007B121A" w:rsidRPr="00842033" w:rsidRDefault="00842033" w:rsidP="007B121A">
      <w:pPr>
        <w:pStyle w:val="Prrafodelista"/>
        <w:numPr>
          <w:ilvl w:val="0"/>
          <w:numId w:val="3"/>
        </w:numPr>
        <w:spacing w:after="0"/>
        <w:rPr>
          <w:szCs w:val="24"/>
          <w:lang w:val="es-ES_tradnl"/>
        </w:rPr>
      </w:pPr>
      <w:r w:rsidRPr="00842033">
        <w:rPr>
          <w:lang w:val="es-ES_tradnl"/>
        </w:rPr>
        <w:t>Las partes interesadas toman decisiones basadas en hechos comprobados sobre la planificación y ordenación de los sectores agrícolas y los recursos naturales para apoyar la transición a sistemas sostenibles de producción agrícola mediante la supervisión, la estadística, la evaluación y el análisis.</w:t>
      </w:r>
    </w:p>
    <w:p w:rsidR="007B121A" w:rsidRPr="00842033" w:rsidRDefault="007B121A" w:rsidP="007B121A">
      <w:pPr>
        <w:spacing w:after="0"/>
        <w:rPr>
          <w:b/>
          <w:szCs w:val="24"/>
          <w:lang w:val="es-ES_tradnl"/>
        </w:rPr>
      </w:pPr>
    </w:p>
    <w:p w:rsidR="007B121A" w:rsidRPr="009D22C4" w:rsidRDefault="009D22C4" w:rsidP="007B121A">
      <w:pPr>
        <w:spacing w:after="0"/>
        <w:rPr>
          <w:b/>
          <w:szCs w:val="24"/>
          <w:lang w:val="es-ES_tradnl"/>
        </w:rPr>
      </w:pPr>
      <w:r w:rsidRPr="00842033">
        <w:rPr>
          <w:b/>
          <w:lang w:val="es-ES_tradnl"/>
        </w:rPr>
        <w:t xml:space="preserve">Objetivo estratégico </w:t>
      </w:r>
      <w:r w:rsidR="007B121A" w:rsidRPr="009D22C4">
        <w:rPr>
          <w:b/>
          <w:szCs w:val="24"/>
          <w:lang w:val="es-ES_tradnl"/>
        </w:rPr>
        <w:t>3 –</w:t>
      </w:r>
      <w:r w:rsidRPr="009D22C4">
        <w:rPr>
          <w:b/>
          <w:szCs w:val="24"/>
          <w:lang w:val="es-ES_tradnl"/>
        </w:rPr>
        <w:t xml:space="preserve"> </w:t>
      </w:r>
      <w:r>
        <w:rPr>
          <w:b/>
          <w:szCs w:val="24"/>
          <w:lang w:val="es-ES_tradnl"/>
        </w:rPr>
        <w:t>R</w:t>
      </w:r>
      <w:r w:rsidRPr="009D22C4">
        <w:rPr>
          <w:b/>
          <w:szCs w:val="24"/>
          <w:lang w:val="es-ES_tradnl"/>
        </w:rPr>
        <w:t>educir la pobreza rural</w:t>
      </w:r>
    </w:p>
    <w:p w:rsidR="007B121A" w:rsidRPr="009D22C4" w:rsidRDefault="007B121A" w:rsidP="007B121A">
      <w:pPr>
        <w:spacing w:after="0"/>
        <w:rPr>
          <w:b/>
          <w:szCs w:val="24"/>
          <w:lang w:val="es-ES_tradnl"/>
        </w:rPr>
      </w:pPr>
    </w:p>
    <w:p w:rsidR="007B121A" w:rsidRPr="00D83F8D" w:rsidRDefault="007532B7" w:rsidP="007B121A">
      <w:pPr>
        <w:spacing w:after="0"/>
        <w:rPr>
          <w:b/>
          <w:szCs w:val="24"/>
          <w:lang w:val="en-US"/>
        </w:rPr>
      </w:pPr>
      <w:proofErr w:type="spellStart"/>
      <w:r>
        <w:rPr>
          <w:b/>
          <w:szCs w:val="24"/>
          <w:lang w:val="en-US"/>
        </w:rPr>
        <w:t>Logros</w:t>
      </w:r>
      <w:proofErr w:type="spellEnd"/>
      <w:r w:rsidR="007B121A" w:rsidRPr="00D83F8D">
        <w:rPr>
          <w:b/>
          <w:szCs w:val="24"/>
          <w:lang w:val="en-US"/>
        </w:rPr>
        <w:t>:</w:t>
      </w:r>
    </w:p>
    <w:p w:rsidR="007B121A" w:rsidRPr="00D83F8D" w:rsidRDefault="007B121A" w:rsidP="007B121A">
      <w:pPr>
        <w:spacing w:after="0"/>
        <w:rPr>
          <w:b/>
          <w:szCs w:val="24"/>
          <w:lang w:val="en-US"/>
        </w:rPr>
      </w:pPr>
    </w:p>
    <w:p w:rsidR="007B121A" w:rsidRPr="007532B7" w:rsidRDefault="007532B7" w:rsidP="007B121A">
      <w:pPr>
        <w:pStyle w:val="Prrafodelista"/>
        <w:numPr>
          <w:ilvl w:val="0"/>
          <w:numId w:val="4"/>
        </w:numPr>
        <w:spacing w:after="0"/>
        <w:rPr>
          <w:szCs w:val="24"/>
          <w:lang w:val="es-ES_tradnl"/>
        </w:rPr>
      </w:pPr>
      <w:r w:rsidRPr="007532B7">
        <w:rPr>
          <w:lang w:val="es-ES_tradnl"/>
        </w:rPr>
        <w:t>La población rural disfruta de acceso mejorado y equitativo a los recursos productivos, los servicios, las organizaciones y los mercados y puede gestionar sus re</w:t>
      </w:r>
      <w:r>
        <w:rPr>
          <w:lang w:val="es-ES_tradnl"/>
        </w:rPr>
        <w:t>cursos de manera más sostenible</w:t>
      </w:r>
      <w:r w:rsidR="007B121A" w:rsidRPr="007532B7">
        <w:rPr>
          <w:szCs w:val="24"/>
          <w:lang w:val="es-ES_tradnl"/>
        </w:rPr>
        <w:t>.</w:t>
      </w:r>
    </w:p>
    <w:p w:rsidR="007B121A" w:rsidRPr="007532B7" w:rsidRDefault="007532B7" w:rsidP="007B121A">
      <w:pPr>
        <w:pStyle w:val="Prrafodelista"/>
        <w:numPr>
          <w:ilvl w:val="0"/>
          <w:numId w:val="4"/>
        </w:numPr>
        <w:spacing w:after="0"/>
        <w:rPr>
          <w:szCs w:val="24"/>
          <w:lang w:val="es-ES_tradnl"/>
        </w:rPr>
      </w:pPr>
      <w:r w:rsidRPr="007532B7">
        <w:rPr>
          <w:lang w:val="es-ES_tradnl"/>
        </w:rPr>
        <w:t>La población rural pobre tiene mayores oportunidades de acceder a un empleo decente tanto agrícola como no agrícola.</w:t>
      </w:r>
    </w:p>
    <w:p w:rsidR="007B121A" w:rsidRPr="007532B7" w:rsidRDefault="007532B7" w:rsidP="007B121A">
      <w:pPr>
        <w:pStyle w:val="Prrafodelista"/>
        <w:numPr>
          <w:ilvl w:val="0"/>
          <w:numId w:val="4"/>
        </w:numPr>
        <w:spacing w:after="0"/>
        <w:rPr>
          <w:szCs w:val="24"/>
          <w:lang w:val="es-ES_tradnl"/>
        </w:rPr>
      </w:pPr>
      <w:r w:rsidRPr="007532B7">
        <w:rPr>
          <w:lang w:val="es-ES_tradnl"/>
        </w:rPr>
        <w:t>Se refuerzan los sistemas de protección social en respaldo de la reducción sostenible de la pobreza rural</w:t>
      </w:r>
      <w:r w:rsidR="007B121A" w:rsidRPr="007532B7">
        <w:rPr>
          <w:szCs w:val="24"/>
          <w:lang w:val="es-ES_tradnl"/>
        </w:rPr>
        <w:t>.</w:t>
      </w:r>
    </w:p>
    <w:p w:rsidR="007B121A" w:rsidRPr="007532B7" w:rsidRDefault="007B121A" w:rsidP="007B121A">
      <w:pPr>
        <w:spacing w:after="0"/>
        <w:rPr>
          <w:szCs w:val="24"/>
          <w:lang w:val="es-ES_tradnl"/>
        </w:rPr>
      </w:pPr>
    </w:p>
    <w:p w:rsidR="007B121A" w:rsidRDefault="0093511E" w:rsidP="007B121A">
      <w:pPr>
        <w:spacing w:after="0"/>
        <w:rPr>
          <w:lang w:val="es-ES_tradnl"/>
        </w:rPr>
      </w:pPr>
      <w:r>
        <w:rPr>
          <w:b/>
          <w:lang w:val="es-ES_tradnl"/>
        </w:rPr>
        <w:t xml:space="preserve">Objetivo estratégico </w:t>
      </w:r>
      <w:r w:rsidR="007B121A" w:rsidRPr="0093511E">
        <w:rPr>
          <w:b/>
          <w:szCs w:val="24"/>
          <w:lang w:val="es-ES_tradnl"/>
        </w:rPr>
        <w:t xml:space="preserve">4 – </w:t>
      </w:r>
      <w:r>
        <w:rPr>
          <w:b/>
          <w:szCs w:val="24"/>
          <w:lang w:val="es-ES_tradnl"/>
        </w:rPr>
        <w:t>P</w:t>
      </w:r>
      <w:r w:rsidRPr="0093511E">
        <w:rPr>
          <w:b/>
          <w:szCs w:val="24"/>
          <w:lang w:val="es-ES_tradnl"/>
        </w:rPr>
        <w:t>ropiciar sistemas agrícolas y alimentarios más inclusivos y eficientes</w:t>
      </w:r>
      <w:r w:rsidRPr="0093511E">
        <w:rPr>
          <w:lang w:val="es-ES_tradnl"/>
        </w:rPr>
        <w:t xml:space="preserve"> </w:t>
      </w:r>
    </w:p>
    <w:p w:rsidR="0093511E" w:rsidRPr="0093511E" w:rsidRDefault="0093511E" w:rsidP="007B121A">
      <w:pPr>
        <w:spacing w:after="0"/>
        <w:rPr>
          <w:b/>
          <w:szCs w:val="24"/>
          <w:lang w:val="es-ES_tradnl"/>
        </w:rPr>
      </w:pPr>
    </w:p>
    <w:p w:rsidR="007B121A" w:rsidRPr="0093511E" w:rsidRDefault="0093511E" w:rsidP="007B121A">
      <w:pPr>
        <w:spacing w:after="0"/>
        <w:rPr>
          <w:b/>
          <w:szCs w:val="24"/>
          <w:lang w:val="es-ES_tradnl"/>
        </w:rPr>
      </w:pPr>
      <w:r>
        <w:rPr>
          <w:b/>
          <w:szCs w:val="24"/>
          <w:lang w:val="es-ES_tradnl"/>
        </w:rPr>
        <w:t>Logros</w:t>
      </w:r>
      <w:r w:rsidR="007B121A" w:rsidRPr="0093511E">
        <w:rPr>
          <w:b/>
          <w:szCs w:val="24"/>
          <w:lang w:val="es-ES_tradnl"/>
        </w:rPr>
        <w:t>:</w:t>
      </w:r>
    </w:p>
    <w:p w:rsidR="007B121A" w:rsidRPr="0093511E" w:rsidRDefault="007B121A" w:rsidP="007B121A">
      <w:pPr>
        <w:spacing w:after="0"/>
        <w:rPr>
          <w:b/>
          <w:szCs w:val="24"/>
          <w:lang w:val="es-ES_tradnl"/>
        </w:rPr>
      </w:pPr>
    </w:p>
    <w:p w:rsidR="007B121A" w:rsidRPr="0093511E" w:rsidRDefault="0093511E" w:rsidP="007B121A">
      <w:pPr>
        <w:pStyle w:val="Prrafodelista"/>
        <w:numPr>
          <w:ilvl w:val="0"/>
          <w:numId w:val="5"/>
        </w:numPr>
        <w:spacing w:after="0"/>
        <w:rPr>
          <w:szCs w:val="24"/>
          <w:lang w:val="es-ES_tradnl"/>
        </w:rPr>
      </w:pPr>
      <w:r w:rsidRPr="0093511E">
        <w:rPr>
          <w:lang w:val="es-ES_tradnl"/>
        </w:rPr>
        <w:t>Los países formulan y ponen en práctica acuerdos, mecanismos y normas internacionales que promueven el comercio y los mercados más eficientes e inclusivos.</w:t>
      </w:r>
    </w:p>
    <w:p w:rsidR="007B121A" w:rsidRPr="00D83F8D" w:rsidRDefault="0093511E" w:rsidP="007B121A">
      <w:pPr>
        <w:pStyle w:val="Prrafodelista"/>
        <w:numPr>
          <w:ilvl w:val="1"/>
          <w:numId w:val="5"/>
        </w:numPr>
        <w:spacing w:after="0"/>
        <w:rPr>
          <w:szCs w:val="24"/>
          <w:lang w:val="en-US"/>
        </w:rPr>
      </w:pPr>
      <w:proofErr w:type="spellStart"/>
      <w:r>
        <w:t>Indicadores</w:t>
      </w:r>
      <w:proofErr w:type="spellEnd"/>
      <w:r>
        <w:t xml:space="preserve"> de los </w:t>
      </w:r>
      <w:proofErr w:type="spellStart"/>
      <w:r>
        <w:t>logros</w:t>
      </w:r>
      <w:proofErr w:type="spellEnd"/>
      <w:r w:rsidR="007B121A" w:rsidRPr="00D83F8D">
        <w:rPr>
          <w:szCs w:val="24"/>
          <w:lang w:val="en-US"/>
        </w:rPr>
        <w:t>:</w:t>
      </w:r>
    </w:p>
    <w:p w:rsidR="0093511E" w:rsidRPr="0093511E" w:rsidRDefault="0093511E" w:rsidP="007B121A">
      <w:pPr>
        <w:pStyle w:val="Prrafodelista"/>
        <w:numPr>
          <w:ilvl w:val="2"/>
          <w:numId w:val="5"/>
        </w:numPr>
        <w:spacing w:after="0"/>
        <w:rPr>
          <w:szCs w:val="24"/>
          <w:lang w:val="es-ES_tradnl"/>
        </w:rPr>
      </w:pPr>
      <w:r w:rsidRPr="0093511E">
        <w:rPr>
          <w:lang w:val="es-ES_tradnl"/>
        </w:rPr>
        <w:t>Número de países que han adecuado sus políticas, reglamentos y mecanismos comerciales nacionales (relativos al comercio internacional de productos agrícolas, forestales y alimentarios) a los acuerdos</w:t>
      </w:r>
    </w:p>
    <w:p w:rsidR="007B121A" w:rsidRPr="0093511E" w:rsidRDefault="0093511E" w:rsidP="0093511E">
      <w:pPr>
        <w:pStyle w:val="Prrafodelista"/>
        <w:spacing w:after="0"/>
        <w:ind w:left="2160"/>
        <w:rPr>
          <w:szCs w:val="24"/>
          <w:lang w:val="es-ES_tradnl"/>
        </w:rPr>
      </w:pPr>
      <w:r w:rsidRPr="0093511E">
        <w:rPr>
          <w:lang w:val="es-ES_tradnl"/>
        </w:rPr>
        <w:t>(</w:t>
      </w:r>
      <w:proofErr w:type="gramStart"/>
      <w:r w:rsidRPr="0093511E">
        <w:rPr>
          <w:lang w:val="es-ES_tradnl"/>
        </w:rPr>
        <w:t>fuente</w:t>
      </w:r>
      <w:proofErr w:type="gramEnd"/>
      <w:r w:rsidRPr="0093511E">
        <w:rPr>
          <w:lang w:val="es-ES_tradnl"/>
        </w:rPr>
        <w:t>: mecanismo de examen de las políticas comerciales de la OMC, supervisado por la FAO).</w:t>
      </w:r>
    </w:p>
    <w:p w:rsidR="007B121A" w:rsidRPr="0093511E" w:rsidRDefault="0093511E" w:rsidP="007B121A">
      <w:pPr>
        <w:pStyle w:val="Prrafodelista"/>
        <w:numPr>
          <w:ilvl w:val="2"/>
          <w:numId w:val="5"/>
        </w:numPr>
        <w:spacing w:after="0"/>
        <w:rPr>
          <w:szCs w:val="24"/>
          <w:lang w:val="es-ES_tradnl"/>
        </w:rPr>
      </w:pPr>
      <w:r w:rsidRPr="0093511E">
        <w:rPr>
          <w:lang w:val="es-ES_tradnl"/>
        </w:rPr>
        <w:t>Porcentaje de países de ingresos bajos y medios que participan efectivamente en el establecimiento de normas internacionales bajo los auspicios del Codex Alimentarius y la Convención Internacional de Protección Fitosanitaria (CIPF) o elaboración de normas del Codex recibidas de PMA</w:t>
      </w:r>
      <w:r>
        <w:rPr>
          <w:szCs w:val="24"/>
          <w:lang w:val="es-ES_tradnl"/>
        </w:rPr>
        <w:t xml:space="preserve">. </w:t>
      </w:r>
      <w:r w:rsidRPr="0093511E">
        <w:rPr>
          <w:lang w:val="es-ES_tradnl"/>
        </w:rPr>
        <w:t>(fuente: datos de los sistemas de formulación de observaciones en línea de las sec</w:t>
      </w:r>
      <w:r>
        <w:rPr>
          <w:lang w:val="es-ES_tradnl"/>
        </w:rPr>
        <w:t>retarías del Codex y de la CIPF</w:t>
      </w:r>
      <w:r w:rsidR="007B121A" w:rsidRPr="0093511E">
        <w:rPr>
          <w:szCs w:val="24"/>
          <w:lang w:val="es-ES_tradnl"/>
        </w:rPr>
        <w:t>).</w:t>
      </w:r>
    </w:p>
    <w:p w:rsidR="007B121A" w:rsidRPr="0093511E" w:rsidRDefault="0093511E" w:rsidP="007B121A">
      <w:pPr>
        <w:pStyle w:val="Prrafodelista"/>
        <w:numPr>
          <w:ilvl w:val="2"/>
          <w:numId w:val="5"/>
        </w:numPr>
        <w:spacing w:after="0"/>
        <w:rPr>
          <w:szCs w:val="24"/>
          <w:lang w:val="es-ES_tradnl"/>
        </w:rPr>
      </w:pPr>
      <w:r w:rsidRPr="0093511E">
        <w:rPr>
          <w:lang w:val="es-ES_tradnl"/>
        </w:rPr>
        <w:t>Número de países en desarrollo en los que ha aumentado el índice de sistemas reguladores de la FAO</w:t>
      </w:r>
      <w:r w:rsidR="007B121A" w:rsidRPr="0093511E">
        <w:rPr>
          <w:szCs w:val="24"/>
          <w:lang w:val="es-ES_tradnl"/>
        </w:rPr>
        <w:t>.</w:t>
      </w:r>
    </w:p>
    <w:p w:rsidR="007B121A" w:rsidRPr="0093511E" w:rsidRDefault="007B121A" w:rsidP="007B121A">
      <w:pPr>
        <w:spacing w:after="0"/>
        <w:rPr>
          <w:szCs w:val="24"/>
          <w:lang w:val="es-ES_tradnl"/>
        </w:rPr>
      </w:pPr>
    </w:p>
    <w:p w:rsidR="007B121A" w:rsidRPr="00D83F8D" w:rsidRDefault="00A04448" w:rsidP="007B121A">
      <w:pPr>
        <w:pStyle w:val="Prrafodelista"/>
        <w:numPr>
          <w:ilvl w:val="1"/>
          <w:numId w:val="5"/>
        </w:numPr>
        <w:spacing w:after="0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Realizacione</w:t>
      </w:r>
      <w:r w:rsidR="007B121A" w:rsidRPr="00D83F8D">
        <w:rPr>
          <w:szCs w:val="24"/>
          <w:lang w:val="en-US"/>
        </w:rPr>
        <w:t>s</w:t>
      </w:r>
      <w:proofErr w:type="spellEnd"/>
    </w:p>
    <w:p w:rsidR="007B121A" w:rsidRPr="00A04448" w:rsidRDefault="00A04448" w:rsidP="007B121A">
      <w:pPr>
        <w:pStyle w:val="Prrafodelista"/>
        <w:numPr>
          <w:ilvl w:val="2"/>
          <w:numId w:val="5"/>
        </w:numPr>
        <w:spacing w:after="0"/>
        <w:rPr>
          <w:szCs w:val="24"/>
          <w:lang w:val="es-ES_tradnl"/>
        </w:rPr>
      </w:pPr>
      <w:r w:rsidRPr="00A04448">
        <w:rPr>
          <w:lang w:val="es-ES_tradnl"/>
        </w:rPr>
        <w:t>Los países formulan y acuerdan normas internacionales nuevas y revisadas en materia de inocuidad y calidad de los alimentos y salud vegetal que sirven de referencias par</w:t>
      </w:r>
      <w:r>
        <w:rPr>
          <w:lang w:val="es-ES_tradnl"/>
        </w:rPr>
        <w:t>a la armonización internacional</w:t>
      </w:r>
      <w:r w:rsidR="007B121A" w:rsidRPr="00A04448">
        <w:rPr>
          <w:szCs w:val="24"/>
          <w:lang w:val="es-ES_tradnl"/>
        </w:rPr>
        <w:t>.</w:t>
      </w:r>
    </w:p>
    <w:p w:rsidR="007B121A" w:rsidRPr="00A04448" w:rsidRDefault="00A04448" w:rsidP="007B121A">
      <w:pPr>
        <w:pStyle w:val="Prrafodelista"/>
        <w:numPr>
          <w:ilvl w:val="2"/>
          <w:numId w:val="5"/>
        </w:numPr>
        <w:spacing w:after="0"/>
        <w:rPr>
          <w:szCs w:val="24"/>
          <w:lang w:val="es-ES_tradnl"/>
        </w:rPr>
      </w:pPr>
      <w:r w:rsidRPr="00A04448">
        <w:rPr>
          <w:lang w:val="es-ES_tradnl"/>
        </w:rPr>
        <w:t xml:space="preserve">Se presta apoyo a los países y sus comunidades económicas regionales para que formulen y apliquen eficazmente acuerdos, reglamentos, mecanismos y marcos internacionales que fomenten mercados transparentes y mejores oportunidades de </w:t>
      </w:r>
      <w:proofErr w:type="gramStart"/>
      <w:r w:rsidRPr="00A04448">
        <w:rPr>
          <w:lang w:val="es-ES_tradnl"/>
        </w:rPr>
        <w:t>mercado mundiales y regionales</w:t>
      </w:r>
      <w:proofErr w:type="gramEnd"/>
      <w:r w:rsidRPr="00A04448">
        <w:rPr>
          <w:lang w:val="es-ES_tradnl"/>
        </w:rPr>
        <w:t>.</w:t>
      </w:r>
    </w:p>
    <w:p w:rsidR="007B121A" w:rsidRPr="00A04448" w:rsidRDefault="00A04448" w:rsidP="007B121A">
      <w:pPr>
        <w:pStyle w:val="Prrafodelista"/>
        <w:numPr>
          <w:ilvl w:val="2"/>
          <w:numId w:val="5"/>
        </w:numPr>
        <w:spacing w:after="0"/>
        <w:rPr>
          <w:szCs w:val="24"/>
          <w:lang w:val="es-ES_tradnl"/>
        </w:rPr>
      </w:pPr>
      <w:r w:rsidRPr="00A04448">
        <w:rPr>
          <w:lang w:val="es-ES_tradnl"/>
        </w:rPr>
        <w:t>Se proporciona a los gobiernos y las partes interesadas nacionales información actualizada y análisis con miras a la formulación y puesta en práctica de estrategias de comercialización y</w:t>
      </w:r>
      <w:r>
        <w:rPr>
          <w:lang w:val="es-ES_tradnl"/>
        </w:rPr>
        <w:t xml:space="preserve"> comercio eficaces e </w:t>
      </w:r>
      <w:proofErr w:type="gramStart"/>
      <w:r>
        <w:rPr>
          <w:lang w:val="es-ES_tradnl"/>
        </w:rPr>
        <w:t>inclusivas</w:t>
      </w:r>
      <w:proofErr w:type="gramEnd"/>
      <w:r w:rsidR="007B121A" w:rsidRPr="00A04448">
        <w:rPr>
          <w:szCs w:val="24"/>
          <w:lang w:val="es-ES_tradnl"/>
        </w:rPr>
        <w:t>.</w:t>
      </w:r>
    </w:p>
    <w:p w:rsidR="007B121A" w:rsidRPr="00A04448" w:rsidRDefault="00A04448" w:rsidP="007B121A">
      <w:pPr>
        <w:pStyle w:val="Prrafodelista"/>
        <w:numPr>
          <w:ilvl w:val="2"/>
          <w:numId w:val="5"/>
        </w:numPr>
        <w:spacing w:after="0"/>
        <w:rPr>
          <w:szCs w:val="24"/>
          <w:lang w:val="es-ES_tradnl"/>
        </w:rPr>
      </w:pPr>
      <w:r w:rsidRPr="00A04448">
        <w:rPr>
          <w:lang w:val="es-ES_tradnl"/>
        </w:rPr>
        <w:t xml:space="preserve">Se presta apoyo a las instituciones del sector público para mejorar su capacidad de diseñar y poner en práctica mejores políticas y marcos </w:t>
      </w:r>
      <w:r w:rsidRPr="00A04448">
        <w:rPr>
          <w:lang w:val="es-ES_tradnl"/>
        </w:rPr>
        <w:lastRenderedPageBreak/>
        <w:t>reglamentarios y de prestar servicios públicos relacionados con la sanidad vegetal y animal y la inocuida</w:t>
      </w:r>
      <w:r>
        <w:rPr>
          <w:lang w:val="es-ES_tradnl"/>
        </w:rPr>
        <w:t>d y la calidad de los alimentos</w:t>
      </w:r>
      <w:r w:rsidR="007B121A" w:rsidRPr="00A04448">
        <w:rPr>
          <w:szCs w:val="24"/>
          <w:lang w:val="es-ES_tradnl"/>
        </w:rPr>
        <w:t>.</w:t>
      </w:r>
    </w:p>
    <w:p w:rsidR="007B121A" w:rsidRPr="00A04448" w:rsidRDefault="007B121A" w:rsidP="007B121A">
      <w:pPr>
        <w:pStyle w:val="Prrafodelista"/>
        <w:spacing w:after="0"/>
        <w:ind w:left="2160"/>
        <w:rPr>
          <w:szCs w:val="24"/>
          <w:lang w:val="es-ES_tradnl"/>
        </w:rPr>
      </w:pPr>
    </w:p>
    <w:p w:rsidR="007B121A" w:rsidRPr="00EA01A6" w:rsidRDefault="00EA01A6" w:rsidP="007B121A">
      <w:pPr>
        <w:pStyle w:val="Prrafodelista"/>
        <w:numPr>
          <w:ilvl w:val="0"/>
          <w:numId w:val="5"/>
        </w:numPr>
        <w:spacing w:after="0"/>
        <w:rPr>
          <w:szCs w:val="24"/>
          <w:lang w:val="es-ES_tradnl"/>
        </w:rPr>
      </w:pPr>
      <w:r w:rsidRPr="00EA01A6">
        <w:rPr>
          <w:lang w:val="es-ES_tradnl"/>
        </w:rPr>
        <w:t xml:space="preserve">Los sectores público y privado desarrollan y ponen en práctica </w:t>
      </w:r>
      <w:proofErr w:type="spellStart"/>
      <w:r w:rsidRPr="00EA01A6">
        <w:rPr>
          <w:lang w:val="es-ES_tradnl"/>
        </w:rPr>
        <w:t>agronegocios</w:t>
      </w:r>
      <w:proofErr w:type="spellEnd"/>
      <w:r w:rsidRPr="00EA01A6">
        <w:rPr>
          <w:lang w:val="es-ES_tradnl"/>
        </w:rPr>
        <w:t xml:space="preserve"> y cadenas agroalimentarias más inclusivos y eficientes.</w:t>
      </w:r>
    </w:p>
    <w:p w:rsidR="007B121A" w:rsidRPr="00D83F8D" w:rsidRDefault="00EA01A6" w:rsidP="007B121A">
      <w:pPr>
        <w:pStyle w:val="Prrafodelista"/>
        <w:numPr>
          <w:ilvl w:val="1"/>
          <w:numId w:val="5"/>
        </w:numPr>
        <w:spacing w:after="0"/>
        <w:rPr>
          <w:szCs w:val="24"/>
          <w:lang w:val="en-US"/>
        </w:rPr>
      </w:pPr>
      <w:proofErr w:type="spellStart"/>
      <w:r>
        <w:t>Indicadores</w:t>
      </w:r>
      <w:proofErr w:type="spellEnd"/>
      <w:r>
        <w:t xml:space="preserve"> de los </w:t>
      </w:r>
      <w:proofErr w:type="spellStart"/>
      <w:r>
        <w:t>logros</w:t>
      </w:r>
      <w:proofErr w:type="spellEnd"/>
      <w:r w:rsidR="007B121A" w:rsidRPr="00D83F8D">
        <w:rPr>
          <w:szCs w:val="24"/>
          <w:lang w:val="en-US"/>
        </w:rPr>
        <w:t>:</w:t>
      </w:r>
    </w:p>
    <w:p w:rsidR="00F45044" w:rsidRPr="00F45044" w:rsidRDefault="00F45044" w:rsidP="007B121A">
      <w:pPr>
        <w:pStyle w:val="Prrafodelista"/>
        <w:numPr>
          <w:ilvl w:val="2"/>
          <w:numId w:val="5"/>
        </w:numPr>
        <w:spacing w:after="0"/>
        <w:rPr>
          <w:szCs w:val="24"/>
          <w:lang w:val="es-ES_tradnl"/>
        </w:rPr>
      </w:pPr>
      <w:r w:rsidRPr="00F45044">
        <w:rPr>
          <w:lang w:val="es-ES_tradnl"/>
        </w:rPr>
        <w:t xml:space="preserve">Número de países en los que el valor añadido agroindustrial ha aumentado más rápidamente que el valor añadido agrícola, cuantificado en función de: el valor añadido en la agroindustria (fuente: estadísticas industriales de la ONUDI) comparado con el valor añadido en la agricultura (incluidos el sector forestal, la pesca y la acuicultura) (fuente: Indicadores del desarrollo mundial). </w:t>
      </w:r>
    </w:p>
    <w:p w:rsidR="007B121A" w:rsidRPr="00F45044" w:rsidRDefault="00F45044" w:rsidP="007B121A">
      <w:pPr>
        <w:pStyle w:val="Prrafodelista"/>
        <w:numPr>
          <w:ilvl w:val="2"/>
          <w:numId w:val="5"/>
        </w:numPr>
        <w:spacing w:after="0"/>
        <w:rPr>
          <w:szCs w:val="24"/>
          <w:lang w:val="es-ES_tradnl"/>
        </w:rPr>
      </w:pPr>
      <w:r w:rsidRPr="00F45044">
        <w:rPr>
          <w:lang w:val="es-ES_tradnl"/>
        </w:rPr>
        <w:t>Número de países en los que se ha reducido el índice de pérdidas de alimentos de la FAO, cuantificado en función de: un índice que se elaborará para 2015.</w:t>
      </w:r>
    </w:p>
    <w:p w:rsidR="007B121A" w:rsidRPr="00F45044" w:rsidRDefault="007B121A" w:rsidP="007B121A">
      <w:pPr>
        <w:pStyle w:val="Prrafodelista"/>
        <w:spacing w:after="0"/>
        <w:ind w:left="2160"/>
        <w:rPr>
          <w:szCs w:val="24"/>
          <w:lang w:val="es-ES_tradnl"/>
        </w:rPr>
      </w:pPr>
    </w:p>
    <w:p w:rsidR="007B121A" w:rsidRPr="00533406" w:rsidRDefault="00F45044" w:rsidP="007B121A">
      <w:pPr>
        <w:pStyle w:val="Prrafodelista"/>
        <w:numPr>
          <w:ilvl w:val="1"/>
          <w:numId w:val="5"/>
        </w:numPr>
        <w:spacing w:after="0"/>
        <w:rPr>
          <w:szCs w:val="24"/>
          <w:lang w:val="en-US"/>
        </w:rPr>
      </w:pPr>
      <w:proofErr w:type="spellStart"/>
      <w:r>
        <w:t>Realizaciones</w:t>
      </w:r>
      <w:proofErr w:type="spellEnd"/>
    </w:p>
    <w:p w:rsidR="007B121A" w:rsidRPr="00551BAD" w:rsidRDefault="00551BAD" w:rsidP="007B121A">
      <w:pPr>
        <w:pStyle w:val="Prrafodelista"/>
        <w:numPr>
          <w:ilvl w:val="2"/>
          <w:numId w:val="5"/>
        </w:numPr>
        <w:spacing w:after="0"/>
        <w:rPr>
          <w:szCs w:val="24"/>
          <w:lang w:val="es-ES_tradnl"/>
        </w:rPr>
      </w:pPr>
      <w:r w:rsidRPr="00551BAD">
        <w:rPr>
          <w:lang w:val="es-ES_tradnl"/>
        </w:rPr>
        <w:t xml:space="preserve">Se presta apoyo a las instituciones del sector público para formular y poner en práctica políticas y estrategias y para proporcionar bienes públicos que mejoren la </w:t>
      </w:r>
      <w:proofErr w:type="spellStart"/>
      <w:r w:rsidRPr="00551BAD">
        <w:rPr>
          <w:lang w:val="es-ES_tradnl"/>
        </w:rPr>
        <w:t>inclusividad</w:t>
      </w:r>
      <w:proofErr w:type="spellEnd"/>
      <w:r w:rsidRPr="00551BAD">
        <w:rPr>
          <w:lang w:val="es-ES_tradnl"/>
        </w:rPr>
        <w:t xml:space="preserve"> y la eficiencia </w:t>
      </w:r>
      <w:r>
        <w:rPr>
          <w:lang w:val="es-ES_tradnl"/>
        </w:rPr>
        <w:t>de las cadenas agroalimentarias</w:t>
      </w:r>
      <w:r w:rsidR="007B121A" w:rsidRPr="00551BAD">
        <w:rPr>
          <w:szCs w:val="24"/>
          <w:lang w:val="es-ES_tradnl"/>
        </w:rPr>
        <w:t>.</w:t>
      </w:r>
    </w:p>
    <w:p w:rsidR="007B121A" w:rsidRPr="00551BAD" w:rsidRDefault="00551BAD" w:rsidP="007B121A">
      <w:pPr>
        <w:pStyle w:val="Prrafodelista"/>
        <w:numPr>
          <w:ilvl w:val="2"/>
          <w:numId w:val="5"/>
        </w:numPr>
        <w:spacing w:after="0"/>
        <w:rPr>
          <w:szCs w:val="24"/>
          <w:lang w:val="es-ES_tradnl"/>
        </w:rPr>
      </w:pPr>
      <w:r w:rsidRPr="00551BAD">
        <w:rPr>
          <w:lang w:val="es-ES_tradnl"/>
        </w:rPr>
        <w:t>Se presta apoyo para el desarrollo de programas basados en hechos comprobados de reducción de las pérdidas y el desperdicio de alimentos en los ámbit</w:t>
      </w:r>
      <w:r>
        <w:rPr>
          <w:lang w:val="es-ES_tradnl"/>
        </w:rPr>
        <w:t>os nacional, regional y mundial</w:t>
      </w:r>
      <w:r w:rsidR="007B121A" w:rsidRPr="00551BAD">
        <w:rPr>
          <w:szCs w:val="24"/>
          <w:lang w:val="es-ES_tradnl"/>
        </w:rPr>
        <w:t>.</w:t>
      </w:r>
    </w:p>
    <w:p w:rsidR="007B121A" w:rsidRPr="00551BAD" w:rsidRDefault="00551BAD" w:rsidP="007B121A">
      <w:pPr>
        <w:pStyle w:val="Prrafodelista"/>
        <w:numPr>
          <w:ilvl w:val="2"/>
          <w:numId w:val="5"/>
        </w:numPr>
        <w:spacing w:after="0"/>
        <w:rPr>
          <w:szCs w:val="24"/>
          <w:lang w:val="es-ES_tradnl"/>
        </w:rPr>
      </w:pPr>
      <w:r w:rsidRPr="00551BAD">
        <w:rPr>
          <w:lang w:val="es-ES_tradnl"/>
        </w:rPr>
        <w:t>Se proporciona apoyo técnico y de gestión a los agentes de la cadena de valor para fomentar cadenas agroalimentarias inclu</w:t>
      </w:r>
      <w:r>
        <w:rPr>
          <w:lang w:val="es-ES_tradnl"/>
        </w:rPr>
        <w:t>sivas, eficientes y sostenibles</w:t>
      </w:r>
      <w:r w:rsidR="007B121A" w:rsidRPr="00551BAD">
        <w:rPr>
          <w:szCs w:val="24"/>
          <w:lang w:val="es-ES_tradnl"/>
        </w:rPr>
        <w:t>.</w:t>
      </w:r>
    </w:p>
    <w:p w:rsidR="007B121A" w:rsidRPr="00551BAD" w:rsidRDefault="007B121A" w:rsidP="007B121A">
      <w:pPr>
        <w:pStyle w:val="Prrafodelista"/>
        <w:spacing w:after="0"/>
        <w:ind w:left="2160"/>
        <w:rPr>
          <w:szCs w:val="24"/>
          <w:lang w:val="es-ES_tradnl"/>
        </w:rPr>
      </w:pPr>
    </w:p>
    <w:p w:rsidR="007B121A" w:rsidRPr="00083E80" w:rsidRDefault="00083E80" w:rsidP="007B121A">
      <w:pPr>
        <w:pStyle w:val="Prrafodelista"/>
        <w:numPr>
          <w:ilvl w:val="0"/>
          <w:numId w:val="5"/>
        </w:numPr>
        <w:spacing w:after="0"/>
        <w:rPr>
          <w:szCs w:val="24"/>
          <w:lang w:val="es-ES_tradnl"/>
        </w:rPr>
      </w:pPr>
      <w:r w:rsidRPr="00083E80">
        <w:rPr>
          <w:lang w:val="es-ES_tradnl"/>
        </w:rPr>
        <w:t xml:space="preserve">Los sectores público y privado elaboran y ponen en práctica políticas, instrumentos financieros e inversiones que mejoran la </w:t>
      </w:r>
      <w:proofErr w:type="spellStart"/>
      <w:r w:rsidRPr="00083E80">
        <w:rPr>
          <w:lang w:val="es-ES_tradnl"/>
        </w:rPr>
        <w:t>inclusividad</w:t>
      </w:r>
      <w:proofErr w:type="spellEnd"/>
      <w:r w:rsidRPr="00083E80">
        <w:rPr>
          <w:lang w:val="es-ES_tradnl"/>
        </w:rPr>
        <w:t xml:space="preserve"> y la eficiencia de los sistemas agroalimentarios</w:t>
      </w:r>
      <w:r>
        <w:rPr>
          <w:lang w:val="es-ES_tradnl"/>
        </w:rPr>
        <w:t>.</w:t>
      </w:r>
    </w:p>
    <w:p w:rsidR="007B121A" w:rsidRPr="00533406" w:rsidRDefault="00083E80" w:rsidP="007B121A">
      <w:pPr>
        <w:pStyle w:val="Prrafodelista"/>
        <w:numPr>
          <w:ilvl w:val="1"/>
          <w:numId w:val="5"/>
        </w:numPr>
        <w:spacing w:after="0"/>
        <w:rPr>
          <w:szCs w:val="24"/>
          <w:lang w:val="en-US"/>
        </w:rPr>
      </w:pPr>
      <w:proofErr w:type="spellStart"/>
      <w:r>
        <w:t>Indicadores</w:t>
      </w:r>
      <w:proofErr w:type="spellEnd"/>
      <w:r>
        <w:t xml:space="preserve"> de los </w:t>
      </w:r>
      <w:proofErr w:type="spellStart"/>
      <w:r>
        <w:t>logros</w:t>
      </w:r>
      <w:proofErr w:type="spellEnd"/>
      <w:r w:rsidR="007B121A" w:rsidRPr="00533406">
        <w:rPr>
          <w:szCs w:val="24"/>
          <w:lang w:val="en-US"/>
        </w:rPr>
        <w:t>:</w:t>
      </w:r>
    </w:p>
    <w:p w:rsidR="00083E80" w:rsidRPr="00083E80" w:rsidRDefault="00083E80" w:rsidP="007B121A">
      <w:pPr>
        <w:pStyle w:val="Prrafodelista"/>
        <w:numPr>
          <w:ilvl w:val="2"/>
          <w:numId w:val="5"/>
        </w:numPr>
        <w:spacing w:after="0"/>
        <w:rPr>
          <w:szCs w:val="24"/>
          <w:lang w:val="es-ES_tradnl"/>
        </w:rPr>
      </w:pPr>
      <w:r w:rsidRPr="00083E80">
        <w:rPr>
          <w:lang w:val="es-ES_tradnl"/>
        </w:rPr>
        <w:t>Número de países en los que el crédito a la agricultura ha aumentado en términos reales (ajustado según la inflación), cuantificado en función de: el nivel real del crédito otorgado al sector agrícola según se establece en los informes de los institutos centrales de estadística (50 países como mínimo).</w:t>
      </w:r>
    </w:p>
    <w:p w:rsidR="007B121A" w:rsidRPr="00553F4A" w:rsidRDefault="00553F4A" w:rsidP="007B121A">
      <w:pPr>
        <w:pStyle w:val="Prrafodelista"/>
        <w:numPr>
          <w:ilvl w:val="2"/>
          <w:numId w:val="5"/>
        </w:numPr>
        <w:spacing w:after="0"/>
        <w:rPr>
          <w:szCs w:val="24"/>
          <w:lang w:val="es-ES_tradnl"/>
        </w:rPr>
      </w:pPr>
      <w:r w:rsidRPr="00553F4A">
        <w:rPr>
          <w:lang w:val="es-ES_tradnl"/>
        </w:rPr>
        <w:t>Número de países en los que ha aumentado la proporción de inversión agrícola, cuantificado en función de: formación bruta de capital fijo (FBCF) en la agricultura o valor añadido agrícola según las siguientes definiciones: i) la FBCF es el valor de las adquisiciones netas de activos fijos existentes (aprovechamiento de la tierra, activos fijos e inventario en la ganadería, cultivos de plantación, estructuras para la ganadería, maquinaria) y ii) en la agricultura se entenderán incluidas la pes</w:t>
      </w:r>
      <w:r>
        <w:rPr>
          <w:lang w:val="es-ES_tradnl"/>
        </w:rPr>
        <w:t>ca y las actividades forestales</w:t>
      </w:r>
      <w:r w:rsidR="007B121A" w:rsidRPr="00553F4A">
        <w:rPr>
          <w:szCs w:val="24"/>
          <w:lang w:val="es-ES_tradnl"/>
        </w:rPr>
        <w:t>.</w:t>
      </w:r>
    </w:p>
    <w:p w:rsidR="007B121A" w:rsidRPr="004F0236" w:rsidRDefault="004F0236" w:rsidP="007B121A">
      <w:pPr>
        <w:pStyle w:val="Prrafodelista"/>
        <w:numPr>
          <w:ilvl w:val="2"/>
          <w:numId w:val="5"/>
        </w:numPr>
        <w:spacing w:after="0"/>
        <w:rPr>
          <w:szCs w:val="24"/>
          <w:lang w:val="es-ES_tradnl"/>
        </w:rPr>
      </w:pPr>
      <w:r w:rsidRPr="004F0236">
        <w:rPr>
          <w:lang w:val="es-ES_tradnl"/>
        </w:rPr>
        <w:t xml:space="preserve">Número de países que han reducido los desincentivos que afectan al sector agrícola y alimentario debidos a las distorsiones normativas, cuantificado en función de: los índices de la tasa de protección nominal (fuente: datos de la OCDE y el </w:t>
      </w:r>
      <w:r>
        <w:rPr>
          <w:lang w:val="es-ES_tradnl"/>
        </w:rPr>
        <w:t>Banco Mundial, datos de la FAO</w:t>
      </w:r>
      <w:r w:rsidR="007B121A" w:rsidRPr="004F0236">
        <w:rPr>
          <w:szCs w:val="24"/>
          <w:lang w:val="es-ES_tradnl"/>
        </w:rPr>
        <w:t>).</w:t>
      </w:r>
    </w:p>
    <w:p w:rsidR="007B121A" w:rsidRPr="004F0236" w:rsidRDefault="007B121A" w:rsidP="007B121A">
      <w:pPr>
        <w:spacing w:after="0"/>
        <w:rPr>
          <w:szCs w:val="24"/>
          <w:lang w:val="es-ES_tradnl"/>
        </w:rPr>
      </w:pPr>
    </w:p>
    <w:p w:rsidR="007B121A" w:rsidRPr="00533406" w:rsidRDefault="004F0236" w:rsidP="007B121A">
      <w:pPr>
        <w:pStyle w:val="Prrafodelista"/>
        <w:numPr>
          <w:ilvl w:val="1"/>
          <w:numId w:val="5"/>
        </w:numPr>
        <w:spacing w:after="0"/>
        <w:rPr>
          <w:szCs w:val="24"/>
          <w:lang w:val="en-US"/>
        </w:rPr>
      </w:pPr>
      <w:proofErr w:type="spellStart"/>
      <w:r>
        <w:t>Realizaciones</w:t>
      </w:r>
      <w:proofErr w:type="spellEnd"/>
      <w:r>
        <w:t xml:space="preserve"> </w:t>
      </w:r>
    </w:p>
    <w:p w:rsidR="007B121A" w:rsidRPr="000D3ACA" w:rsidRDefault="000D3ACA" w:rsidP="007B121A">
      <w:pPr>
        <w:pStyle w:val="Prrafodelista"/>
        <w:numPr>
          <w:ilvl w:val="2"/>
          <w:numId w:val="5"/>
        </w:numPr>
        <w:spacing w:after="0"/>
        <w:rPr>
          <w:szCs w:val="24"/>
          <w:lang w:val="es-ES_tradnl"/>
        </w:rPr>
      </w:pPr>
      <w:r w:rsidRPr="000D3ACA">
        <w:rPr>
          <w:lang w:val="es-ES_tradnl"/>
        </w:rPr>
        <w:t>Se presta apoyo a las instituciones de los sectores público y privado para diseñar y poner en práctica instrumentos y servicios financieros que mejoran el acceso al capital en aras de unos sistemas agroalimentarios eficientes e inclusivos</w:t>
      </w:r>
      <w:r w:rsidR="007B121A" w:rsidRPr="000D3ACA">
        <w:rPr>
          <w:szCs w:val="24"/>
          <w:lang w:val="es-ES_tradnl"/>
        </w:rPr>
        <w:t>.</w:t>
      </w:r>
    </w:p>
    <w:p w:rsidR="007B121A" w:rsidRPr="000D3ACA" w:rsidRDefault="000D3ACA" w:rsidP="007B121A">
      <w:pPr>
        <w:pStyle w:val="Prrafodelista"/>
        <w:numPr>
          <w:ilvl w:val="2"/>
          <w:numId w:val="5"/>
        </w:numPr>
        <w:spacing w:after="0"/>
        <w:rPr>
          <w:szCs w:val="24"/>
          <w:lang w:val="es-ES_tradnl"/>
        </w:rPr>
      </w:pPr>
      <w:r w:rsidRPr="000D3ACA">
        <w:rPr>
          <w:lang w:val="es-ES_tradnl"/>
        </w:rPr>
        <w:t>Se presta apoyo a las instituciones de inversión públicas y privadas para incrementar las inversiones responsables en sistemas agroalimentarios eficientes e inclusivos</w:t>
      </w:r>
      <w:r w:rsidR="007B121A" w:rsidRPr="000D3ACA">
        <w:rPr>
          <w:szCs w:val="24"/>
          <w:lang w:val="es-ES_tradnl"/>
        </w:rPr>
        <w:t>.</w:t>
      </w:r>
    </w:p>
    <w:p w:rsidR="007B121A" w:rsidRPr="000D3ACA" w:rsidRDefault="000D3ACA" w:rsidP="007B121A">
      <w:pPr>
        <w:pStyle w:val="Prrafodelista"/>
        <w:numPr>
          <w:ilvl w:val="2"/>
          <w:numId w:val="5"/>
        </w:numPr>
        <w:spacing w:after="0"/>
        <w:rPr>
          <w:szCs w:val="24"/>
          <w:lang w:val="es-ES_tradnl"/>
        </w:rPr>
      </w:pPr>
      <w:r w:rsidRPr="000D3ACA">
        <w:rPr>
          <w:lang w:val="es-ES_tradnl"/>
        </w:rPr>
        <w:lastRenderedPageBreak/>
        <w:t>Se establecen sistemas para supervisar, analizar y gestionar los efectos de las políticas relativas al comercio, la alimentación y la agricultura en los sistemas alimentarios.</w:t>
      </w:r>
    </w:p>
    <w:p w:rsidR="007B121A" w:rsidRPr="000D3ACA" w:rsidRDefault="007B121A" w:rsidP="007B121A">
      <w:pPr>
        <w:spacing w:after="0"/>
        <w:rPr>
          <w:b/>
          <w:szCs w:val="24"/>
          <w:lang w:val="es-ES_tradnl"/>
        </w:rPr>
      </w:pPr>
    </w:p>
    <w:p w:rsidR="007B121A" w:rsidRPr="00A54EA5" w:rsidRDefault="00A54EA5" w:rsidP="007B121A">
      <w:pPr>
        <w:spacing w:after="0"/>
        <w:rPr>
          <w:b/>
          <w:lang w:val="es-ES_tradnl"/>
        </w:rPr>
      </w:pPr>
      <w:r>
        <w:rPr>
          <w:b/>
          <w:lang w:val="es-ES_tradnl"/>
        </w:rPr>
        <w:t xml:space="preserve">Objetivo estratégico </w:t>
      </w:r>
      <w:r w:rsidR="007B121A" w:rsidRPr="00A54EA5">
        <w:rPr>
          <w:b/>
          <w:lang w:val="es-ES_tradnl"/>
        </w:rPr>
        <w:t xml:space="preserve">5 – </w:t>
      </w:r>
      <w:r w:rsidRPr="00A54EA5">
        <w:rPr>
          <w:b/>
          <w:lang w:val="es-ES_tradnl"/>
        </w:rPr>
        <w:t>Incrementar la resiliencia de los medios de vida ante las amenazas y las crisis</w:t>
      </w:r>
    </w:p>
    <w:p w:rsidR="007B121A" w:rsidRPr="00A54EA5" w:rsidRDefault="007B121A" w:rsidP="007B121A">
      <w:pPr>
        <w:spacing w:after="0"/>
        <w:rPr>
          <w:b/>
          <w:szCs w:val="24"/>
          <w:lang w:val="es-ES_tradnl"/>
        </w:rPr>
      </w:pPr>
    </w:p>
    <w:p w:rsidR="00A54EA5" w:rsidRPr="0093511E" w:rsidRDefault="00A54EA5" w:rsidP="00A54EA5">
      <w:pPr>
        <w:spacing w:after="0"/>
        <w:rPr>
          <w:b/>
          <w:szCs w:val="24"/>
          <w:lang w:val="es-ES_tradnl"/>
        </w:rPr>
      </w:pPr>
      <w:r>
        <w:rPr>
          <w:b/>
          <w:szCs w:val="24"/>
          <w:lang w:val="es-ES_tradnl"/>
        </w:rPr>
        <w:t>Logros</w:t>
      </w:r>
      <w:r w:rsidRPr="0093511E">
        <w:rPr>
          <w:b/>
          <w:szCs w:val="24"/>
          <w:lang w:val="es-ES_tradnl"/>
        </w:rPr>
        <w:t>:</w:t>
      </w:r>
    </w:p>
    <w:p w:rsidR="007B121A" w:rsidRPr="00D83F8D" w:rsidRDefault="007B121A" w:rsidP="007B121A">
      <w:pPr>
        <w:spacing w:after="0"/>
        <w:rPr>
          <w:b/>
          <w:szCs w:val="24"/>
          <w:lang w:val="en-US"/>
        </w:rPr>
      </w:pPr>
    </w:p>
    <w:p w:rsidR="007B121A" w:rsidRPr="00794E6F" w:rsidRDefault="00794E6F" w:rsidP="007B121A">
      <w:pPr>
        <w:pStyle w:val="Prrafodelista"/>
        <w:numPr>
          <w:ilvl w:val="0"/>
          <w:numId w:val="6"/>
        </w:numPr>
        <w:spacing w:after="0"/>
        <w:rPr>
          <w:szCs w:val="24"/>
          <w:lang w:val="es-ES_tradnl"/>
        </w:rPr>
      </w:pPr>
      <w:r w:rsidRPr="00794E6F">
        <w:rPr>
          <w:lang w:val="es-ES_tradnl"/>
        </w:rPr>
        <w:t>Los países y las regiones adoptan y ponen en práctica sistemas jurídicos, normativos e institucionales y marcos reguladores para la reducción de los riesgos y la gestión de las crisis</w:t>
      </w:r>
      <w:r w:rsidR="007B121A" w:rsidRPr="00794E6F">
        <w:rPr>
          <w:szCs w:val="24"/>
          <w:lang w:val="es-ES_tradnl"/>
        </w:rPr>
        <w:t>.</w:t>
      </w:r>
    </w:p>
    <w:p w:rsidR="007B121A" w:rsidRPr="00794E6F" w:rsidRDefault="00794E6F" w:rsidP="007B121A">
      <w:pPr>
        <w:pStyle w:val="Prrafodelista"/>
        <w:numPr>
          <w:ilvl w:val="0"/>
          <w:numId w:val="6"/>
        </w:numPr>
        <w:spacing w:after="0"/>
        <w:rPr>
          <w:szCs w:val="24"/>
          <w:lang w:val="es-ES_tradnl"/>
        </w:rPr>
      </w:pPr>
      <w:r w:rsidRPr="00794E6F">
        <w:rPr>
          <w:lang w:val="es-ES_tradnl"/>
        </w:rPr>
        <w:t>Los países y las regiones proporcionan información periódica y servicios de alerta temprana sobre amenazas potenciales, conocidas y nuevas</w:t>
      </w:r>
      <w:r w:rsidR="007B121A" w:rsidRPr="00794E6F">
        <w:rPr>
          <w:szCs w:val="24"/>
          <w:lang w:val="es-ES_tradnl"/>
        </w:rPr>
        <w:t>.</w:t>
      </w:r>
    </w:p>
    <w:p w:rsidR="007B121A" w:rsidRPr="00794E6F" w:rsidRDefault="00794E6F" w:rsidP="007B121A">
      <w:pPr>
        <w:pStyle w:val="Prrafodelista"/>
        <w:numPr>
          <w:ilvl w:val="0"/>
          <w:numId w:val="6"/>
        </w:numPr>
        <w:spacing w:after="0"/>
        <w:rPr>
          <w:szCs w:val="24"/>
          <w:lang w:val="es-ES_tradnl"/>
        </w:rPr>
      </w:pPr>
      <w:r w:rsidRPr="00794E6F">
        <w:rPr>
          <w:lang w:val="es-ES_tradnl"/>
        </w:rPr>
        <w:t>Los países reducen los riesgos y la vulnerabilidad de los hogares y las comunidades</w:t>
      </w:r>
      <w:r w:rsidR="007B121A" w:rsidRPr="00794E6F">
        <w:rPr>
          <w:szCs w:val="24"/>
          <w:lang w:val="es-ES_tradnl"/>
        </w:rPr>
        <w:t>.</w:t>
      </w:r>
    </w:p>
    <w:p w:rsidR="007B121A" w:rsidRPr="00505249" w:rsidRDefault="00505249" w:rsidP="007B121A">
      <w:pPr>
        <w:pStyle w:val="Prrafodelista"/>
        <w:numPr>
          <w:ilvl w:val="0"/>
          <w:numId w:val="6"/>
        </w:numPr>
        <w:spacing w:after="0"/>
        <w:rPr>
          <w:szCs w:val="24"/>
          <w:lang w:val="es-ES_tradnl"/>
        </w:rPr>
      </w:pPr>
      <w:r w:rsidRPr="00505249">
        <w:rPr>
          <w:lang w:val="es-ES_tradnl"/>
        </w:rPr>
        <w:t>Los países y regiones afectados por catástrofes y crisis se preparan para ofrecer respuestas eficaces y gestionan dichas respuestas</w:t>
      </w:r>
      <w:r w:rsidR="007B121A" w:rsidRPr="00505249">
        <w:rPr>
          <w:szCs w:val="24"/>
          <w:lang w:val="es-ES_tradnl"/>
        </w:rPr>
        <w:t>.</w:t>
      </w:r>
    </w:p>
    <w:p w:rsidR="007B121A" w:rsidRPr="00505249" w:rsidRDefault="007B121A" w:rsidP="007B121A">
      <w:pPr>
        <w:spacing w:after="0"/>
        <w:rPr>
          <w:szCs w:val="24"/>
          <w:lang w:val="es-ES_tradnl"/>
        </w:rPr>
      </w:pPr>
    </w:p>
    <w:p w:rsidR="00093593" w:rsidRPr="00093593" w:rsidRDefault="00093593" w:rsidP="00093593">
      <w:pPr>
        <w:spacing w:after="0"/>
        <w:rPr>
          <w:b/>
          <w:lang w:val="es-ES_tradnl"/>
        </w:rPr>
      </w:pPr>
      <w:r w:rsidRPr="00093593">
        <w:rPr>
          <w:b/>
          <w:lang w:val="es-ES_tradnl"/>
        </w:rPr>
        <w:t>Objetivo estratégico 6 – Calidad, conocimientos y servicios técnicos</w:t>
      </w:r>
    </w:p>
    <w:p w:rsidR="007B121A" w:rsidRPr="00093593" w:rsidRDefault="007B121A" w:rsidP="007B121A">
      <w:pPr>
        <w:spacing w:after="0"/>
        <w:rPr>
          <w:b/>
          <w:szCs w:val="24"/>
          <w:lang w:val="es-ES_tradnl"/>
        </w:rPr>
      </w:pPr>
    </w:p>
    <w:p w:rsidR="007B121A" w:rsidRPr="00D83F8D" w:rsidRDefault="00093593" w:rsidP="007B121A">
      <w:pPr>
        <w:spacing w:after="0"/>
        <w:rPr>
          <w:b/>
          <w:szCs w:val="24"/>
          <w:lang w:val="en-US"/>
        </w:rPr>
      </w:pPr>
      <w:proofErr w:type="spellStart"/>
      <w:r>
        <w:rPr>
          <w:b/>
          <w:szCs w:val="24"/>
          <w:lang w:val="en-US"/>
        </w:rPr>
        <w:t>Logros</w:t>
      </w:r>
      <w:proofErr w:type="spellEnd"/>
      <w:r w:rsidR="007B121A" w:rsidRPr="00D83F8D">
        <w:rPr>
          <w:b/>
          <w:szCs w:val="24"/>
          <w:lang w:val="en-US"/>
        </w:rPr>
        <w:t xml:space="preserve">: </w:t>
      </w:r>
    </w:p>
    <w:p w:rsidR="007B121A" w:rsidRPr="00D83F8D" w:rsidRDefault="007B121A" w:rsidP="007B121A">
      <w:pPr>
        <w:spacing w:after="0"/>
        <w:rPr>
          <w:b/>
          <w:szCs w:val="24"/>
          <w:lang w:val="en-US"/>
        </w:rPr>
      </w:pPr>
    </w:p>
    <w:p w:rsidR="007B121A" w:rsidRPr="00093593" w:rsidRDefault="00093593" w:rsidP="007B121A">
      <w:pPr>
        <w:pStyle w:val="Prrafodelista"/>
        <w:numPr>
          <w:ilvl w:val="0"/>
          <w:numId w:val="7"/>
        </w:numPr>
        <w:spacing w:after="0"/>
        <w:rPr>
          <w:szCs w:val="24"/>
          <w:lang w:val="es-ES_tradnl"/>
        </w:rPr>
      </w:pPr>
      <w:r w:rsidRPr="00093593">
        <w:rPr>
          <w:lang w:val="es-ES_tradnl"/>
        </w:rPr>
        <w:t>Calidad e integridad de la labor técnica y normativa de la Organización</w:t>
      </w:r>
      <w:r w:rsidR="007B121A" w:rsidRPr="00093593">
        <w:rPr>
          <w:szCs w:val="24"/>
          <w:lang w:val="es-ES_tradnl"/>
        </w:rPr>
        <w:t>.</w:t>
      </w:r>
    </w:p>
    <w:p w:rsidR="007B121A" w:rsidRPr="00093593" w:rsidRDefault="00093593" w:rsidP="007B121A">
      <w:pPr>
        <w:pStyle w:val="Prrafodelista"/>
        <w:numPr>
          <w:ilvl w:val="0"/>
          <w:numId w:val="7"/>
        </w:numPr>
        <w:spacing w:after="0"/>
        <w:rPr>
          <w:szCs w:val="24"/>
          <w:lang w:val="es-ES_tradnl"/>
        </w:rPr>
      </w:pPr>
      <w:r w:rsidRPr="00093593">
        <w:rPr>
          <w:lang w:val="es-ES_tradnl"/>
        </w:rPr>
        <w:t>La capacidad de los países de utilizar, recopilar, analizar y difundir datos resulta fortalecida gracias a métodos mejorados elaborados por la Organización</w:t>
      </w:r>
      <w:r w:rsidR="007B121A" w:rsidRPr="00093593">
        <w:rPr>
          <w:szCs w:val="24"/>
          <w:lang w:val="es-ES_tradnl"/>
        </w:rPr>
        <w:t>.</w:t>
      </w:r>
    </w:p>
    <w:p w:rsidR="007B121A" w:rsidRPr="00093593" w:rsidRDefault="00093593" w:rsidP="007B121A">
      <w:pPr>
        <w:pStyle w:val="Prrafodelista"/>
        <w:numPr>
          <w:ilvl w:val="0"/>
          <w:numId w:val="7"/>
        </w:numPr>
        <w:spacing w:after="0"/>
        <w:rPr>
          <w:szCs w:val="24"/>
          <w:lang w:val="es-ES_tradnl"/>
        </w:rPr>
      </w:pPr>
      <w:r w:rsidRPr="00093593">
        <w:rPr>
          <w:lang w:val="es-ES_tradnl"/>
        </w:rPr>
        <w:t>Servicios de calidad y enfoques coherentes para el trabajo sobre la igualdad de género y la potenciación del papel de la mujer que producen un aumento de la capacidad de los Estados para formular, ejecutar y seguir las políticas y programas que proporcionan igualdad de oportunidades a mujeres y hombres</w:t>
      </w:r>
      <w:r w:rsidR="007B121A" w:rsidRPr="00093593">
        <w:rPr>
          <w:szCs w:val="24"/>
          <w:lang w:val="es-ES_tradnl"/>
        </w:rPr>
        <w:t>.</w:t>
      </w:r>
    </w:p>
    <w:p w:rsidR="007B121A" w:rsidRPr="00093593" w:rsidRDefault="00093593" w:rsidP="007B121A">
      <w:pPr>
        <w:pStyle w:val="Prrafodelista"/>
        <w:numPr>
          <w:ilvl w:val="0"/>
          <w:numId w:val="7"/>
        </w:numPr>
        <w:spacing w:after="0"/>
        <w:rPr>
          <w:szCs w:val="24"/>
          <w:lang w:val="es-ES_tradnl"/>
        </w:rPr>
      </w:pPr>
      <w:r w:rsidRPr="00093593">
        <w:rPr>
          <w:lang w:val="es-ES_tradnl"/>
        </w:rPr>
        <w:t>Servicios de calidad para tratar de forma más eficaz las cuestiones de gobernanza a escala mundial, regional y nacional y en los programas relativos a los OE</w:t>
      </w:r>
      <w:r w:rsidR="007B121A" w:rsidRPr="00093593">
        <w:rPr>
          <w:szCs w:val="24"/>
          <w:lang w:val="es-ES_tradnl"/>
        </w:rPr>
        <w:t>.</w:t>
      </w:r>
    </w:p>
    <w:p w:rsidR="007B121A" w:rsidRPr="00093593" w:rsidRDefault="00093593" w:rsidP="007B121A">
      <w:pPr>
        <w:pStyle w:val="Prrafodelista"/>
        <w:numPr>
          <w:ilvl w:val="0"/>
          <w:numId w:val="7"/>
        </w:numPr>
        <w:spacing w:after="0"/>
        <w:rPr>
          <w:szCs w:val="24"/>
          <w:lang w:val="es-ES_tradnl"/>
        </w:rPr>
      </w:pPr>
      <w:r w:rsidRPr="00093593">
        <w:rPr>
          <w:lang w:val="es-ES_tradnl"/>
        </w:rPr>
        <w:t>Garantía de la calidad y coherencia de la labor de la FAO en materia de nutrición mediante la incorporación de la nutrición en el Marco estratégico y el incremento de la contribución de la Organización a la estructura internacional de la nutrición</w:t>
      </w:r>
      <w:r w:rsidR="007B121A" w:rsidRPr="00093593">
        <w:rPr>
          <w:szCs w:val="24"/>
          <w:lang w:val="es-ES_tradnl"/>
        </w:rPr>
        <w:t>.</w:t>
      </w:r>
    </w:p>
    <w:p w:rsidR="007B121A" w:rsidRPr="00093593" w:rsidRDefault="007B121A" w:rsidP="007B121A">
      <w:pPr>
        <w:spacing w:after="0"/>
        <w:rPr>
          <w:sz w:val="28"/>
          <w:szCs w:val="28"/>
          <w:lang w:val="es-ES_tradnl"/>
        </w:rPr>
      </w:pPr>
    </w:p>
    <w:sectPr w:rsidR="007B121A" w:rsidRPr="00093593" w:rsidSect="00012386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143" w:rsidRDefault="00CB6143">
      <w:pPr>
        <w:spacing w:after="0"/>
      </w:pPr>
      <w:r>
        <w:separator/>
      </w:r>
    </w:p>
  </w:endnote>
  <w:endnote w:type="continuationSeparator" w:id="0">
    <w:p w:rsidR="00CB6143" w:rsidRDefault="00CB61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B0C" w:rsidRPr="009C0B0C" w:rsidRDefault="00012386" w:rsidP="003F76E2">
    <w:pPr>
      <w:rPr>
        <w:lang w:val="en-US"/>
      </w:rPr>
    </w:pPr>
    <w:bookmarkStart w:id="9" w:name="FooterInformationBookmark"/>
    <w:r>
      <w:rPr>
        <w:lang w:val="en-US"/>
      </w:rPr>
      <w:t xml:space="preserve"> </w:t>
    </w:r>
    <w:bookmarkEnd w:id="9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143" w:rsidRDefault="00CB6143">
      <w:pPr>
        <w:spacing w:after="0"/>
      </w:pPr>
      <w:r>
        <w:separator/>
      </w:r>
    </w:p>
  </w:footnote>
  <w:footnote w:type="continuationSeparator" w:id="0">
    <w:p w:rsidR="00CB6143" w:rsidRDefault="00CB61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C1C" w:rsidRPr="001A0BFF" w:rsidRDefault="00012386" w:rsidP="001A0BFF">
    <w:pPr>
      <w:pStyle w:val="Underlined"/>
    </w:pPr>
    <w:r>
      <w:fldChar w:fldCharType="begin"/>
    </w:r>
    <w:r>
      <w:instrText xml:space="preserve"> PAGE  \* Arabic  \* MERGEFORMAT </w:instrText>
    </w:r>
    <w:r>
      <w:fldChar w:fldCharType="separate"/>
    </w:r>
    <w:r w:rsidR="00FD6202">
      <w:rPr>
        <w:noProof/>
      </w:rPr>
      <w:t>4</w:t>
    </w:r>
    <w:r>
      <w:rPr>
        <w:noProof/>
      </w:rPr>
      <w:fldChar w:fldCharType="end"/>
    </w:r>
    <w:r>
      <w:ptab w:relativeTo="margin" w:alignment="right" w:leader="none"/>
    </w:r>
    <w:r w:rsidRPr="00172E88">
      <w:t xml:space="preserve"> </w:t>
    </w:r>
    <w:bookmarkStart w:id="3" w:name="EvenIdentificationBookmark"/>
    <w:r w:rsidR="007B121A">
      <w:t>CCP:HF/JU 15/</w:t>
    </w:r>
    <w:r>
      <w:t xml:space="preserve"> </w:t>
    </w:r>
    <w:bookmarkEnd w:id="3"/>
  </w:p>
  <w:p w:rsidR="003F76E2" w:rsidRPr="00502C1C" w:rsidRDefault="00FD6202" w:rsidP="00502C1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C1C" w:rsidRPr="001A0BFF" w:rsidRDefault="007B121A" w:rsidP="001A0BFF">
    <w:pPr>
      <w:pStyle w:val="Underlined"/>
    </w:pPr>
    <w:bookmarkStart w:id="4" w:name="OddIdentificationBookmark"/>
    <w:r>
      <w:t>CCP:HF/JU 15/</w:t>
    </w:r>
    <w:r w:rsidR="00012386">
      <w:t xml:space="preserve"> </w:t>
    </w:r>
    <w:bookmarkEnd w:id="4"/>
    <w:r w:rsidR="00012386">
      <w:ptab w:relativeTo="margin" w:alignment="right" w:leader="none"/>
    </w:r>
    <w:r w:rsidR="00012386">
      <w:fldChar w:fldCharType="begin"/>
    </w:r>
    <w:r w:rsidR="00012386">
      <w:instrText xml:space="preserve"> PAGE  \* Arabic  \* MERGEFORMAT </w:instrText>
    </w:r>
    <w:r w:rsidR="00012386">
      <w:fldChar w:fldCharType="separate"/>
    </w:r>
    <w:r w:rsidR="00FD6202">
      <w:rPr>
        <w:noProof/>
      </w:rPr>
      <w:t>3</w:t>
    </w:r>
    <w:r w:rsidR="00012386">
      <w:rPr>
        <w:noProof/>
      </w:rPr>
      <w:fldChar w:fldCharType="end"/>
    </w:r>
  </w:p>
  <w:p w:rsidR="001A0BFF" w:rsidRPr="00502C1C" w:rsidRDefault="00FD6202" w:rsidP="00502C1C">
    <w:pPr>
      <w:pStyle w:val="Encabezado"/>
      <w:rPr>
        <w:rStyle w:val="Nmerodepgi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D6E" w:rsidRPr="00734C44" w:rsidRDefault="00FD6202" w:rsidP="00734C44">
    <w:pPr>
      <w:pStyle w:val="LanguageSymbol"/>
      <w:framePr w:wrap="around"/>
    </w:pPr>
    <w:bookmarkStart w:id="5" w:name="LanguageSymbolBookmark"/>
    <w:r>
      <w:t>S</w:t>
    </w:r>
  </w:p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6"/>
    </w:tblGrid>
    <w:tr w:rsidR="008E01CD" w:rsidTr="001918B1">
      <w:trPr>
        <w:jc w:val="center"/>
      </w:trPr>
      <w:tc>
        <w:tcPr>
          <w:tcW w:w="2500" w:type="pct"/>
          <w:noWrap/>
          <w:tcMar>
            <w:left w:w="0" w:type="dxa"/>
          </w:tcMar>
        </w:tcPr>
        <w:p w:rsidR="008E01CD" w:rsidRDefault="0078197B" w:rsidP="00F2216D">
          <w:bookmarkStart w:id="6" w:name="PublicationDateBookmark"/>
          <w:bookmarkEnd w:id="5"/>
          <w:r>
            <w:t>November</w:t>
          </w:r>
          <w:r w:rsidR="00012386">
            <w:t xml:space="preserve"> 2015 </w:t>
          </w:r>
          <w:bookmarkEnd w:id="6"/>
        </w:p>
      </w:tc>
      <w:tc>
        <w:tcPr>
          <w:tcW w:w="2500" w:type="pct"/>
          <w:noWrap/>
          <w:tcMar>
            <w:right w:w="0" w:type="dxa"/>
          </w:tcMar>
        </w:tcPr>
        <w:p w:rsidR="008E01CD" w:rsidRDefault="00232BA8" w:rsidP="00232BA8">
          <w:pPr>
            <w:jc w:val="center"/>
          </w:pPr>
          <w:bookmarkStart w:id="7" w:name="FirstCoverIdentificationBookmark"/>
          <w:r>
            <w:tab/>
          </w:r>
          <w:r>
            <w:tab/>
          </w:r>
          <w:r>
            <w:tab/>
          </w:r>
          <w:r w:rsidR="0078197B">
            <w:t>CCP:HF/JU 15/</w:t>
          </w:r>
          <w:bookmarkEnd w:id="7"/>
          <w:r>
            <w:t>CRS 4</w:t>
          </w:r>
        </w:p>
      </w:tc>
    </w:tr>
  </w:tbl>
  <w:p w:rsidR="00AE4D6E" w:rsidRPr="008E01CD" w:rsidRDefault="00FD6202" w:rsidP="008E01CD">
    <w:pPr>
      <w:pBdr>
        <w:bottom w:val="single" w:sz="12" w:space="0" w:color="auto"/>
      </w:pBdr>
      <w:contextualSpacing/>
      <w:rPr>
        <w:sz w:val="4"/>
      </w:rPr>
    </w:pPr>
  </w:p>
  <w:p w:rsidR="00DF0451" w:rsidRDefault="00012386" w:rsidP="008E01CD">
    <w:pPr>
      <w:jc w:val="center"/>
    </w:pPr>
    <w:bookmarkStart w:id="8" w:name="LogoBookmark"/>
    <w:r>
      <w:rPr>
        <w:noProof/>
        <w:lang w:val="es-CO" w:eastAsia="es-CO"/>
      </w:rPr>
      <w:drawing>
        <wp:inline distT="0" distB="0" distL="0" distR="0" wp14:anchorId="04BD3918" wp14:editId="6A440F5B">
          <wp:extent cx="5760085" cy="79438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D427C"/>
    <w:multiLevelType w:val="hybridMultilevel"/>
    <w:tmpl w:val="C0EA8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328DA"/>
    <w:multiLevelType w:val="hybridMultilevel"/>
    <w:tmpl w:val="292CB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B568A"/>
    <w:multiLevelType w:val="hybridMultilevel"/>
    <w:tmpl w:val="A6C2D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3201C"/>
    <w:multiLevelType w:val="hybridMultilevel"/>
    <w:tmpl w:val="285822F0"/>
    <w:lvl w:ilvl="0" w:tplc="9870A3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B42AA"/>
    <w:multiLevelType w:val="hybridMultilevel"/>
    <w:tmpl w:val="A6C2D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42633"/>
    <w:multiLevelType w:val="hybridMultilevel"/>
    <w:tmpl w:val="DE5050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E02DD"/>
    <w:multiLevelType w:val="hybridMultilevel"/>
    <w:tmpl w:val="AD1A6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86"/>
    <w:rsid w:val="00012386"/>
    <w:rsid w:val="000345FD"/>
    <w:rsid w:val="00083E80"/>
    <w:rsid w:val="00093593"/>
    <w:rsid w:val="000D3ACA"/>
    <w:rsid w:val="0017701B"/>
    <w:rsid w:val="00232BA8"/>
    <w:rsid w:val="004F0236"/>
    <w:rsid w:val="00505249"/>
    <w:rsid w:val="00551BAD"/>
    <w:rsid w:val="00553F4A"/>
    <w:rsid w:val="007532B7"/>
    <w:rsid w:val="0078197B"/>
    <w:rsid w:val="00794E6F"/>
    <w:rsid w:val="007B121A"/>
    <w:rsid w:val="00842033"/>
    <w:rsid w:val="0093511E"/>
    <w:rsid w:val="009D22C4"/>
    <w:rsid w:val="00A04448"/>
    <w:rsid w:val="00A54EA5"/>
    <w:rsid w:val="00AC64A9"/>
    <w:rsid w:val="00BE2F48"/>
    <w:rsid w:val="00CB6143"/>
    <w:rsid w:val="00DC60D2"/>
    <w:rsid w:val="00EA01A6"/>
    <w:rsid w:val="00EE3936"/>
    <w:rsid w:val="00F45044"/>
    <w:rsid w:val="00FD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3E5D77E8-4653-4DA3-85BC-61D41A50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12386"/>
    <w:pPr>
      <w:spacing w:line="240" w:lineRule="auto"/>
    </w:pPr>
    <w:rPr>
      <w:rFonts w:ascii="Times New Roman" w:hAnsi="Times New Roman" w:cs="Akhbar MT"/>
      <w:szCs w:val="3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2386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2386"/>
    <w:rPr>
      <w:rFonts w:ascii="Times New Roman" w:hAnsi="Times New Roman" w:cs="Akhbar MT"/>
      <w:szCs w:val="30"/>
      <w:lang w:val="en-GB"/>
    </w:rPr>
  </w:style>
  <w:style w:type="paragraph" w:customStyle="1" w:styleId="Note">
    <w:name w:val="Note"/>
    <w:basedOn w:val="Normal"/>
    <w:link w:val="NoteChar"/>
    <w:autoRedefine/>
    <w:qFormat/>
    <w:rsid w:val="00012386"/>
    <w:pPr>
      <w:pBdr>
        <w:top w:val="single" w:sz="4" w:space="0" w:color="auto"/>
      </w:pBdr>
      <w:jc w:val="center"/>
    </w:pPr>
    <w:rPr>
      <w:i/>
      <w:sz w:val="20"/>
      <w:szCs w:val="28"/>
    </w:rPr>
  </w:style>
  <w:style w:type="character" w:customStyle="1" w:styleId="NoteChar">
    <w:name w:val="Note Char"/>
    <w:basedOn w:val="Fuentedeprrafopredeter"/>
    <w:link w:val="Note"/>
    <w:rsid w:val="00012386"/>
    <w:rPr>
      <w:rFonts w:ascii="Times New Roman" w:hAnsi="Times New Roman" w:cs="Akhbar MT"/>
      <w:i/>
      <w:sz w:val="20"/>
      <w:szCs w:val="28"/>
      <w:lang w:val="en-GB"/>
    </w:rPr>
  </w:style>
  <w:style w:type="paragraph" w:customStyle="1" w:styleId="DocTitle">
    <w:name w:val="DocTitle"/>
    <w:basedOn w:val="Normal"/>
    <w:link w:val="DocTitleChar"/>
    <w:qFormat/>
    <w:rsid w:val="00012386"/>
    <w:pPr>
      <w:spacing w:before="240" w:after="360"/>
      <w:jc w:val="center"/>
    </w:pPr>
    <w:rPr>
      <w:bCs/>
      <w:color w:val="7F7F7F" w:themeColor="text1" w:themeTint="80"/>
      <w:sz w:val="56"/>
      <w:szCs w:val="72"/>
    </w:rPr>
  </w:style>
  <w:style w:type="character" w:customStyle="1" w:styleId="DocTitleChar">
    <w:name w:val="DocTitle Char"/>
    <w:basedOn w:val="Fuentedeprrafopredeter"/>
    <w:link w:val="DocTitle"/>
    <w:rsid w:val="00012386"/>
    <w:rPr>
      <w:rFonts w:ascii="Times New Roman" w:hAnsi="Times New Roman" w:cs="Akhbar MT"/>
      <w:bCs/>
      <w:color w:val="7F7F7F" w:themeColor="text1" w:themeTint="80"/>
      <w:sz w:val="56"/>
      <w:szCs w:val="72"/>
      <w:lang w:val="en-GB"/>
    </w:rPr>
  </w:style>
  <w:style w:type="paragraph" w:customStyle="1" w:styleId="SummaryBoxText">
    <w:name w:val="Summary Box Text"/>
    <w:basedOn w:val="Normal"/>
    <w:link w:val="SummaryBoxTextChar"/>
    <w:qFormat/>
    <w:rsid w:val="00012386"/>
    <w:pPr>
      <w:spacing w:line="360" w:lineRule="auto"/>
    </w:pPr>
  </w:style>
  <w:style w:type="character" w:customStyle="1" w:styleId="SummaryBoxTextChar">
    <w:name w:val="Summary Box Text Char"/>
    <w:basedOn w:val="Fuentedeprrafopredeter"/>
    <w:link w:val="SummaryBoxText"/>
    <w:rsid w:val="00012386"/>
    <w:rPr>
      <w:rFonts w:ascii="Times New Roman" w:hAnsi="Times New Roman" w:cs="Akhbar MT"/>
      <w:szCs w:val="30"/>
      <w:lang w:val="en-GB"/>
    </w:rPr>
  </w:style>
  <w:style w:type="paragraph" w:customStyle="1" w:styleId="Underlined">
    <w:name w:val="Underlined"/>
    <w:basedOn w:val="Normal"/>
    <w:link w:val="UnderlinedChar"/>
    <w:qFormat/>
    <w:rsid w:val="00012386"/>
    <w:pPr>
      <w:pBdr>
        <w:bottom w:val="single" w:sz="12" w:space="1" w:color="auto"/>
      </w:pBdr>
    </w:pPr>
  </w:style>
  <w:style w:type="character" w:customStyle="1" w:styleId="UnderlinedChar">
    <w:name w:val="Underlined Char"/>
    <w:basedOn w:val="Fuentedeprrafopredeter"/>
    <w:link w:val="Underlined"/>
    <w:rsid w:val="00012386"/>
    <w:rPr>
      <w:rFonts w:ascii="Times New Roman" w:hAnsi="Times New Roman" w:cs="Akhbar MT"/>
      <w:szCs w:val="30"/>
      <w:lang w:val="en-GB"/>
    </w:rPr>
  </w:style>
  <w:style w:type="paragraph" w:customStyle="1" w:styleId="MeetingInfo">
    <w:name w:val="MeetingInfo"/>
    <w:basedOn w:val="Normal"/>
    <w:link w:val="MeetingInfoChar"/>
    <w:qFormat/>
    <w:rsid w:val="00012386"/>
    <w:pPr>
      <w:pBdr>
        <w:top w:val="single" w:sz="8" w:space="6" w:color="auto"/>
        <w:left w:val="single" w:sz="8" w:space="0" w:color="auto"/>
        <w:bottom w:val="single" w:sz="8" w:space="6" w:color="auto"/>
        <w:right w:val="single" w:sz="8" w:space="0" w:color="auto"/>
        <w:between w:val="single" w:sz="8" w:space="6" w:color="auto"/>
        <w:bar w:val="single" w:sz="8" w:color="auto"/>
      </w:pBdr>
      <w:jc w:val="center"/>
    </w:pPr>
    <w:rPr>
      <w:rFonts w:ascii="Times New Roman Bold" w:hAnsi="Times New Roman Bold"/>
      <w:b/>
      <w:bCs/>
      <w:sz w:val="28"/>
      <w:szCs w:val="36"/>
    </w:rPr>
  </w:style>
  <w:style w:type="character" w:customStyle="1" w:styleId="MeetingInfoChar">
    <w:name w:val="MeetingInfo Char"/>
    <w:basedOn w:val="Fuentedeprrafopredeter"/>
    <w:link w:val="MeetingInfo"/>
    <w:rsid w:val="00012386"/>
    <w:rPr>
      <w:rFonts w:ascii="Times New Roman Bold" w:hAnsi="Times New Roman Bold" w:cs="Akhbar MT"/>
      <w:b/>
      <w:bCs/>
      <w:sz w:val="28"/>
      <w:szCs w:val="36"/>
      <w:lang w:val="en-GB"/>
    </w:rPr>
  </w:style>
  <w:style w:type="paragraph" w:customStyle="1" w:styleId="Hidden">
    <w:name w:val="Hidden"/>
    <w:basedOn w:val="Normal"/>
    <w:link w:val="HiddenChar"/>
    <w:qFormat/>
    <w:rsid w:val="00012386"/>
    <w:pPr>
      <w:spacing w:line="20" w:lineRule="exact"/>
    </w:pPr>
    <w:rPr>
      <w:sz w:val="2"/>
    </w:rPr>
  </w:style>
  <w:style w:type="character" w:customStyle="1" w:styleId="HiddenChar">
    <w:name w:val="Hidden Char"/>
    <w:basedOn w:val="Fuentedeprrafopredeter"/>
    <w:link w:val="Hidden"/>
    <w:rsid w:val="00012386"/>
    <w:rPr>
      <w:rFonts w:ascii="Times New Roman" w:hAnsi="Times New Roman" w:cs="Akhbar MT"/>
      <w:sz w:val="2"/>
      <w:szCs w:val="30"/>
      <w:lang w:val="en-GB"/>
    </w:rPr>
  </w:style>
  <w:style w:type="paragraph" w:customStyle="1" w:styleId="LanguageSymbol">
    <w:name w:val="LanguageSymbol"/>
    <w:basedOn w:val="Normal"/>
    <w:link w:val="LanguageSymbolChar"/>
    <w:qFormat/>
    <w:rsid w:val="00012386"/>
    <w:pPr>
      <w:framePr w:h="655" w:hRule="exact" w:hSpace="181" w:wrap="around" w:vAnchor="page" w:hAnchor="page" w:x="10667" w:y="899"/>
    </w:pPr>
    <w:rPr>
      <w:b/>
      <w:color w:val="808080"/>
      <w:sz w:val="56"/>
      <w:szCs w:val="56"/>
    </w:rPr>
  </w:style>
  <w:style w:type="character" w:customStyle="1" w:styleId="LanguageSymbolChar">
    <w:name w:val="LanguageSymbol Char"/>
    <w:basedOn w:val="Fuentedeprrafopredeter"/>
    <w:link w:val="LanguageSymbol"/>
    <w:rsid w:val="00012386"/>
    <w:rPr>
      <w:rFonts w:ascii="Times New Roman" w:hAnsi="Times New Roman" w:cs="Akhbar MT"/>
      <w:b/>
      <w:color w:val="808080"/>
      <w:sz w:val="56"/>
      <w:szCs w:val="56"/>
      <w:lang w:val="en-GB"/>
    </w:rPr>
  </w:style>
  <w:style w:type="table" w:styleId="Tablaconcuadrcula">
    <w:name w:val="Table Grid"/>
    <w:basedOn w:val="Tablanormal"/>
    <w:uiPriority w:val="59"/>
    <w:rsid w:val="00012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012386"/>
  </w:style>
  <w:style w:type="paragraph" w:styleId="Textodeglobo">
    <w:name w:val="Balloon Text"/>
    <w:basedOn w:val="Normal"/>
    <w:link w:val="TextodegloboCar"/>
    <w:uiPriority w:val="99"/>
    <w:semiHidden/>
    <w:unhideWhenUsed/>
    <w:rsid w:val="0001238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386"/>
    <w:rPr>
      <w:rFonts w:ascii="Tahoma" w:hAnsi="Tahoma" w:cs="Tahoma"/>
      <w:sz w:val="16"/>
      <w:szCs w:val="16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BE2F48"/>
    <w:pPr>
      <w:tabs>
        <w:tab w:val="center" w:pos="4513"/>
        <w:tab w:val="right" w:pos="9026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F48"/>
    <w:rPr>
      <w:rFonts w:ascii="Times New Roman" w:hAnsi="Times New Roman" w:cs="Akhbar MT"/>
      <w:szCs w:val="30"/>
      <w:lang w:val="en-GB"/>
    </w:rPr>
  </w:style>
  <w:style w:type="paragraph" w:styleId="Prrafodelista">
    <w:name w:val="List Paragraph"/>
    <w:basedOn w:val="Normal"/>
    <w:uiPriority w:val="34"/>
    <w:qFormat/>
    <w:rsid w:val="007B1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1477</Words>
  <Characters>8129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9587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Giordano DiNicola (CPAM)</dc:creator>
  <cp:lastModifiedBy>Maria Lucrecia  Sarmiento Vanegas</cp:lastModifiedBy>
  <cp:revision>20</cp:revision>
  <cp:lastPrinted>2015-11-26T13:42:00Z</cp:lastPrinted>
  <dcterms:created xsi:type="dcterms:W3CDTF">2015-11-26T01:35:00Z</dcterms:created>
  <dcterms:modified xsi:type="dcterms:W3CDTF">2015-11-26T13:42:00Z</dcterms:modified>
</cp:coreProperties>
</file>