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386" w:rsidRPr="0073685B" w:rsidRDefault="00012386" w:rsidP="00530067">
      <w:pPr>
        <w:pStyle w:val="Hidden"/>
        <w:spacing w:after="0" w:line="240" w:lineRule="auto"/>
      </w:pPr>
      <w:bookmarkStart w:id="0" w:name="_GoBack"/>
      <w:bookmarkEnd w:id="0"/>
    </w:p>
    <w:p w:rsidR="00012386" w:rsidRPr="003F76E2" w:rsidRDefault="00012386" w:rsidP="00530067">
      <w:pPr>
        <w:pStyle w:val="DocTitle"/>
        <w:spacing w:before="0" w:after="0"/>
        <w:jc w:val="left"/>
      </w:pPr>
      <w:bookmarkStart w:id="1" w:name="CoverTitleBookmark"/>
      <w:bookmarkStart w:id="2" w:name="CoverBookmark"/>
      <w:r>
        <w:rPr>
          <w:smallCaps/>
        </w:rPr>
        <w:t>Committee on Co</w:t>
      </w:r>
      <w:r w:rsidR="0078197B">
        <w:rPr>
          <w:smallCaps/>
        </w:rPr>
        <w:t>mmodity Problem</w:t>
      </w:r>
      <w:r>
        <w:rPr>
          <w:smallCaps/>
        </w:rPr>
        <w:t>s</w:t>
      </w:r>
    </w:p>
    <w:bookmarkEnd w:id="2" w:displacedByCustomXml="next"/>
    <w:bookmarkEnd w:id="1" w:displacedByCustomXml="next"/>
    <w:sdt>
      <w:sdtPr>
        <w:alias w:val="Meeting Information"/>
        <w:tag w:val="Meeting Information"/>
        <w:id w:val="8308208"/>
      </w:sdtPr>
      <w:sdtContent>
        <w:p w:rsidR="002116A8" w:rsidRDefault="002116A8" w:rsidP="00EE5E8C">
          <w:pPr>
            <w:pStyle w:val="MeetingInfo"/>
            <w:spacing w:after="0"/>
          </w:pPr>
          <w:r w:rsidRPr="00F56629">
            <w:t xml:space="preserve">INTERGOVERNMENTAL GROUP ON </w:t>
          </w:r>
          <w:r>
            <w:t>TEA</w:t>
          </w:r>
        </w:p>
        <w:p w:rsidR="002116A8" w:rsidRDefault="002116A8" w:rsidP="00EE5E8C">
          <w:pPr>
            <w:pStyle w:val="MeetingInfo"/>
            <w:spacing w:after="0"/>
          </w:pPr>
          <w:r>
            <w:t>Twenty-second Session</w:t>
          </w:r>
        </w:p>
        <w:p w:rsidR="002116A8" w:rsidRDefault="00C867A0" w:rsidP="00EE5E8C">
          <w:pPr>
            <w:pStyle w:val="MeetingInfo"/>
            <w:spacing w:after="0"/>
          </w:pPr>
          <w:proofErr w:type="spellStart"/>
          <w:r>
            <w:t>Naivasha</w:t>
          </w:r>
          <w:proofErr w:type="spellEnd"/>
          <w:r>
            <w:t>, Kenya, 25-27 May 2016</w:t>
          </w:r>
        </w:p>
        <w:p w:rsidR="002116A8" w:rsidRPr="00F56629" w:rsidRDefault="00710386" w:rsidP="00EE5E8C">
          <w:pPr>
            <w:pStyle w:val="MeetingInfo"/>
            <w:spacing w:after="0"/>
          </w:pPr>
          <w:r>
            <w:rPr>
              <w:rFonts w:ascii="Times New Roman" w:hAnsi="Times New Roman" w:cs="Times New Roman"/>
            </w:rPr>
            <w:t xml:space="preserve">REPORT OF THE WORKING GROUP ON MAXIMUM RESIDUE LEVELS (MRLS) AND MRLS IN THE BREW </w:t>
          </w:r>
          <w:r>
            <w:rPr>
              <w:rFonts w:ascii="Times New Roman" w:hAnsi="Times New Roman" w:cs="Times New Roman"/>
            </w:rPr>
            <w:br/>
            <w:t>(</w:t>
          </w:r>
          <w:r w:rsidRPr="008F3029">
            <w:t>BASED ON FEEDBACK FROM INDIA, UK, US, CHINA AND CANADA</w:t>
          </w:r>
          <w:r>
            <w:t>)</w:t>
          </w:r>
          <w:r w:rsidR="002144A5">
            <w:t xml:space="preserve"> </w:t>
          </w:r>
        </w:p>
      </w:sdtContent>
    </w:sdt>
    <w:p w:rsidR="00687F71" w:rsidRDefault="00687F71" w:rsidP="00530067">
      <w:pPr>
        <w:spacing w:after="0"/>
      </w:pPr>
    </w:p>
    <w:p w:rsidR="00710386" w:rsidRPr="005802C4" w:rsidRDefault="00710386" w:rsidP="00710386">
      <w:pPr>
        <w:pStyle w:val="Heading1"/>
        <w:numPr>
          <w:ilvl w:val="0"/>
          <w:numId w:val="0"/>
        </w:numPr>
        <w:ind w:left="1"/>
        <w:jc w:val="left"/>
        <w:rPr>
          <w:sz w:val="22"/>
        </w:rPr>
      </w:pPr>
      <w:r w:rsidRPr="005802C4">
        <w:rPr>
          <w:sz w:val="22"/>
        </w:rPr>
        <w:t>Background</w:t>
      </w:r>
    </w:p>
    <w:p w:rsidR="00710386" w:rsidRDefault="00710386" w:rsidP="00710386">
      <w:pPr>
        <w:pStyle w:val="NewPara"/>
        <w:numPr>
          <w:ilvl w:val="0"/>
          <w:numId w:val="0"/>
        </w:numPr>
      </w:pPr>
      <w:r>
        <w:t xml:space="preserve">The </w:t>
      </w:r>
      <w:r w:rsidRPr="00B273BB">
        <w:t>Working Group (WG) on MRLs in Tea</w:t>
      </w:r>
      <w:r>
        <w:t xml:space="preserve"> was constituted in the </w:t>
      </w:r>
      <w:r w:rsidRPr="00B273BB">
        <w:t xml:space="preserve">Bali Meeting </w:t>
      </w:r>
      <w:r>
        <w:t>of t</w:t>
      </w:r>
      <w:r w:rsidRPr="00B273BB">
        <w:t xml:space="preserve">he FAO-IGG on Tea in </w:t>
      </w:r>
      <w:r>
        <w:t>2</w:t>
      </w:r>
      <w:r w:rsidRPr="00B273BB">
        <w:t xml:space="preserve">005 to assist data generation </w:t>
      </w:r>
      <w:r>
        <w:t xml:space="preserve">and submission as </w:t>
      </w:r>
      <w:r w:rsidRPr="00B273BB">
        <w:t>required for fixation of MRLs of pesticides in tea.</w:t>
      </w:r>
      <w:r>
        <w:t xml:space="preserve">  S</w:t>
      </w:r>
      <w:r w:rsidRPr="00B273BB">
        <w:t xml:space="preserve">ince </w:t>
      </w:r>
      <w:r>
        <w:t xml:space="preserve">the </w:t>
      </w:r>
      <w:r w:rsidRPr="00B273BB">
        <w:t>1990’s</w:t>
      </w:r>
      <w:r>
        <w:t>, p</w:t>
      </w:r>
      <w:r w:rsidRPr="00B273BB">
        <w:t>esticide residues in tea has been a major non-tariff trade barrier affecting</w:t>
      </w:r>
      <w:r>
        <w:t xml:space="preserve"> tea trade globally</w:t>
      </w:r>
      <w:r w:rsidRPr="00B273BB">
        <w:t xml:space="preserve">. </w:t>
      </w:r>
      <w:r>
        <w:t xml:space="preserve">The problem was due mostly to </w:t>
      </w:r>
      <w:r w:rsidRPr="00B273BB">
        <w:t>certain default MRLs set at analytical detection limits</w:t>
      </w:r>
      <w:r>
        <w:t xml:space="preserve"> and the only way to tackle this problem was to help </w:t>
      </w:r>
      <w:r w:rsidRPr="00B273BB">
        <w:t>fix realistic MRLs which w</w:t>
      </w:r>
      <w:r>
        <w:t>ould</w:t>
      </w:r>
      <w:r w:rsidRPr="00B273BB">
        <w:t xml:space="preserve"> be acceptable to all stakeholders </w:t>
      </w:r>
      <w:r>
        <w:t xml:space="preserve">in order </w:t>
      </w:r>
      <w:r w:rsidRPr="00B273BB">
        <w:t xml:space="preserve">to ensure </w:t>
      </w:r>
      <w:r>
        <w:t xml:space="preserve">food safety as well as </w:t>
      </w:r>
      <w:r w:rsidRPr="00B273BB">
        <w:t>smooth tea trade globally.</w:t>
      </w:r>
    </w:p>
    <w:p w:rsidR="00710386" w:rsidRDefault="00710386" w:rsidP="00710386">
      <w:pPr>
        <w:pStyle w:val="NewPara"/>
        <w:numPr>
          <w:ilvl w:val="0"/>
          <w:numId w:val="0"/>
        </w:numPr>
      </w:pPr>
      <w:r>
        <w:t xml:space="preserve">At the </w:t>
      </w:r>
      <w:r w:rsidRPr="00B273BB">
        <w:t xml:space="preserve">first meeting </w:t>
      </w:r>
      <w:r>
        <w:t xml:space="preserve">of the WG in Kolkata </w:t>
      </w:r>
      <w:r w:rsidRPr="00B273BB">
        <w:t xml:space="preserve">a roadmap </w:t>
      </w:r>
      <w:r>
        <w:t xml:space="preserve">was prepared </w:t>
      </w:r>
      <w:r w:rsidRPr="00B273BB">
        <w:t xml:space="preserve">to work on 24 pesticides selected </w:t>
      </w:r>
      <w:r>
        <w:t xml:space="preserve">the </w:t>
      </w:r>
      <w:r w:rsidRPr="00B273BB">
        <w:t>on basis of gl</w:t>
      </w:r>
      <w:r>
        <w:t>o</w:t>
      </w:r>
      <w:r w:rsidRPr="00B273BB">
        <w:t>bal use pattern</w:t>
      </w:r>
      <w:r>
        <w:t xml:space="preserve">. The objective was </w:t>
      </w:r>
      <w:r w:rsidRPr="00B273BB">
        <w:t xml:space="preserve">to generate data for fixing Codex MRLs as well as to use the data for fixing national </w:t>
      </w:r>
      <w:r>
        <w:t>MRLs which may lead to harmonization</w:t>
      </w:r>
      <w:r w:rsidRPr="00B273BB">
        <w:t xml:space="preserve">. Since then Codex MRLs in tea were fixed for </w:t>
      </w:r>
      <w:r>
        <w:t>17 pesticides and</w:t>
      </w:r>
      <w:r w:rsidRPr="00B273BB">
        <w:t xml:space="preserve"> the work of this i</w:t>
      </w:r>
      <w:r>
        <w:t>n</w:t>
      </w:r>
      <w:r w:rsidRPr="00B273BB">
        <w:t>it</w:t>
      </w:r>
      <w:r>
        <w:t>ia</w:t>
      </w:r>
      <w:r w:rsidRPr="00B273BB">
        <w:t>tive contributed</w:t>
      </w:r>
      <w:r>
        <w:t xml:space="preserve"> to this process</w:t>
      </w:r>
      <w:r w:rsidRPr="00B273BB">
        <w:t xml:space="preserve">. </w:t>
      </w:r>
    </w:p>
    <w:p w:rsidR="00710386" w:rsidRPr="00B273BB" w:rsidRDefault="00710386" w:rsidP="00710386">
      <w:pPr>
        <w:pStyle w:val="NewPara"/>
        <w:numPr>
          <w:ilvl w:val="0"/>
          <w:numId w:val="0"/>
        </w:numPr>
      </w:pPr>
      <w:r>
        <w:t xml:space="preserve">At the </w:t>
      </w:r>
      <w:proofErr w:type="gramStart"/>
      <w:r>
        <w:t>21</w:t>
      </w:r>
      <w:r w:rsidRPr="00AB22A0">
        <w:rPr>
          <w:vertAlign w:val="superscript"/>
        </w:rPr>
        <w:t>st</w:t>
      </w:r>
      <w:r w:rsidRPr="00B273BB">
        <w:t>session</w:t>
      </w:r>
      <w:r>
        <w:t>of  FAO</w:t>
      </w:r>
      <w:proofErr w:type="gramEnd"/>
      <w:r>
        <w:t xml:space="preserve">-IGG on Tea </w:t>
      </w:r>
      <w:r w:rsidRPr="00B273BB">
        <w:t xml:space="preserve">held </w:t>
      </w:r>
      <w:r>
        <w:t>o</w:t>
      </w:r>
      <w:r w:rsidRPr="00B273BB">
        <w:t xml:space="preserve">n </w:t>
      </w:r>
      <w:r>
        <w:t>5-7 November</w:t>
      </w:r>
      <w:r w:rsidRPr="00B273BB">
        <w:t xml:space="preserve"> 2014 </w:t>
      </w:r>
      <w:r>
        <w:t>at Bandung, Indonesia it was observed that there was much  scope of data submission for additional pesticide</w:t>
      </w:r>
      <w:r w:rsidRPr="00B273BB">
        <w:t>s by member states simultaneously through their national codex contact points.</w:t>
      </w:r>
    </w:p>
    <w:p w:rsidR="00710386" w:rsidRDefault="00710386" w:rsidP="00710386">
      <w:pPr>
        <w:pStyle w:val="NewPara"/>
        <w:numPr>
          <w:ilvl w:val="0"/>
          <w:numId w:val="0"/>
        </w:numPr>
      </w:pPr>
      <w:r>
        <w:t>T</w:t>
      </w:r>
      <w:r w:rsidRPr="00B273BB">
        <w:t xml:space="preserve">he </w:t>
      </w:r>
      <w:r>
        <w:t xml:space="preserve">residues </w:t>
      </w:r>
      <w:r w:rsidRPr="00B273BB">
        <w:t xml:space="preserve">data </w:t>
      </w:r>
      <w:r>
        <w:t xml:space="preserve">generated </w:t>
      </w:r>
      <w:r w:rsidRPr="00B273BB">
        <w:t>also served as the basis for fixation of several national and international MRLs</w:t>
      </w:r>
      <w:r>
        <w:t>. The</w:t>
      </w:r>
      <w:r w:rsidRPr="00B273BB">
        <w:t xml:space="preserve"> Codex MRLs for some compounds were later adopted by EU. Today there are CODEX and EU comparable MRLs for a number of compounds in Tea as shown below:</w:t>
      </w:r>
    </w:p>
    <w:p w:rsidR="00710386" w:rsidRDefault="00710386" w:rsidP="00710386">
      <w:pPr>
        <w:spacing w:line="276" w:lineRule="auto"/>
      </w:pPr>
      <w:r>
        <w:br w:type="page"/>
      </w:r>
    </w:p>
    <w:tbl>
      <w:tblPr>
        <w:tblW w:w="6840"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2520"/>
        <w:gridCol w:w="2070"/>
      </w:tblGrid>
      <w:tr w:rsidR="00710386" w:rsidRPr="00710386" w:rsidTr="00710386">
        <w:tc>
          <w:tcPr>
            <w:tcW w:w="2250"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b/>
                <w:sz w:val="20"/>
                <w:szCs w:val="20"/>
                <w:lang w:eastAsia="en-GB"/>
              </w:rPr>
            </w:pPr>
            <w:r w:rsidRPr="00710386">
              <w:rPr>
                <w:rFonts w:eastAsiaTheme="minorEastAsia" w:cs="Times New Roman"/>
                <w:b/>
                <w:sz w:val="20"/>
                <w:szCs w:val="20"/>
                <w:lang w:eastAsia="en-GB"/>
              </w:rPr>
              <w:lastRenderedPageBreak/>
              <w:t>Pesticides</w:t>
            </w:r>
          </w:p>
        </w:tc>
        <w:tc>
          <w:tcPr>
            <w:tcW w:w="2520"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b/>
                <w:sz w:val="20"/>
                <w:szCs w:val="20"/>
                <w:lang w:eastAsia="en-GB"/>
              </w:rPr>
            </w:pPr>
            <w:r w:rsidRPr="00710386">
              <w:rPr>
                <w:rFonts w:eastAsiaTheme="minorEastAsia" w:cs="Times New Roman"/>
                <w:b/>
                <w:sz w:val="20"/>
                <w:szCs w:val="20"/>
                <w:lang w:eastAsia="en-GB"/>
              </w:rPr>
              <w:t xml:space="preserve">CODEX MRL (mg/kg) </w:t>
            </w:r>
          </w:p>
        </w:tc>
        <w:tc>
          <w:tcPr>
            <w:tcW w:w="2070"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b/>
                <w:sz w:val="20"/>
                <w:szCs w:val="20"/>
                <w:lang w:eastAsia="en-GB"/>
              </w:rPr>
            </w:pPr>
            <w:r w:rsidRPr="00710386">
              <w:rPr>
                <w:rFonts w:eastAsiaTheme="minorEastAsia" w:cs="Times New Roman"/>
                <w:b/>
                <w:sz w:val="20"/>
                <w:szCs w:val="20"/>
                <w:lang w:eastAsia="en-GB"/>
              </w:rPr>
              <w:t>EU MRL (mg/kg)</w:t>
            </w:r>
          </w:p>
        </w:tc>
      </w:tr>
      <w:tr w:rsidR="00710386" w:rsidRPr="00710386" w:rsidTr="00710386">
        <w:tc>
          <w:tcPr>
            <w:tcW w:w="2250"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 w:val="20"/>
                <w:szCs w:val="20"/>
                <w:lang w:eastAsia="en-GB"/>
              </w:rPr>
            </w:pPr>
            <w:proofErr w:type="spellStart"/>
            <w:r w:rsidRPr="00710386">
              <w:rPr>
                <w:rFonts w:eastAsiaTheme="minorEastAsia" w:cs="Times New Roman"/>
                <w:sz w:val="20"/>
                <w:szCs w:val="20"/>
                <w:lang w:eastAsia="en-GB"/>
              </w:rPr>
              <w:t>Paraquat</w:t>
            </w:r>
            <w:proofErr w:type="spellEnd"/>
          </w:p>
        </w:tc>
        <w:tc>
          <w:tcPr>
            <w:tcW w:w="2520"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jc w:val="center"/>
              <w:rPr>
                <w:rFonts w:eastAsiaTheme="minorEastAsia" w:cs="Times New Roman"/>
                <w:sz w:val="20"/>
                <w:szCs w:val="20"/>
                <w:lang w:eastAsia="en-GB"/>
              </w:rPr>
            </w:pPr>
            <w:r w:rsidRPr="00710386">
              <w:rPr>
                <w:rFonts w:eastAsiaTheme="minorEastAsia" w:cs="Times New Roman"/>
                <w:sz w:val="20"/>
                <w:szCs w:val="20"/>
                <w:lang w:eastAsia="en-GB"/>
              </w:rPr>
              <w:t>0.2</w:t>
            </w:r>
          </w:p>
        </w:tc>
        <w:tc>
          <w:tcPr>
            <w:tcW w:w="2070"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jc w:val="center"/>
              <w:rPr>
                <w:rFonts w:eastAsiaTheme="minorEastAsia" w:cs="Times New Roman"/>
                <w:sz w:val="20"/>
                <w:szCs w:val="20"/>
                <w:lang w:eastAsia="en-GB"/>
              </w:rPr>
            </w:pPr>
            <w:r w:rsidRPr="00710386">
              <w:rPr>
                <w:rFonts w:eastAsiaTheme="minorEastAsia" w:cs="Times New Roman"/>
                <w:sz w:val="20"/>
                <w:szCs w:val="20"/>
                <w:lang w:eastAsia="en-GB"/>
              </w:rPr>
              <w:t>0.05*</w:t>
            </w:r>
          </w:p>
        </w:tc>
      </w:tr>
      <w:tr w:rsidR="00710386" w:rsidRPr="00710386" w:rsidTr="00710386">
        <w:tc>
          <w:tcPr>
            <w:tcW w:w="2250"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 w:val="20"/>
                <w:szCs w:val="20"/>
                <w:lang w:eastAsia="en-GB"/>
              </w:rPr>
            </w:pPr>
            <w:proofErr w:type="spellStart"/>
            <w:r w:rsidRPr="00710386">
              <w:rPr>
                <w:rFonts w:eastAsiaTheme="minorEastAsia" w:cs="Times New Roman"/>
                <w:sz w:val="20"/>
                <w:szCs w:val="20"/>
                <w:lang w:eastAsia="en-GB"/>
              </w:rPr>
              <w:t>Methidathion</w:t>
            </w:r>
            <w:proofErr w:type="spellEnd"/>
          </w:p>
        </w:tc>
        <w:tc>
          <w:tcPr>
            <w:tcW w:w="2520"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jc w:val="center"/>
              <w:rPr>
                <w:rFonts w:eastAsiaTheme="minorEastAsia" w:cs="Times New Roman"/>
                <w:sz w:val="20"/>
                <w:szCs w:val="20"/>
                <w:lang w:eastAsia="en-GB"/>
              </w:rPr>
            </w:pPr>
            <w:r w:rsidRPr="00710386">
              <w:rPr>
                <w:rFonts w:eastAsiaTheme="minorEastAsia" w:cs="Times New Roman"/>
                <w:sz w:val="20"/>
                <w:szCs w:val="20"/>
                <w:lang w:eastAsia="en-GB"/>
              </w:rPr>
              <w:t>0.5</w:t>
            </w:r>
          </w:p>
        </w:tc>
        <w:tc>
          <w:tcPr>
            <w:tcW w:w="2070"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jc w:val="center"/>
              <w:rPr>
                <w:rFonts w:eastAsiaTheme="minorEastAsia" w:cs="Times New Roman"/>
                <w:sz w:val="20"/>
                <w:szCs w:val="20"/>
                <w:lang w:eastAsia="en-GB"/>
              </w:rPr>
            </w:pPr>
            <w:r w:rsidRPr="00710386">
              <w:rPr>
                <w:rFonts w:eastAsiaTheme="minorEastAsia" w:cs="Times New Roman"/>
                <w:sz w:val="20"/>
                <w:szCs w:val="20"/>
                <w:lang w:eastAsia="en-GB"/>
              </w:rPr>
              <w:t>0.1*</w:t>
            </w:r>
          </w:p>
        </w:tc>
      </w:tr>
      <w:tr w:rsidR="00710386" w:rsidRPr="00710386" w:rsidTr="00710386">
        <w:trPr>
          <w:trHeight w:val="287"/>
        </w:trPr>
        <w:tc>
          <w:tcPr>
            <w:tcW w:w="2250"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 w:val="20"/>
                <w:szCs w:val="20"/>
                <w:lang w:eastAsia="en-GB"/>
              </w:rPr>
            </w:pPr>
            <w:proofErr w:type="spellStart"/>
            <w:r w:rsidRPr="00710386">
              <w:rPr>
                <w:rFonts w:eastAsiaTheme="minorEastAsia" w:cs="Times New Roman"/>
                <w:sz w:val="20"/>
                <w:szCs w:val="20"/>
                <w:lang w:eastAsia="en-GB"/>
              </w:rPr>
              <w:t>Clothianidin</w:t>
            </w:r>
            <w:proofErr w:type="spellEnd"/>
          </w:p>
        </w:tc>
        <w:tc>
          <w:tcPr>
            <w:tcW w:w="2520"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jc w:val="center"/>
              <w:rPr>
                <w:rFonts w:eastAsiaTheme="minorEastAsia" w:cs="Times New Roman"/>
                <w:sz w:val="20"/>
                <w:szCs w:val="20"/>
                <w:lang w:eastAsia="en-GB"/>
              </w:rPr>
            </w:pPr>
            <w:r w:rsidRPr="00710386">
              <w:rPr>
                <w:rFonts w:eastAsiaTheme="minorEastAsia" w:cs="Times New Roman"/>
                <w:sz w:val="20"/>
                <w:szCs w:val="20"/>
                <w:lang w:eastAsia="en-GB"/>
              </w:rPr>
              <w:t>0.7</w:t>
            </w:r>
          </w:p>
        </w:tc>
        <w:tc>
          <w:tcPr>
            <w:tcW w:w="2070"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jc w:val="center"/>
              <w:rPr>
                <w:rFonts w:eastAsiaTheme="minorEastAsia" w:cs="Times New Roman"/>
                <w:sz w:val="20"/>
                <w:szCs w:val="20"/>
                <w:lang w:eastAsia="en-GB"/>
              </w:rPr>
            </w:pPr>
            <w:r w:rsidRPr="00710386">
              <w:rPr>
                <w:rFonts w:eastAsiaTheme="minorEastAsia" w:cs="Times New Roman"/>
                <w:sz w:val="20"/>
                <w:szCs w:val="20"/>
                <w:lang w:eastAsia="en-GB"/>
              </w:rPr>
              <w:t>0.7</w:t>
            </w:r>
          </w:p>
        </w:tc>
      </w:tr>
      <w:tr w:rsidR="00710386" w:rsidRPr="00710386" w:rsidTr="00710386">
        <w:tc>
          <w:tcPr>
            <w:tcW w:w="2250"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 w:val="20"/>
                <w:szCs w:val="20"/>
                <w:lang w:eastAsia="en-GB"/>
              </w:rPr>
            </w:pPr>
            <w:proofErr w:type="spellStart"/>
            <w:r w:rsidRPr="00710386">
              <w:rPr>
                <w:rFonts w:eastAsiaTheme="minorEastAsia" w:cs="Times New Roman"/>
                <w:sz w:val="20"/>
                <w:szCs w:val="20"/>
                <w:lang w:eastAsia="en-GB"/>
              </w:rPr>
              <w:t>Fenpropathrin</w:t>
            </w:r>
            <w:proofErr w:type="spellEnd"/>
          </w:p>
        </w:tc>
        <w:tc>
          <w:tcPr>
            <w:tcW w:w="2520"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jc w:val="center"/>
              <w:rPr>
                <w:rFonts w:eastAsiaTheme="minorEastAsia" w:cs="Times New Roman"/>
                <w:sz w:val="20"/>
                <w:szCs w:val="20"/>
                <w:lang w:eastAsia="en-GB"/>
              </w:rPr>
            </w:pPr>
            <w:r w:rsidRPr="00710386">
              <w:rPr>
                <w:rFonts w:eastAsiaTheme="minorEastAsia" w:cs="Times New Roman"/>
                <w:sz w:val="20"/>
                <w:szCs w:val="20"/>
                <w:lang w:eastAsia="en-GB"/>
              </w:rPr>
              <w:t>2</w:t>
            </w:r>
          </w:p>
        </w:tc>
        <w:tc>
          <w:tcPr>
            <w:tcW w:w="2070"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jc w:val="center"/>
              <w:rPr>
                <w:rFonts w:eastAsiaTheme="minorEastAsia" w:cs="Times New Roman"/>
                <w:sz w:val="20"/>
                <w:szCs w:val="20"/>
                <w:lang w:eastAsia="en-GB"/>
              </w:rPr>
            </w:pPr>
            <w:r w:rsidRPr="00710386">
              <w:rPr>
                <w:rFonts w:eastAsiaTheme="minorEastAsia" w:cs="Times New Roman"/>
                <w:sz w:val="20"/>
                <w:szCs w:val="20"/>
                <w:lang w:eastAsia="en-GB"/>
              </w:rPr>
              <w:t>2</w:t>
            </w:r>
          </w:p>
        </w:tc>
      </w:tr>
      <w:tr w:rsidR="00710386" w:rsidRPr="00710386" w:rsidTr="00710386">
        <w:tc>
          <w:tcPr>
            <w:tcW w:w="2250"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 w:val="20"/>
                <w:szCs w:val="20"/>
                <w:lang w:eastAsia="en-GB"/>
              </w:rPr>
            </w:pPr>
            <w:proofErr w:type="spellStart"/>
            <w:r w:rsidRPr="00710386">
              <w:rPr>
                <w:rFonts w:eastAsiaTheme="minorEastAsia" w:cs="Times New Roman"/>
                <w:sz w:val="20"/>
                <w:szCs w:val="20"/>
                <w:lang w:eastAsia="en-GB"/>
              </w:rPr>
              <w:t>Chlorpyrifos</w:t>
            </w:r>
            <w:proofErr w:type="spellEnd"/>
          </w:p>
        </w:tc>
        <w:tc>
          <w:tcPr>
            <w:tcW w:w="2520"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jc w:val="center"/>
              <w:rPr>
                <w:rFonts w:eastAsiaTheme="minorEastAsia" w:cs="Times New Roman"/>
                <w:sz w:val="20"/>
                <w:szCs w:val="20"/>
                <w:lang w:eastAsia="en-GB"/>
              </w:rPr>
            </w:pPr>
            <w:r w:rsidRPr="00710386">
              <w:rPr>
                <w:rFonts w:eastAsiaTheme="minorEastAsia" w:cs="Times New Roman"/>
                <w:sz w:val="20"/>
                <w:szCs w:val="20"/>
                <w:lang w:eastAsia="en-GB"/>
              </w:rPr>
              <w:t>2</w:t>
            </w:r>
          </w:p>
        </w:tc>
        <w:tc>
          <w:tcPr>
            <w:tcW w:w="2070"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jc w:val="center"/>
              <w:rPr>
                <w:rFonts w:eastAsiaTheme="minorEastAsia" w:cs="Times New Roman"/>
                <w:sz w:val="20"/>
                <w:szCs w:val="20"/>
                <w:lang w:eastAsia="en-GB"/>
              </w:rPr>
            </w:pPr>
            <w:r w:rsidRPr="00710386">
              <w:rPr>
                <w:rFonts w:eastAsiaTheme="minorEastAsia" w:cs="Times New Roman"/>
                <w:sz w:val="20"/>
                <w:szCs w:val="20"/>
                <w:lang w:eastAsia="en-GB"/>
              </w:rPr>
              <w:t>0.1*</w:t>
            </w:r>
          </w:p>
        </w:tc>
      </w:tr>
      <w:tr w:rsidR="00710386" w:rsidRPr="00710386" w:rsidTr="00710386">
        <w:tc>
          <w:tcPr>
            <w:tcW w:w="2250"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 w:val="20"/>
                <w:szCs w:val="20"/>
                <w:lang w:eastAsia="en-GB"/>
              </w:rPr>
            </w:pPr>
            <w:proofErr w:type="spellStart"/>
            <w:r w:rsidRPr="00710386">
              <w:rPr>
                <w:rFonts w:eastAsiaTheme="minorEastAsia" w:cs="Times New Roman"/>
                <w:sz w:val="20"/>
                <w:szCs w:val="20"/>
                <w:lang w:eastAsia="en-GB"/>
              </w:rPr>
              <w:t>Indoxacarb</w:t>
            </w:r>
            <w:proofErr w:type="spellEnd"/>
          </w:p>
        </w:tc>
        <w:tc>
          <w:tcPr>
            <w:tcW w:w="2520"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jc w:val="center"/>
              <w:rPr>
                <w:rFonts w:eastAsiaTheme="minorEastAsia" w:cs="Times New Roman"/>
                <w:sz w:val="20"/>
                <w:szCs w:val="20"/>
                <w:lang w:eastAsia="en-GB"/>
              </w:rPr>
            </w:pPr>
            <w:r w:rsidRPr="00710386">
              <w:rPr>
                <w:rFonts w:eastAsiaTheme="minorEastAsia" w:cs="Times New Roman"/>
                <w:sz w:val="20"/>
                <w:szCs w:val="20"/>
                <w:lang w:eastAsia="en-GB"/>
              </w:rPr>
              <w:t>5</w:t>
            </w:r>
          </w:p>
        </w:tc>
        <w:tc>
          <w:tcPr>
            <w:tcW w:w="2070"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jc w:val="center"/>
              <w:rPr>
                <w:rFonts w:eastAsiaTheme="minorEastAsia" w:cs="Times New Roman"/>
                <w:sz w:val="20"/>
                <w:szCs w:val="20"/>
                <w:lang w:eastAsia="en-GB"/>
              </w:rPr>
            </w:pPr>
            <w:r w:rsidRPr="00710386">
              <w:rPr>
                <w:rFonts w:eastAsiaTheme="minorEastAsia" w:cs="Times New Roman"/>
                <w:sz w:val="20"/>
                <w:szCs w:val="20"/>
                <w:lang w:eastAsia="en-GB"/>
              </w:rPr>
              <w:t>5</w:t>
            </w:r>
          </w:p>
        </w:tc>
      </w:tr>
      <w:tr w:rsidR="00710386" w:rsidRPr="00710386" w:rsidTr="00710386">
        <w:tc>
          <w:tcPr>
            <w:tcW w:w="2250"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 w:val="20"/>
                <w:szCs w:val="20"/>
                <w:lang w:eastAsia="en-GB"/>
              </w:rPr>
            </w:pPr>
            <w:proofErr w:type="spellStart"/>
            <w:r w:rsidRPr="00710386">
              <w:rPr>
                <w:rFonts w:eastAsiaTheme="minorEastAsia" w:cs="Times New Roman"/>
                <w:sz w:val="20"/>
                <w:szCs w:val="20"/>
                <w:lang w:eastAsia="en-GB"/>
              </w:rPr>
              <w:t>Propargite</w:t>
            </w:r>
            <w:proofErr w:type="spellEnd"/>
          </w:p>
        </w:tc>
        <w:tc>
          <w:tcPr>
            <w:tcW w:w="2520"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jc w:val="center"/>
              <w:rPr>
                <w:rFonts w:eastAsiaTheme="minorEastAsia" w:cs="Times New Roman"/>
                <w:sz w:val="20"/>
                <w:szCs w:val="20"/>
                <w:lang w:eastAsia="en-GB"/>
              </w:rPr>
            </w:pPr>
            <w:r w:rsidRPr="00710386">
              <w:rPr>
                <w:rFonts w:eastAsiaTheme="minorEastAsia" w:cs="Times New Roman"/>
                <w:sz w:val="20"/>
                <w:szCs w:val="20"/>
                <w:lang w:eastAsia="en-GB"/>
              </w:rPr>
              <w:t>5</w:t>
            </w:r>
          </w:p>
        </w:tc>
        <w:tc>
          <w:tcPr>
            <w:tcW w:w="2070"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jc w:val="center"/>
              <w:rPr>
                <w:rFonts w:eastAsiaTheme="minorEastAsia" w:cs="Times New Roman"/>
                <w:sz w:val="20"/>
                <w:szCs w:val="20"/>
                <w:lang w:eastAsia="en-GB"/>
              </w:rPr>
            </w:pPr>
            <w:r w:rsidRPr="00710386">
              <w:rPr>
                <w:rFonts w:eastAsiaTheme="minorEastAsia" w:cs="Times New Roman"/>
                <w:sz w:val="20"/>
                <w:szCs w:val="20"/>
                <w:lang w:eastAsia="en-GB"/>
              </w:rPr>
              <w:t>0.05*#</w:t>
            </w:r>
          </w:p>
        </w:tc>
      </w:tr>
      <w:tr w:rsidR="00710386" w:rsidRPr="00710386" w:rsidTr="00710386">
        <w:tc>
          <w:tcPr>
            <w:tcW w:w="2250"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 w:val="20"/>
                <w:szCs w:val="20"/>
                <w:lang w:eastAsia="en-GB"/>
              </w:rPr>
            </w:pPr>
            <w:proofErr w:type="spellStart"/>
            <w:r w:rsidRPr="00710386">
              <w:rPr>
                <w:rFonts w:eastAsiaTheme="minorEastAsia" w:cs="Times New Roman"/>
                <w:sz w:val="20"/>
                <w:szCs w:val="20"/>
                <w:lang w:eastAsia="en-GB"/>
              </w:rPr>
              <w:t>Deltamethrin</w:t>
            </w:r>
            <w:proofErr w:type="spellEnd"/>
          </w:p>
        </w:tc>
        <w:tc>
          <w:tcPr>
            <w:tcW w:w="2520"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jc w:val="center"/>
              <w:rPr>
                <w:rFonts w:eastAsiaTheme="minorEastAsia" w:cs="Times New Roman"/>
                <w:sz w:val="20"/>
                <w:szCs w:val="20"/>
                <w:lang w:eastAsia="en-GB"/>
              </w:rPr>
            </w:pPr>
            <w:r w:rsidRPr="00710386">
              <w:rPr>
                <w:rFonts w:eastAsiaTheme="minorEastAsia" w:cs="Times New Roman"/>
                <w:sz w:val="20"/>
                <w:szCs w:val="20"/>
                <w:lang w:eastAsia="en-GB"/>
              </w:rPr>
              <w:t>5</w:t>
            </w:r>
          </w:p>
        </w:tc>
        <w:tc>
          <w:tcPr>
            <w:tcW w:w="2070"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jc w:val="center"/>
              <w:rPr>
                <w:rFonts w:eastAsiaTheme="minorEastAsia" w:cs="Times New Roman"/>
                <w:sz w:val="20"/>
                <w:szCs w:val="20"/>
                <w:lang w:eastAsia="en-GB"/>
              </w:rPr>
            </w:pPr>
            <w:r w:rsidRPr="00710386">
              <w:rPr>
                <w:rFonts w:eastAsiaTheme="minorEastAsia" w:cs="Times New Roman"/>
                <w:sz w:val="20"/>
                <w:szCs w:val="20"/>
                <w:lang w:eastAsia="en-GB"/>
              </w:rPr>
              <w:t>5</w:t>
            </w:r>
          </w:p>
        </w:tc>
      </w:tr>
      <w:tr w:rsidR="00710386" w:rsidRPr="00710386" w:rsidTr="00710386">
        <w:tc>
          <w:tcPr>
            <w:tcW w:w="2250"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 w:val="20"/>
                <w:szCs w:val="20"/>
                <w:lang w:eastAsia="en-GB"/>
              </w:rPr>
            </w:pPr>
            <w:proofErr w:type="spellStart"/>
            <w:r w:rsidRPr="00710386">
              <w:rPr>
                <w:rFonts w:eastAsiaTheme="minorEastAsia" w:cs="Times New Roman"/>
                <w:sz w:val="20"/>
                <w:szCs w:val="20"/>
                <w:lang w:eastAsia="en-GB"/>
              </w:rPr>
              <w:t>Endosulfan</w:t>
            </w:r>
            <w:proofErr w:type="spellEnd"/>
          </w:p>
        </w:tc>
        <w:tc>
          <w:tcPr>
            <w:tcW w:w="2520"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jc w:val="center"/>
              <w:rPr>
                <w:rFonts w:eastAsiaTheme="minorEastAsia" w:cs="Times New Roman"/>
                <w:sz w:val="20"/>
                <w:szCs w:val="20"/>
                <w:lang w:eastAsia="en-GB"/>
              </w:rPr>
            </w:pPr>
            <w:r w:rsidRPr="00710386">
              <w:rPr>
                <w:rFonts w:eastAsiaTheme="minorEastAsia" w:cs="Times New Roman"/>
                <w:sz w:val="20"/>
                <w:szCs w:val="20"/>
                <w:lang w:eastAsia="en-GB"/>
              </w:rPr>
              <w:t>10</w:t>
            </w:r>
          </w:p>
        </w:tc>
        <w:tc>
          <w:tcPr>
            <w:tcW w:w="2070"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jc w:val="center"/>
              <w:rPr>
                <w:rFonts w:eastAsiaTheme="minorEastAsia" w:cs="Times New Roman"/>
                <w:sz w:val="20"/>
                <w:szCs w:val="20"/>
                <w:lang w:eastAsia="en-GB"/>
              </w:rPr>
            </w:pPr>
            <w:r w:rsidRPr="00710386">
              <w:rPr>
                <w:rFonts w:eastAsiaTheme="minorEastAsia" w:cs="Times New Roman"/>
                <w:sz w:val="20"/>
                <w:szCs w:val="20"/>
                <w:lang w:eastAsia="en-GB"/>
              </w:rPr>
              <w:t>30</w:t>
            </w:r>
          </w:p>
        </w:tc>
      </w:tr>
      <w:tr w:rsidR="00710386" w:rsidRPr="00710386" w:rsidTr="00710386">
        <w:tc>
          <w:tcPr>
            <w:tcW w:w="2250"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 w:val="20"/>
                <w:szCs w:val="20"/>
                <w:lang w:eastAsia="en-GB"/>
              </w:rPr>
            </w:pPr>
            <w:proofErr w:type="spellStart"/>
            <w:r w:rsidRPr="00710386">
              <w:rPr>
                <w:rFonts w:eastAsiaTheme="minorEastAsia" w:cs="Times New Roman"/>
                <w:sz w:val="20"/>
                <w:szCs w:val="20"/>
                <w:lang w:eastAsia="en-GB"/>
              </w:rPr>
              <w:t>Etoxazole</w:t>
            </w:r>
            <w:proofErr w:type="spellEnd"/>
          </w:p>
        </w:tc>
        <w:tc>
          <w:tcPr>
            <w:tcW w:w="2520"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jc w:val="center"/>
              <w:rPr>
                <w:rFonts w:eastAsiaTheme="minorEastAsia" w:cs="Times New Roman"/>
                <w:sz w:val="20"/>
                <w:szCs w:val="20"/>
                <w:lang w:eastAsia="en-GB"/>
              </w:rPr>
            </w:pPr>
            <w:r w:rsidRPr="00710386">
              <w:rPr>
                <w:rFonts w:eastAsiaTheme="minorEastAsia" w:cs="Times New Roman"/>
                <w:sz w:val="20"/>
                <w:szCs w:val="20"/>
                <w:lang w:eastAsia="en-GB"/>
              </w:rPr>
              <w:t>15</w:t>
            </w:r>
          </w:p>
        </w:tc>
        <w:tc>
          <w:tcPr>
            <w:tcW w:w="2070"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jc w:val="center"/>
              <w:rPr>
                <w:rFonts w:eastAsiaTheme="minorEastAsia" w:cs="Times New Roman"/>
                <w:sz w:val="20"/>
                <w:szCs w:val="20"/>
                <w:lang w:eastAsia="en-GB"/>
              </w:rPr>
            </w:pPr>
            <w:r w:rsidRPr="00710386">
              <w:rPr>
                <w:rFonts w:eastAsiaTheme="minorEastAsia" w:cs="Times New Roman"/>
                <w:sz w:val="20"/>
                <w:szCs w:val="20"/>
                <w:lang w:eastAsia="en-GB"/>
              </w:rPr>
              <w:t>15</w:t>
            </w:r>
          </w:p>
        </w:tc>
      </w:tr>
      <w:tr w:rsidR="00710386" w:rsidRPr="00710386" w:rsidTr="00710386">
        <w:tc>
          <w:tcPr>
            <w:tcW w:w="2250"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 w:val="20"/>
                <w:szCs w:val="20"/>
                <w:lang w:eastAsia="en-GB"/>
              </w:rPr>
            </w:pPr>
            <w:proofErr w:type="spellStart"/>
            <w:r w:rsidRPr="00710386">
              <w:rPr>
                <w:rFonts w:eastAsiaTheme="minorEastAsia" w:cs="Times New Roman"/>
                <w:sz w:val="20"/>
                <w:szCs w:val="20"/>
                <w:lang w:eastAsia="en-GB"/>
              </w:rPr>
              <w:t>Cypermethrin</w:t>
            </w:r>
            <w:proofErr w:type="spellEnd"/>
          </w:p>
        </w:tc>
        <w:tc>
          <w:tcPr>
            <w:tcW w:w="2520"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jc w:val="center"/>
              <w:rPr>
                <w:rFonts w:eastAsiaTheme="minorEastAsia" w:cs="Times New Roman"/>
                <w:sz w:val="20"/>
                <w:szCs w:val="20"/>
                <w:lang w:eastAsia="en-GB"/>
              </w:rPr>
            </w:pPr>
            <w:r w:rsidRPr="00710386">
              <w:rPr>
                <w:rFonts w:eastAsiaTheme="minorEastAsia" w:cs="Times New Roman"/>
                <w:sz w:val="20"/>
                <w:szCs w:val="20"/>
                <w:lang w:eastAsia="en-GB"/>
              </w:rPr>
              <w:t>15</w:t>
            </w:r>
          </w:p>
        </w:tc>
        <w:tc>
          <w:tcPr>
            <w:tcW w:w="2070"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jc w:val="center"/>
              <w:rPr>
                <w:rFonts w:eastAsiaTheme="minorEastAsia" w:cs="Times New Roman"/>
                <w:sz w:val="20"/>
                <w:szCs w:val="20"/>
                <w:lang w:eastAsia="en-GB"/>
              </w:rPr>
            </w:pPr>
            <w:r w:rsidRPr="00710386">
              <w:rPr>
                <w:rFonts w:eastAsiaTheme="minorEastAsia" w:cs="Times New Roman"/>
                <w:sz w:val="20"/>
                <w:szCs w:val="20"/>
                <w:lang w:eastAsia="en-GB"/>
              </w:rPr>
              <w:t>0.5</w:t>
            </w:r>
          </w:p>
        </w:tc>
      </w:tr>
      <w:tr w:rsidR="00710386" w:rsidRPr="00710386" w:rsidTr="00710386">
        <w:tc>
          <w:tcPr>
            <w:tcW w:w="2250"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 w:val="20"/>
                <w:szCs w:val="20"/>
                <w:lang w:eastAsia="en-GB"/>
              </w:rPr>
            </w:pPr>
            <w:proofErr w:type="spellStart"/>
            <w:r w:rsidRPr="00710386">
              <w:rPr>
                <w:rFonts w:eastAsiaTheme="minorEastAsia" w:cs="Times New Roman"/>
                <w:sz w:val="20"/>
                <w:szCs w:val="20"/>
                <w:lang w:eastAsia="en-GB"/>
              </w:rPr>
              <w:t>Hexythiazox</w:t>
            </w:r>
            <w:proofErr w:type="spellEnd"/>
          </w:p>
        </w:tc>
        <w:tc>
          <w:tcPr>
            <w:tcW w:w="2520"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jc w:val="center"/>
              <w:rPr>
                <w:rFonts w:eastAsiaTheme="minorEastAsia" w:cs="Times New Roman"/>
                <w:sz w:val="20"/>
                <w:szCs w:val="20"/>
                <w:lang w:eastAsia="en-GB"/>
              </w:rPr>
            </w:pPr>
            <w:r w:rsidRPr="00710386">
              <w:rPr>
                <w:rFonts w:eastAsiaTheme="minorEastAsia" w:cs="Times New Roman"/>
                <w:sz w:val="20"/>
                <w:szCs w:val="20"/>
                <w:lang w:eastAsia="en-GB"/>
              </w:rPr>
              <w:t>15</w:t>
            </w:r>
          </w:p>
        </w:tc>
        <w:tc>
          <w:tcPr>
            <w:tcW w:w="2070"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jc w:val="center"/>
              <w:rPr>
                <w:rFonts w:eastAsiaTheme="minorEastAsia" w:cs="Times New Roman"/>
                <w:sz w:val="20"/>
                <w:szCs w:val="20"/>
                <w:lang w:eastAsia="en-GB"/>
              </w:rPr>
            </w:pPr>
            <w:r w:rsidRPr="00710386">
              <w:rPr>
                <w:rFonts w:eastAsiaTheme="minorEastAsia" w:cs="Times New Roman"/>
                <w:sz w:val="20"/>
                <w:szCs w:val="20"/>
                <w:lang w:eastAsia="en-GB"/>
              </w:rPr>
              <w:t>4</w:t>
            </w:r>
          </w:p>
        </w:tc>
      </w:tr>
      <w:tr w:rsidR="00710386" w:rsidRPr="00710386" w:rsidTr="00710386">
        <w:tc>
          <w:tcPr>
            <w:tcW w:w="2250"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 w:val="20"/>
                <w:szCs w:val="20"/>
                <w:lang w:eastAsia="en-GB"/>
              </w:rPr>
            </w:pPr>
            <w:proofErr w:type="spellStart"/>
            <w:r w:rsidRPr="00710386">
              <w:rPr>
                <w:rFonts w:eastAsiaTheme="minorEastAsia" w:cs="Times New Roman"/>
                <w:sz w:val="20"/>
                <w:szCs w:val="20"/>
                <w:lang w:eastAsia="en-GB"/>
              </w:rPr>
              <w:t>Thiamethoxam</w:t>
            </w:r>
            <w:proofErr w:type="spellEnd"/>
          </w:p>
        </w:tc>
        <w:tc>
          <w:tcPr>
            <w:tcW w:w="2520"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jc w:val="center"/>
              <w:rPr>
                <w:rFonts w:eastAsiaTheme="minorEastAsia" w:cs="Times New Roman"/>
                <w:sz w:val="20"/>
                <w:szCs w:val="20"/>
                <w:lang w:eastAsia="en-GB"/>
              </w:rPr>
            </w:pPr>
            <w:r w:rsidRPr="00710386">
              <w:rPr>
                <w:rFonts w:eastAsiaTheme="minorEastAsia" w:cs="Times New Roman"/>
                <w:sz w:val="20"/>
                <w:szCs w:val="20"/>
                <w:lang w:eastAsia="en-GB"/>
              </w:rPr>
              <w:t>20</w:t>
            </w:r>
          </w:p>
        </w:tc>
        <w:tc>
          <w:tcPr>
            <w:tcW w:w="2070"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jc w:val="center"/>
              <w:rPr>
                <w:rFonts w:eastAsiaTheme="minorEastAsia" w:cs="Times New Roman"/>
                <w:sz w:val="20"/>
                <w:szCs w:val="20"/>
                <w:lang w:eastAsia="en-GB"/>
              </w:rPr>
            </w:pPr>
            <w:r w:rsidRPr="00710386">
              <w:rPr>
                <w:rFonts w:eastAsiaTheme="minorEastAsia" w:cs="Times New Roman"/>
                <w:sz w:val="20"/>
                <w:szCs w:val="20"/>
                <w:lang w:eastAsia="en-GB"/>
              </w:rPr>
              <w:t>20</w:t>
            </w:r>
          </w:p>
        </w:tc>
      </w:tr>
      <w:tr w:rsidR="00710386" w:rsidRPr="00710386" w:rsidTr="00710386">
        <w:tc>
          <w:tcPr>
            <w:tcW w:w="2250"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 w:val="20"/>
                <w:szCs w:val="20"/>
                <w:lang w:eastAsia="en-GB"/>
              </w:rPr>
            </w:pPr>
            <w:r w:rsidRPr="00710386">
              <w:rPr>
                <w:rFonts w:eastAsiaTheme="minorEastAsia" w:cs="Times New Roman"/>
                <w:sz w:val="20"/>
                <w:szCs w:val="20"/>
                <w:lang w:eastAsia="en-GB"/>
              </w:rPr>
              <w:t>Permethrin</w:t>
            </w:r>
          </w:p>
        </w:tc>
        <w:tc>
          <w:tcPr>
            <w:tcW w:w="2520"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jc w:val="center"/>
              <w:rPr>
                <w:rFonts w:eastAsiaTheme="minorEastAsia" w:cs="Times New Roman"/>
                <w:sz w:val="20"/>
                <w:szCs w:val="20"/>
                <w:lang w:eastAsia="en-GB"/>
              </w:rPr>
            </w:pPr>
            <w:r w:rsidRPr="00710386">
              <w:rPr>
                <w:rFonts w:eastAsiaTheme="minorEastAsia" w:cs="Times New Roman"/>
                <w:sz w:val="20"/>
                <w:szCs w:val="20"/>
                <w:lang w:eastAsia="en-GB"/>
              </w:rPr>
              <w:t>20</w:t>
            </w:r>
          </w:p>
        </w:tc>
        <w:tc>
          <w:tcPr>
            <w:tcW w:w="2070"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jc w:val="center"/>
              <w:rPr>
                <w:rFonts w:eastAsiaTheme="minorEastAsia" w:cs="Times New Roman"/>
                <w:sz w:val="20"/>
                <w:szCs w:val="20"/>
                <w:lang w:eastAsia="en-GB"/>
              </w:rPr>
            </w:pPr>
            <w:r w:rsidRPr="00710386">
              <w:rPr>
                <w:rFonts w:eastAsiaTheme="minorEastAsia" w:cs="Times New Roman"/>
                <w:sz w:val="20"/>
                <w:szCs w:val="20"/>
                <w:lang w:eastAsia="en-GB"/>
              </w:rPr>
              <w:t>0.1*</w:t>
            </w:r>
          </w:p>
        </w:tc>
      </w:tr>
      <w:tr w:rsidR="00710386" w:rsidRPr="00710386" w:rsidTr="00710386">
        <w:tc>
          <w:tcPr>
            <w:tcW w:w="2250"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 w:val="20"/>
                <w:szCs w:val="20"/>
                <w:lang w:eastAsia="en-GB"/>
              </w:rPr>
            </w:pPr>
            <w:proofErr w:type="spellStart"/>
            <w:r w:rsidRPr="00710386">
              <w:rPr>
                <w:rFonts w:eastAsiaTheme="minorEastAsia" w:cs="Times New Roman"/>
                <w:sz w:val="20"/>
                <w:szCs w:val="20"/>
                <w:lang w:eastAsia="en-GB"/>
              </w:rPr>
              <w:t>Bifenthrin</w:t>
            </w:r>
            <w:proofErr w:type="spellEnd"/>
          </w:p>
        </w:tc>
        <w:tc>
          <w:tcPr>
            <w:tcW w:w="2520"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jc w:val="center"/>
              <w:rPr>
                <w:rFonts w:eastAsiaTheme="minorEastAsia" w:cs="Times New Roman"/>
                <w:sz w:val="20"/>
                <w:szCs w:val="20"/>
                <w:lang w:eastAsia="en-GB"/>
              </w:rPr>
            </w:pPr>
            <w:r w:rsidRPr="00710386">
              <w:rPr>
                <w:rFonts w:eastAsiaTheme="minorEastAsia" w:cs="Times New Roman"/>
                <w:sz w:val="20"/>
                <w:szCs w:val="20"/>
                <w:lang w:eastAsia="en-GB"/>
              </w:rPr>
              <w:t>30</w:t>
            </w:r>
          </w:p>
        </w:tc>
        <w:tc>
          <w:tcPr>
            <w:tcW w:w="2070"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jc w:val="center"/>
              <w:rPr>
                <w:rFonts w:eastAsiaTheme="minorEastAsia" w:cs="Times New Roman"/>
                <w:sz w:val="20"/>
                <w:szCs w:val="20"/>
                <w:lang w:eastAsia="en-GB"/>
              </w:rPr>
            </w:pPr>
            <w:r w:rsidRPr="00710386">
              <w:rPr>
                <w:rFonts w:eastAsiaTheme="minorEastAsia" w:cs="Times New Roman"/>
                <w:sz w:val="20"/>
                <w:szCs w:val="20"/>
                <w:lang w:eastAsia="en-GB"/>
              </w:rPr>
              <w:t>5</w:t>
            </w:r>
          </w:p>
        </w:tc>
      </w:tr>
      <w:tr w:rsidR="00710386" w:rsidRPr="00710386" w:rsidTr="00710386">
        <w:tc>
          <w:tcPr>
            <w:tcW w:w="2250"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 w:val="20"/>
                <w:szCs w:val="20"/>
                <w:lang w:eastAsia="en-GB"/>
              </w:rPr>
            </w:pPr>
            <w:proofErr w:type="spellStart"/>
            <w:r w:rsidRPr="00710386">
              <w:rPr>
                <w:rFonts w:eastAsiaTheme="minorEastAsia" w:cs="Times New Roman"/>
                <w:sz w:val="20"/>
                <w:szCs w:val="20"/>
                <w:lang w:eastAsia="en-GB"/>
              </w:rPr>
              <w:t>Dicofol</w:t>
            </w:r>
            <w:proofErr w:type="spellEnd"/>
            <w:r w:rsidRPr="00710386">
              <w:rPr>
                <w:rFonts w:eastAsiaTheme="minorEastAsia" w:cs="Times New Roman"/>
                <w:sz w:val="20"/>
                <w:szCs w:val="20"/>
                <w:lang w:eastAsia="en-GB"/>
              </w:rPr>
              <w:tab/>
            </w:r>
          </w:p>
        </w:tc>
        <w:tc>
          <w:tcPr>
            <w:tcW w:w="2520"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jc w:val="center"/>
              <w:rPr>
                <w:rFonts w:eastAsiaTheme="minorEastAsia" w:cs="Times New Roman"/>
                <w:sz w:val="20"/>
                <w:szCs w:val="20"/>
                <w:lang w:eastAsia="en-GB"/>
              </w:rPr>
            </w:pPr>
            <w:r w:rsidRPr="00710386">
              <w:rPr>
                <w:rFonts w:eastAsiaTheme="minorEastAsia" w:cs="Times New Roman"/>
                <w:sz w:val="20"/>
                <w:szCs w:val="20"/>
                <w:lang w:eastAsia="en-GB"/>
              </w:rPr>
              <w:t>40</w:t>
            </w:r>
          </w:p>
        </w:tc>
        <w:tc>
          <w:tcPr>
            <w:tcW w:w="2070"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jc w:val="center"/>
              <w:rPr>
                <w:rFonts w:eastAsiaTheme="minorEastAsia" w:cs="Times New Roman"/>
                <w:sz w:val="20"/>
                <w:szCs w:val="20"/>
                <w:lang w:eastAsia="en-GB"/>
              </w:rPr>
            </w:pPr>
            <w:r w:rsidRPr="00710386">
              <w:rPr>
                <w:rFonts w:eastAsiaTheme="minorEastAsia" w:cs="Times New Roman"/>
                <w:sz w:val="20"/>
                <w:szCs w:val="20"/>
                <w:lang w:eastAsia="en-GB"/>
              </w:rPr>
              <w:t>20</w:t>
            </w:r>
          </w:p>
        </w:tc>
      </w:tr>
      <w:tr w:rsidR="00710386" w:rsidRPr="00710386" w:rsidTr="00710386">
        <w:tc>
          <w:tcPr>
            <w:tcW w:w="2250"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 w:val="20"/>
                <w:szCs w:val="20"/>
                <w:lang w:eastAsia="en-GB"/>
              </w:rPr>
            </w:pPr>
            <w:proofErr w:type="spellStart"/>
            <w:r w:rsidRPr="00710386">
              <w:rPr>
                <w:rFonts w:eastAsiaTheme="minorEastAsia" w:cs="Times New Roman"/>
                <w:sz w:val="20"/>
                <w:szCs w:val="20"/>
                <w:lang w:eastAsia="en-GB"/>
              </w:rPr>
              <w:t>Flubendiamide</w:t>
            </w:r>
            <w:proofErr w:type="spellEnd"/>
          </w:p>
        </w:tc>
        <w:tc>
          <w:tcPr>
            <w:tcW w:w="2520"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jc w:val="center"/>
              <w:rPr>
                <w:rFonts w:eastAsiaTheme="minorEastAsia" w:cs="Times New Roman"/>
                <w:sz w:val="20"/>
                <w:szCs w:val="20"/>
                <w:lang w:eastAsia="en-GB"/>
              </w:rPr>
            </w:pPr>
            <w:r w:rsidRPr="00710386">
              <w:rPr>
                <w:rFonts w:eastAsiaTheme="minorEastAsia" w:cs="Times New Roman"/>
                <w:sz w:val="20"/>
                <w:szCs w:val="20"/>
                <w:lang w:eastAsia="en-GB"/>
              </w:rPr>
              <w:t>15</w:t>
            </w:r>
          </w:p>
        </w:tc>
        <w:tc>
          <w:tcPr>
            <w:tcW w:w="2070"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jc w:val="center"/>
              <w:rPr>
                <w:rFonts w:eastAsiaTheme="minorEastAsia" w:cs="Times New Roman"/>
                <w:sz w:val="20"/>
                <w:szCs w:val="20"/>
                <w:lang w:eastAsia="en-GB"/>
              </w:rPr>
            </w:pPr>
            <w:r w:rsidRPr="00710386">
              <w:rPr>
                <w:rFonts w:eastAsiaTheme="minorEastAsia" w:cs="Times New Roman"/>
                <w:sz w:val="20"/>
                <w:szCs w:val="20"/>
                <w:lang w:eastAsia="en-GB"/>
              </w:rPr>
              <w:t>0.02*</w:t>
            </w:r>
          </w:p>
        </w:tc>
      </w:tr>
    </w:tbl>
    <w:p w:rsidR="00710386" w:rsidRPr="00710386" w:rsidRDefault="00710386" w:rsidP="00710386">
      <w:pPr>
        <w:spacing w:after="0"/>
        <w:ind w:left="1080"/>
        <w:contextualSpacing/>
        <w:rPr>
          <w:rFonts w:eastAsiaTheme="minorEastAsia" w:cs="Times New Roman"/>
          <w:sz w:val="20"/>
          <w:szCs w:val="20"/>
          <w:lang w:eastAsia="en-GB"/>
        </w:rPr>
      </w:pPr>
    </w:p>
    <w:p w:rsidR="00710386" w:rsidRDefault="00710386" w:rsidP="00710386">
      <w:pPr>
        <w:spacing w:after="0"/>
        <w:ind w:left="720"/>
        <w:rPr>
          <w:rFonts w:eastAsiaTheme="minorEastAsia" w:cs="Times New Roman"/>
          <w:sz w:val="18"/>
          <w:szCs w:val="18"/>
          <w:lang w:eastAsia="en-GB"/>
        </w:rPr>
      </w:pPr>
      <w:r>
        <w:rPr>
          <w:rFonts w:eastAsiaTheme="minorEastAsia" w:cs="Times New Roman"/>
          <w:sz w:val="18"/>
          <w:szCs w:val="18"/>
          <w:lang w:eastAsia="en-GB"/>
        </w:rPr>
        <w:t xml:space="preserve">         </w:t>
      </w:r>
      <w:r w:rsidRPr="00710386">
        <w:rPr>
          <w:rFonts w:eastAsiaTheme="minorEastAsia" w:cs="Times New Roman"/>
          <w:sz w:val="18"/>
          <w:szCs w:val="18"/>
          <w:lang w:eastAsia="en-GB"/>
        </w:rPr>
        <w:t>[http://www.codexalimentarius.net/pestres/data/commodities/details.html?id=101]</w:t>
      </w:r>
      <w:r>
        <w:rPr>
          <w:rFonts w:eastAsiaTheme="minorEastAsia" w:cs="Times New Roman"/>
          <w:sz w:val="18"/>
          <w:szCs w:val="18"/>
          <w:lang w:eastAsia="en-GB"/>
        </w:rPr>
        <w:t xml:space="preserve"> </w:t>
      </w:r>
      <w:r>
        <w:rPr>
          <w:rFonts w:eastAsiaTheme="minorEastAsia" w:cs="Times New Roman"/>
          <w:sz w:val="18"/>
          <w:szCs w:val="18"/>
          <w:lang w:eastAsia="en-GB"/>
        </w:rPr>
        <w:br/>
        <w:t xml:space="preserve">        *Lower limit of analytical </w:t>
      </w:r>
      <w:r w:rsidRPr="00710386">
        <w:rPr>
          <w:rFonts w:eastAsiaTheme="minorEastAsia" w:cs="Times New Roman"/>
          <w:sz w:val="18"/>
          <w:szCs w:val="18"/>
          <w:lang w:eastAsia="en-GB"/>
        </w:rPr>
        <w:t>determination, # effective 3.10.2015</w:t>
      </w:r>
      <w:r>
        <w:rPr>
          <w:rFonts w:eastAsiaTheme="minorEastAsia" w:cs="Times New Roman"/>
          <w:sz w:val="18"/>
          <w:szCs w:val="18"/>
          <w:lang w:eastAsia="en-GB"/>
        </w:rPr>
        <w:t>.</w:t>
      </w:r>
    </w:p>
    <w:p w:rsidR="00710386" w:rsidRDefault="00710386" w:rsidP="00710386">
      <w:pPr>
        <w:spacing w:after="0"/>
        <w:ind w:left="720"/>
        <w:rPr>
          <w:rFonts w:eastAsiaTheme="minorEastAsia" w:cs="Times New Roman"/>
          <w:sz w:val="18"/>
          <w:szCs w:val="18"/>
          <w:lang w:eastAsia="en-GB"/>
        </w:rPr>
      </w:pPr>
    </w:p>
    <w:p w:rsidR="00710386" w:rsidRPr="005C46FF" w:rsidRDefault="00710386" w:rsidP="00710386">
      <w:pPr>
        <w:rPr>
          <w:rFonts w:eastAsia="Calibri"/>
        </w:rPr>
      </w:pPr>
      <w:r w:rsidRPr="005C46FF">
        <w:rPr>
          <w:rFonts w:eastAsia="Calibri"/>
        </w:rPr>
        <w:t>The data generated in tea producing countries under the initiatives of the WG has also led to setting up of realistic MRLs in many tea importing countries like Australia, Canada and the USA which was in line with the decision taken at the 20th session of the IGG on Tea (Colombo, 30 January - 1 February 2012</w:t>
      </w:r>
      <w:proofErr w:type="gramStart"/>
      <w:r w:rsidRPr="005C46FF">
        <w:rPr>
          <w:rFonts w:eastAsia="Calibri"/>
        </w:rPr>
        <w:t>)  [</w:t>
      </w:r>
      <w:proofErr w:type="gramEnd"/>
      <w:r w:rsidRPr="005C46FF">
        <w:rPr>
          <w:rFonts w:eastAsia="Calibri"/>
        </w:rPr>
        <w:t>Ref Document: CCP 12/14 E   February 2012] to change the nomenclature of  “</w:t>
      </w:r>
      <w:r w:rsidRPr="005C46FF">
        <w:rPr>
          <w:rFonts w:eastAsia="Calibri"/>
          <w:i/>
        </w:rPr>
        <w:t>harmonization of tea MRLs</w:t>
      </w:r>
      <w:r w:rsidRPr="005C46FF">
        <w:rPr>
          <w:rFonts w:eastAsia="Calibri"/>
        </w:rPr>
        <w:t>” to "</w:t>
      </w:r>
      <w:r w:rsidRPr="005C46FF">
        <w:rPr>
          <w:rFonts w:eastAsia="Calibri"/>
          <w:i/>
        </w:rPr>
        <w:t>Achieve global cooperation obtaining MRLs in tea</w:t>
      </w:r>
      <w:r w:rsidRPr="005C46FF">
        <w:rPr>
          <w:rFonts w:eastAsia="Calibri"/>
        </w:rPr>
        <w:t xml:space="preserve">".  Setting of realistic MRLs in EU in the recent years resulted in a positive impact on export of tea to EU.  </w:t>
      </w:r>
      <w:proofErr w:type="gramStart"/>
      <w:r w:rsidRPr="005C46FF">
        <w:rPr>
          <w:rFonts w:eastAsia="Calibri"/>
        </w:rPr>
        <w:t>Having  MRLs</w:t>
      </w:r>
      <w:proofErr w:type="gramEnd"/>
      <w:r w:rsidRPr="005C46FF">
        <w:rPr>
          <w:rFonts w:eastAsia="Calibri"/>
        </w:rPr>
        <w:t xml:space="preserve"> in the importing countries has opened up new markets for the tea producing countries using such products which otherwise would have to face very low default MRLs. The default MRLs are the major trade barrier and the collective work of this group is expected to replace them into realistic MRLs that will be satisfy all stakeholders.</w:t>
      </w:r>
    </w:p>
    <w:p w:rsidR="00710386" w:rsidRDefault="00710386" w:rsidP="00710386">
      <w:pPr>
        <w:pStyle w:val="NewPara"/>
        <w:numPr>
          <w:ilvl w:val="0"/>
          <w:numId w:val="0"/>
        </w:numPr>
      </w:pPr>
      <w:r>
        <w:t>I</w:t>
      </w:r>
      <w:r w:rsidRPr="006A0D3A">
        <w:t xml:space="preserve">t is time to look for alternatives to the traditional approach of risk assessment for fixing MRLs or </w:t>
      </w:r>
      <w:r>
        <w:t xml:space="preserve">to </w:t>
      </w:r>
      <w:r w:rsidRPr="006A0D3A">
        <w:t>harmonization of MRLs.  Examples of 23 nations harmonizing their MRLs in Grape under APEC initiative is an indication of what the future has for us.  In August 2015, Kenya has adopted Codex MRLs for 14 pesticides in tea.  It’s a necessity now that MRLs are fixed in tea for new promising molecules as well as those left out so that ever increasing pests particularly in view of the climate change can be managed effectively.</w:t>
      </w:r>
    </w:p>
    <w:p w:rsidR="00710386" w:rsidRPr="00604C70" w:rsidRDefault="00710386" w:rsidP="00710386">
      <w:pPr>
        <w:pStyle w:val="NewPara"/>
        <w:numPr>
          <w:ilvl w:val="0"/>
          <w:numId w:val="0"/>
        </w:numPr>
        <w:rPr>
          <w:b/>
          <w:color w:val="000000" w:themeColor="text1"/>
        </w:rPr>
      </w:pPr>
      <w:r w:rsidRPr="00604C70">
        <w:rPr>
          <w:b/>
          <w:color w:val="000000" w:themeColor="text1"/>
        </w:rPr>
        <w:t>Data submission for MRL fixation</w:t>
      </w:r>
    </w:p>
    <w:p w:rsidR="00710386" w:rsidRPr="00FF30D0" w:rsidRDefault="00710386" w:rsidP="00710386">
      <w:pPr>
        <w:pStyle w:val="NewPara"/>
        <w:numPr>
          <w:ilvl w:val="0"/>
          <w:numId w:val="0"/>
        </w:numPr>
        <w:rPr>
          <w:color w:val="000000" w:themeColor="text1"/>
        </w:rPr>
      </w:pPr>
      <w:r w:rsidRPr="00FF30D0">
        <w:rPr>
          <w:color w:val="000000" w:themeColor="text1"/>
        </w:rPr>
        <w:t xml:space="preserve">Under 2013 JMPR Follow-up Evaluation Schedule, two pesticides –viz., </w:t>
      </w:r>
      <w:proofErr w:type="spellStart"/>
      <w:r w:rsidRPr="00FF30D0">
        <w:rPr>
          <w:color w:val="000000" w:themeColor="text1"/>
        </w:rPr>
        <w:t>Fenpyroximate</w:t>
      </w:r>
      <w:proofErr w:type="spellEnd"/>
      <w:r w:rsidRPr="00FF30D0">
        <w:rPr>
          <w:color w:val="000000" w:themeColor="text1"/>
        </w:rPr>
        <w:t xml:space="preserve"> and </w:t>
      </w:r>
      <w:proofErr w:type="spellStart"/>
      <w:r w:rsidRPr="00FF30D0">
        <w:rPr>
          <w:color w:val="000000" w:themeColor="text1"/>
        </w:rPr>
        <w:t>Propiconazole</w:t>
      </w:r>
      <w:proofErr w:type="spellEnd"/>
      <w:r w:rsidRPr="00FF30D0">
        <w:rPr>
          <w:color w:val="000000" w:themeColor="text1"/>
        </w:rPr>
        <w:t xml:space="preserve"> used in tea in India were included. The data on </w:t>
      </w:r>
      <w:proofErr w:type="spellStart"/>
      <w:r w:rsidRPr="00FF30D0">
        <w:rPr>
          <w:color w:val="000000" w:themeColor="text1"/>
        </w:rPr>
        <w:t>propiconazole</w:t>
      </w:r>
      <w:proofErr w:type="spellEnd"/>
      <w:r w:rsidRPr="00FF30D0">
        <w:rPr>
          <w:color w:val="000000" w:themeColor="text1"/>
        </w:rPr>
        <w:t xml:space="preserve"> and </w:t>
      </w:r>
      <w:proofErr w:type="spellStart"/>
      <w:r w:rsidRPr="00FF30D0">
        <w:rPr>
          <w:color w:val="000000" w:themeColor="text1"/>
        </w:rPr>
        <w:t>fenpyroximate</w:t>
      </w:r>
      <w:proofErr w:type="spellEnd"/>
      <w:r w:rsidRPr="00FF30D0">
        <w:rPr>
          <w:color w:val="000000" w:themeColor="text1"/>
        </w:rPr>
        <w:t xml:space="preserve"> in JMPR format was submitted to National Codex Point for evaluation by JMPR in December, 2012.  In March, 2013 data for 2</w:t>
      </w:r>
      <w:proofErr w:type="gramStart"/>
      <w:r w:rsidRPr="00FF30D0">
        <w:rPr>
          <w:color w:val="000000" w:themeColor="text1"/>
        </w:rPr>
        <w:t>,4</w:t>
      </w:r>
      <w:proofErr w:type="gramEnd"/>
      <w:r w:rsidRPr="00FF30D0">
        <w:rPr>
          <w:color w:val="000000" w:themeColor="text1"/>
        </w:rPr>
        <w:t xml:space="preserve">-D and </w:t>
      </w:r>
      <w:proofErr w:type="spellStart"/>
      <w:r w:rsidRPr="00FF30D0">
        <w:rPr>
          <w:color w:val="000000" w:themeColor="text1"/>
        </w:rPr>
        <w:t>Imidacloprid</w:t>
      </w:r>
      <w:proofErr w:type="spellEnd"/>
      <w:r w:rsidRPr="00FF30D0">
        <w:rPr>
          <w:color w:val="000000" w:themeColor="text1"/>
        </w:rPr>
        <w:t xml:space="preserve">  were submitted by India to national Codex Point for evaluation by JMPR under 2014 JMPR Follow-up Evaluation Schedule.</w:t>
      </w:r>
    </w:p>
    <w:p w:rsidR="00710386" w:rsidRPr="00FF30D0" w:rsidRDefault="00710386" w:rsidP="00710386">
      <w:pPr>
        <w:pStyle w:val="NewPara"/>
        <w:numPr>
          <w:ilvl w:val="0"/>
          <w:numId w:val="0"/>
        </w:numPr>
        <w:rPr>
          <w:color w:val="000000" w:themeColor="text1"/>
        </w:rPr>
      </w:pPr>
      <w:r w:rsidRPr="00FF30D0">
        <w:rPr>
          <w:color w:val="000000" w:themeColor="text1"/>
        </w:rPr>
        <w:t xml:space="preserve">Under 2015 JMPR New Compounds Schedule, the pesticide </w:t>
      </w:r>
      <w:proofErr w:type="spellStart"/>
      <w:r w:rsidRPr="00FF30D0">
        <w:rPr>
          <w:color w:val="000000" w:themeColor="text1"/>
        </w:rPr>
        <w:t>Fenazaquin</w:t>
      </w:r>
      <w:proofErr w:type="spellEnd"/>
      <w:r w:rsidRPr="00FF30D0">
        <w:rPr>
          <w:color w:val="000000" w:themeColor="text1"/>
        </w:rPr>
        <w:t xml:space="preserve"> and Under 2015 JMPR Follow-up Evaluation Schedule, </w:t>
      </w:r>
      <w:proofErr w:type="spellStart"/>
      <w:r w:rsidRPr="00FF30D0">
        <w:rPr>
          <w:color w:val="000000" w:themeColor="text1"/>
        </w:rPr>
        <w:t>Acetamiprid</w:t>
      </w:r>
      <w:proofErr w:type="spellEnd"/>
      <w:r w:rsidRPr="00FF30D0">
        <w:rPr>
          <w:color w:val="000000" w:themeColor="text1"/>
        </w:rPr>
        <w:t xml:space="preserve"> and </w:t>
      </w:r>
      <w:proofErr w:type="spellStart"/>
      <w:r w:rsidRPr="00FF30D0">
        <w:rPr>
          <w:color w:val="000000" w:themeColor="text1"/>
        </w:rPr>
        <w:t>Tebuconazole</w:t>
      </w:r>
      <w:proofErr w:type="spellEnd"/>
      <w:r w:rsidRPr="00FF30D0">
        <w:rPr>
          <w:color w:val="000000" w:themeColor="text1"/>
        </w:rPr>
        <w:t xml:space="preserve"> are included. These two compounds are in the priority list and work on data generation is in progress. In India 4 field trial data is available</w:t>
      </w:r>
      <w:r>
        <w:rPr>
          <w:color w:val="000000" w:themeColor="text1"/>
        </w:rPr>
        <w:t xml:space="preserve"> for </w:t>
      </w:r>
      <w:proofErr w:type="spellStart"/>
      <w:r>
        <w:rPr>
          <w:color w:val="000000" w:themeColor="text1"/>
        </w:rPr>
        <w:t>acetamiprid</w:t>
      </w:r>
      <w:proofErr w:type="spellEnd"/>
      <w:r w:rsidRPr="00FF30D0">
        <w:rPr>
          <w:color w:val="000000" w:themeColor="text1"/>
        </w:rPr>
        <w:t xml:space="preserve">. </w:t>
      </w:r>
      <w:r>
        <w:rPr>
          <w:color w:val="000000" w:themeColor="text1"/>
        </w:rPr>
        <w:t xml:space="preserve">China has 8 trials </w:t>
      </w:r>
      <w:proofErr w:type="spellStart"/>
      <w:r>
        <w:rPr>
          <w:color w:val="000000" w:themeColor="text1"/>
        </w:rPr>
        <w:t>data.</w:t>
      </w:r>
      <w:r w:rsidRPr="00FF30D0">
        <w:rPr>
          <w:color w:val="000000" w:themeColor="text1"/>
        </w:rPr>
        <w:t>Sri</w:t>
      </w:r>
      <w:proofErr w:type="spellEnd"/>
      <w:r w:rsidRPr="00FF30D0">
        <w:rPr>
          <w:color w:val="000000" w:themeColor="text1"/>
        </w:rPr>
        <w:t xml:space="preserve"> Lanka ha</w:t>
      </w:r>
      <w:r>
        <w:rPr>
          <w:color w:val="000000" w:themeColor="text1"/>
        </w:rPr>
        <w:t xml:space="preserve">s </w:t>
      </w:r>
      <w:r w:rsidRPr="00FF30D0">
        <w:rPr>
          <w:color w:val="000000" w:themeColor="text1"/>
        </w:rPr>
        <w:t>8 field trials</w:t>
      </w:r>
      <w:r>
        <w:rPr>
          <w:color w:val="000000" w:themeColor="text1"/>
        </w:rPr>
        <w:t xml:space="preserve"> data</w:t>
      </w:r>
      <w:r w:rsidRPr="00FF30D0">
        <w:rPr>
          <w:color w:val="000000" w:themeColor="text1"/>
        </w:rPr>
        <w:t xml:space="preserve"> for </w:t>
      </w:r>
      <w:proofErr w:type="spellStart"/>
      <w:r w:rsidRPr="00FF30D0">
        <w:rPr>
          <w:color w:val="000000" w:themeColor="text1"/>
        </w:rPr>
        <w:t>Tebuconazole</w:t>
      </w:r>
      <w:proofErr w:type="spellEnd"/>
      <w:r w:rsidRPr="00FF30D0">
        <w:rPr>
          <w:color w:val="000000" w:themeColor="text1"/>
        </w:rPr>
        <w:t>.</w:t>
      </w:r>
    </w:p>
    <w:p w:rsidR="00710386" w:rsidRPr="00FF30D0" w:rsidRDefault="00710386" w:rsidP="00710386">
      <w:pPr>
        <w:pStyle w:val="NewPara"/>
        <w:numPr>
          <w:ilvl w:val="0"/>
          <w:numId w:val="0"/>
        </w:numPr>
        <w:rPr>
          <w:color w:val="000000" w:themeColor="text1"/>
        </w:rPr>
      </w:pPr>
      <w:r w:rsidRPr="00FF30D0">
        <w:rPr>
          <w:color w:val="000000" w:themeColor="text1"/>
        </w:rPr>
        <w:t xml:space="preserve">China has submitted data on </w:t>
      </w:r>
      <w:proofErr w:type="spellStart"/>
      <w:r w:rsidRPr="00FF30D0">
        <w:rPr>
          <w:color w:val="000000" w:themeColor="text1"/>
        </w:rPr>
        <w:t>Indoxacarb</w:t>
      </w:r>
      <w:proofErr w:type="spellEnd"/>
      <w:r w:rsidRPr="00FF30D0">
        <w:rPr>
          <w:color w:val="000000" w:themeColor="text1"/>
        </w:rPr>
        <w:t xml:space="preserve"> in tea to Codex, based on eight field trials conducted in China. The MRL of </w:t>
      </w:r>
      <w:proofErr w:type="spellStart"/>
      <w:r w:rsidRPr="00FF30D0">
        <w:rPr>
          <w:color w:val="000000" w:themeColor="text1"/>
        </w:rPr>
        <w:t>indoxacarb</w:t>
      </w:r>
      <w:proofErr w:type="spellEnd"/>
      <w:r w:rsidRPr="00FF30D0">
        <w:rPr>
          <w:color w:val="000000" w:themeColor="text1"/>
        </w:rPr>
        <w:t xml:space="preserve"> was approved at 5 mg/kg in JMPR meeting in October, 2013 and in May, 2014. </w:t>
      </w:r>
    </w:p>
    <w:p w:rsidR="00710386" w:rsidRDefault="00710386" w:rsidP="00710386">
      <w:pPr>
        <w:pStyle w:val="NewPara"/>
        <w:numPr>
          <w:ilvl w:val="0"/>
          <w:numId w:val="0"/>
        </w:numPr>
      </w:pPr>
      <w:r w:rsidRPr="00094FBC">
        <w:lastRenderedPageBreak/>
        <w:t xml:space="preserve">Field trials were carried out to generate residue data in tea for </w:t>
      </w:r>
      <w:proofErr w:type="spellStart"/>
      <w:r w:rsidRPr="00094FBC">
        <w:t>acetamiprid</w:t>
      </w:r>
      <w:proofErr w:type="spellEnd"/>
      <w:r w:rsidRPr="00094FBC">
        <w:t xml:space="preserve"> (4 trials), </w:t>
      </w:r>
      <w:proofErr w:type="spellStart"/>
      <w:r w:rsidRPr="00094FBC">
        <w:t>emamactin</w:t>
      </w:r>
      <w:proofErr w:type="spellEnd"/>
      <w:r w:rsidRPr="00094FBC">
        <w:t xml:space="preserve"> benzo</w:t>
      </w:r>
      <w:r>
        <w:t>ate</w:t>
      </w:r>
      <w:r w:rsidRPr="00094FBC">
        <w:t xml:space="preserve"> (2 trials) and </w:t>
      </w:r>
      <w:proofErr w:type="spellStart"/>
      <w:r w:rsidRPr="00094FBC">
        <w:t>flubendiamide</w:t>
      </w:r>
      <w:proofErr w:type="spellEnd"/>
      <w:r w:rsidRPr="00094FBC">
        <w:t xml:space="preserve"> (2-trials), </w:t>
      </w:r>
      <w:proofErr w:type="spellStart"/>
      <w:r w:rsidRPr="00094FBC">
        <w:t>oxyfluorfen</w:t>
      </w:r>
      <w:proofErr w:type="spellEnd"/>
      <w:r w:rsidRPr="00094FBC">
        <w:t xml:space="preserve"> (2-trial</w:t>
      </w:r>
      <w:r>
        <w:t>s</w:t>
      </w:r>
      <w:r w:rsidRPr="00094FBC">
        <w:t xml:space="preserve">), </w:t>
      </w:r>
      <w:proofErr w:type="spellStart"/>
      <w:r w:rsidRPr="00094FBC">
        <w:t>thiacloprid</w:t>
      </w:r>
      <w:proofErr w:type="spellEnd"/>
      <w:r w:rsidRPr="00094FBC">
        <w:t xml:space="preserve"> and in India as per the priority list.  The data generated is being compiled for submission</w:t>
      </w:r>
      <w:r>
        <w:t>. The risk assessment was carried out using the brew factor.</w:t>
      </w:r>
    </w:p>
    <w:p w:rsidR="00710386" w:rsidRDefault="00710386" w:rsidP="00710386">
      <w:pPr>
        <w:pStyle w:val="NewPara"/>
        <w:numPr>
          <w:ilvl w:val="0"/>
          <w:numId w:val="0"/>
        </w:numPr>
      </w:pPr>
      <w:r w:rsidRPr="006048D5">
        <w:t xml:space="preserve">The supervised field trials </w:t>
      </w:r>
      <w:r w:rsidRPr="000C311A">
        <w:t xml:space="preserve">as par </w:t>
      </w:r>
      <w:r w:rsidRPr="006048D5">
        <w:t xml:space="preserve">GAP for </w:t>
      </w:r>
      <w:proofErr w:type="spellStart"/>
      <w:r w:rsidRPr="006048D5">
        <w:t>chlorfenapyr</w:t>
      </w:r>
      <w:proofErr w:type="spellEnd"/>
      <w:r w:rsidRPr="006048D5">
        <w:t xml:space="preserve">, </w:t>
      </w:r>
      <w:proofErr w:type="spellStart"/>
      <w:r w:rsidRPr="006048D5">
        <w:t>indoxacarb</w:t>
      </w:r>
      <w:proofErr w:type="spellEnd"/>
      <w:r w:rsidRPr="006048D5">
        <w:t xml:space="preserve"> and </w:t>
      </w:r>
      <w:proofErr w:type="spellStart"/>
      <w:r w:rsidRPr="006048D5">
        <w:t>tolfenpyrad</w:t>
      </w:r>
      <w:proofErr w:type="spellEnd"/>
      <w:r w:rsidRPr="006048D5">
        <w:t xml:space="preserve"> have been conducted and completed in China</w:t>
      </w:r>
      <w:r w:rsidRPr="000C311A">
        <w:t>during</w:t>
      </w:r>
      <w:r w:rsidRPr="006048D5">
        <w:t xml:space="preserve">2011-2013. The field trials for </w:t>
      </w:r>
      <w:proofErr w:type="spellStart"/>
      <w:r w:rsidRPr="006048D5">
        <w:t>chlorfenapyr</w:t>
      </w:r>
      <w:proofErr w:type="spellEnd"/>
      <w:r>
        <w:t xml:space="preserve">, </w:t>
      </w:r>
      <w:proofErr w:type="spellStart"/>
      <w:r w:rsidRPr="006048D5">
        <w:t>indoxacarb</w:t>
      </w:r>
      <w:proofErr w:type="spellEnd"/>
      <w:r w:rsidRPr="006048D5">
        <w:t xml:space="preserve"> and </w:t>
      </w:r>
      <w:proofErr w:type="spellStart"/>
      <w:r w:rsidRPr="006048D5">
        <w:t>tolfenpyrad</w:t>
      </w:r>
      <w:proofErr w:type="spellEnd"/>
      <w:r w:rsidRPr="006048D5">
        <w:t xml:space="preserve"> were conducted in four locations in 2010-2012, 2011-2012 and 2012-2013 respectively.</w:t>
      </w:r>
    </w:p>
    <w:p w:rsidR="00710386" w:rsidRPr="00FF30D0" w:rsidRDefault="00710386" w:rsidP="00710386">
      <w:pPr>
        <w:pStyle w:val="NewPara"/>
        <w:numPr>
          <w:ilvl w:val="0"/>
          <w:numId w:val="0"/>
        </w:numPr>
        <w:rPr>
          <w:rFonts w:cs="Times New Roman"/>
        </w:rPr>
      </w:pPr>
      <w:r w:rsidRPr="00FF30D0">
        <w:rPr>
          <w:rFonts w:cs="Times New Roman"/>
          <w:b/>
        </w:rPr>
        <w:t>JMPR Evaluation</w:t>
      </w:r>
      <w:r w:rsidRPr="00FF30D0">
        <w:rPr>
          <w:rFonts w:cs="Times New Roman"/>
        </w:rPr>
        <w:t>:</w:t>
      </w:r>
    </w:p>
    <w:p w:rsidR="00710386" w:rsidRPr="00FF30D0" w:rsidRDefault="00710386" w:rsidP="00710386">
      <w:pPr>
        <w:rPr>
          <w:rFonts w:cs="Times New Roman"/>
        </w:rPr>
      </w:pPr>
      <w:r w:rsidRPr="00FF30D0">
        <w:rPr>
          <w:rFonts w:cs="Times New Roman"/>
        </w:rPr>
        <w:t xml:space="preserve">The </w:t>
      </w:r>
      <w:r>
        <w:rPr>
          <w:rFonts w:cs="Times New Roman"/>
        </w:rPr>
        <w:t>2015 47</w:t>
      </w:r>
      <w:r w:rsidRPr="006C5082">
        <w:rPr>
          <w:rFonts w:cs="Times New Roman"/>
          <w:vertAlign w:val="superscript"/>
        </w:rPr>
        <w:t>th</w:t>
      </w:r>
      <w:r>
        <w:rPr>
          <w:rFonts w:cs="Times New Roman"/>
        </w:rPr>
        <w:t xml:space="preserve"> CCPR </w:t>
      </w:r>
      <w:proofErr w:type="gramStart"/>
      <w:r>
        <w:rPr>
          <w:rFonts w:cs="Times New Roman"/>
        </w:rPr>
        <w:t xml:space="preserve">meeting </w:t>
      </w:r>
      <w:r w:rsidRPr="00FF30D0">
        <w:rPr>
          <w:rFonts w:cs="Times New Roman"/>
        </w:rPr>
        <w:t xml:space="preserve"> recommended</w:t>
      </w:r>
      <w:proofErr w:type="gramEnd"/>
      <w:r w:rsidRPr="00FF30D0">
        <w:rPr>
          <w:rFonts w:cs="Times New Roman"/>
        </w:rPr>
        <w:t xml:space="preserve"> </w:t>
      </w:r>
      <w:r>
        <w:rPr>
          <w:rFonts w:cs="Times New Roman"/>
        </w:rPr>
        <w:t xml:space="preserve">advancement of the proposed </w:t>
      </w:r>
      <w:r w:rsidRPr="00FF30D0">
        <w:rPr>
          <w:rFonts w:cs="Times New Roman"/>
        </w:rPr>
        <w:t>MRLs for tea [</w:t>
      </w:r>
      <w:proofErr w:type="spellStart"/>
      <w:r w:rsidRPr="00FF30D0">
        <w:rPr>
          <w:rFonts w:cs="Times New Roman"/>
        </w:rPr>
        <w:t>Fenpropathrin</w:t>
      </w:r>
      <w:proofErr w:type="spellEnd"/>
      <w:r>
        <w:rPr>
          <w:rFonts w:cs="Times New Roman"/>
        </w:rPr>
        <w:t xml:space="preserve"> M</w:t>
      </w:r>
      <w:r w:rsidRPr="00FF30D0">
        <w:rPr>
          <w:rFonts w:cs="Times New Roman"/>
        </w:rPr>
        <w:t>RL 3 mg/kg; Flufenoxuron</w:t>
      </w:r>
      <w:r>
        <w:rPr>
          <w:rFonts w:cs="Times New Roman"/>
        </w:rPr>
        <w:t xml:space="preserve"> </w:t>
      </w:r>
      <w:r w:rsidRPr="00FF30D0">
        <w:rPr>
          <w:rFonts w:cs="Times New Roman"/>
        </w:rPr>
        <w:t>MRL 20 mg/kg]</w:t>
      </w:r>
      <w:r>
        <w:rPr>
          <w:rFonts w:cs="Times New Roman"/>
        </w:rPr>
        <w:t xml:space="preserve"> for adoption at stage 5/8. It should be noted that reservations were raised by the EU to both these proposed </w:t>
      </w:r>
      <w:proofErr w:type="gramStart"/>
      <w:r>
        <w:rPr>
          <w:rFonts w:cs="Times New Roman"/>
        </w:rPr>
        <w:t>MRLs .</w:t>
      </w:r>
      <w:proofErr w:type="gramEnd"/>
    </w:p>
    <w:p w:rsidR="00710386" w:rsidRDefault="00710386" w:rsidP="00710386">
      <w:pPr>
        <w:rPr>
          <w:rFonts w:cs="Times New Roman"/>
        </w:rPr>
      </w:pPr>
      <w:r w:rsidRPr="00FF30D0">
        <w:rPr>
          <w:rFonts w:cs="Times New Roman"/>
        </w:rPr>
        <w:t xml:space="preserve">The </w:t>
      </w:r>
      <w:proofErr w:type="gramStart"/>
      <w:r>
        <w:rPr>
          <w:rFonts w:cs="Times New Roman"/>
        </w:rPr>
        <w:t>2016  48</w:t>
      </w:r>
      <w:r w:rsidRPr="006C5082">
        <w:rPr>
          <w:rFonts w:cs="Times New Roman"/>
          <w:vertAlign w:val="superscript"/>
        </w:rPr>
        <w:t>th</w:t>
      </w:r>
      <w:r w:rsidRPr="00FF30D0">
        <w:rPr>
          <w:rFonts w:cs="Times New Roman"/>
        </w:rPr>
        <w:t>CCPR</w:t>
      </w:r>
      <w:proofErr w:type="gramEnd"/>
      <w:r w:rsidRPr="00FF30D0">
        <w:rPr>
          <w:rFonts w:cs="Times New Roman"/>
        </w:rPr>
        <w:t xml:space="preserve"> </w:t>
      </w:r>
      <w:r>
        <w:rPr>
          <w:rFonts w:cs="Times New Roman"/>
        </w:rPr>
        <w:t xml:space="preserve">meeting recommended the advancement of the proposed MRL for </w:t>
      </w:r>
      <w:proofErr w:type="spellStart"/>
      <w:r>
        <w:rPr>
          <w:rFonts w:cs="Times New Roman"/>
        </w:rPr>
        <w:t>imidacloprid</w:t>
      </w:r>
      <w:proofErr w:type="spellEnd"/>
      <w:r>
        <w:rPr>
          <w:rFonts w:cs="Times New Roman"/>
        </w:rPr>
        <w:t xml:space="preserve"> in tea (50 mg/kg) for adoption at stage 5/8. </w:t>
      </w:r>
      <w:r w:rsidRPr="00FF30D0">
        <w:rPr>
          <w:rFonts w:cs="Times New Roman"/>
        </w:rPr>
        <w:t>The proposed schedule for 201</w:t>
      </w:r>
      <w:r>
        <w:rPr>
          <w:rFonts w:cs="Times New Roman"/>
        </w:rPr>
        <w:t>7</w:t>
      </w:r>
      <w:r w:rsidRPr="00FF30D0">
        <w:rPr>
          <w:rFonts w:cs="Times New Roman"/>
        </w:rPr>
        <w:t xml:space="preserve"> currently contains the following </w:t>
      </w:r>
      <w:r>
        <w:rPr>
          <w:rFonts w:cs="Times New Roman"/>
        </w:rPr>
        <w:t xml:space="preserve">residue evaluations for </w:t>
      </w:r>
      <w:r w:rsidRPr="00FF30D0">
        <w:rPr>
          <w:rFonts w:cs="Times New Roman"/>
        </w:rPr>
        <w:t xml:space="preserve">tea: </w:t>
      </w:r>
      <w:proofErr w:type="spellStart"/>
      <w:r>
        <w:rPr>
          <w:rFonts w:cs="Times New Roman"/>
        </w:rPr>
        <w:t>Cyclaniliprole</w:t>
      </w:r>
      <w:proofErr w:type="spellEnd"/>
      <w:r>
        <w:rPr>
          <w:rFonts w:cs="Times New Roman"/>
        </w:rPr>
        <w:t xml:space="preserve"> (tea – 6 trials), </w:t>
      </w:r>
      <w:proofErr w:type="spellStart"/>
      <w:r>
        <w:rPr>
          <w:rFonts w:cs="Times New Roman"/>
        </w:rPr>
        <w:t>Fenazaquin</w:t>
      </w:r>
      <w:proofErr w:type="spellEnd"/>
      <w:r>
        <w:rPr>
          <w:rFonts w:cs="Times New Roman"/>
        </w:rPr>
        <w:t xml:space="preserve"> (tea), 2</w:t>
      </w:r>
      <w:proofErr w:type="gramStart"/>
      <w:r>
        <w:rPr>
          <w:rFonts w:cs="Times New Roman"/>
        </w:rPr>
        <w:t>,4</w:t>
      </w:r>
      <w:proofErr w:type="gramEnd"/>
      <w:r>
        <w:rPr>
          <w:rFonts w:cs="Times New Roman"/>
        </w:rPr>
        <w:t>-D (tea), Lambda-</w:t>
      </w:r>
      <w:proofErr w:type="spellStart"/>
      <w:r>
        <w:rPr>
          <w:rFonts w:cs="Times New Roman"/>
        </w:rPr>
        <w:t>cyhalothrin</w:t>
      </w:r>
      <w:proofErr w:type="spellEnd"/>
      <w:r>
        <w:rPr>
          <w:rFonts w:cs="Times New Roman"/>
        </w:rPr>
        <w:t xml:space="preserve"> (tea), </w:t>
      </w:r>
      <w:proofErr w:type="spellStart"/>
      <w:r>
        <w:rPr>
          <w:rFonts w:cs="Times New Roman"/>
        </w:rPr>
        <w:t>Profenofos</w:t>
      </w:r>
      <w:proofErr w:type="spellEnd"/>
      <w:r>
        <w:rPr>
          <w:rFonts w:cs="Times New Roman"/>
        </w:rPr>
        <w:t xml:space="preserve"> (tea), </w:t>
      </w:r>
      <w:proofErr w:type="spellStart"/>
      <w:r>
        <w:rPr>
          <w:rFonts w:cs="Times New Roman"/>
        </w:rPr>
        <w:t>Pyraclostrobin</w:t>
      </w:r>
      <w:proofErr w:type="spellEnd"/>
      <w:r>
        <w:rPr>
          <w:rFonts w:cs="Times New Roman"/>
        </w:rPr>
        <w:t xml:space="preserve"> (tea – 8-10 trials), </w:t>
      </w:r>
      <w:proofErr w:type="spellStart"/>
      <w:r>
        <w:rPr>
          <w:rFonts w:cs="Times New Roman"/>
        </w:rPr>
        <w:t>Tebuconazole</w:t>
      </w:r>
      <w:proofErr w:type="spellEnd"/>
      <w:r>
        <w:rPr>
          <w:rFonts w:cs="Times New Roman"/>
        </w:rPr>
        <w:t xml:space="preserve"> (tea), </w:t>
      </w:r>
      <w:proofErr w:type="spellStart"/>
      <w:r>
        <w:rPr>
          <w:rFonts w:cs="Times New Roman"/>
        </w:rPr>
        <w:t>Carbendazim</w:t>
      </w:r>
      <w:proofErr w:type="spellEnd"/>
      <w:r>
        <w:rPr>
          <w:rFonts w:cs="Times New Roman"/>
        </w:rPr>
        <w:t xml:space="preserve"> (</w:t>
      </w:r>
      <w:proofErr w:type="spellStart"/>
      <w:r>
        <w:rPr>
          <w:rFonts w:cs="Times New Roman"/>
        </w:rPr>
        <w:t>Thiophanate</w:t>
      </w:r>
      <w:proofErr w:type="spellEnd"/>
      <w:r>
        <w:rPr>
          <w:rFonts w:cs="Times New Roman"/>
        </w:rPr>
        <w:t>-methyl) (tea).</w:t>
      </w:r>
    </w:p>
    <w:p w:rsidR="00710386" w:rsidRDefault="00710386" w:rsidP="00710386">
      <w:pPr>
        <w:rPr>
          <w:rFonts w:cs="Times New Roman"/>
        </w:rPr>
      </w:pPr>
      <w:r>
        <w:rPr>
          <w:rFonts w:cs="Times New Roman"/>
        </w:rPr>
        <w:t xml:space="preserve">In addition the following compounds on the priority list for tea are also scheduled for review, although not currently for residues in tea: </w:t>
      </w:r>
      <w:proofErr w:type="spellStart"/>
      <w:r>
        <w:rPr>
          <w:rFonts w:cs="Times New Roman"/>
        </w:rPr>
        <w:t>Azoxystrobin</w:t>
      </w:r>
      <w:proofErr w:type="spellEnd"/>
      <w:r>
        <w:rPr>
          <w:rFonts w:cs="Times New Roman"/>
        </w:rPr>
        <w:t xml:space="preserve">, </w:t>
      </w:r>
      <w:proofErr w:type="spellStart"/>
      <w:r>
        <w:rPr>
          <w:rFonts w:cs="Times New Roman"/>
        </w:rPr>
        <w:t>Difenaconazoleand</w:t>
      </w:r>
      <w:proofErr w:type="spellEnd"/>
      <w:r>
        <w:rPr>
          <w:rFonts w:cs="Times New Roman"/>
        </w:rPr>
        <w:t xml:space="preserve"> </w:t>
      </w:r>
      <w:proofErr w:type="spellStart"/>
      <w:r>
        <w:rPr>
          <w:rFonts w:cs="Times New Roman"/>
        </w:rPr>
        <w:t>Trifloxystrobin</w:t>
      </w:r>
      <w:proofErr w:type="spellEnd"/>
      <w:r>
        <w:rPr>
          <w:rFonts w:cs="Times New Roman"/>
        </w:rPr>
        <w:t>.</w:t>
      </w:r>
    </w:p>
    <w:p w:rsidR="00710386" w:rsidRDefault="00710386" w:rsidP="00710386">
      <w:pPr>
        <w:rPr>
          <w:rFonts w:cs="Times New Roman"/>
        </w:rPr>
      </w:pPr>
      <w:r>
        <w:rPr>
          <w:rFonts w:cs="Times New Roman"/>
        </w:rPr>
        <w:t xml:space="preserve">The following compounds of interest are currently scheduled for 2018 review: </w:t>
      </w:r>
      <w:proofErr w:type="spellStart"/>
      <w:r>
        <w:rPr>
          <w:rFonts w:cs="Times New Roman"/>
        </w:rPr>
        <w:t>Chlorfenapyr</w:t>
      </w:r>
      <w:proofErr w:type="spellEnd"/>
      <w:r>
        <w:rPr>
          <w:rFonts w:cs="Times New Roman"/>
        </w:rPr>
        <w:t xml:space="preserve"> (tea – 6 trials), </w:t>
      </w:r>
      <w:proofErr w:type="spellStart"/>
      <w:r w:rsidRPr="00A87F80">
        <w:rPr>
          <w:rFonts w:cs="Times New Roman"/>
        </w:rPr>
        <w:t>Pyrifluquizanon</w:t>
      </w:r>
      <w:proofErr w:type="spellEnd"/>
      <w:r w:rsidRPr="00A87F80">
        <w:rPr>
          <w:rFonts w:cs="Times New Roman"/>
        </w:rPr>
        <w:t xml:space="preserve"> (tea – 6 trials</w:t>
      </w:r>
      <w:r>
        <w:rPr>
          <w:rFonts w:cs="Times New Roman"/>
        </w:rPr>
        <w:t>, moved from 2015</w:t>
      </w:r>
      <w:r w:rsidRPr="00A87F80">
        <w:rPr>
          <w:rFonts w:cs="Times New Roman"/>
        </w:rPr>
        <w:t>)</w:t>
      </w:r>
      <w:r>
        <w:rPr>
          <w:rFonts w:cs="Times New Roman"/>
        </w:rPr>
        <w:t xml:space="preserve">, Fluazinam (tea – 5 trials), Quinalphos (tea), </w:t>
      </w:r>
      <w:proofErr w:type="spellStart"/>
      <w:r w:rsidRPr="00FF30D0">
        <w:rPr>
          <w:rFonts w:cs="Times New Roman"/>
        </w:rPr>
        <w:t>Spiromesifen</w:t>
      </w:r>
      <w:proofErr w:type="spellEnd"/>
      <w:r w:rsidRPr="00FF30D0">
        <w:rPr>
          <w:rFonts w:cs="Times New Roman"/>
        </w:rPr>
        <w:t xml:space="preserve"> (Tea</w:t>
      </w:r>
      <w:r>
        <w:rPr>
          <w:rFonts w:cs="Times New Roman"/>
        </w:rPr>
        <w:t>, moved from 2015)</w:t>
      </w:r>
      <w:proofErr w:type="gramStart"/>
      <w:r w:rsidRPr="00FF30D0">
        <w:rPr>
          <w:rFonts w:cs="Times New Roman"/>
        </w:rPr>
        <w:t>,</w:t>
      </w:r>
      <w:proofErr w:type="spellStart"/>
      <w:r>
        <w:rPr>
          <w:rFonts w:cs="Times New Roman"/>
        </w:rPr>
        <w:t>Hexaconazole</w:t>
      </w:r>
      <w:proofErr w:type="spellEnd"/>
      <w:proofErr w:type="gramEnd"/>
      <w:r>
        <w:rPr>
          <w:rFonts w:cs="Times New Roman"/>
        </w:rPr>
        <w:t xml:space="preserve"> (tea), </w:t>
      </w:r>
      <w:proofErr w:type="spellStart"/>
      <w:r>
        <w:rPr>
          <w:rFonts w:cs="Times New Roman"/>
        </w:rPr>
        <w:t>Acetamiprid</w:t>
      </w:r>
      <w:proofErr w:type="spellEnd"/>
      <w:r>
        <w:rPr>
          <w:rFonts w:cs="Times New Roman"/>
        </w:rPr>
        <w:t xml:space="preserve"> (tea), </w:t>
      </w:r>
      <w:proofErr w:type="spellStart"/>
      <w:r>
        <w:rPr>
          <w:rFonts w:cs="Times New Roman"/>
        </w:rPr>
        <w:t>chlorothalonil</w:t>
      </w:r>
      <w:proofErr w:type="spellEnd"/>
      <w:r>
        <w:rPr>
          <w:rFonts w:cs="Times New Roman"/>
        </w:rPr>
        <w:t>.</w:t>
      </w:r>
    </w:p>
    <w:p w:rsidR="00710386" w:rsidRPr="00FF30D0" w:rsidRDefault="00710386" w:rsidP="00710386">
      <w:pPr>
        <w:rPr>
          <w:rFonts w:cs="Times New Roman"/>
          <w:b/>
        </w:rPr>
      </w:pPr>
      <w:r w:rsidRPr="00FF30D0">
        <w:rPr>
          <w:rFonts w:cs="Times New Roman"/>
          <w:b/>
        </w:rPr>
        <w:t xml:space="preserve">Harmonization </w:t>
      </w:r>
      <w:proofErr w:type="gramStart"/>
      <w:r w:rsidRPr="00FF30D0">
        <w:rPr>
          <w:rFonts w:cs="Times New Roman"/>
          <w:b/>
        </w:rPr>
        <w:t xml:space="preserve">of  </w:t>
      </w:r>
      <w:r>
        <w:rPr>
          <w:rFonts w:cs="Times New Roman"/>
          <w:b/>
        </w:rPr>
        <w:t>MRLs</w:t>
      </w:r>
      <w:proofErr w:type="gramEnd"/>
    </w:p>
    <w:p w:rsidR="00710386" w:rsidRDefault="00710386" w:rsidP="00710386">
      <w:pPr>
        <w:pStyle w:val="NewPara"/>
        <w:numPr>
          <w:ilvl w:val="0"/>
          <w:numId w:val="0"/>
        </w:numPr>
      </w:pPr>
      <w:r>
        <w:t xml:space="preserve">The harmonization of MRLs internationally was the goal set by this group initially. It is acknowledged that due to the different regulatory evaluation processes in different counties, evaluation of the same field trial data package can result in different MRLs. </w:t>
      </w:r>
      <w:r w:rsidRPr="000C311A">
        <w:t xml:space="preserve">Since </w:t>
      </w:r>
      <w:r>
        <w:t xml:space="preserve">Aug </w:t>
      </w:r>
      <w:r w:rsidRPr="000C311A">
        <w:t>201</w:t>
      </w:r>
      <w:r>
        <w:t>4,</w:t>
      </w:r>
      <w:r w:rsidRPr="000C311A">
        <w:t xml:space="preserve"> MRLs have been granted for </w:t>
      </w:r>
      <w:proofErr w:type="spellStart"/>
      <w:r>
        <w:t>spiromesifen</w:t>
      </w:r>
      <w:proofErr w:type="spellEnd"/>
      <w:r>
        <w:t xml:space="preserve"> (2014), </w:t>
      </w:r>
      <w:proofErr w:type="spellStart"/>
      <w:r>
        <w:t>etoxazole</w:t>
      </w:r>
      <w:proofErr w:type="spellEnd"/>
      <w:r>
        <w:t xml:space="preserve"> (2014), </w:t>
      </w:r>
      <w:proofErr w:type="spellStart"/>
      <w:r>
        <w:t>deltamethrin</w:t>
      </w:r>
      <w:proofErr w:type="spellEnd"/>
      <w:r>
        <w:t xml:space="preserve"> (2015), </w:t>
      </w:r>
      <w:proofErr w:type="spellStart"/>
      <w:r>
        <w:t>azoxystrobin</w:t>
      </w:r>
      <w:proofErr w:type="spellEnd"/>
      <w:r>
        <w:t xml:space="preserve"> (2015), </w:t>
      </w:r>
      <w:proofErr w:type="spellStart"/>
      <w:r>
        <w:t>bifenthrin</w:t>
      </w:r>
      <w:proofErr w:type="spellEnd"/>
      <w:r>
        <w:t xml:space="preserve"> (2016) and </w:t>
      </w:r>
      <w:proofErr w:type="spellStart"/>
      <w:r>
        <w:t>chlorfenapyr</w:t>
      </w:r>
      <w:proofErr w:type="spellEnd"/>
      <w:r>
        <w:t xml:space="preserve"> (2016) </w:t>
      </w:r>
      <w:r w:rsidRPr="000C311A">
        <w:t xml:space="preserve">in Canada; for </w:t>
      </w:r>
      <w:proofErr w:type="spellStart"/>
      <w:r>
        <w:t>tolfenpyrad</w:t>
      </w:r>
      <w:proofErr w:type="spellEnd"/>
      <w:r>
        <w:t xml:space="preserve"> (2014), </w:t>
      </w:r>
      <w:proofErr w:type="spellStart"/>
      <w:r>
        <w:t>azoxystrobin</w:t>
      </w:r>
      <w:proofErr w:type="spellEnd"/>
      <w:r>
        <w:t xml:space="preserve"> (2015), </w:t>
      </w:r>
      <w:proofErr w:type="spellStart"/>
      <w:r>
        <w:t>propiconazole</w:t>
      </w:r>
      <w:proofErr w:type="spellEnd"/>
      <w:r>
        <w:t xml:space="preserve"> (2015) and </w:t>
      </w:r>
      <w:proofErr w:type="spellStart"/>
      <w:r>
        <w:t>pyriproxyfen</w:t>
      </w:r>
      <w:proofErr w:type="spellEnd"/>
      <w:r>
        <w:t xml:space="preserve"> (2016) </w:t>
      </w:r>
      <w:r w:rsidRPr="000C311A">
        <w:t xml:space="preserve">in the USA; </w:t>
      </w:r>
      <w:proofErr w:type="spellStart"/>
      <w:r w:rsidRPr="00990089">
        <w:t>indoxacarb</w:t>
      </w:r>
      <w:proofErr w:type="spellEnd"/>
      <w:r w:rsidRPr="00990089">
        <w:t xml:space="preserve"> (2015) in the EU.</w:t>
      </w:r>
      <w:r>
        <w:t xml:space="preserve"> In Australia in 2015 MRLs were </w:t>
      </w:r>
      <w:proofErr w:type="gramStart"/>
      <w:r>
        <w:t>adopted  for</w:t>
      </w:r>
      <w:proofErr w:type="gramEnd"/>
      <w:r>
        <w:t xml:space="preserve"> </w:t>
      </w:r>
      <w:proofErr w:type="spellStart"/>
      <w:r>
        <w:t>chlorfenapyr</w:t>
      </w:r>
      <w:proofErr w:type="spellEnd"/>
      <w:r>
        <w:t xml:space="preserve">, </w:t>
      </w:r>
      <w:proofErr w:type="spellStart"/>
      <w:r>
        <w:t>chlorpyrifos</w:t>
      </w:r>
      <w:proofErr w:type="spellEnd"/>
      <w:r>
        <w:t xml:space="preserve">-methyl, </w:t>
      </w:r>
      <w:proofErr w:type="spellStart"/>
      <w:r>
        <w:t>clothianidin</w:t>
      </w:r>
      <w:proofErr w:type="spellEnd"/>
      <w:r>
        <w:t xml:space="preserve">, diflubenzuron, </w:t>
      </w:r>
      <w:proofErr w:type="spellStart"/>
      <w:r>
        <w:t>etoxazole</w:t>
      </w:r>
      <w:proofErr w:type="spellEnd"/>
      <w:r>
        <w:t xml:space="preserve">, </w:t>
      </w:r>
      <w:proofErr w:type="spellStart"/>
      <w:r>
        <w:t>fenpyroximate</w:t>
      </w:r>
      <w:proofErr w:type="spellEnd"/>
      <w:r>
        <w:t xml:space="preserve">, </w:t>
      </w:r>
      <w:proofErr w:type="spellStart"/>
      <w:r>
        <w:t>flubendiamide</w:t>
      </w:r>
      <w:proofErr w:type="spellEnd"/>
      <w:r>
        <w:t xml:space="preserve">, </w:t>
      </w:r>
      <w:proofErr w:type="spellStart"/>
      <w:r>
        <w:t>hexythiazox</w:t>
      </w:r>
      <w:proofErr w:type="spellEnd"/>
      <w:r>
        <w:t xml:space="preserve">, </w:t>
      </w:r>
      <w:proofErr w:type="spellStart"/>
      <w:r>
        <w:t>krezoxim</w:t>
      </w:r>
      <w:proofErr w:type="spellEnd"/>
      <w:r>
        <w:t xml:space="preserve">-methyl, </w:t>
      </w:r>
      <w:proofErr w:type="spellStart"/>
      <w:r>
        <w:t>penconazole</w:t>
      </w:r>
      <w:proofErr w:type="spellEnd"/>
      <w:r>
        <w:t xml:space="preserve">, permethrin, </w:t>
      </w:r>
      <w:proofErr w:type="spellStart"/>
      <w:r>
        <w:t>spiromesifen</w:t>
      </w:r>
      <w:proofErr w:type="spellEnd"/>
      <w:r>
        <w:t xml:space="preserve">, </w:t>
      </w:r>
      <w:proofErr w:type="spellStart"/>
      <w:r>
        <w:t>tebufenpyrad</w:t>
      </w:r>
      <w:proofErr w:type="spellEnd"/>
      <w:r>
        <w:t xml:space="preserve">, </w:t>
      </w:r>
      <w:proofErr w:type="spellStart"/>
      <w:r>
        <w:t>thiacloprid</w:t>
      </w:r>
      <w:proofErr w:type="spellEnd"/>
      <w:r>
        <w:t xml:space="preserve">, </w:t>
      </w:r>
      <w:proofErr w:type="spellStart"/>
      <w:r>
        <w:t>thiamethoxam</w:t>
      </w:r>
      <w:proofErr w:type="spellEnd"/>
      <w:r>
        <w:t xml:space="preserve">, </w:t>
      </w:r>
      <w:proofErr w:type="spellStart"/>
      <w:r>
        <w:t>triadimefon</w:t>
      </w:r>
      <w:proofErr w:type="spellEnd"/>
      <w:r>
        <w:t xml:space="preserve">, </w:t>
      </w:r>
      <w:proofErr w:type="spellStart"/>
      <w:r>
        <w:t>triadimenol</w:t>
      </w:r>
      <w:proofErr w:type="spellEnd"/>
      <w:r>
        <w:t xml:space="preserve">, </w:t>
      </w:r>
      <w:proofErr w:type="spellStart"/>
      <w:r>
        <w:t>tridemorph</w:t>
      </w:r>
      <w:proofErr w:type="spellEnd"/>
      <w:r>
        <w:t xml:space="preserve">. In addition the MRL for </w:t>
      </w:r>
      <w:proofErr w:type="spellStart"/>
      <w:r>
        <w:t>endosulfan</w:t>
      </w:r>
      <w:proofErr w:type="spellEnd"/>
      <w:r>
        <w:t xml:space="preserve"> was modified in 2015 from 30 to 10 mg/kg and in 2016 an MRL was established for </w:t>
      </w:r>
      <w:proofErr w:type="spellStart"/>
      <w:r>
        <w:t>indoxacarb</w:t>
      </w:r>
      <w:proofErr w:type="spellEnd"/>
      <w:r>
        <w:t>.</w:t>
      </w:r>
    </w:p>
    <w:p w:rsidR="00710386" w:rsidRDefault="00710386" w:rsidP="00710386">
      <w:pPr>
        <w:pStyle w:val="NewPara"/>
        <w:numPr>
          <w:ilvl w:val="0"/>
          <w:numId w:val="0"/>
        </w:numPr>
      </w:pPr>
      <w:r>
        <w:t>A comparison of current Codex and consuming country MRLs shown below indicate where progress has been made and where adoption of realistic MRLs is still required:</w:t>
      </w:r>
    </w:p>
    <w:p w:rsidR="00710386" w:rsidRDefault="00710386" w:rsidP="00710386">
      <w:pPr>
        <w:spacing w:line="276" w:lineRule="auto"/>
      </w:pPr>
      <w:r>
        <w:br w:type="page"/>
      </w:r>
    </w:p>
    <w:tbl>
      <w:tblPr>
        <w:tblW w:w="90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3"/>
        <w:gridCol w:w="1219"/>
        <w:gridCol w:w="1130"/>
        <w:gridCol w:w="1199"/>
        <w:gridCol w:w="1276"/>
        <w:gridCol w:w="1276"/>
        <w:gridCol w:w="1276"/>
      </w:tblGrid>
      <w:tr w:rsidR="00710386" w:rsidRPr="00710386" w:rsidTr="00710386">
        <w:tc>
          <w:tcPr>
            <w:tcW w:w="1663"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lastRenderedPageBreak/>
              <w:t>Pesticides</w:t>
            </w:r>
          </w:p>
        </w:tc>
        <w:tc>
          <w:tcPr>
            <w:tcW w:w="1219"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 xml:space="preserve">CODEX MRL (mg/kg) </w:t>
            </w:r>
          </w:p>
        </w:tc>
        <w:tc>
          <w:tcPr>
            <w:tcW w:w="1130"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EU MRL</w:t>
            </w:r>
          </w:p>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(mg/kg)</w:t>
            </w:r>
          </w:p>
        </w:tc>
        <w:tc>
          <w:tcPr>
            <w:tcW w:w="1199"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USA</w:t>
            </w:r>
          </w:p>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(mg/kg)</w:t>
            </w:r>
          </w:p>
        </w:tc>
        <w:tc>
          <w:tcPr>
            <w:tcW w:w="1276"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 xml:space="preserve"> Canada</w:t>
            </w:r>
          </w:p>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(mg/kg)</w:t>
            </w:r>
          </w:p>
        </w:tc>
        <w:tc>
          <w:tcPr>
            <w:tcW w:w="1276"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Australia</w:t>
            </w:r>
          </w:p>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(mg/kg)</w:t>
            </w:r>
          </w:p>
        </w:tc>
        <w:tc>
          <w:tcPr>
            <w:tcW w:w="1276"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Japan</w:t>
            </w:r>
          </w:p>
          <w:p w:rsidR="00710386" w:rsidRPr="00710386" w:rsidDel="00C41D9C"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(mg/kg)</w:t>
            </w:r>
          </w:p>
        </w:tc>
      </w:tr>
      <w:tr w:rsidR="00710386" w:rsidRPr="00710386" w:rsidTr="00710386">
        <w:tc>
          <w:tcPr>
            <w:tcW w:w="1663"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2,4-D</w:t>
            </w:r>
            <w:r w:rsidRPr="00710386">
              <w:rPr>
                <w:rFonts w:eastAsiaTheme="minorEastAsia" w:cs="Times New Roman"/>
                <w:szCs w:val="22"/>
                <w:lang w:eastAsia="en-GB"/>
              </w:rPr>
              <w:tab/>
            </w:r>
          </w:p>
        </w:tc>
        <w:tc>
          <w:tcPr>
            <w:tcW w:w="1219"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w:t>
            </w:r>
          </w:p>
        </w:tc>
        <w:tc>
          <w:tcPr>
            <w:tcW w:w="1130"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0.1*</w:t>
            </w:r>
          </w:p>
        </w:tc>
        <w:tc>
          <w:tcPr>
            <w:tcW w:w="1199"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p>
        </w:tc>
        <w:tc>
          <w:tcPr>
            <w:tcW w:w="1276"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p>
        </w:tc>
        <w:tc>
          <w:tcPr>
            <w:tcW w:w="1276"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p>
        </w:tc>
        <w:tc>
          <w:tcPr>
            <w:tcW w:w="1276"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p>
        </w:tc>
      </w:tr>
      <w:tr w:rsidR="00710386" w:rsidRPr="00710386" w:rsidTr="00710386">
        <w:tc>
          <w:tcPr>
            <w:tcW w:w="1663"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proofErr w:type="spellStart"/>
            <w:r w:rsidRPr="00710386">
              <w:rPr>
                <w:rFonts w:eastAsiaTheme="minorEastAsia" w:cs="Times New Roman"/>
                <w:szCs w:val="22"/>
                <w:lang w:eastAsia="en-GB"/>
              </w:rPr>
              <w:t>Acetamiprid</w:t>
            </w:r>
            <w:proofErr w:type="spellEnd"/>
          </w:p>
        </w:tc>
        <w:tc>
          <w:tcPr>
            <w:tcW w:w="1219"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w:t>
            </w:r>
          </w:p>
        </w:tc>
        <w:tc>
          <w:tcPr>
            <w:tcW w:w="1130"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p>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0.05*</w:t>
            </w:r>
          </w:p>
        </w:tc>
        <w:tc>
          <w:tcPr>
            <w:tcW w:w="1199"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50</w:t>
            </w:r>
          </w:p>
        </w:tc>
        <w:tc>
          <w:tcPr>
            <w:tcW w:w="1276"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p>
        </w:tc>
        <w:tc>
          <w:tcPr>
            <w:tcW w:w="1276"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p>
        </w:tc>
        <w:tc>
          <w:tcPr>
            <w:tcW w:w="1276"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30</w:t>
            </w:r>
          </w:p>
        </w:tc>
      </w:tr>
      <w:tr w:rsidR="00710386" w:rsidRPr="00710386" w:rsidTr="00710386">
        <w:tc>
          <w:tcPr>
            <w:tcW w:w="1663"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proofErr w:type="spellStart"/>
            <w:r w:rsidRPr="00710386">
              <w:rPr>
                <w:rFonts w:eastAsiaTheme="minorEastAsia" w:cs="Times New Roman"/>
                <w:szCs w:val="22"/>
                <w:lang w:eastAsia="en-GB"/>
              </w:rPr>
              <w:t>Azoxystrobin</w:t>
            </w:r>
            <w:proofErr w:type="spellEnd"/>
          </w:p>
        </w:tc>
        <w:tc>
          <w:tcPr>
            <w:tcW w:w="1219"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w:t>
            </w:r>
          </w:p>
        </w:tc>
        <w:tc>
          <w:tcPr>
            <w:tcW w:w="1130"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 xml:space="preserve"> 0.05*</w:t>
            </w:r>
          </w:p>
        </w:tc>
        <w:tc>
          <w:tcPr>
            <w:tcW w:w="1199"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20</w:t>
            </w:r>
          </w:p>
        </w:tc>
        <w:tc>
          <w:tcPr>
            <w:tcW w:w="1276"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20</w:t>
            </w:r>
          </w:p>
        </w:tc>
        <w:tc>
          <w:tcPr>
            <w:tcW w:w="1276"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20(T)</w:t>
            </w:r>
          </w:p>
        </w:tc>
        <w:tc>
          <w:tcPr>
            <w:tcW w:w="1276"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10</w:t>
            </w:r>
          </w:p>
        </w:tc>
      </w:tr>
      <w:tr w:rsidR="00710386" w:rsidRPr="00710386" w:rsidTr="00710386">
        <w:tc>
          <w:tcPr>
            <w:tcW w:w="1663"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proofErr w:type="spellStart"/>
            <w:r w:rsidRPr="00710386">
              <w:rPr>
                <w:rFonts w:eastAsiaTheme="minorEastAsia" w:cs="Times New Roman"/>
                <w:szCs w:val="22"/>
                <w:lang w:eastAsia="en-GB"/>
              </w:rPr>
              <w:t>Bifenthrin</w:t>
            </w:r>
            <w:proofErr w:type="spellEnd"/>
          </w:p>
        </w:tc>
        <w:tc>
          <w:tcPr>
            <w:tcW w:w="1219"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30</w:t>
            </w:r>
          </w:p>
        </w:tc>
        <w:tc>
          <w:tcPr>
            <w:tcW w:w="1130"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5</w:t>
            </w:r>
          </w:p>
        </w:tc>
        <w:tc>
          <w:tcPr>
            <w:tcW w:w="1199"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30</w:t>
            </w:r>
          </w:p>
        </w:tc>
        <w:tc>
          <w:tcPr>
            <w:tcW w:w="1276"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30</w:t>
            </w:r>
          </w:p>
        </w:tc>
        <w:tc>
          <w:tcPr>
            <w:tcW w:w="1276"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5</w:t>
            </w:r>
          </w:p>
        </w:tc>
        <w:tc>
          <w:tcPr>
            <w:tcW w:w="1276" w:type="dxa"/>
            <w:tcBorders>
              <w:top w:val="single" w:sz="4" w:space="0" w:color="auto"/>
              <w:left w:val="single" w:sz="4" w:space="0" w:color="auto"/>
              <w:bottom w:val="single" w:sz="4" w:space="0" w:color="auto"/>
              <w:right w:val="single" w:sz="4" w:space="0" w:color="auto"/>
            </w:tcBorders>
          </w:tcPr>
          <w:p w:rsidR="00710386" w:rsidRPr="00710386" w:rsidDel="00C41D9C"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25</w:t>
            </w:r>
          </w:p>
        </w:tc>
      </w:tr>
      <w:tr w:rsidR="00710386" w:rsidRPr="00710386" w:rsidTr="00710386">
        <w:tc>
          <w:tcPr>
            <w:tcW w:w="1663"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proofErr w:type="spellStart"/>
            <w:r w:rsidRPr="00710386">
              <w:rPr>
                <w:rFonts w:eastAsiaTheme="minorEastAsia" w:cs="Times New Roman"/>
                <w:szCs w:val="22"/>
                <w:lang w:eastAsia="en-GB"/>
              </w:rPr>
              <w:t>Chlorfenapyr</w:t>
            </w:r>
            <w:proofErr w:type="spellEnd"/>
          </w:p>
        </w:tc>
        <w:tc>
          <w:tcPr>
            <w:tcW w:w="1219"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p>
        </w:tc>
        <w:tc>
          <w:tcPr>
            <w:tcW w:w="1130"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50</w:t>
            </w:r>
          </w:p>
        </w:tc>
        <w:tc>
          <w:tcPr>
            <w:tcW w:w="1199"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p>
        </w:tc>
        <w:tc>
          <w:tcPr>
            <w:tcW w:w="1276"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70</w:t>
            </w:r>
          </w:p>
        </w:tc>
        <w:tc>
          <w:tcPr>
            <w:tcW w:w="1276"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50</w:t>
            </w:r>
          </w:p>
        </w:tc>
        <w:tc>
          <w:tcPr>
            <w:tcW w:w="1276"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40</w:t>
            </w:r>
          </w:p>
        </w:tc>
      </w:tr>
      <w:tr w:rsidR="00710386" w:rsidRPr="00710386" w:rsidTr="00710386">
        <w:tc>
          <w:tcPr>
            <w:tcW w:w="1663"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proofErr w:type="spellStart"/>
            <w:r w:rsidRPr="00710386">
              <w:rPr>
                <w:rFonts w:eastAsiaTheme="minorEastAsia" w:cs="Times New Roman"/>
                <w:szCs w:val="22"/>
                <w:lang w:eastAsia="en-GB"/>
              </w:rPr>
              <w:t>Chlorpyrifos</w:t>
            </w:r>
            <w:proofErr w:type="spellEnd"/>
          </w:p>
        </w:tc>
        <w:tc>
          <w:tcPr>
            <w:tcW w:w="1219"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2</w:t>
            </w:r>
          </w:p>
        </w:tc>
        <w:tc>
          <w:tcPr>
            <w:tcW w:w="1130"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0.1*</w:t>
            </w:r>
          </w:p>
        </w:tc>
        <w:tc>
          <w:tcPr>
            <w:tcW w:w="1199"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p>
        </w:tc>
        <w:tc>
          <w:tcPr>
            <w:tcW w:w="1276"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p>
        </w:tc>
        <w:tc>
          <w:tcPr>
            <w:tcW w:w="1276"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2</w:t>
            </w:r>
          </w:p>
        </w:tc>
        <w:tc>
          <w:tcPr>
            <w:tcW w:w="1276" w:type="dxa"/>
            <w:tcBorders>
              <w:top w:val="single" w:sz="4" w:space="0" w:color="auto"/>
              <w:left w:val="single" w:sz="4" w:space="0" w:color="auto"/>
              <w:bottom w:val="single" w:sz="4" w:space="0" w:color="auto"/>
              <w:right w:val="single" w:sz="4" w:space="0" w:color="auto"/>
            </w:tcBorders>
          </w:tcPr>
          <w:p w:rsidR="00710386" w:rsidRPr="00710386" w:rsidDel="00C41D9C"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10</w:t>
            </w:r>
          </w:p>
        </w:tc>
      </w:tr>
      <w:tr w:rsidR="00710386" w:rsidRPr="00710386" w:rsidTr="00710386">
        <w:tc>
          <w:tcPr>
            <w:tcW w:w="1663"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proofErr w:type="spellStart"/>
            <w:r w:rsidRPr="00710386">
              <w:rPr>
                <w:rFonts w:eastAsiaTheme="minorEastAsia" w:cs="Times New Roman"/>
                <w:szCs w:val="22"/>
                <w:lang w:eastAsia="en-GB"/>
              </w:rPr>
              <w:t>Clothianidin</w:t>
            </w:r>
            <w:proofErr w:type="spellEnd"/>
          </w:p>
        </w:tc>
        <w:tc>
          <w:tcPr>
            <w:tcW w:w="1219"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0.7</w:t>
            </w:r>
          </w:p>
        </w:tc>
        <w:tc>
          <w:tcPr>
            <w:tcW w:w="1130"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0.7</w:t>
            </w:r>
          </w:p>
        </w:tc>
        <w:tc>
          <w:tcPr>
            <w:tcW w:w="1199"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70</w:t>
            </w:r>
          </w:p>
        </w:tc>
        <w:tc>
          <w:tcPr>
            <w:tcW w:w="1276"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p>
        </w:tc>
        <w:tc>
          <w:tcPr>
            <w:tcW w:w="1276"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0.7(T)</w:t>
            </w:r>
          </w:p>
        </w:tc>
        <w:tc>
          <w:tcPr>
            <w:tcW w:w="1276" w:type="dxa"/>
            <w:tcBorders>
              <w:top w:val="single" w:sz="4" w:space="0" w:color="auto"/>
              <w:left w:val="single" w:sz="4" w:space="0" w:color="auto"/>
              <w:bottom w:val="single" w:sz="4" w:space="0" w:color="auto"/>
              <w:right w:val="single" w:sz="4" w:space="0" w:color="auto"/>
            </w:tcBorders>
          </w:tcPr>
          <w:p w:rsidR="00710386" w:rsidRPr="00710386" w:rsidDel="00C41D9C"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50</w:t>
            </w:r>
          </w:p>
        </w:tc>
      </w:tr>
      <w:tr w:rsidR="00710386" w:rsidRPr="00710386" w:rsidTr="00710386">
        <w:tc>
          <w:tcPr>
            <w:tcW w:w="1663"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proofErr w:type="spellStart"/>
            <w:r w:rsidRPr="00710386">
              <w:rPr>
                <w:rFonts w:eastAsiaTheme="minorEastAsia" w:cs="Times New Roman"/>
                <w:szCs w:val="22"/>
                <w:lang w:eastAsia="en-GB"/>
              </w:rPr>
              <w:t>Cypermethrin</w:t>
            </w:r>
            <w:proofErr w:type="spellEnd"/>
          </w:p>
        </w:tc>
        <w:tc>
          <w:tcPr>
            <w:tcW w:w="1219"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20 (*15)</w:t>
            </w:r>
          </w:p>
        </w:tc>
        <w:tc>
          <w:tcPr>
            <w:tcW w:w="1130"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0.5</w:t>
            </w:r>
          </w:p>
        </w:tc>
        <w:tc>
          <w:tcPr>
            <w:tcW w:w="1199"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p>
        </w:tc>
        <w:tc>
          <w:tcPr>
            <w:tcW w:w="1276"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p>
        </w:tc>
        <w:tc>
          <w:tcPr>
            <w:tcW w:w="1276"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0.5</w:t>
            </w:r>
          </w:p>
        </w:tc>
        <w:tc>
          <w:tcPr>
            <w:tcW w:w="1276" w:type="dxa"/>
            <w:tcBorders>
              <w:top w:val="single" w:sz="4" w:space="0" w:color="auto"/>
              <w:left w:val="single" w:sz="4" w:space="0" w:color="auto"/>
              <w:bottom w:val="single" w:sz="4" w:space="0" w:color="auto"/>
              <w:right w:val="single" w:sz="4" w:space="0" w:color="auto"/>
            </w:tcBorders>
          </w:tcPr>
          <w:p w:rsidR="00710386" w:rsidRPr="00710386" w:rsidDel="00C41D9C"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20</w:t>
            </w:r>
          </w:p>
        </w:tc>
      </w:tr>
      <w:tr w:rsidR="00710386" w:rsidRPr="00710386" w:rsidTr="00710386">
        <w:tc>
          <w:tcPr>
            <w:tcW w:w="1663"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proofErr w:type="spellStart"/>
            <w:r w:rsidRPr="00710386">
              <w:rPr>
                <w:rFonts w:eastAsiaTheme="minorEastAsia" w:cs="Times New Roman"/>
                <w:szCs w:val="22"/>
                <w:lang w:eastAsia="en-GB"/>
              </w:rPr>
              <w:t>Deltamethrin</w:t>
            </w:r>
            <w:proofErr w:type="spellEnd"/>
          </w:p>
        </w:tc>
        <w:tc>
          <w:tcPr>
            <w:tcW w:w="1219"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5</w:t>
            </w:r>
          </w:p>
        </w:tc>
        <w:tc>
          <w:tcPr>
            <w:tcW w:w="1130"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5</w:t>
            </w:r>
          </w:p>
        </w:tc>
        <w:tc>
          <w:tcPr>
            <w:tcW w:w="1199"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p>
        </w:tc>
        <w:tc>
          <w:tcPr>
            <w:tcW w:w="1276"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7</w:t>
            </w:r>
          </w:p>
        </w:tc>
        <w:tc>
          <w:tcPr>
            <w:tcW w:w="1276"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5</w:t>
            </w:r>
          </w:p>
        </w:tc>
        <w:tc>
          <w:tcPr>
            <w:tcW w:w="1276" w:type="dxa"/>
            <w:tcBorders>
              <w:top w:val="single" w:sz="4" w:space="0" w:color="auto"/>
              <w:left w:val="single" w:sz="4" w:space="0" w:color="auto"/>
              <w:bottom w:val="single" w:sz="4" w:space="0" w:color="auto"/>
              <w:right w:val="single" w:sz="4" w:space="0" w:color="auto"/>
            </w:tcBorders>
          </w:tcPr>
          <w:p w:rsidR="00710386" w:rsidRPr="00710386" w:rsidDel="00C41D9C"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10</w:t>
            </w:r>
          </w:p>
        </w:tc>
      </w:tr>
      <w:tr w:rsidR="00710386" w:rsidRPr="00710386" w:rsidTr="00710386">
        <w:tc>
          <w:tcPr>
            <w:tcW w:w="1663"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proofErr w:type="spellStart"/>
            <w:r w:rsidRPr="00710386">
              <w:rPr>
                <w:rFonts w:eastAsiaTheme="minorEastAsia" w:cs="Times New Roman"/>
                <w:szCs w:val="22"/>
                <w:lang w:eastAsia="en-GB"/>
              </w:rPr>
              <w:t>Dicofol</w:t>
            </w:r>
            <w:proofErr w:type="spellEnd"/>
            <w:r w:rsidRPr="00710386">
              <w:rPr>
                <w:rFonts w:eastAsiaTheme="minorEastAsia" w:cs="Times New Roman"/>
                <w:szCs w:val="22"/>
                <w:lang w:eastAsia="en-GB"/>
              </w:rPr>
              <w:tab/>
            </w:r>
          </w:p>
        </w:tc>
        <w:tc>
          <w:tcPr>
            <w:tcW w:w="1219"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 xml:space="preserve"> 40</w:t>
            </w:r>
          </w:p>
        </w:tc>
        <w:tc>
          <w:tcPr>
            <w:tcW w:w="1130"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20</w:t>
            </w:r>
          </w:p>
        </w:tc>
        <w:tc>
          <w:tcPr>
            <w:tcW w:w="1199"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50</w:t>
            </w:r>
          </w:p>
        </w:tc>
        <w:tc>
          <w:tcPr>
            <w:tcW w:w="1276"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p>
        </w:tc>
        <w:tc>
          <w:tcPr>
            <w:tcW w:w="1276"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5</w:t>
            </w:r>
          </w:p>
        </w:tc>
        <w:tc>
          <w:tcPr>
            <w:tcW w:w="1276" w:type="dxa"/>
            <w:tcBorders>
              <w:top w:val="single" w:sz="4" w:space="0" w:color="auto"/>
              <w:left w:val="single" w:sz="4" w:space="0" w:color="auto"/>
              <w:bottom w:val="single" w:sz="4" w:space="0" w:color="auto"/>
              <w:right w:val="single" w:sz="4" w:space="0" w:color="auto"/>
            </w:tcBorders>
          </w:tcPr>
          <w:p w:rsidR="00710386" w:rsidRPr="00710386" w:rsidDel="00C41D9C"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3</w:t>
            </w:r>
          </w:p>
        </w:tc>
      </w:tr>
      <w:tr w:rsidR="00710386" w:rsidRPr="00710386" w:rsidTr="00710386">
        <w:tc>
          <w:tcPr>
            <w:tcW w:w="1663"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proofErr w:type="spellStart"/>
            <w:r w:rsidRPr="00710386">
              <w:rPr>
                <w:rFonts w:eastAsiaTheme="minorEastAsia" w:cs="Times New Roman"/>
                <w:szCs w:val="22"/>
                <w:lang w:eastAsia="en-GB"/>
              </w:rPr>
              <w:t>Endosulfan</w:t>
            </w:r>
            <w:proofErr w:type="spellEnd"/>
          </w:p>
        </w:tc>
        <w:tc>
          <w:tcPr>
            <w:tcW w:w="1219"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10</w:t>
            </w:r>
          </w:p>
        </w:tc>
        <w:tc>
          <w:tcPr>
            <w:tcW w:w="1130"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30</w:t>
            </w:r>
          </w:p>
        </w:tc>
        <w:tc>
          <w:tcPr>
            <w:tcW w:w="1199"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24</w:t>
            </w:r>
          </w:p>
        </w:tc>
        <w:tc>
          <w:tcPr>
            <w:tcW w:w="1276"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p>
        </w:tc>
        <w:tc>
          <w:tcPr>
            <w:tcW w:w="1276"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10</w:t>
            </w:r>
          </w:p>
        </w:tc>
        <w:tc>
          <w:tcPr>
            <w:tcW w:w="1276" w:type="dxa"/>
            <w:tcBorders>
              <w:top w:val="single" w:sz="4" w:space="0" w:color="auto"/>
              <w:left w:val="single" w:sz="4" w:space="0" w:color="auto"/>
              <w:bottom w:val="single" w:sz="4" w:space="0" w:color="auto"/>
              <w:right w:val="single" w:sz="4" w:space="0" w:color="auto"/>
            </w:tcBorders>
          </w:tcPr>
          <w:p w:rsidR="00710386" w:rsidRPr="00710386" w:rsidDel="00C41D9C"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30</w:t>
            </w:r>
          </w:p>
        </w:tc>
      </w:tr>
      <w:tr w:rsidR="00710386" w:rsidRPr="00710386" w:rsidTr="00710386">
        <w:tc>
          <w:tcPr>
            <w:tcW w:w="1663"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proofErr w:type="spellStart"/>
            <w:r w:rsidRPr="00710386">
              <w:rPr>
                <w:rFonts w:eastAsiaTheme="minorEastAsia" w:cs="Times New Roman"/>
                <w:szCs w:val="22"/>
                <w:lang w:eastAsia="en-GB"/>
              </w:rPr>
              <w:t>Ethion</w:t>
            </w:r>
            <w:proofErr w:type="spellEnd"/>
            <w:r w:rsidRPr="00710386">
              <w:rPr>
                <w:rFonts w:eastAsiaTheme="minorEastAsia" w:cs="Times New Roman"/>
                <w:szCs w:val="22"/>
                <w:lang w:eastAsia="en-GB"/>
              </w:rPr>
              <w:tab/>
            </w:r>
          </w:p>
        </w:tc>
        <w:tc>
          <w:tcPr>
            <w:tcW w:w="1219"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w:t>
            </w:r>
          </w:p>
        </w:tc>
        <w:tc>
          <w:tcPr>
            <w:tcW w:w="1130"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3</w:t>
            </w:r>
          </w:p>
        </w:tc>
        <w:tc>
          <w:tcPr>
            <w:tcW w:w="1199"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p>
        </w:tc>
        <w:tc>
          <w:tcPr>
            <w:tcW w:w="1276"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p>
        </w:tc>
        <w:tc>
          <w:tcPr>
            <w:tcW w:w="1276"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5</w:t>
            </w:r>
          </w:p>
        </w:tc>
        <w:tc>
          <w:tcPr>
            <w:tcW w:w="1276"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0.3</w:t>
            </w:r>
          </w:p>
        </w:tc>
      </w:tr>
      <w:tr w:rsidR="00710386" w:rsidRPr="00710386" w:rsidTr="00710386">
        <w:tc>
          <w:tcPr>
            <w:tcW w:w="1663"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proofErr w:type="spellStart"/>
            <w:r w:rsidRPr="00710386">
              <w:rPr>
                <w:rFonts w:eastAsiaTheme="minorEastAsia" w:cs="Times New Roman"/>
                <w:szCs w:val="22"/>
                <w:lang w:eastAsia="en-GB"/>
              </w:rPr>
              <w:t>Etoxazole</w:t>
            </w:r>
            <w:proofErr w:type="spellEnd"/>
          </w:p>
        </w:tc>
        <w:tc>
          <w:tcPr>
            <w:tcW w:w="1219"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15</w:t>
            </w:r>
          </w:p>
        </w:tc>
        <w:tc>
          <w:tcPr>
            <w:tcW w:w="1130"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15</w:t>
            </w:r>
          </w:p>
        </w:tc>
        <w:tc>
          <w:tcPr>
            <w:tcW w:w="1199"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15</w:t>
            </w:r>
          </w:p>
        </w:tc>
        <w:tc>
          <w:tcPr>
            <w:tcW w:w="1276"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15</w:t>
            </w:r>
          </w:p>
        </w:tc>
        <w:tc>
          <w:tcPr>
            <w:tcW w:w="1276"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15</w:t>
            </w:r>
          </w:p>
        </w:tc>
        <w:tc>
          <w:tcPr>
            <w:tcW w:w="1276" w:type="dxa"/>
            <w:tcBorders>
              <w:top w:val="single" w:sz="4" w:space="0" w:color="auto"/>
              <w:left w:val="single" w:sz="4" w:space="0" w:color="auto"/>
              <w:bottom w:val="single" w:sz="4" w:space="0" w:color="auto"/>
              <w:right w:val="single" w:sz="4" w:space="0" w:color="auto"/>
            </w:tcBorders>
          </w:tcPr>
          <w:p w:rsidR="00710386" w:rsidRPr="00710386" w:rsidDel="00C41D9C"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10</w:t>
            </w:r>
          </w:p>
        </w:tc>
      </w:tr>
      <w:tr w:rsidR="00710386" w:rsidRPr="00710386" w:rsidTr="00710386">
        <w:tc>
          <w:tcPr>
            <w:tcW w:w="1663"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proofErr w:type="spellStart"/>
            <w:r w:rsidRPr="00710386">
              <w:rPr>
                <w:rFonts w:eastAsiaTheme="minorEastAsia" w:cs="Times New Roman"/>
                <w:szCs w:val="22"/>
                <w:lang w:eastAsia="en-GB"/>
              </w:rPr>
              <w:t>Fenazaquin</w:t>
            </w:r>
            <w:proofErr w:type="spellEnd"/>
          </w:p>
        </w:tc>
        <w:tc>
          <w:tcPr>
            <w:tcW w:w="1219"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w:t>
            </w:r>
          </w:p>
        </w:tc>
        <w:tc>
          <w:tcPr>
            <w:tcW w:w="1130"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10</w:t>
            </w:r>
          </w:p>
        </w:tc>
        <w:tc>
          <w:tcPr>
            <w:tcW w:w="1199"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p>
        </w:tc>
        <w:tc>
          <w:tcPr>
            <w:tcW w:w="1276"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p>
        </w:tc>
        <w:tc>
          <w:tcPr>
            <w:tcW w:w="1276"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p>
        </w:tc>
        <w:tc>
          <w:tcPr>
            <w:tcW w:w="1276"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p>
        </w:tc>
      </w:tr>
      <w:tr w:rsidR="00710386" w:rsidRPr="00710386" w:rsidTr="00710386">
        <w:tc>
          <w:tcPr>
            <w:tcW w:w="1663"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proofErr w:type="spellStart"/>
            <w:r w:rsidRPr="00710386">
              <w:rPr>
                <w:rFonts w:eastAsiaTheme="minorEastAsia" w:cs="Times New Roman"/>
                <w:szCs w:val="22"/>
                <w:lang w:eastAsia="en-GB"/>
              </w:rPr>
              <w:t>Fenpropathrin</w:t>
            </w:r>
            <w:proofErr w:type="spellEnd"/>
          </w:p>
        </w:tc>
        <w:tc>
          <w:tcPr>
            <w:tcW w:w="1219"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2</w:t>
            </w:r>
          </w:p>
        </w:tc>
        <w:tc>
          <w:tcPr>
            <w:tcW w:w="1130"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2</w:t>
            </w:r>
          </w:p>
        </w:tc>
        <w:tc>
          <w:tcPr>
            <w:tcW w:w="1199"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2</w:t>
            </w:r>
          </w:p>
        </w:tc>
        <w:tc>
          <w:tcPr>
            <w:tcW w:w="1276"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2</w:t>
            </w:r>
          </w:p>
        </w:tc>
        <w:tc>
          <w:tcPr>
            <w:tcW w:w="1276"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2</w:t>
            </w:r>
          </w:p>
        </w:tc>
        <w:tc>
          <w:tcPr>
            <w:tcW w:w="1276" w:type="dxa"/>
            <w:tcBorders>
              <w:top w:val="single" w:sz="4" w:space="0" w:color="auto"/>
              <w:left w:val="single" w:sz="4" w:space="0" w:color="auto"/>
              <w:bottom w:val="single" w:sz="4" w:space="0" w:color="auto"/>
              <w:right w:val="single" w:sz="4" w:space="0" w:color="auto"/>
            </w:tcBorders>
          </w:tcPr>
          <w:p w:rsidR="00710386" w:rsidRPr="00710386" w:rsidDel="00C41D9C"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25</w:t>
            </w:r>
          </w:p>
        </w:tc>
      </w:tr>
      <w:tr w:rsidR="00710386" w:rsidRPr="00710386" w:rsidTr="00710386">
        <w:tc>
          <w:tcPr>
            <w:tcW w:w="1663"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proofErr w:type="spellStart"/>
            <w:r w:rsidRPr="00710386">
              <w:rPr>
                <w:rFonts w:eastAsiaTheme="minorEastAsia" w:cs="Times New Roman"/>
                <w:szCs w:val="22"/>
                <w:lang w:eastAsia="en-GB"/>
              </w:rPr>
              <w:t>Fenpyroximate</w:t>
            </w:r>
            <w:proofErr w:type="spellEnd"/>
          </w:p>
        </w:tc>
        <w:tc>
          <w:tcPr>
            <w:tcW w:w="1219"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w:t>
            </w:r>
          </w:p>
        </w:tc>
        <w:tc>
          <w:tcPr>
            <w:tcW w:w="1130"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0.1</w:t>
            </w:r>
          </w:p>
        </w:tc>
        <w:tc>
          <w:tcPr>
            <w:tcW w:w="1199"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20</w:t>
            </w:r>
          </w:p>
        </w:tc>
        <w:tc>
          <w:tcPr>
            <w:tcW w:w="1276"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p>
        </w:tc>
        <w:tc>
          <w:tcPr>
            <w:tcW w:w="1276"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0.1</w:t>
            </w:r>
          </w:p>
        </w:tc>
        <w:tc>
          <w:tcPr>
            <w:tcW w:w="1276"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10</w:t>
            </w:r>
          </w:p>
        </w:tc>
      </w:tr>
      <w:tr w:rsidR="00710386" w:rsidRPr="00710386" w:rsidTr="00710386">
        <w:tc>
          <w:tcPr>
            <w:tcW w:w="1663"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proofErr w:type="spellStart"/>
            <w:r w:rsidRPr="00710386">
              <w:rPr>
                <w:rFonts w:eastAsiaTheme="minorEastAsia" w:cs="Times New Roman"/>
                <w:szCs w:val="22"/>
                <w:lang w:eastAsia="en-GB"/>
              </w:rPr>
              <w:t>Flubendiamide</w:t>
            </w:r>
            <w:proofErr w:type="spellEnd"/>
          </w:p>
        </w:tc>
        <w:tc>
          <w:tcPr>
            <w:tcW w:w="1219"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50</w:t>
            </w:r>
          </w:p>
        </w:tc>
        <w:tc>
          <w:tcPr>
            <w:tcW w:w="1130"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0.02*</w:t>
            </w:r>
          </w:p>
        </w:tc>
        <w:tc>
          <w:tcPr>
            <w:tcW w:w="1199"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p>
        </w:tc>
        <w:tc>
          <w:tcPr>
            <w:tcW w:w="1276"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0.02</w:t>
            </w:r>
          </w:p>
        </w:tc>
        <w:tc>
          <w:tcPr>
            <w:tcW w:w="1276"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0.02</w:t>
            </w:r>
          </w:p>
        </w:tc>
        <w:tc>
          <w:tcPr>
            <w:tcW w:w="1276" w:type="dxa"/>
            <w:tcBorders>
              <w:top w:val="single" w:sz="4" w:space="0" w:color="auto"/>
              <w:left w:val="single" w:sz="4" w:space="0" w:color="auto"/>
              <w:bottom w:val="single" w:sz="4" w:space="0" w:color="auto"/>
              <w:right w:val="single" w:sz="4" w:space="0" w:color="auto"/>
            </w:tcBorders>
          </w:tcPr>
          <w:p w:rsidR="00710386" w:rsidRPr="00710386" w:rsidDel="00C41D9C"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40</w:t>
            </w:r>
          </w:p>
        </w:tc>
      </w:tr>
      <w:tr w:rsidR="00710386" w:rsidRPr="00710386" w:rsidTr="00710386">
        <w:tc>
          <w:tcPr>
            <w:tcW w:w="1663"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Flufenoxuron</w:t>
            </w:r>
          </w:p>
        </w:tc>
        <w:tc>
          <w:tcPr>
            <w:tcW w:w="1219"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w:t>
            </w:r>
          </w:p>
        </w:tc>
        <w:tc>
          <w:tcPr>
            <w:tcW w:w="1130"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15</w:t>
            </w:r>
          </w:p>
        </w:tc>
        <w:tc>
          <w:tcPr>
            <w:tcW w:w="1199"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p>
        </w:tc>
        <w:tc>
          <w:tcPr>
            <w:tcW w:w="1276"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p>
        </w:tc>
        <w:tc>
          <w:tcPr>
            <w:tcW w:w="1276"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p>
        </w:tc>
        <w:tc>
          <w:tcPr>
            <w:tcW w:w="1276"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15</w:t>
            </w:r>
          </w:p>
        </w:tc>
      </w:tr>
      <w:tr w:rsidR="00710386" w:rsidRPr="00710386" w:rsidTr="00710386">
        <w:tc>
          <w:tcPr>
            <w:tcW w:w="1663"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proofErr w:type="spellStart"/>
            <w:r w:rsidRPr="00710386">
              <w:rPr>
                <w:rFonts w:eastAsiaTheme="minorEastAsia" w:cs="Times New Roman"/>
                <w:szCs w:val="22"/>
                <w:lang w:eastAsia="en-GB"/>
              </w:rPr>
              <w:t>Glufosinate</w:t>
            </w:r>
            <w:proofErr w:type="spellEnd"/>
            <w:r w:rsidRPr="00710386">
              <w:rPr>
                <w:rFonts w:eastAsiaTheme="minorEastAsia" w:cs="Times New Roman"/>
                <w:szCs w:val="22"/>
                <w:lang w:eastAsia="en-GB"/>
              </w:rPr>
              <w:t xml:space="preserve"> ammonium</w:t>
            </w:r>
          </w:p>
        </w:tc>
        <w:tc>
          <w:tcPr>
            <w:tcW w:w="1219"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w:t>
            </w:r>
          </w:p>
        </w:tc>
        <w:tc>
          <w:tcPr>
            <w:tcW w:w="1130"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0.1*</w:t>
            </w:r>
          </w:p>
        </w:tc>
        <w:tc>
          <w:tcPr>
            <w:tcW w:w="1199"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p>
        </w:tc>
        <w:tc>
          <w:tcPr>
            <w:tcW w:w="1276"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p>
        </w:tc>
        <w:tc>
          <w:tcPr>
            <w:tcW w:w="1276"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20(T)</w:t>
            </w:r>
          </w:p>
        </w:tc>
        <w:tc>
          <w:tcPr>
            <w:tcW w:w="1276"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0.3</w:t>
            </w:r>
          </w:p>
        </w:tc>
      </w:tr>
      <w:tr w:rsidR="00710386" w:rsidRPr="00710386" w:rsidTr="00710386">
        <w:tc>
          <w:tcPr>
            <w:tcW w:w="1663"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Glyphosate</w:t>
            </w:r>
          </w:p>
        </w:tc>
        <w:tc>
          <w:tcPr>
            <w:tcW w:w="1219"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w:t>
            </w:r>
          </w:p>
        </w:tc>
        <w:tc>
          <w:tcPr>
            <w:tcW w:w="1130"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2.0</w:t>
            </w:r>
          </w:p>
        </w:tc>
        <w:tc>
          <w:tcPr>
            <w:tcW w:w="1199"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1</w:t>
            </w:r>
          </w:p>
        </w:tc>
        <w:tc>
          <w:tcPr>
            <w:tcW w:w="1276"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p>
        </w:tc>
        <w:tc>
          <w:tcPr>
            <w:tcW w:w="1276"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2</w:t>
            </w:r>
          </w:p>
        </w:tc>
        <w:tc>
          <w:tcPr>
            <w:tcW w:w="1276"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1</w:t>
            </w:r>
          </w:p>
        </w:tc>
      </w:tr>
      <w:tr w:rsidR="00710386" w:rsidRPr="00710386" w:rsidTr="00710386">
        <w:tc>
          <w:tcPr>
            <w:tcW w:w="1663"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proofErr w:type="spellStart"/>
            <w:r w:rsidRPr="00710386">
              <w:rPr>
                <w:rFonts w:eastAsiaTheme="minorEastAsia" w:cs="Times New Roman"/>
                <w:szCs w:val="22"/>
                <w:lang w:eastAsia="en-GB"/>
              </w:rPr>
              <w:t>Hexaconazole</w:t>
            </w:r>
            <w:proofErr w:type="spellEnd"/>
          </w:p>
        </w:tc>
        <w:tc>
          <w:tcPr>
            <w:tcW w:w="1219"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w:t>
            </w:r>
          </w:p>
        </w:tc>
        <w:tc>
          <w:tcPr>
            <w:tcW w:w="1130"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0.05*</w:t>
            </w:r>
          </w:p>
        </w:tc>
        <w:tc>
          <w:tcPr>
            <w:tcW w:w="1199"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p>
        </w:tc>
        <w:tc>
          <w:tcPr>
            <w:tcW w:w="1276"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p>
        </w:tc>
        <w:tc>
          <w:tcPr>
            <w:tcW w:w="1276"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p>
        </w:tc>
        <w:tc>
          <w:tcPr>
            <w:tcW w:w="1276"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p>
        </w:tc>
      </w:tr>
      <w:tr w:rsidR="00710386" w:rsidRPr="00710386" w:rsidTr="00710386">
        <w:tc>
          <w:tcPr>
            <w:tcW w:w="1663"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proofErr w:type="spellStart"/>
            <w:r w:rsidRPr="00710386" w:rsidDel="00352F0B">
              <w:rPr>
                <w:rFonts w:eastAsiaTheme="minorEastAsia" w:cs="Times New Roman"/>
                <w:szCs w:val="22"/>
                <w:lang w:eastAsia="en-GB"/>
              </w:rPr>
              <w:t>Hexythiazox</w:t>
            </w:r>
            <w:proofErr w:type="spellEnd"/>
          </w:p>
        </w:tc>
        <w:tc>
          <w:tcPr>
            <w:tcW w:w="1219"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15</w:t>
            </w:r>
          </w:p>
        </w:tc>
        <w:tc>
          <w:tcPr>
            <w:tcW w:w="1130"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sidDel="00352F0B">
              <w:rPr>
                <w:rFonts w:eastAsiaTheme="minorEastAsia" w:cs="Times New Roman"/>
                <w:szCs w:val="22"/>
                <w:lang w:eastAsia="en-GB"/>
              </w:rPr>
              <w:t>4</w:t>
            </w:r>
          </w:p>
        </w:tc>
        <w:tc>
          <w:tcPr>
            <w:tcW w:w="1199"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p>
        </w:tc>
        <w:tc>
          <w:tcPr>
            <w:tcW w:w="1276"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p>
        </w:tc>
        <w:tc>
          <w:tcPr>
            <w:tcW w:w="1276"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4</w:t>
            </w:r>
          </w:p>
        </w:tc>
        <w:tc>
          <w:tcPr>
            <w:tcW w:w="1276"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35</w:t>
            </w:r>
          </w:p>
        </w:tc>
      </w:tr>
      <w:tr w:rsidR="00710386" w:rsidRPr="00710386" w:rsidTr="00710386">
        <w:tc>
          <w:tcPr>
            <w:tcW w:w="1663"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proofErr w:type="spellStart"/>
            <w:r w:rsidRPr="00710386">
              <w:rPr>
                <w:rFonts w:eastAsiaTheme="minorEastAsia" w:cs="Times New Roman"/>
                <w:szCs w:val="22"/>
                <w:lang w:eastAsia="en-GB"/>
              </w:rPr>
              <w:t>Indoxacarb</w:t>
            </w:r>
            <w:proofErr w:type="spellEnd"/>
          </w:p>
        </w:tc>
        <w:tc>
          <w:tcPr>
            <w:tcW w:w="1219"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5</w:t>
            </w:r>
          </w:p>
        </w:tc>
        <w:tc>
          <w:tcPr>
            <w:tcW w:w="1130"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5</w:t>
            </w:r>
          </w:p>
        </w:tc>
        <w:tc>
          <w:tcPr>
            <w:tcW w:w="1199"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p>
        </w:tc>
        <w:tc>
          <w:tcPr>
            <w:tcW w:w="1276"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p>
        </w:tc>
        <w:tc>
          <w:tcPr>
            <w:tcW w:w="1276"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5</w:t>
            </w:r>
          </w:p>
        </w:tc>
        <w:tc>
          <w:tcPr>
            <w:tcW w:w="1276"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p>
        </w:tc>
      </w:tr>
      <w:tr w:rsidR="00710386" w:rsidRPr="00710386" w:rsidTr="00710386">
        <w:tc>
          <w:tcPr>
            <w:tcW w:w="1663"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L-</w:t>
            </w:r>
            <w:proofErr w:type="spellStart"/>
            <w:r w:rsidRPr="00710386">
              <w:rPr>
                <w:rFonts w:eastAsiaTheme="minorEastAsia" w:cs="Times New Roman"/>
                <w:szCs w:val="22"/>
                <w:lang w:eastAsia="en-GB"/>
              </w:rPr>
              <w:t>cyhalothrin</w:t>
            </w:r>
            <w:proofErr w:type="spellEnd"/>
          </w:p>
        </w:tc>
        <w:tc>
          <w:tcPr>
            <w:tcW w:w="1219"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w:t>
            </w:r>
          </w:p>
        </w:tc>
        <w:tc>
          <w:tcPr>
            <w:tcW w:w="1130"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1</w:t>
            </w:r>
          </w:p>
        </w:tc>
        <w:tc>
          <w:tcPr>
            <w:tcW w:w="1199"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p>
        </w:tc>
        <w:tc>
          <w:tcPr>
            <w:tcW w:w="1276"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2</w:t>
            </w:r>
          </w:p>
        </w:tc>
        <w:tc>
          <w:tcPr>
            <w:tcW w:w="1276"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1</w:t>
            </w:r>
          </w:p>
        </w:tc>
        <w:tc>
          <w:tcPr>
            <w:tcW w:w="1276"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15</w:t>
            </w:r>
          </w:p>
        </w:tc>
      </w:tr>
      <w:tr w:rsidR="00710386" w:rsidRPr="00710386" w:rsidTr="00710386">
        <w:tc>
          <w:tcPr>
            <w:tcW w:w="1663"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proofErr w:type="spellStart"/>
            <w:r w:rsidRPr="00710386">
              <w:rPr>
                <w:rFonts w:eastAsiaTheme="minorEastAsia" w:cs="Times New Roman"/>
                <w:szCs w:val="22"/>
                <w:lang w:eastAsia="en-GB"/>
              </w:rPr>
              <w:t>Methidathion</w:t>
            </w:r>
            <w:proofErr w:type="spellEnd"/>
          </w:p>
        </w:tc>
        <w:tc>
          <w:tcPr>
            <w:tcW w:w="1219"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0.5</w:t>
            </w:r>
          </w:p>
        </w:tc>
        <w:tc>
          <w:tcPr>
            <w:tcW w:w="1130"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0.1*</w:t>
            </w:r>
          </w:p>
        </w:tc>
        <w:tc>
          <w:tcPr>
            <w:tcW w:w="1199"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p>
        </w:tc>
        <w:tc>
          <w:tcPr>
            <w:tcW w:w="1276"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p>
        </w:tc>
        <w:tc>
          <w:tcPr>
            <w:tcW w:w="1276"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p>
        </w:tc>
        <w:tc>
          <w:tcPr>
            <w:tcW w:w="1276" w:type="dxa"/>
            <w:tcBorders>
              <w:top w:val="single" w:sz="4" w:space="0" w:color="auto"/>
              <w:left w:val="single" w:sz="4" w:space="0" w:color="auto"/>
              <w:bottom w:val="single" w:sz="4" w:space="0" w:color="auto"/>
              <w:right w:val="single" w:sz="4" w:space="0" w:color="auto"/>
            </w:tcBorders>
          </w:tcPr>
          <w:p w:rsidR="00710386" w:rsidRPr="00710386" w:rsidDel="00C41D9C"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1</w:t>
            </w:r>
          </w:p>
        </w:tc>
      </w:tr>
      <w:tr w:rsidR="00710386" w:rsidRPr="00710386" w:rsidTr="00710386">
        <w:tc>
          <w:tcPr>
            <w:tcW w:w="1663"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proofErr w:type="spellStart"/>
            <w:r w:rsidRPr="00710386">
              <w:rPr>
                <w:rFonts w:eastAsiaTheme="minorEastAsia" w:cs="Times New Roman"/>
                <w:szCs w:val="22"/>
                <w:lang w:eastAsia="en-GB"/>
              </w:rPr>
              <w:t>Oxyfluorfen</w:t>
            </w:r>
            <w:proofErr w:type="spellEnd"/>
          </w:p>
        </w:tc>
        <w:tc>
          <w:tcPr>
            <w:tcW w:w="1219"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w:t>
            </w:r>
          </w:p>
        </w:tc>
        <w:tc>
          <w:tcPr>
            <w:tcW w:w="1130"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0.05*</w:t>
            </w:r>
          </w:p>
        </w:tc>
        <w:tc>
          <w:tcPr>
            <w:tcW w:w="1199"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p>
        </w:tc>
        <w:tc>
          <w:tcPr>
            <w:tcW w:w="1276"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p>
        </w:tc>
        <w:tc>
          <w:tcPr>
            <w:tcW w:w="1276"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p>
        </w:tc>
        <w:tc>
          <w:tcPr>
            <w:tcW w:w="1276"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p>
        </w:tc>
      </w:tr>
      <w:tr w:rsidR="00710386" w:rsidRPr="00710386" w:rsidTr="00710386">
        <w:tc>
          <w:tcPr>
            <w:tcW w:w="1663"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proofErr w:type="spellStart"/>
            <w:r w:rsidRPr="00710386">
              <w:rPr>
                <w:rFonts w:eastAsiaTheme="minorEastAsia" w:cs="Times New Roman"/>
                <w:szCs w:val="22"/>
                <w:lang w:eastAsia="en-GB"/>
              </w:rPr>
              <w:t>Paraquat</w:t>
            </w:r>
            <w:proofErr w:type="spellEnd"/>
          </w:p>
        </w:tc>
        <w:tc>
          <w:tcPr>
            <w:tcW w:w="1219"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0.2</w:t>
            </w:r>
          </w:p>
        </w:tc>
        <w:tc>
          <w:tcPr>
            <w:tcW w:w="1130"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0.05*</w:t>
            </w:r>
          </w:p>
        </w:tc>
        <w:tc>
          <w:tcPr>
            <w:tcW w:w="1199"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p>
        </w:tc>
        <w:tc>
          <w:tcPr>
            <w:tcW w:w="1276"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p>
        </w:tc>
        <w:tc>
          <w:tcPr>
            <w:tcW w:w="1276"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0.5(T)</w:t>
            </w:r>
          </w:p>
        </w:tc>
        <w:tc>
          <w:tcPr>
            <w:tcW w:w="1276" w:type="dxa"/>
            <w:tcBorders>
              <w:top w:val="single" w:sz="4" w:space="0" w:color="auto"/>
              <w:left w:val="single" w:sz="4" w:space="0" w:color="auto"/>
              <w:bottom w:val="single" w:sz="4" w:space="0" w:color="auto"/>
              <w:right w:val="single" w:sz="4" w:space="0" w:color="auto"/>
            </w:tcBorders>
          </w:tcPr>
          <w:p w:rsidR="00710386" w:rsidRPr="00710386" w:rsidDel="00C41D9C"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0.3</w:t>
            </w:r>
          </w:p>
        </w:tc>
      </w:tr>
      <w:tr w:rsidR="00710386" w:rsidRPr="00710386" w:rsidTr="00710386">
        <w:tc>
          <w:tcPr>
            <w:tcW w:w="1663"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Permethrin</w:t>
            </w:r>
          </w:p>
        </w:tc>
        <w:tc>
          <w:tcPr>
            <w:tcW w:w="1219"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20</w:t>
            </w:r>
          </w:p>
        </w:tc>
        <w:tc>
          <w:tcPr>
            <w:tcW w:w="1130"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0.1*</w:t>
            </w:r>
          </w:p>
        </w:tc>
        <w:tc>
          <w:tcPr>
            <w:tcW w:w="1199"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p>
        </w:tc>
        <w:tc>
          <w:tcPr>
            <w:tcW w:w="1276"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p>
        </w:tc>
        <w:tc>
          <w:tcPr>
            <w:tcW w:w="1276"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0.1</w:t>
            </w:r>
          </w:p>
        </w:tc>
        <w:tc>
          <w:tcPr>
            <w:tcW w:w="1276" w:type="dxa"/>
            <w:tcBorders>
              <w:top w:val="single" w:sz="4" w:space="0" w:color="auto"/>
              <w:left w:val="single" w:sz="4" w:space="0" w:color="auto"/>
              <w:bottom w:val="single" w:sz="4" w:space="0" w:color="auto"/>
              <w:right w:val="single" w:sz="4" w:space="0" w:color="auto"/>
            </w:tcBorders>
          </w:tcPr>
          <w:p w:rsidR="00710386" w:rsidRPr="00710386" w:rsidDel="00C41D9C"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20</w:t>
            </w:r>
          </w:p>
        </w:tc>
      </w:tr>
      <w:tr w:rsidR="00710386" w:rsidRPr="00710386" w:rsidTr="00710386">
        <w:tc>
          <w:tcPr>
            <w:tcW w:w="1663"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proofErr w:type="spellStart"/>
            <w:r w:rsidRPr="00710386">
              <w:rPr>
                <w:rFonts w:eastAsiaTheme="minorEastAsia" w:cs="Times New Roman"/>
                <w:szCs w:val="22"/>
                <w:lang w:eastAsia="en-GB"/>
              </w:rPr>
              <w:t>Propargite</w:t>
            </w:r>
            <w:proofErr w:type="spellEnd"/>
          </w:p>
        </w:tc>
        <w:tc>
          <w:tcPr>
            <w:tcW w:w="1219"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5</w:t>
            </w:r>
          </w:p>
        </w:tc>
        <w:tc>
          <w:tcPr>
            <w:tcW w:w="1130"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 xml:space="preserve"> 0.05*</w:t>
            </w:r>
          </w:p>
        </w:tc>
        <w:tc>
          <w:tcPr>
            <w:tcW w:w="1199"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10</w:t>
            </w:r>
          </w:p>
        </w:tc>
        <w:tc>
          <w:tcPr>
            <w:tcW w:w="1276"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p>
        </w:tc>
        <w:tc>
          <w:tcPr>
            <w:tcW w:w="1276"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p>
        </w:tc>
        <w:tc>
          <w:tcPr>
            <w:tcW w:w="1276" w:type="dxa"/>
            <w:tcBorders>
              <w:top w:val="single" w:sz="4" w:space="0" w:color="auto"/>
              <w:left w:val="single" w:sz="4" w:space="0" w:color="auto"/>
              <w:bottom w:val="single" w:sz="4" w:space="0" w:color="auto"/>
              <w:right w:val="single" w:sz="4" w:space="0" w:color="auto"/>
            </w:tcBorders>
          </w:tcPr>
          <w:p w:rsidR="00710386" w:rsidRPr="00710386" w:rsidDel="00C41D9C"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5</w:t>
            </w:r>
          </w:p>
        </w:tc>
      </w:tr>
      <w:tr w:rsidR="00710386" w:rsidRPr="00710386" w:rsidTr="00710386">
        <w:tc>
          <w:tcPr>
            <w:tcW w:w="1663"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proofErr w:type="spellStart"/>
            <w:r w:rsidRPr="00710386">
              <w:rPr>
                <w:rFonts w:eastAsiaTheme="minorEastAsia" w:cs="Times New Roman"/>
                <w:szCs w:val="22"/>
                <w:lang w:eastAsia="en-GB"/>
              </w:rPr>
              <w:t>Propiconazole</w:t>
            </w:r>
            <w:proofErr w:type="spellEnd"/>
          </w:p>
        </w:tc>
        <w:tc>
          <w:tcPr>
            <w:tcW w:w="1219"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w:t>
            </w:r>
          </w:p>
        </w:tc>
        <w:tc>
          <w:tcPr>
            <w:tcW w:w="1130"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0.1*</w:t>
            </w:r>
          </w:p>
        </w:tc>
        <w:tc>
          <w:tcPr>
            <w:tcW w:w="1199"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4</w:t>
            </w:r>
          </w:p>
        </w:tc>
        <w:tc>
          <w:tcPr>
            <w:tcW w:w="1276"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4</w:t>
            </w:r>
          </w:p>
        </w:tc>
        <w:tc>
          <w:tcPr>
            <w:tcW w:w="1276"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p>
        </w:tc>
        <w:tc>
          <w:tcPr>
            <w:tcW w:w="1276"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0.1</w:t>
            </w:r>
          </w:p>
        </w:tc>
      </w:tr>
      <w:tr w:rsidR="00710386" w:rsidRPr="00710386" w:rsidTr="00710386">
        <w:tc>
          <w:tcPr>
            <w:tcW w:w="1663"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proofErr w:type="spellStart"/>
            <w:r w:rsidRPr="00710386">
              <w:rPr>
                <w:rFonts w:eastAsiaTheme="minorEastAsia" w:cs="Times New Roman"/>
                <w:szCs w:val="22"/>
                <w:lang w:eastAsia="en-GB"/>
              </w:rPr>
              <w:t>Spiromesifen</w:t>
            </w:r>
            <w:proofErr w:type="spellEnd"/>
          </w:p>
        </w:tc>
        <w:tc>
          <w:tcPr>
            <w:tcW w:w="1219"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w:t>
            </w:r>
          </w:p>
        </w:tc>
        <w:tc>
          <w:tcPr>
            <w:tcW w:w="1130"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50</w:t>
            </w:r>
          </w:p>
        </w:tc>
        <w:tc>
          <w:tcPr>
            <w:tcW w:w="1199"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40</w:t>
            </w:r>
          </w:p>
        </w:tc>
        <w:tc>
          <w:tcPr>
            <w:tcW w:w="1276"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60</w:t>
            </w:r>
          </w:p>
        </w:tc>
        <w:tc>
          <w:tcPr>
            <w:tcW w:w="1276"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50</w:t>
            </w:r>
          </w:p>
        </w:tc>
        <w:tc>
          <w:tcPr>
            <w:tcW w:w="1276"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30</w:t>
            </w:r>
          </w:p>
        </w:tc>
      </w:tr>
      <w:tr w:rsidR="00710386" w:rsidRPr="00710386" w:rsidTr="00710386">
        <w:tc>
          <w:tcPr>
            <w:tcW w:w="1663"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proofErr w:type="spellStart"/>
            <w:r w:rsidRPr="00710386">
              <w:rPr>
                <w:rFonts w:eastAsiaTheme="minorEastAsia" w:cs="Times New Roman"/>
                <w:szCs w:val="22"/>
                <w:lang w:eastAsia="en-GB"/>
              </w:rPr>
              <w:t>Thiacloprid</w:t>
            </w:r>
            <w:proofErr w:type="spellEnd"/>
          </w:p>
        </w:tc>
        <w:tc>
          <w:tcPr>
            <w:tcW w:w="1219"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w:t>
            </w:r>
          </w:p>
        </w:tc>
        <w:tc>
          <w:tcPr>
            <w:tcW w:w="1130"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10</w:t>
            </w:r>
          </w:p>
        </w:tc>
        <w:tc>
          <w:tcPr>
            <w:tcW w:w="1199"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p>
        </w:tc>
        <w:tc>
          <w:tcPr>
            <w:tcW w:w="1276"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p>
        </w:tc>
        <w:tc>
          <w:tcPr>
            <w:tcW w:w="1276"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10</w:t>
            </w:r>
          </w:p>
        </w:tc>
        <w:tc>
          <w:tcPr>
            <w:tcW w:w="1276"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30</w:t>
            </w:r>
          </w:p>
        </w:tc>
      </w:tr>
      <w:tr w:rsidR="00710386" w:rsidRPr="00710386" w:rsidTr="00710386">
        <w:tc>
          <w:tcPr>
            <w:tcW w:w="1663"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proofErr w:type="spellStart"/>
            <w:r w:rsidRPr="00710386">
              <w:rPr>
                <w:rFonts w:eastAsiaTheme="minorEastAsia" w:cs="Times New Roman"/>
                <w:szCs w:val="22"/>
                <w:lang w:eastAsia="en-GB"/>
              </w:rPr>
              <w:t>Thiamethoxam</w:t>
            </w:r>
            <w:proofErr w:type="spellEnd"/>
          </w:p>
        </w:tc>
        <w:tc>
          <w:tcPr>
            <w:tcW w:w="1219"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20</w:t>
            </w:r>
          </w:p>
        </w:tc>
        <w:tc>
          <w:tcPr>
            <w:tcW w:w="1130"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20</w:t>
            </w:r>
          </w:p>
        </w:tc>
        <w:tc>
          <w:tcPr>
            <w:tcW w:w="1199"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20</w:t>
            </w:r>
          </w:p>
        </w:tc>
        <w:tc>
          <w:tcPr>
            <w:tcW w:w="1276"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p>
        </w:tc>
        <w:tc>
          <w:tcPr>
            <w:tcW w:w="1276" w:type="dxa"/>
            <w:tcBorders>
              <w:top w:val="single" w:sz="4" w:space="0" w:color="auto"/>
              <w:left w:val="single" w:sz="4" w:space="0" w:color="auto"/>
              <w:bottom w:val="single" w:sz="4" w:space="0" w:color="auto"/>
              <w:right w:val="single" w:sz="4" w:space="0" w:color="auto"/>
            </w:tcBorders>
          </w:tcPr>
          <w:p w:rsidR="00710386" w:rsidRPr="00710386"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20</w:t>
            </w:r>
          </w:p>
        </w:tc>
        <w:tc>
          <w:tcPr>
            <w:tcW w:w="1276" w:type="dxa"/>
            <w:tcBorders>
              <w:top w:val="single" w:sz="4" w:space="0" w:color="auto"/>
              <w:left w:val="single" w:sz="4" w:space="0" w:color="auto"/>
              <w:bottom w:val="single" w:sz="4" w:space="0" w:color="auto"/>
              <w:right w:val="single" w:sz="4" w:space="0" w:color="auto"/>
            </w:tcBorders>
          </w:tcPr>
          <w:p w:rsidR="00710386" w:rsidRPr="00710386" w:rsidDel="00C41D9C" w:rsidRDefault="00710386" w:rsidP="00710386">
            <w:pPr>
              <w:spacing w:after="0"/>
              <w:rPr>
                <w:rFonts w:eastAsiaTheme="minorEastAsia" w:cs="Times New Roman"/>
                <w:szCs w:val="22"/>
                <w:lang w:eastAsia="en-GB"/>
              </w:rPr>
            </w:pPr>
            <w:r w:rsidRPr="00710386">
              <w:rPr>
                <w:rFonts w:eastAsiaTheme="minorEastAsia" w:cs="Times New Roman"/>
                <w:szCs w:val="22"/>
                <w:lang w:eastAsia="en-GB"/>
              </w:rPr>
              <w:t>20</w:t>
            </w:r>
          </w:p>
        </w:tc>
      </w:tr>
    </w:tbl>
    <w:p w:rsidR="00D320BC" w:rsidRDefault="00710386" w:rsidP="00710386">
      <w:pPr>
        <w:pStyle w:val="NewPara"/>
        <w:numPr>
          <w:ilvl w:val="0"/>
          <w:numId w:val="0"/>
        </w:numPr>
        <w:jc w:val="both"/>
        <w:rPr>
          <w:rFonts w:eastAsiaTheme="minorEastAsia" w:cs="Times New Roman"/>
          <w:sz w:val="18"/>
          <w:szCs w:val="18"/>
          <w:lang w:eastAsia="en-GB"/>
        </w:rPr>
      </w:pPr>
      <w:r w:rsidRPr="00710386">
        <w:rPr>
          <w:rFonts w:eastAsiaTheme="minorEastAsia" w:cs="Times New Roman"/>
          <w:i/>
          <w:sz w:val="18"/>
          <w:szCs w:val="18"/>
          <w:lang w:eastAsia="en-GB"/>
        </w:rPr>
        <w:t>*</w:t>
      </w:r>
      <w:r w:rsidRPr="00710386">
        <w:rPr>
          <w:rFonts w:eastAsiaTheme="minorEastAsia" w:cs="Times New Roman"/>
          <w:sz w:val="18"/>
          <w:szCs w:val="18"/>
          <w:lang w:eastAsia="en-GB"/>
        </w:rPr>
        <w:t xml:space="preserve"> Indicates lower limit of analytical determination</w:t>
      </w:r>
      <w:r>
        <w:rPr>
          <w:rFonts w:eastAsiaTheme="minorEastAsia" w:cs="Times New Roman"/>
          <w:i/>
          <w:sz w:val="18"/>
          <w:szCs w:val="18"/>
          <w:lang w:eastAsia="en-GB"/>
        </w:rPr>
        <w:t xml:space="preserve">; </w:t>
      </w:r>
      <w:r w:rsidRPr="00710386">
        <w:rPr>
          <w:rFonts w:eastAsiaTheme="minorEastAsia" w:cs="Times New Roman"/>
          <w:sz w:val="18"/>
          <w:szCs w:val="18"/>
          <w:lang w:eastAsia="en-GB"/>
        </w:rPr>
        <w:t>(T) temporary</w:t>
      </w:r>
      <w:r>
        <w:rPr>
          <w:rFonts w:eastAsiaTheme="minorEastAsia" w:cs="Times New Roman"/>
          <w:sz w:val="18"/>
          <w:szCs w:val="18"/>
          <w:lang w:eastAsia="en-GB"/>
        </w:rPr>
        <w:t>.</w:t>
      </w:r>
    </w:p>
    <w:p w:rsidR="00710386" w:rsidRPr="000C311A" w:rsidRDefault="00710386" w:rsidP="00710386">
      <w:pPr>
        <w:pStyle w:val="NewPara"/>
        <w:numPr>
          <w:ilvl w:val="0"/>
          <w:numId w:val="0"/>
        </w:numPr>
      </w:pPr>
      <w:r>
        <w:t>The Food Safety &amp;</w:t>
      </w:r>
      <w:r w:rsidRPr="000C311A">
        <w:t xml:space="preserve"> Standard Authority of India (FSSAI) has also undertaken an initiative in May 2013 to harmonize its own standards with that of Codex or other International standards and various stakeholders have been engaged in e-working groups. The work is </w:t>
      </w:r>
      <w:r>
        <w:t xml:space="preserve">in progress. </w:t>
      </w:r>
      <w:r w:rsidRPr="000C311A">
        <w:t>(</w:t>
      </w:r>
      <w:hyperlink r:id="rId9" w:history="1">
        <w:r w:rsidRPr="000C311A">
          <w:t>http://www.fssai.gov.in/Portals/0/</w:t>
        </w:r>
      </w:hyperlink>
      <w:r w:rsidRPr="000C311A">
        <w:t>Pdf/Proceedings_of_Codex_workshop_</w:t>
      </w:r>
      <w:proofErr w:type="gramStart"/>
      <w:r w:rsidRPr="000C311A">
        <w:t>II(</w:t>
      </w:r>
      <w:proofErr w:type="gramEnd"/>
      <w:r w:rsidRPr="000C311A">
        <w:t xml:space="preserve">02.11.13).pdf.,  </w:t>
      </w:r>
      <w:r>
        <w:br/>
      </w:r>
      <w:hyperlink r:id="rId10" w:history="1">
        <w:r w:rsidRPr="000C311A">
          <w:t>http://www.fssai.gov.in/Portals/0/Pdf/scanpdf/AnnexureI-Strategy</w:t>
        </w:r>
      </w:hyperlink>
      <w:r>
        <w:t xml:space="preserve"> for Standards Development.pdf)</w:t>
      </w:r>
    </w:p>
    <w:p w:rsidR="00710386" w:rsidRPr="000C311A" w:rsidRDefault="00710386" w:rsidP="00710386">
      <w:pPr>
        <w:pStyle w:val="NewPara"/>
        <w:numPr>
          <w:ilvl w:val="0"/>
          <w:numId w:val="0"/>
        </w:numPr>
        <w:spacing w:after="0"/>
      </w:pPr>
      <w:r w:rsidRPr="000C311A">
        <w:t xml:space="preserve">In order to harmonize the calculation of MRLs so that the evaluation of the same set of residue trial data results in the </w:t>
      </w:r>
      <w:r>
        <w:t xml:space="preserve">almost </w:t>
      </w:r>
      <w:r w:rsidRPr="000C311A">
        <w:t>s</w:t>
      </w:r>
      <w:r>
        <w:t>imilar</w:t>
      </w:r>
      <w:r w:rsidRPr="000C311A">
        <w:t xml:space="preserve"> MRL recommendation, use of the OECD calculator may be actively considered.  The OECD calculator is adopted in countries like India since 2013. This approach may hasten the ultimate objective of harmonization of MRLs of different countries.</w:t>
      </w:r>
    </w:p>
    <w:p w:rsidR="00710386" w:rsidRDefault="00710386" w:rsidP="00710386">
      <w:pPr>
        <w:spacing w:after="0"/>
        <w:rPr>
          <w:rFonts w:cs="Times New Roman"/>
          <w:b/>
        </w:rPr>
      </w:pPr>
    </w:p>
    <w:p w:rsidR="00710386" w:rsidRDefault="00710386" w:rsidP="00710386">
      <w:pPr>
        <w:pStyle w:val="NewPara"/>
        <w:numPr>
          <w:ilvl w:val="0"/>
          <w:numId w:val="0"/>
        </w:numPr>
        <w:spacing w:after="0"/>
      </w:pPr>
      <w:r w:rsidRPr="00937EAF">
        <w:rPr>
          <w:rFonts w:hint="eastAsia"/>
        </w:rPr>
        <w:t xml:space="preserve">In 2008-2015, seven international MRLs for </w:t>
      </w:r>
      <w:proofErr w:type="spellStart"/>
      <w:r w:rsidRPr="00937EAF">
        <w:rPr>
          <w:rFonts w:hint="eastAsia"/>
        </w:rPr>
        <w:t>endosulfan</w:t>
      </w:r>
      <w:proofErr w:type="spellEnd"/>
      <w:r w:rsidRPr="00937EAF">
        <w:rPr>
          <w:rFonts w:hint="eastAsia"/>
        </w:rPr>
        <w:t xml:space="preserve"> (CAC and EPA), </w:t>
      </w:r>
      <w:proofErr w:type="spellStart"/>
      <w:r w:rsidRPr="00937EAF">
        <w:rPr>
          <w:rFonts w:hint="eastAsia"/>
        </w:rPr>
        <w:t>cypermethrin</w:t>
      </w:r>
      <w:proofErr w:type="spellEnd"/>
      <w:r w:rsidRPr="00937EAF">
        <w:rPr>
          <w:rFonts w:hint="eastAsia"/>
        </w:rPr>
        <w:t xml:space="preserve"> (CAC), </w:t>
      </w:r>
      <w:proofErr w:type="spellStart"/>
      <w:r w:rsidRPr="00937EAF">
        <w:rPr>
          <w:rFonts w:hint="eastAsia"/>
        </w:rPr>
        <w:t>bifenthrin</w:t>
      </w:r>
      <w:proofErr w:type="spellEnd"/>
      <w:r w:rsidRPr="00937EAF">
        <w:rPr>
          <w:rFonts w:hint="eastAsia"/>
        </w:rPr>
        <w:t xml:space="preserve"> (EPA) and </w:t>
      </w:r>
      <w:proofErr w:type="spellStart"/>
      <w:r w:rsidRPr="00937EAF">
        <w:rPr>
          <w:rFonts w:hint="eastAsia"/>
        </w:rPr>
        <w:t>indoxacarb</w:t>
      </w:r>
      <w:proofErr w:type="spellEnd"/>
      <w:r w:rsidRPr="00937EAF">
        <w:rPr>
          <w:rFonts w:hint="eastAsia"/>
        </w:rPr>
        <w:t xml:space="preserve"> (China, CAC and EU) have been regulated on the basis of data submitted by China and IGG (Table </w:t>
      </w:r>
      <w:r>
        <w:t>1</w:t>
      </w:r>
      <w:r w:rsidRPr="00937EAF">
        <w:rPr>
          <w:rFonts w:hint="eastAsia"/>
        </w:rPr>
        <w:t>).</w:t>
      </w:r>
    </w:p>
    <w:p w:rsidR="00710386" w:rsidRDefault="00710386" w:rsidP="00710386">
      <w:pPr>
        <w:pStyle w:val="NewPara"/>
        <w:numPr>
          <w:ilvl w:val="0"/>
          <w:numId w:val="0"/>
        </w:numPr>
        <w:spacing w:after="0"/>
      </w:pPr>
    </w:p>
    <w:p w:rsidR="00710386" w:rsidRPr="00937EAF" w:rsidRDefault="00710386" w:rsidP="00710386">
      <w:pPr>
        <w:pStyle w:val="NewPara"/>
        <w:numPr>
          <w:ilvl w:val="0"/>
          <w:numId w:val="0"/>
        </w:numPr>
        <w:spacing w:after="0"/>
        <w:rPr>
          <w:sz w:val="24"/>
          <w:szCs w:val="24"/>
        </w:rPr>
      </w:pPr>
      <w:r w:rsidRPr="00937EAF">
        <w:rPr>
          <w:rFonts w:hint="eastAsia"/>
        </w:rPr>
        <w:t xml:space="preserve">In </w:t>
      </w:r>
      <w:r w:rsidRPr="00937EAF">
        <w:t xml:space="preserve">the </w:t>
      </w:r>
      <w:r w:rsidRPr="00937EAF">
        <w:rPr>
          <w:rFonts w:hint="eastAsia"/>
        </w:rPr>
        <w:t>39</w:t>
      </w:r>
      <w:r w:rsidRPr="00937EAF">
        <w:t>rd CCPR Meeting</w:t>
      </w:r>
      <w:r w:rsidRPr="00937EAF">
        <w:rPr>
          <w:rFonts w:hint="eastAsia"/>
        </w:rPr>
        <w:t xml:space="preserve"> in 2007, CCPR planned to withdraw the 30 mg/kg MRL of </w:t>
      </w:r>
      <w:proofErr w:type="spellStart"/>
      <w:r w:rsidRPr="00937EAF">
        <w:rPr>
          <w:rFonts w:hint="eastAsia"/>
        </w:rPr>
        <w:t>endosulfan</w:t>
      </w:r>
      <w:proofErr w:type="spellEnd"/>
      <w:r w:rsidRPr="00937EAF">
        <w:rPr>
          <w:rFonts w:hint="eastAsia"/>
        </w:rPr>
        <w:t xml:space="preserve"> in tea according to the EU suggestion. If so MRL 0.01 mg/kg would be adopted. Chinese delegation, with </w:t>
      </w:r>
      <w:proofErr w:type="spellStart"/>
      <w:r w:rsidRPr="00937EAF">
        <w:rPr>
          <w:rFonts w:hint="eastAsia"/>
        </w:rPr>
        <w:t>coorporation</w:t>
      </w:r>
      <w:proofErr w:type="spellEnd"/>
      <w:r w:rsidRPr="00937EAF">
        <w:rPr>
          <w:rFonts w:hint="eastAsia"/>
        </w:rPr>
        <w:t xml:space="preserve"> to Indian delegation in CCPR, raised an objection. After the 39th CCPR, China delegation devoted to conduct related experiments and suggested more rational MRLs within three years. </w:t>
      </w:r>
      <w:r w:rsidRPr="00937EAF">
        <w:t>I</w:t>
      </w:r>
      <w:r w:rsidRPr="00937EAF">
        <w:rPr>
          <w:rFonts w:hint="eastAsia"/>
        </w:rPr>
        <w:t xml:space="preserve">n 2009, a report was submitted to JMPR, including the </w:t>
      </w:r>
      <w:proofErr w:type="spellStart"/>
      <w:r w:rsidRPr="00937EAF">
        <w:rPr>
          <w:rFonts w:hint="eastAsia"/>
        </w:rPr>
        <w:t>endosulfan</w:t>
      </w:r>
      <w:proofErr w:type="spellEnd"/>
      <w:r w:rsidRPr="00937EAF">
        <w:rPr>
          <w:rFonts w:hint="eastAsia"/>
        </w:rPr>
        <w:t xml:space="preserve"> results of degradation in experiments, processing factor, transfer rate from dry tea to tea brew and the risk assessment. In 2010, CCPR accepted and established CAC MRLs for </w:t>
      </w:r>
      <w:proofErr w:type="spellStart"/>
      <w:r w:rsidRPr="00937EAF">
        <w:rPr>
          <w:rFonts w:hint="eastAsia"/>
        </w:rPr>
        <w:t>endosulfan</w:t>
      </w:r>
      <w:proofErr w:type="spellEnd"/>
      <w:r w:rsidRPr="00937EAF">
        <w:rPr>
          <w:rFonts w:hint="eastAsia"/>
        </w:rPr>
        <w:t xml:space="preserve">, 10 mg/kg in tea raised by China delegation. Before this modification, EPA planned to modify the </w:t>
      </w:r>
      <w:proofErr w:type="spellStart"/>
      <w:r w:rsidRPr="00937EAF">
        <w:rPr>
          <w:rFonts w:hint="eastAsia"/>
        </w:rPr>
        <w:t>endosulfan</w:t>
      </w:r>
      <w:proofErr w:type="spellEnd"/>
      <w:r w:rsidRPr="00937EAF">
        <w:rPr>
          <w:rFonts w:hint="eastAsia"/>
        </w:rPr>
        <w:t xml:space="preserve"> MRLs to 10 mg/kg instead of 0.01 mg/kg. The uniform MRLs for </w:t>
      </w:r>
      <w:proofErr w:type="spellStart"/>
      <w:r w:rsidRPr="00937EAF">
        <w:rPr>
          <w:rFonts w:hint="eastAsia"/>
        </w:rPr>
        <w:t>endosulfan</w:t>
      </w:r>
      <w:proofErr w:type="spellEnd"/>
      <w:r w:rsidRPr="00937EAF">
        <w:rPr>
          <w:rFonts w:hint="eastAsia"/>
        </w:rPr>
        <w:t xml:space="preserve"> in CAC and EPA were set.</w:t>
      </w:r>
    </w:p>
    <w:p w:rsidR="00710386" w:rsidRPr="00937EAF" w:rsidRDefault="00710386" w:rsidP="00710386">
      <w:pPr>
        <w:pStyle w:val="NewPara"/>
        <w:numPr>
          <w:ilvl w:val="0"/>
          <w:numId w:val="0"/>
        </w:numPr>
        <w:spacing w:after="0"/>
      </w:pPr>
    </w:p>
    <w:p w:rsidR="00710386" w:rsidRPr="00937EAF" w:rsidRDefault="00710386" w:rsidP="00710386">
      <w:pPr>
        <w:pStyle w:val="NewPara"/>
        <w:numPr>
          <w:ilvl w:val="0"/>
          <w:numId w:val="0"/>
        </w:numPr>
        <w:spacing w:after="0"/>
      </w:pPr>
      <w:r w:rsidRPr="00937EAF">
        <w:rPr>
          <w:rFonts w:hint="eastAsia"/>
        </w:rPr>
        <w:t xml:space="preserve">In </w:t>
      </w:r>
      <w:r w:rsidRPr="00937EAF">
        <w:t xml:space="preserve">the </w:t>
      </w:r>
      <w:r w:rsidRPr="00937EAF">
        <w:rPr>
          <w:rFonts w:hint="eastAsia"/>
        </w:rPr>
        <w:t>41</w:t>
      </w:r>
      <w:r w:rsidRPr="00937EAF">
        <w:t>rd CCPR Meeting</w:t>
      </w:r>
      <w:r w:rsidRPr="00937EAF">
        <w:rPr>
          <w:rFonts w:hint="eastAsia"/>
        </w:rPr>
        <w:t xml:space="preserve"> in 2009, EU proposed to withdraw MRL of </w:t>
      </w:r>
      <w:proofErr w:type="spellStart"/>
      <w:r w:rsidRPr="00937EAF">
        <w:rPr>
          <w:rFonts w:hint="eastAsia"/>
        </w:rPr>
        <w:t>cypermethrin</w:t>
      </w:r>
      <w:proofErr w:type="spellEnd"/>
      <w:r w:rsidRPr="00937EAF">
        <w:rPr>
          <w:rFonts w:hint="eastAsia"/>
        </w:rPr>
        <w:t xml:space="preserve"> 20 mg/kg and enforce 0.01 mg/kg. It was not </w:t>
      </w:r>
      <w:r w:rsidRPr="00937EAF">
        <w:t>reasonable</w:t>
      </w:r>
      <w:r w:rsidRPr="00937EAF">
        <w:rPr>
          <w:rFonts w:hint="eastAsia"/>
        </w:rPr>
        <w:t xml:space="preserve"> because of the low water solubility and low risk of </w:t>
      </w:r>
      <w:proofErr w:type="spellStart"/>
      <w:r>
        <w:t>c</w:t>
      </w:r>
      <w:r w:rsidRPr="00937EAF">
        <w:rPr>
          <w:rFonts w:hint="eastAsia"/>
        </w:rPr>
        <w:t>ypermethrin</w:t>
      </w:r>
      <w:proofErr w:type="spellEnd"/>
      <w:r w:rsidRPr="00937EAF">
        <w:rPr>
          <w:rFonts w:hint="eastAsia"/>
        </w:rPr>
        <w:t xml:space="preserve">. In </w:t>
      </w:r>
      <w:r w:rsidRPr="00937EAF">
        <w:t>CCPR Meeting</w:t>
      </w:r>
      <w:r w:rsidRPr="00937EAF">
        <w:rPr>
          <w:rFonts w:hint="eastAsia"/>
        </w:rPr>
        <w:t xml:space="preserve"> in 2012, JMPR modified the MRL of </w:t>
      </w:r>
      <w:proofErr w:type="spellStart"/>
      <w:r w:rsidRPr="00937EAF">
        <w:rPr>
          <w:rFonts w:hint="eastAsia"/>
        </w:rPr>
        <w:t>cypermethrin</w:t>
      </w:r>
      <w:proofErr w:type="spellEnd"/>
      <w:r w:rsidRPr="00937EAF">
        <w:rPr>
          <w:rFonts w:hint="eastAsia"/>
        </w:rPr>
        <w:t xml:space="preserve"> to 15 mg/kg based on the risk assessment of </w:t>
      </w:r>
      <w:proofErr w:type="spellStart"/>
      <w:r w:rsidRPr="00937EAF">
        <w:rPr>
          <w:rFonts w:hint="eastAsia"/>
        </w:rPr>
        <w:t>cypermethrin</w:t>
      </w:r>
      <w:proofErr w:type="spellEnd"/>
      <w:r w:rsidRPr="00937EAF">
        <w:rPr>
          <w:rFonts w:hint="eastAsia"/>
        </w:rPr>
        <w:t xml:space="preserve"> in tea prepared by Chinese delegation. </w:t>
      </w:r>
    </w:p>
    <w:p w:rsidR="00710386" w:rsidRPr="00937EAF" w:rsidRDefault="00710386" w:rsidP="00710386">
      <w:pPr>
        <w:pStyle w:val="NewPara"/>
        <w:numPr>
          <w:ilvl w:val="0"/>
          <w:numId w:val="0"/>
        </w:numPr>
        <w:spacing w:after="0"/>
      </w:pPr>
    </w:p>
    <w:p w:rsidR="00710386" w:rsidRPr="00937EAF" w:rsidRDefault="00710386" w:rsidP="00710386">
      <w:pPr>
        <w:pStyle w:val="NewPara"/>
        <w:numPr>
          <w:ilvl w:val="0"/>
          <w:numId w:val="0"/>
        </w:numPr>
        <w:spacing w:after="0"/>
      </w:pPr>
      <w:proofErr w:type="spellStart"/>
      <w:r w:rsidRPr="00937EAF">
        <w:t>B</w:t>
      </w:r>
      <w:r w:rsidRPr="00937EAF">
        <w:rPr>
          <w:rFonts w:hint="eastAsia"/>
        </w:rPr>
        <w:t>ifenthrin</w:t>
      </w:r>
      <w:proofErr w:type="spellEnd"/>
      <w:r w:rsidRPr="00937EAF">
        <w:rPr>
          <w:rFonts w:hint="eastAsia"/>
        </w:rPr>
        <w:t xml:space="preserve"> is a </w:t>
      </w:r>
      <w:r w:rsidRPr="00937EAF">
        <w:t>pesticide</w:t>
      </w:r>
      <w:r w:rsidRPr="00937EAF">
        <w:rPr>
          <w:rFonts w:hint="eastAsia"/>
        </w:rPr>
        <w:t xml:space="preserve"> with low water solubility and low intake risk. </w:t>
      </w:r>
      <w:r w:rsidRPr="00937EAF">
        <w:t>C</w:t>
      </w:r>
      <w:r w:rsidRPr="00937EAF">
        <w:rPr>
          <w:rFonts w:hint="eastAsia"/>
        </w:rPr>
        <w:t xml:space="preserve">ombined the highest residue level in dry tea from experiment in China, </w:t>
      </w:r>
      <w:r w:rsidRPr="00937EAF">
        <w:t>the highest amount of tea used for drinking per day</w:t>
      </w:r>
      <w:r w:rsidRPr="00937EAF">
        <w:rPr>
          <w:rFonts w:hint="eastAsia"/>
        </w:rPr>
        <w:t xml:space="preserve"> and </w:t>
      </w:r>
      <w:proofErr w:type="spellStart"/>
      <w:r w:rsidRPr="00937EAF">
        <w:rPr>
          <w:rFonts w:hint="eastAsia"/>
        </w:rPr>
        <w:t>bifenthrin</w:t>
      </w:r>
      <w:proofErr w:type="spellEnd"/>
      <w:r w:rsidRPr="00937EAF">
        <w:rPr>
          <w:rFonts w:hint="eastAsia"/>
        </w:rPr>
        <w:t xml:space="preserve"> level in tea brew, the percentage of </w:t>
      </w:r>
      <w:proofErr w:type="spellStart"/>
      <w:r w:rsidRPr="00937EAF">
        <w:rPr>
          <w:rFonts w:hint="eastAsia"/>
        </w:rPr>
        <w:t>bifenthrin</w:t>
      </w:r>
      <w:proofErr w:type="spellEnd"/>
      <w:r w:rsidRPr="00937EAF">
        <w:rPr>
          <w:rFonts w:hint="eastAsia"/>
        </w:rPr>
        <w:t xml:space="preserve"> from tea infusion to ADI was less than 1%. </w:t>
      </w:r>
      <w:r w:rsidRPr="00937EAF">
        <w:t>As</w:t>
      </w:r>
      <w:r w:rsidRPr="00937EAF">
        <w:rPr>
          <w:rFonts w:hint="eastAsia"/>
        </w:rPr>
        <w:t xml:space="preserve"> a result, EPA modified the original suggestion of 0.01 mg/kg and regulated the MRL 5 mg/kg after considering the real risk.  </w:t>
      </w:r>
    </w:p>
    <w:p w:rsidR="00710386" w:rsidRPr="00937EAF" w:rsidRDefault="00710386" w:rsidP="00710386">
      <w:pPr>
        <w:pStyle w:val="NewPara"/>
        <w:numPr>
          <w:ilvl w:val="0"/>
          <w:numId w:val="0"/>
        </w:numPr>
        <w:spacing w:after="0"/>
      </w:pPr>
    </w:p>
    <w:p w:rsidR="00710386" w:rsidRPr="00937EAF" w:rsidRDefault="00710386" w:rsidP="00710386">
      <w:pPr>
        <w:pStyle w:val="NewPara"/>
        <w:numPr>
          <w:ilvl w:val="0"/>
          <w:numId w:val="0"/>
        </w:numPr>
        <w:spacing w:after="0"/>
      </w:pPr>
      <w:proofErr w:type="spellStart"/>
      <w:r w:rsidRPr="00937EAF">
        <w:t>Indoxacarb</w:t>
      </w:r>
      <w:r w:rsidRPr="00937EAF">
        <w:rPr>
          <w:rFonts w:hint="eastAsia"/>
        </w:rPr>
        <w:t>was</w:t>
      </w:r>
      <w:proofErr w:type="spellEnd"/>
      <w:r w:rsidRPr="00937EAF">
        <w:rPr>
          <w:rFonts w:hint="eastAsia"/>
        </w:rPr>
        <w:t xml:space="preserve"> selected to substitute </w:t>
      </w:r>
      <w:r w:rsidRPr="00937EAF">
        <w:t>neonicotinoids</w:t>
      </w:r>
      <w:r w:rsidRPr="00937EAF">
        <w:rPr>
          <w:rFonts w:hint="eastAsia"/>
        </w:rPr>
        <w:t xml:space="preserve"> in tea industry in China</w:t>
      </w:r>
      <w:r w:rsidRPr="00937EAF">
        <w:t xml:space="preserve">. </w:t>
      </w:r>
      <w:r w:rsidRPr="00937EAF">
        <w:rPr>
          <w:rFonts w:hint="eastAsia"/>
        </w:rPr>
        <w:t xml:space="preserve">Given </w:t>
      </w:r>
      <w:r w:rsidRPr="00937EAF">
        <w:t>the information of eight experiments conducted in China</w:t>
      </w:r>
      <w:r w:rsidRPr="00937EAF">
        <w:rPr>
          <w:rFonts w:hint="eastAsia"/>
        </w:rPr>
        <w:t xml:space="preserve"> from 2011-2013, t</w:t>
      </w:r>
      <w:r w:rsidRPr="00937EAF">
        <w:t xml:space="preserve">he MRL of </w:t>
      </w:r>
      <w:proofErr w:type="spellStart"/>
      <w:r w:rsidRPr="00937EAF">
        <w:t>indoxacarb</w:t>
      </w:r>
      <w:proofErr w:type="spellEnd"/>
      <w:r w:rsidRPr="00937EAF">
        <w:t xml:space="preserve"> in tea was set at 3 mg/kg in China in 2013. </w:t>
      </w:r>
      <w:r w:rsidRPr="00937EAF">
        <w:rPr>
          <w:rFonts w:hint="eastAsia"/>
        </w:rPr>
        <w:t xml:space="preserve">At the same time, the application for setting </w:t>
      </w:r>
      <w:r w:rsidRPr="00937EAF">
        <w:t xml:space="preserve">MRL of </w:t>
      </w:r>
      <w:proofErr w:type="spellStart"/>
      <w:r w:rsidRPr="00937EAF">
        <w:t>indoxacarb</w:t>
      </w:r>
      <w:proofErr w:type="spellEnd"/>
      <w:r w:rsidRPr="00937EAF">
        <w:t xml:space="preserve"> in tea in Codex</w:t>
      </w:r>
      <w:r w:rsidRPr="00937EAF">
        <w:rPr>
          <w:rFonts w:hint="eastAsia"/>
        </w:rPr>
        <w:t xml:space="preserve"> was submitted in 2013.</w:t>
      </w:r>
      <w:r w:rsidRPr="00937EAF">
        <w:t xml:space="preserve"> The MRL of </w:t>
      </w:r>
      <w:proofErr w:type="spellStart"/>
      <w:r w:rsidRPr="00937EAF">
        <w:t>indoxacarb</w:t>
      </w:r>
      <w:proofErr w:type="spellEnd"/>
      <w:r w:rsidRPr="00937EAF">
        <w:t xml:space="preserve"> was approved to be set at 5 mg/kg in JMPR meeting in October, 2013 and discussed</w:t>
      </w:r>
      <w:r w:rsidRPr="00937EAF">
        <w:rPr>
          <w:rFonts w:hint="eastAsia"/>
        </w:rPr>
        <w:t xml:space="preserve"> and approved</w:t>
      </w:r>
      <w:r w:rsidRPr="00937EAF">
        <w:t xml:space="preserve"> as Codex MRL in </w:t>
      </w:r>
      <w:proofErr w:type="spellStart"/>
      <w:r w:rsidRPr="00937EAF">
        <w:t>teain</w:t>
      </w:r>
      <w:r w:rsidRPr="00937EAF">
        <w:rPr>
          <w:rFonts w:hint="eastAsia"/>
        </w:rPr>
        <w:t>CCPR</w:t>
      </w:r>
      <w:r w:rsidRPr="00937EAF">
        <w:t>meetingin</w:t>
      </w:r>
      <w:proofErr w:type="spellEnd"/>
      <w:r w:rsidRPr="00937EAF">
        <w:t xml:space="preserve"> May, 2014. In</w:t>
      </w:r>
      <w:r w:rsidRPr="00937EAF">
        <w:rPr>
          <w:rFonts w:hint="eastAsia"/>
        </w:rPr>
        <w:t xml:space="preserve"> May, 2015, EU modified the initial MRL of </w:t>
      </w:r>
      <w:proofErr w:type="spellStart"/>
      <w:r w:rsidRPr="00937EAF">
        <w:rPr>
          <w:rFonts w:hint="eastAsia"/>
        </w:rPr>
        <w:t>indoxacarb</w:t>
      </w:r>
      <w:proofErr w:type="spellEnd"/>
      <w:r w:rsidRPr="00937EAF">
        <w:rPr>
          <w:rFonts w:hint="eastAsia"/>
        </w:rPr>
        <w:t xml:space="preserve"> 0.05 to 5 mg/kg </w:t>
      </w:r>
      <w:r w:rsidRPr="00937EAF">
        <w:t>referring</w:t>
      </w:r>
      <w:r w:rsidRPr="00937EAF">
        <w:rPr>
          <w:rFonts w:hint="eastAsia"/>
        </w:rPr>
        <w:t xml:space="preserve"> to Codex MRL. In the draft document GB 2763-2015, </w:t>
      </w:r>
      <w:r>
        <w:t xml:space="preserve">a level of </w:t>
      </w:r>
      <w:r w:rsidRPr="00937EAF">
        <w:rPr>
          <w:rFonts w:hint="eastAsia"/>
        </w:rPr>
        <w:t xml:space="preserve">5 mg/kg </w:t>
      </w:r>
      <w:r>
        <w:t xml:space="preserve">as </w:t>
      </w:r>
      <w:r w:rsidRPr="00937EAF">
        <w:rPr>
          <w:rFonts w:hint="eastAsia"/>
        </w:rPr>
        <w:t xml:space="preserve">MRL of </w:t>
      </w:r>
      <w:proofErr w:type="spellStart"/>
      <w:r w:rsidRPr="00937EAF">
        <w:rPr>
          <w:rFonts w:hint="eastAsia"/>
        </w:rPr>
        <w:t>indoxacarb</w:t>
      </w:r>
      <w:proofErr w:type="spellEnd"/>
      <w:r w:rsidRPr="00937EAF">
        <w:rPr>
          <w:rFonts w:hint="eastAsia"/>
        </w:rPr>
        <w:t xml:space="preserve"> in tea in China was </w:t>
      </w:r>
      <w:r w:rsidRPr="00937EAF">
        <w:t>discussed</w:t>
      </w:r>
      <w:r w:rsidRPr="00937EAF">
        <w:rPr>
          <w:rFonts w:hint="eastAsia"/>
        </w:rPr>
        <w:t xml:space="preserve"> in July, 2015.  </w:t>
      </w:r>
    </w:p>
    <w:p w:rsidR="00710386" w:rsidRDefault="00710386" w:rsidP="00710386">
      <w:pPr>
        <w:pStyle w:val="NewPara"/>
        <w:numPr>
          <w:ilvl w:val="0"/>
          <w:numId w:val="0"/>
        </w:numPr>
        <w:rPr>
          <w:rFonts w:cs="Times New Roman"/>
          <w:sz w:val="18"/>
          <w:szCs w:val="18"/>
        </w:rPr>
      </w:pPr>
    </w:p>
    <w:p w:rsidR="00710386" w:rsidRPr="00710386" w:rsidRDefault="00710386" w:rsidP="00710386">
      <w:pPr>
        <w:spacing w:line="276" w:lineRule="auto"/>
        <w:jc w:val="center"/>
        <w:rPr>
          <w:rFonts w:eastAsiaTheme="minorEastAsia" w:cstheme="minorBidi"/>
          <w:b/>
          <w:szCs w:val="24"/>
          <w:lang w:eastAsia="en-GB"/>
        </w:rPr>
      </w:pPr>
      <w:proofErr w:type="gramStart"/>
      <w:r w:rsidRPr="00710386">
        <w:rPr>
          <w:rFonts w:eastAsiaTheme="minorEastAsia" w:cstheme="minorBidi" w:hint="eastAsia"/>
          <w:b/>
          <w:szCs w:val="24"/>
          <w:lang w:eastAsia="en-GB"/>
        </w:rPr>
        <w:t xml:space="preserve">Table </w:t>
      </w:r>
      <w:r w:rsidRPr="00710386">
        <w:rPr>
          <w:rFonts w:eastAsiaTheme="minorEastAsia" w:cstheme="minorBidi"/>
          <w:b/>
          <w:szCs w:val="24"/>
          <w:lang w:eastAsia="en-GB"/>
        </w:rPr>
        <w:t>1.</w:t>
      </w:r>
      <w:proofErr w:type="gramEnd"/>
      <w:r w:rsidRPr="00710386">
        <w:rPr>
          <w:rFonts w:eastAsiaTheme="minorEastAsia" w:cstheme="minorBidi" w:hint="eastAsia"/>
          <w:b/>
          <w:szCs w:val="24"/>
          <w:lang w:eastAsia="en-GB"/>
        </w:rPr>
        <w:t xml:space="preserve"> Regulation and modification of seven international MRLs</w:t>
      </w:r>
    </w:p>
    <w:tbl>
      <w:tblPr>
        <w:tblW w:w="91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30"/>
        <w:gridCol w:w="1308"/>
        <w:gridCol w:w="1219"/>
        <w:gridCol w:w="2126"/>
        <w:gridCol w:w="1701"/>
        <w:gridCol w:w="1238"/>
      </w:tblGrid>
      <w:tr w:rsidR="00710386" w:rsidRPr="00710386" w:rsidTr="00710386">
        <w:trPr>
          <w:jc w:val="center"/>
        </w:trPr>
        <w:tc>
          <w:tcPr>
            <w:tcW w:w="1530" w:type="dxa"/>
          </w:tcPr>
          <w:p w:rsidR="00710386" w:rsidRPr="00710386" w:rsidRDefault="00710386" w:rsidP="00710386">
            <w:pPr>
              <w:spacing w:after="0"/>
              <w:jc w:val="center"/>
              <w:rPr>
                <w:rFonts w:eastAsiaTheme="minorEastAsia" w:cs="Times New Roman"/>
                <w:b/>
                <w:szCs w:val="22"/>
                <w:lang w:eastAsia="en-GB"/>
              </w:rPr>
            </w:pPr>
            <w:r w:rsidRPr="00710386">
              <w:rPr>
                <w:rFonts w:eastAsiaTheme="minorEastAsia" w:cs="Times New Roman"/>
                <w:b/>
                <w:szCs w:val="22"/>
                <w:lang w:eastAsia="en-GB"/>
              </w:rPr>
              <w:t>Pesticide</w:t>
            </w:r>
          </w:p>
        </w:tc>
        <w:tc>
          <w:tcPr>
            <w:tcW w:w="1308" w:type="dxa"/>
          </w:tcPr>
          <w:p w:rsidR="00710386" w:rsidRPr="00710386" w:rsidRDefault="00710386" w:rsidP="00710386">
            <w:pPr>
              <w:spacing w:after="0"/>
              <w:jc w:val="center"/>
              <w:rPr>
                <w:rFonts w:eastAsiaTheme="minorEastAsia" w:cs="Times New Roman"/>
                <w:b/>
                <w:szCs w:val="22"/>
                <w:lang w:eastAsia="en-GB"/>
              </w:rPr>
            </w:pPr>
            <w:r w:rsidRPr="00710386">
              <w:rPr>
                <w:rFonts w:eastAsiaTheme="minorEastAsia" w:cs="Times New Roman"/>
                <w:b/>
                <w:szCs w:val="22"/>
                <w:lang w:eastAsia="en-GB"/>
              </w:rPr>
              <w:t>Regulator</w:t>
            </w:r>
          </w:p>
        </w:tc>
        <w:tc>
          <w:tcPr>
            <w:tcW w:w="1219" w:type="dxa"/>
          </w:tcPr>
          <w:p w:rsidR="00710386" w:rsidRPr="00710386" w:rsidRDefault="00710386" w:rsidP="00710386">
            <w:pPr>
              <w:spacing w:after="0"/>
              <w:jc w:val="center"/>
              <w:rPr>
                <w:rFonts w:eastAsiaTheme="minorEastAsia" w:cs="Times New Roman"/>
                <w:b/>
                <w:szCs w:val="22"/>
                <w:lang w:eastAsia="en-GB"/>
              </w:rPr>
            </w:pPr>
            <w:r w:rsidRPr="00710386">
              <w:rPr>
                <w:rFonts w:eastAsiaTheme="minorEastAsia" w:cs="Times New Roman"/>
                <w:b/>
                <w:szCs w:val="22"/>
                <w:lang w:eastAsia="en-GB"/>
              </w:rPr>
              <w:t>Initial MRLs</w:t>
            </w:r>
          </w:p>
          <w:p w:rsidR="00710386" w:rsidRPr="00710386" w:rsidRDefault="00710386" w:rsidP="00710386">
            <w:pPr>
              <w:spacing w:after="0"/>
              <w:jc w:val="center"/>
              <w:rPr>
                <w:rFonts w:eastAsiaTheme="minorEastAsia" w:cs="Times New Roman"/>
                <w:b/>
                <w:szCs w:val="22"/>
                <w:lang w:eastAsia="en-GB"/>
              </w:rPr>
            </w:pPr>
            <w:r w:rsidRPr="00710386">
              <w:rPr>
                <w:rFonts w:eastAsiaTheme="minorEastAsia" w:cs="Times New Roman"/>
                <w:b/>
                <w:szCs w:val="22"/>
                <w:lang w:eastAsia="en-GB"/>
              </w:rPr>
              <w:t>(mg/kg)</w:t>
            </w:r>
          </w:p>
        </w:tc>
        <w:tc>
          <w:tcPr>
            <w:tcW w:w="2126" w:type="dxa"/>
          </w:tcPr>
          <w:p w:rsidR="00710386" w:rsidRPr="00710386" w:rsidRDefault="00710386" w:rsidP="00710386">
            <w:pPr>
              <w:spacing w:after="0"/>
              <w:jc w:val="center"/>
              <w:rPr>
                <w:rFonts w:eastAsiaTheme="minorEastAsia" w:cs="Times New Roman"/>
                <w:b/>
                <w:szCs w:val="22"/>
                <w:lang w:eastAsia="en-GB"/>
              </w:rPr>
            </w:pPr>
            <w:r w:rsidRPr="00710386">
              <w:rPr>
                <w:rFonts w:eastAsiaTheme="minorEastAsia" w:cs="Times New Roman"/>
                <w:b/>
                <w:szCs w:val="22"/>
                <w:lang w:eastAsia="en-GB"/>
              </w:rPr>
              <w:t>Original proposed MRLs</w:t>
            </w:r>
          </w:p>
          <w:p w:rsidR="00710386" w:rsidRPr="00710386" w:rsidRDefault="00710386" w:rsidP="00710386">
            <w:pPr>
              <w:spacing w:after="0"/>
              <w:jc w:val="center"/>
              <w:rPr>
                <w:rFonts w:eastAsiaTheme="minorEastAsia" w:cs="Times New Roman"/>
                <w:b/>
                <w:szCs w:val="22"/>
                <w:lang w:eastAsia="en-GB"/>
              </w:rPr>
            </w:pPr>
            <w:r w:rsidRPr="00710386">
              <w:rPr>
                <w:rFonts w:eastAsiaTheme="minorEastAsia" w:cs="Times New Roman"/>
                <w:b/>
                <w:szCs w:val="22"/>
                <w:lang w:eastAsia="en-GB"/>
              </w:rPr>
              <w:t>(mg/kg)</w:t>
            </w:r>
          </w:p>
        </w:tc>
        <w:tc>
          <w:tcPr>
            <w:tcW w:w="1701" w:type="dxa"/>
          </w:tcPr>
          <w:p w:rsidR="00710386" w:rsidRPr="00710386" w:rsidRDefault="00710386" w:rsidP="00710386">
            <w:pPr>
              <w:spacing w:after="0"/>
              <w:jc w:val="center"/>
              <w:rPr>
                <w:rFonts w:eastAsiaTheme="minorEastAsia" w:cs="Times New Roman"/>
                <w:b/>
                <w:szCs w:val="22"/>
                <w:lang w:eastAsia="en-GB"/>
              </w:rPr>
            </w:pPr>
            <w:r w:rsidRPr="00710386">
              <w:rPr>
                <w:rFonts w:eastAsiaTheme="minorEastAsia" w:cs="Times New Roman"/>
                <w:b/>
                <w:szCs w:val="22"/>
                <w:lang w:eastAsia="en-GB"/>
              </w:rPr>
              <w:t xml:space="preserve">Modified MRLs </w:t>
            </w:r>
          </w:p>
          <w:p w:rsidR="00710386" w:rsidRPr="00710386" w:rsidRDefault="00710386" w:rsidP="00710386">
            <w:pPr>
              <w:spacing w:after="0"/>
              <w:jc w:val="center"/>
              <w:rPr>
                <w:rFonts w:eastAsiaTheme="minorEastAsia" w:cs="Times New Roman"/>
                <w:b/>
                <w:szCs w:val="22"/>
                <w:lang w:eastAsia="en-GB"/>
              </w:rPr>
            </w:pPr>
            <w:r w:rsidRPr="00710386">
              <w:rPr>
                <w:rFonts w:eastAsiaTheme="minorEastAsia" w:cs="Times New Roman"/>
                <w:b/>
                <w:szCs w:val="22"/>
                <w:lang w:eastAsia="en-GB"/>
              </w:rPr>
              <w:t>(mg/kg)</w:t>
            </w:r>
          </w:p>
        </w:tc>
        <w:tc>
          <w:tcPr>
            <w:tcW w:w="1238" w:type="dxa"/>
          </w:tcPr>
          <w:p w:rsidR="00710386" w:rsidRPr="00710386" w:rsidRDefault="00710386" w:rsidP="00710386">
            <w:pPr>
              <w:spacing w:after="0"/>
              <w:jc w:val="center"/>
              <w:rPr>
                <w:rFonts w:eastAsiaTheme="minorEastAsia" w:cs="Times New Roman"/>
                <w:b/>
                <w:szCs w:val="22"/>
                <w:lang w:eastAsia="en-GB"/>
              </w:rPr>
            </w:pPr>
            <w:r w:rsidRPr="00710386">
              <w:rPr>
                <w:rFonts w:eastAsiaTheme="minorEastAsia" w:cs="Times New Roman"/>
                <w:b/>
                <w:szCs w:val="22"/>
                <w:lang w:eastAsia="en-GB"/>
              </w:rPr>
              <w:t>Year of adoption</w:t>
            </w:r>
          </w:p>
        </w:tc>
      </w:tr>
      <w:tr w:rsidR="00710386" w:rsidRPr="00710386" w:rsidTr="00710386">
        <w:trPr>
          <w:jc w:val="center"/>
        </w:trPr>
        <w:tc>
          <w:tcPr>
            <w:tcW w:w="1530" w:type="dxa"/>
            <w:vMerge w:val="restart"/>
            <w:vAlign w:val="center"/>
          </w:tcPr>
          <w:p w:rsidR="00710386" w:rsidRPr="00710386" w:rsidRDefault="00710386" w:rsidP="00710386">
            <w:pPr>
              <w:spacing w:after="0"/>
              <w:jc w:val="center"/>
              <w:rPr>
                <w:rFonts w:eastAsiaTheme="minorEastAsia" w:cs="Times New Roman"/>
                <w:szCs w:val="22"/>
                <w:lang w:eastAsia="en-GB"/>
              </w:rPr>
            </w:pPr>
            <w:proofErr w:type="spellStart"/>
            <w:r w:rsidRPr="00710386">
              <w:rPr>
                <w:rFonts w:eastAsiaTheme="minorEastAsia" w:cs="Times New Roman"/>
                <w:szCs w:val="22"/>
                <w:lang w:eastAsia="en-GB"/>
              </w:rPr>
              <w:t>Endosulfan</w:t>
            </w:r>
            <w:proofErr w:type="spellEnd"/>
          </w:p>
        </w:tc>
        <w:tc>
          <w:tcPr>
            <w:tcW w:w="1308" w:type="dxa"/>
            <w:vAlign w:val="center"/>
          </w:tcPr>
          <w:p w:rsidR="00710386" w:rsidRPr="00710386" w:rsidRDefault="00710386" w:rsidP="00710386">
            <w:pPr>
              <w:spacing w:after="0"/>
              <w:jc w:val="center"/>
              <w:rPr>
                <w:rFonts w:eastAsiaTheme="minorEastAsia" w:cs="Times New Roman"/>
                <w:szCs w:val="22"/>
                <w:lang w:eastAsia="en-GB"/>
              </w:rPr>
            </w:pPr>
            <w:r w:rsidRPr="00710386">
              <w:rPr>
                <w:rFonts w:eastAsiaTheme="minorEastAsia" w:cs="Times New Roman"/>
                <w:szCs w:val="22"/>
                <w:lang w:eastAsia="en-GB"/>
              </w:rPr>
              <w:t>US EPA</w:t>
            </w:r>
          </w:p>
        </w:tc>
        <w:tc>
          <w:tcPr>
            <w:tcW w:w="1219" w:type="dxa"/>
            <w:vAlign w:val="center"/>
          </w:tcPr>
          <w:p w:rsidR="00710386" w:rsidRPr="00710386" w:rsidRDefault="00710386" w:rsidP="00710386">
            <w:pPr>
              <w:spacing w:after="0"/>
              <w:jc w:val="center"/>
              <w:rPr>
                <w:rFonts w:eastAsiaTheme="minorEastAsia" w:cs="Times New Roman"/>
                <w:szCs w:val="22"/>
                <w:lang w:eastAsia="en-GB"/>
              </w:rPr>
            </w:pPr>
            <w:r w:rsidRPr="00710386">
              <w:rPr>
                <w:rFonts w:eastAsiaTheme="minorEastAsia" w:cs="Times New Roman"/>
                <w:szCs w:val="22"/>
                <w:lang w:eastAsia="en-GB"/>
              </w:rPr>
              <w:t>30</w:t>
            </w:r>
          </w:p>
        </w:tc>
        <w:tc>
          <w:tcPr>
            <w:tcW w:w="2126" w:type="dxa"/>
          </w:tcPr>
          <w:p w:rsidR="00710386" w:rsidRPr="00710386" w:rsidRDefault="00710386" w:rsidP="00710386">
            <w:pPr>
              <w:spacing w:after="0"/>
              <w:jc w:val="center"/>
              <w:rPr>
                <w:rFonts w:eastAsiaTheme="minorEastAsia" w:cs="Times New Roman"/>
                <w:szCs w:val="22"/>
                <w:lang w:eastAsia="en-GB"/>
              </w:rPr>
            </w:pPr>
            <w:r w:rsidRPr="00710386">
              <w:rPr>
                <w:rFonts w:eastAsiaTheme="minorEastAsia" w:cs="Times New Roman"/>
                <w:szCs w:val="22"/>
                <w:lang w:eastAsia="en-GB"/>
              </w:rPr>
              <w:t>0.01</w:t>
            </w:r>
          </w:p>
        </w:tc>
        <w:tc>
          <w:tcPr>
            <w:tcW w:w="1701" w:type="dxa"/>
            <w:vAlign w:val="center"/>
          </w:tcPr>
          <w:p w:rsidR="00710386" w:rsidRPr="00710386" w:rsidRDefault="00710386" w:rsidP="00710386">
            <w:pPr>
              <w:spacing w:after="0"/>
              <w:jc w:val="center"/>
              <w:rPr>
                <w:rFonts w:eastAsiaTheme="minorEastAsia" w:cs="Times New Roman"/>
                <w:szCs w:val="22"/>
                <w:lang w:eastAsia="en-GB"/>
              </w:rPr>
            </w:pPr>
            <w:r w:rsidRPr="00710386">
              <w:rPr>
                <w:rFonts w:eastAsiaTheme="minorEastAsia" w:cs="Times New Roman"/>
                <w:szCs w:val="22"/>
                <w:lang w:eastAsia="en-GB"/>
              </w:rPr>
              <w:t>10</w:t>
            </w:r>
          </w:p>
        </w:tc>
        <w:tc>
          <w:tcPr>
            <w:tcW w:w="1238" w:type="dxa"/>
            <w:vAlign w:val="center"/>
          </w:tcPr>
          <w:p w:rsidR="00710386" w:rsidRPr="00710386" w:rsidRDefault="00710386" w:rsidP="00710386">
            <w:pPr>
              <w:kinsoku w:val="0"/>
              <w:overflowPunct w:val="0"/>
              <w:spacing w:after="0"/>
              <w:ind w:left="547" w:hanging="547"/>
              <w:jc w:val="center"/>
              <w:textAlignment w:val="baseline"/>
              <w:rPr>
                <w:rFonts w:eastAsia="SimSun" w:cs="Times New Roman"/>
                <w:kern w:val="2"/>
                <w:sz w:val="21"/>
                <w:szCs w:val="22"/>
                <w:lang w:val="en-US" w:eastAsia="zh-CN"/>
              </w:rPr>
            </w:pPr>
            <w:r w:rsidRPr="00710386">
              <w:rPr>
                <w:rFonts w:eastAsia="SimSun" w:cs="Times New Roman"/>
                <w:kern w:val="2"/>
                <w:sz w:val="21"/>
                <w:szCs w:val="22"/>
                <w:lang w:val="en-US" w:eastAsia="zh-CN"/>
              </w:rPr>
              <w:t>2008</w:t>
            </w:r>
          </w:p>
        </w:tc>
      </w:tr>
      <w:tr w:rsidR="00710386" w:rsidRPr="00710386" w:rsidTr="00710386">
        <w:trPr>
          <w:jc w:val="center"/>
        </w:trPr>
        <w:tc>
          <w:tcPr>
            <w:tcW w:w="1530" w:type="dxa"/>
            <w:vMerge/>
            <w:vAlign w:val="center"/>
          </w:tcPr>
          <w:p w:rsidR="00710386" w:rsidRPr="00710386" w:rsidRDefault="00710386" w:rsidP="00710386">
            <w:pPr>
              <w:spacing w:after="0"/>
              <w:jc w:val="center"/>
              <w:rPr>
                <w:rFonts w:eastAsiaTheme="minorEastAsia" w:cs="Times New Roman"/>
                <w:szCs w:val="22"/>
                <w:lang w:eastAsia="en-GB"/>
              </w:rPr>
            </w:pPr>
          </w:p>
        </w:tc>
        <w:tc>
          <w:tcPr>
            <w:tcW w:w="1308" w:type="dxa"/>
            <w:vAlign w:val="center"/>
          </w:tcPr>
          <w:p w:rsidR="00710386" w:rsidRPr="00710386" w:rsidRDefault="00710386" w:rsidP="00710386">
            <w:pPr>
              <w:spacing w:after="0"/>
              <w:jc w:val="center"/>
              <w:rPr>
                <w:rFonts w:eastAsiaTheme="minorEastAsia" w:cs="Times New Roman"/>
                <w:szCs w:val="22"/>
                <w:lang w:eastAsia="en-GB"/>
              </w:rPr>
            </w:pPr>
            <w:r w:rsidRPr="00710386">
              <w:rPr>
                <w:rFonts w:eastAsiaTheme="minorEastAsia" w:cs="Times New Roman"/>
                <w:szCs w:val="22"/>
                <w:lang w:eastAsia="en-GB"/>
              </w:rPr>
              <w:t>CAC</w:t>
            </w:r>
          </w:p>
        </w:tc>
        <w:tc>
          <w:tcPr>
            <w:tcW w:w="1219" w:type="dxa"/>
            <w:vAlign w:val="center"/>
          </w:tcPr>
          <w:p w:rsidR="00710386" w:rsidRPr="00710386" w:rsidRDefault="00710386" w:rsidP="00710386">
            <w:pPr>
              <w:spacing w:after="0"/>
              <w:jc w:val="center"/>
              <w:rPr>
                <w:rFonts w:eastAsiaTheme="minorEastAsia" w:cs="Times New Roman"/>
                <w:szCs w:val="22"/>
                <w:lang w:eastAsia="en-GB"/>
              </w:rPr>
            </w:pPr>
            <w:r w:rsidRPr="00710386">
              <w:rPr>
                <w:rFonts w:eastAsiaTheme="minorEastAsia" w:cs="Times New Roman"/>
                <w:szCs w:val="22"/>
                <w:lang w:eastAsia="en-GB"/>
              </w:rPr>
              <w:t>30</w:t>
            </w:r>
          </w:p>
        </w:tc>
        <w:tc>
          <w:tcPr>
            <w:tcW w:w="2126" w:type="dxa"/>
          </w:tcPr>
          <w:p w:rsidR="00710386" w:rsidRPr="00710386" w:rsidRDefault="00710386" w:rsidP="00710386">
            <w:pPr>
              <w:spacing w:after="0"/>
              <w:jc w:val="center"/>
              <w:rPr>
                <w:rFonts w:eastAsiaTheme="minorEastAsia" w:cs="Times New Roman"/>
                <w:szCs w:val="22"/>
                <w:lang w:eastAsia="en-GB"/>
              </w:rPr>
            </w:pPr>
            <w:r w:rsidRPr="00710386">
              <w:rPr>
                <w:rFonts w:eastAsiaTheme="minorEastAsia" w:cs="Times New Roman"/>
                <w:szCs w:val="22"/>
                <w:lang w:eastAsia="en-GB"/>
              </w:rPr>
              <w:t>0.01(EU suggestion)</w:t>
            </w:r>
          </w:p>
        </w:tc>
        <w:tc>
          <w:tcPr>
            <w:tcW w:w="1701" w:type="dxa"/>
            <w:vAlign w:val="center"/>
          </w:tcPr>
          <w:p w:rsidR="00710386" w:rsidRPr="00710386" w:rsidRDefault="00710386" w:rsidP="00710386">
            <w:pPr>
              <w:spacing w:after="0"/>
              <w:jc w:val="center"/>
              <w:rPr>
                <w:rFonts w:eastAsiaTheme="minorEastAsia" w:cs="Times New Roman"/>
                <w:szCs w:val="22"/>
                <w:lang w:eastAsia="en-GB"/>
              </w:rPr>
            </w:pPr>
            <w:r w:rsidRPr="00710386">
              <w:rPr>
                <w:rFonts w:eastAsiaTheme="minorEastAsia" w:cs="Times New Roman"/>
                <w:szCs w:val="22"/>
                <w:lang w:eastAsia="en-GB"/>
              </w:rPr>
              <w:t>10</w:t>
            </w:r>
          </w:p>
        </w:tc>
        <w:tc>
          <w:tcPr>
            <w:tcW w:w="1238" w:type="dxa"/>
            <w:vAlign w:val="center"/>
          </w:tcPr>
          <w:p w:rsidR="00710386" w:rsidRPr="00710386" w:rsidRDefault="00710386" w:rsidP="00710386">
            <w:pPr>
              <w:kinsoku w:val="0"/>
              <w:overflowPunct w:val="0"/>
              <w:spacing w:after="0"/>
              <w:ind w:left="547" w:hanging="547"/>
              <w:jc w:val="center"/>
              <w:textAlignment w:val="baseline"/>
              <w:rPr>
                <w:rFonts w:eastAsia="SimSun" w:cs="Times New Roman"/>
                <w:kern w:val="2"/>
                <w:sz w:val="21"/>
                <w:szCs w:val="22"/>
                <w:lang w:val="en-US" w:eastAsia="zh-CN"/>
              </w:rPr>
            </w:pPr>
            <w:r w:rsidRPr="00710386">
              <w:rPr>
                <w:rFonts w:eastAsia="SimSun" w:cs="Times New Roman"/>
                <w:kern w:val="2"/>
                <w:sz w:val="21"/>
                <w:szCs w:val="22"/>
                <w:lang w:val="en-US" w:eastAsia="zh-CN"/>
              </w:rPr>
              <w:t>2010</w:t>
            </w:r>
          </w:p>
        </w:tc>
      </w:tr>
      <w:tr w:rsidR="00710386" w:rsidRPr="00710386" w:rsidTr="00710386">
        <w:trPr>
          <w:jc w:val="center"/>
        </w:trPr>
        <w:tc>
          <w:tcPr>
            <w:tcW w:w="1530" w:type="dxa"/>
            <w:vAlign w:val="center"/>
          </w:tcPr>
          <w:p w:rsidR="00710386" w:rsidRPr="00710386" w:rsidRDefault="00710386" w:rsidP="00710386">
            <w:pPr>
              <w:spacing w:after="0"/>
              <w:jc w:val="center"/>
              <w:rPr>
                <w:rFonts w:eastAsiaTheme="minorEastAsia" w:cs="Times New Roman"/>
                <w:szCs w:val="22"/>
                <w:lang w:eastAsia="en-GB"/>
              </w:rPr>
            </w:pPr>
            <w:proofErr w:type="spellStart"/>
            <w:r w:rsidRPr="00710386">
              <w:rPr>
                <w:rFonts w:eastAsiaTheme="minorEastAsia" w:cs="Times New Roman"/>
                <w:szCs w:val="22"/>
                <w:lang w:eastAsia="en-GB"/>
              </w:rPr>
              <w:t>Cypermethrin</w:t>
            </w:r>
            <w:proofErr w:type="spellEnd"/>
          </w:p>
        </w:tc>
        <w:tc>
          <w:tcPr>
            <w:tcW w:w="1308" w:type="dxa"/>
            <w:vAlign w:val="center"/>
          </w:tcPr>
          <w:p w:rsidR="00710386" w:rsidRPr="00710386" w:rsidRDefault="00710386" w:rsidP="00710386">
            <w:pPr>
              <w:spacing w:after="0"/>
              <w:jc w:val="center"/>
              <w:rPr>
                <w:rFonts w:eastAsiaTheme="minorEastAsia" w:cs="Times New Roman"/>
                <w:szCs w:val="22"/>
                <w:lang w:eastAsia="en-GB"/>
              </w:rPr>
            </w:pPr>
            <w:r w:rsidRPr="00710386">
              <w:rPr>
                <w:rFonts w:eastAsiaTheme="minorEastAsia" w:cs="Times New Roman"/>
                <w:szCs w:val="22"/>
                <w:lang w:eastAsia="en-GB"/>
              </w:rPr>
              <w:t>CAC</w:t>
            </w:r>
          </w:p>
        </w:tc>
        <w:tc>
          <w:tcPr>
            <w:tcW w:w="1219" w:type="dxa"/>
            <w:vAlign w:val="center"/>
          </w:tcPr>
          <w:p w:rsidR="00710386" w:rsidRPr="00710386" w:rsidRDefault="00710386" w:rsidP="00710386">
            <w:pPr>
              <w:spacing w:after="0"/>
              <w:jc w:val="center"/>
              <w:rPr>
                <w:rFonts w:eastAsiaTheme="minorEastAsia" w:cs="Times New Roman"/>
                <w:szCs w:val="22"/>
                <w:lang w:eastAsia="en-GB"/>
              </w:rPr>
            </w:pPr>
            <w:r w:rsidRPr="00710386">
              <w:rPr>
                <w:rFonts w:eastAsiaTheme="minorEastAsia" w:cs="Times New Roman"/>
                <w:szCs w:val="22"/>
                <w:lang w:eastAsia="en-GB"/>
              </w:rPr>
              <w:t>20</w:t>
            </w:r>
          </w:p>
        </w:tc>
        <w:tc>
          <w:tcPr>
            <w:tcW w:w="2126" w:type="dxa"/>
          </w:tcPr>
          <w:p w:rsidR="00710386" w:rsidRPr="00710386" w:rsidRDefault="00710386" w:rsidP="00710386">
            <w:pPr>
              <w:spacing w:after="0"/>
              <w:jc w:val="center"/>
              <w:rPr>
                <w:rFonts w:eastAsiaTheme="minorEastAsia" w:cs="Times New Roman"/>
                <w:szCs w:val="22"/>
                <w:lang w:eastAsia="en-GB"/>
              </w:rPr>
            </w:pPr>
            <w:r w:rsidRPr="00710386">
              <w:rPr>
                <w:rFonts w:eastAsiaTheme="minorEastAsia" w:cs="Times New Roman"/>
                <w:szCs w:val="22"/>
                <w:lang w:eastAsia="en-GB"/>
              </w:rPr>
              <w:t>0.01(EU suggestion)</w:t>
            </w:r>
          </w:p>
        </w:tc>
        <w:tc>
          <w:tcPr>
            <w:tcW w:w="1701" w:type="dxa"/>
            <w:vAlign w:val="center"/>
          </w:tcPr>
          <w:p w:rsidR="00710386" w:rsidRPr="00710386" w:rsidRDefault="00710386" w:rsidP="00710386">
            <w:pPr>
              <w:spacing w:after="0"/>
              <w:jc w:val="center"/>
              <w:rPr>
                <w:rFonts w:eastAsiaTheme="minorEastAsia" w:cs="Times New Roman"/>
                <w:szCs w:val="22"/>
                <w:lang w:eastAsia="en-GB"/>
              </w:rPr>
            </w:pPr>
            <w:r w:rsidRPr="00710386">
              <w:rPr>
                <w:rFonts w:eastAsiaTheme="minorEastAsia" w:cs="Times New Roman"/>
                <w:szCs w:val="22"/>
                <w:lang w:eastAsia="en-GB"/>
              </w:rPr>
              <w:t>15</w:t>
            </w:r>
          </w:p>
        </w:tc>
        <w:tc>
          <w:tcPr>
            <w:tcW w:w="1238" w:type="dxa"/>
            <w:vAlign w:val="center"/>
          </w:tcPr>
          <w:p w:rsidR="00710386" w:rsidRPr="00710386" w:rsidRDefault="00710386" w:rsidP="00710386">
            <w:pPr>
              <w:kinsoku w:val="0"/>
              <w:overflowPunct w:val="0"/>
              <w:spacing w:after="0"/>
              <w:ind w:left="547" w:hanging="547"/>
              <w:jc w:val="center"/>
              <w:textAlignment w:val="baseline"/>
              <w:rPr>
                <w:rFonts w:eastAsia="SimSun" w:cs="Times New Roman"/>
                <w:kern w:val="2"/>
                <w:sz w:val="21"/>
                <w:szCs w:val="22"/>
                <w:lang w:val="en-US" w:eastAsia="zh-CN"/>
              </w:rPr>
            </w:pPr>
            <w:r w:rsidRPr="00710386">
              <w:rPr>
                <w:rFonts w:eastAsia="SimSun" w:cs="Times New Roman"/>
                <w:kern w:val="2"/>
                <w:sz w:val="21"/>
                <w:szCs w:val="22"/>
                <w:lang w:val="en-US" w:eastAsia="zh-CN"/>
              </w:rPr>
              <w:t>2012</w:t>
            </w:r>
          </w:p>
        </w:tc>
      </w:tr>
      <w:tr w:rsidR="00710386" w:rsidRPr="00710386" w:rsidTr="00710386">
        <w:trPr>
          <w:jc w:val="center"/>
        </w:trPr>
        <w:tc>
          <w:tcPr>
            <w:tcW w:w="1530" w:type="dxa"/>
            <w:vAlign w:val="center"/>
          </w:tcPr>
          <w:p w:rsidR="00710386" w:rsidRPr="00710386" w:rsidRDefault="00710386" w:rsidP="00710386">
            <w:pPr>
              <w:spacing w:after="0"/>
              <w:jc w:val="center"/>
              <w:rPr>
                <w:rFonts w:eastAsiaTheme="minorEastAsia" w:cs="Times New Roman"/>
                <w:szCs w:val="22"/>
                <w:lang w:eastAsia="en-GB"/>
              </w:rPr>
            </w:pPr>
            <w:proofErr w:type="spellStart"/>
            <w:r w:rsidRPr="00710386">
              <w:rPr>
                <w:rFonts w:eastAsiaTheme="minorEastAsia" w:cs="Times New Roman"/>
                <w:szCs w:val="22"/>
                <w:lang w:eastAsia="en-GB"/>
              </w:rPr>
              <w:t>Bifenthrin</w:t>
            </w:r>
            <w:proofErr w:type="spellEnd"/>
          </w:p>
        </w:tc>
        <w:tc>
          <w:tcPr>
            <w:tcW w:w="1308" w:type="dxa"/>
            <w:vAlign w:val="center"/>
          </w:tcPr>
          <w:p w:rsidR="00710386" w:rsidRPr="00710386" w:rsidRDefault="00710386" w:rsidP="00710386">
            <w:pPr>
              <w:spacing w:after="0"/>
              <w:jc w:val="center"/>
              <w:rPr>
                <w:rFonts w:eastAsiaTheme="minorEastAsia" w:cs="Times New Roman"/>
                <w:szCs w:val="22"/>
                <w:lang w:eastAsia="en-GB"/>
              </w:rPr>
            </w:pPr>
            <w:r w:rsidRPr="00710386">
              <w:rPr>
                <w:rFonts w:eastAsiaTheme="minorEastAsia" w:cs="Times New Roman"/>
                <w:szCs w:val="22"/>
                <w:lang w:eastAsia="en-GB"/>
              </w:rPr>
              <w:t>US EPA</w:t>
            </w:r>
          </w:p>
        </w:tc>
        <w:tc>
          <w:tcPr>
            <w:tcW w:w="1219" w:type="dxa"/>
            <w:vAlign w:val="center"/>
          </w:tcPr>
          <w:p w:rsidR="00710386" w:rsidRPr="00710386" w:rsidRDefault="00710386" w:rsidP="00710386">
            <w:pPr>
              <w:spacing w:after="0"/>
              <w:jc w:val="center"/>
              <w:rPr>
                <w:rFonts w:eastAsiaTheme="minorEastAsia" w:cs="Times New Roman"/>
                <w:szCs w:val="22"/>
                <w:lang w:eastAsia="en-GB"/>
              </w:rPr>
            </w:pPr>
            <w:r w:rsidRPr="00710386">
              <w:rPr>
                <w:rFonts w:eastAsiaTheme="minorEastAsia" w:cs="Times New Roman"/>
                <w:szCs w:val="22"/>
                <w:lang w:eastAsia="en-GB"/>
              </w:rPr>
              <w:t>5</w:t>
            </w:r>
          </w:p>
        </w:tc>
        <w:tc>
          <w:tcPr>
            <w:tcW w:w="2126" w:type="dxa"/>
          </w:tcPr>
          <w:p w:rsidR="00710386" w:rsidRPr="00710386" w:rsidRDefault="00710386" w:rsidP="00710386">
            <w:pPr>
              <w:spacing w:after="0"/>
              <w:jc w:val="center"/>
              <w:rPr>
                <w:rFonts w:eastAsiaTheme="minorEastAsia" w:cs="Times New Roman"/>
                <w:szCs w:val="22"/>
                <w:lang w:eastAsia="en-GB"/>
              </w:rPr>
            </w:pPr>
            <w:r w:rsidRPr="00710386">
              <w:rPr>
                <w:rFonts w:eastAsiaTheme="minorEastAsia" w:cs="Times New Roman"/>
                <w:szCs w:val="22"/>
                <w:lang w:eastAsia="en-GB"/>
              </w:rPr>
              <w:t>0.01</w:t>
            </w:r>
          </w:p>
        </w:tc>
        <w:tc>
          <w:tcPr>
            <w:tcW w:w="1701" w:type="dxa"/>
            <w:vAlign w:val="center"/>
          </w:tcPr>
          <w:p w:rsidR="00710386" w:rsidRPr="00710386" w:rsidRDefault="00710386" w:rsidP="00710386">
            <w:pPr>
              <w:spacing w:after="0"/>
              <w:jc w:val="center"/>
              <w:rPr>
                <w:rFonts w:eastAsiaTheme="minorEastAsia" w:cs="Times New Roman"/>
                <w:szCs w:val="22"/>
                <w:lang w:eastAsia="en-GB"/>
              </w:rPr>
            </w:pPr>
            <w:r w:rsidRPr="00710386">
              <w:rPr>
                <w:rFonts w:eastAsiaTheme="minorEastAsia" w:cs="Times New Roman"/>
                <w:szCs w:val="22"/>
                <w:lang w:eastAsia="en-GB"/>
              </w:rPr>
              <w:t>5</w:t>
            </w:r>
          </w:p>
        </w:tc>
        <w:tc>
          <w:tcPr>
            <w:tcW w:w="1238" w:type="dxa"/>
            <w:vAlign w:val="center"/>
          </w:tcPr>
          <w:p w:rsidR="00710386" w:rsidRPr="00710386" w:rsidRDefault="00710386" w:rsidP="00710386">
            <w:pPr>
              <w:kinsoku w:val="0"/>
              <w:overflowPunct w:val="0"/>
              <w:spacing w:after="0"/>
              <w:ind w:left="547" w:hanging="547"/>
              <w:jc w:val="center"/>
              <w:textAlignment w:val="baseline"/>
              <w:rPr>
                <w:rFonts w:eastAsia="SimSun" w:cs="Times New Roman"/>
                <w:kern w:val="2"/>
                <w:sz w:val="21"/>
                <w:szCs w:val="22"/>
                <w:lang w:val="en-US" w:eastAsia="zh-CN"/>
              </w:rPr>
            </w:pPr>
            <w:r w:rsidRPr="00710386">
              <w:rPr>
                <w:rFonts w:eastAsia="SimSun" w:cs="Times New Roman"/>
                <w:kern w:val="2"/>
                <w:sz w:val="21"/>
                <w:szCs w:val="22"/>
                <w:lang w:val="en-US" w:eastAsia="zh-CN"/>
              </w:rPr>
              <w:t>2009</w:t>
            </w:r>
          </w:p>
        </w:tc>
      </w:tr>
      <w:tr w:rsidR="00710386" w:rsidRPr="00710386" w:rsidTr="00710386">
        <w:trPr>
          <w:trHeight w:val="132"/>
          <w:jc w:val="center"/>
        </w:trPr>
        <w:tc>
          <w:tcPr>
            <w:tcW w:w="1530" w:type="dxa"/>
            <w:vMerge w:val="restart"/>
            <w:vAlign w:val="center"/>
          </w:tcPr>
          <w:p w:rsidR="00710386" w:rsidRPr="00710386" w:rsidRDefault="00710386" w:rsidP="00710386">
            <w:pPr>
              <w:spacing w:after="0"/>
              <w:jc w:val="center"/>
              <w:rPr>
                <w:rFonts w:eastAsiaTheme="minorEastAsia" w:cs="Times New Roman"/>
                <w:szCs w:val="22"/>
                <w:lang w:eastAsia="en-GB"/>
              </w:rPr>
            </w:pPr>
            <w:proofErr w:type="spellStart"/>
            <w:r w:rsidRPr="00710386">
              <w:rPr>
                <w:rFonts w:eastAsiaTheme="minorEastAsia" w:cs="Times New Roman"/>
                <w:szCs w:val="22"/>
                <w:lang w:eastAsia="en-GB"/>
              </w:rPr>
              <w:t>Indoxacarb</w:t>
            </w:r>
            <w:proofErr w:type="spellEnd"/>
          </w:p>
        </w:tc>
        <w:tc>
          <w:tcPr>
            <w:tcW w:w="1308" w:type="dxa"/>
            <w:vAlign w:val="center"/>
          </w:tcPr>
          <w:p w:rsidR="00710386" w:rsidRPr="00710386" w:rsidRDefault="00710386" w:rsidP="00710386">
            <w:pPr>
              <w:spacing w:after="0"/>
              <w:jc w:val="center"/>
              <w:rPr>
                <w:rFonts w:eastAsiaTheme="minorEastAsia" w:cs="Times New Roman"/>
                <w:szCs w:val="22"/>
                <w:lang w:eastAsia="en-GB"/>
              </w:rPr>
            </w:pPr>
            <w:r w:rsidRPr="00710386">
              <w:rPr>
                <w:rFonts w:eastAsiaTheme="minorEastAsia" w:cs="Times New Roman"/>
                <w:szCs w:val="22"/>
                <w:lang w:eastAsia="en-GB"/>
              </w:rPr>
              <w:t>CAC</w:t>
            </w:r>
          </w:p>
        </w:tc>
        <w:tc>
          <w:tcPr>
            <w:tcW w:w="1219" w:type="dxa"/>
            <w:vAlign w:val="center"/>
          </w:tcPr>
          <w:p w:rsidR="00710386" w:rsidRPr="00710386" w:rsidRDefault="00710386" w:rsidP="00710386">
            <w:pPr>
              <w:spacing w:after="0"/>
              <w:jc w:val="center"/>
              <w:rPr>
                <w:rFonts w:eastAsiaTheme="minorEastAsia" w:cs="Times New Roman"/>
                <w:szCs w:val="22"/>
                <w:lang w:eastAsia="en-GB"/>
              </w:rPr>
            </w:pPr>
            <w:r w:rsidRPr="00710386">
              <w:rPr>
                <w:rFonts w:eastAsiaTheme="minorEastAsia" w:cs="Times New Roman"/>
                <w:szCs w:val="22"/>
                <w:lang w:eastAsia="en-GB"/>
              </w:rPr>
              <w:t>not set</w:t>
            </w:r>
          </w:p>
        </w:tc>
        <w:tc>
          <w:tcPr>
            <w:tcW w:w="2126" w:type="dxa"/>
          </w:tcPr>
          <w:p w:rsidR="00710386" w:rsidRPr="00710386" w:rsidRDefault="00710386" w:rsidP="00710386">
            <w:pPr>
              <w:spacing w:after="0"/>
              <w:jc w:val="center"/>
              <w:rPr>
                <w:rFonts w:eastAsiaTheme="minorEastAsia" w:cs="Times New Roman"/>
                <w:szCs w:val="22"/>
                <w:lang w:eastAsia="en-GB"/>
              </w:rPr>
            </w:pPr>
            <w:r w:rsidRPr="00710386">
              <w:rPr>
                <w:rFonts w:eastAsiaTheme="minorEastAsia" w:cs="Times New Roman"/>
                <w:szCs w:val="22"/>
                <w:lang w:eastAsia="en-GB"/>
              </w:rPr>
              <w:t>not set</w:t>
            </w:r>
          </w:p>
        </w:tc>
        <w:tc>
          <w:tcPr>
            <w:tcW w:w="1701" w:type="dxa"/>
            <w:vAlign w:val="center"/>
          </w:tcPr>
          <w:p w:rsidR="00710386" w:rsidRPr="00710386" w:rsidRDefault="00710386" w:rsidP="00710386">
            <w:pPr>
              <w:spacing w:after="0"/>
              <w:jc w:val="center"/>
              <w:rPr>
                <w:rFonts w:eastAsiaTheme="minorEastAsia" w:cs="Times New Roman"/>
                <w:szCs w:val="22"/>
                <w:lang w:eastAsia="en-GB"/>
              </w:rPr>
            </w:pPr>
            <w:r w:rsidRPr="00710386">
              <w:rPr>
                <w:rFonts w:eastAsiaTheme="minorEastAsia" w:cs="Times New Roman"/>
                <w:szCs w:val="22"/>
                <w:lang w:eastAsia="en-GB"/>
              </w:rPr>
              <w:t>5</w:t>
            </w:r>
          </w:p>
        </w:tc>
        <w:tc>
          <w:tcPr>
            <w:tcW w:w="1238" w:type="dxa"/>
            <w:vAlign w:val="center"/>
          </w:tcPr>
          <w:p w:rsidR="00710386" w:rsidRPr="00710386" w:rsidRDefault="00710386" w:rsidP="00710386">
            <w:pPr>
              <w:kinsoku w:val="0"/>
              <w:overflowPunct w:val="0"/>
              <w:spacing w:after="0"/>
              <w:ind w:left="547" w:hanging="547"/>
              <w:jc w:val="center"/>
              <w:textAlignment w:val="baseline"/>
              <w:rPr>
                <w:rFonts w:eastAsia="SimSun" w:cs="Times New Roman"/>
                <w:kern w:val="2"/>
                <w:sz w:val="21"/>
                <w:szCs w:val="22"/>
                <w:lang w:val="en-US" w:eastAsia="zh-CN"/>
              </w:rPr>
            </w:pPr>
            <w:r w:rsidRPr="00710386">
              <w:rPr>
                <w:rFonts w:eastAsia="SimSun" w:cs="Times New Roman"/>
                <w:kern w:val="2"/>
                <w:sz w:val="21"/>
                <w:szCs w:val="22"/>
                <w:lang w:val="en-US" w:eastAsia="zh-CN"/>
              </w:rPr>
              <w:t>2014</w:t>
            </w:r>
          </w:p>
        </w:tc>
      </w:tr>
      <w:tr w:rsidR="00710386" w:rsidRPr="00710386" w:rsidTr="00710386">
        <w:trPr>
          <w:trHeight w:val="131"/>
          <w:jc w:val="center"/>
        </w:trPr>
        <w:tc>
          <w:tcPr>
            <w:tcW w:w="1530" w:type="dxa"/>
            <w:vMerge/>
            <w:vAlign w:val="center"/>
          </w:tcPr>
          <w:p w:rsidR="00710386" w:rsidRPr="00710386" w:rsidRDefault="00710386" w:rsidP="00710386">
            <w:pPr>
              <w:spacing w:after="0"/>
              <w:jc w:val="center"/>
              <w:rPr>
                <w:rFonts w:eastAsiaTheme="minorEastAsia" w:cs="Times New Roman"/>
                <w:szCs w:val="22"/>
                <w:lang w:eastAsia="en-GB"/>
              </w:rPr>
            </w:pPr>
          </w:p>
        </w:tc>
        <w:tc>
          <w:tcPr>
            <w:tcW w:w="1308" w:type="dxa"/>
            <w:vAlign w:val="center"/>
          </w:tcPr>
          <w:p w:rsidR="00710386" w:rsidRPr="00710386" w:rsidRDefault="00710386" w:rsidP="00710386">
            <w:pPr>
              <w:spacing w:after="0"/>
              <w:jc w:val="center"/>
              <w:rPr>
                <w:rFonts w:eastAsiaTheme="minorEastAsia" w:cs="Times New Roman"/>
                <w:szCs w:val="22"/>
                <w:lang w:eastAsia="en-GB"/>
              </w:rPr>
            </w:pPr>
            <w:r w:rsidRPr="00710386">
              <w:rPr>
                <w:rFonts w:eastAsiaTheme="minorEastAsia" w:cs="Times New Roman"/>
                <w:szCs w:val="22"/>
                <w:lang w:eastAsia="en-GB"/>
              </w:rPr>
              <w:t>EU</w:t>
            </w:r>
          </w:p>
        </w:tc>
        <w:tc>
          <w:tcPr>
            <w:tcW w:w="1219" w:type="dxa"/>
            <w:vAlign w:val="center"/>
          </w:tcPr>
          <w:p w:rsidR="00710386" w:rsidRPr="00710386" w:rsidRDefault="00710386" w:rsidP="00710386">
            <w:pPr>
              <w:spacing w:after="0"/>
              <w:jc w:val="center"/>
              <w:rPr>
                <w:rFonts w:eastAsiaTheme="minorEastAsia" w:cs="Times New Roman"/>
                <w:szCs w:val="22"/>
                <w:lang w:eastAsia="en-GB"/>
              </w:rPr>
            </w:pPr>
            <w:r w:rsidRPr="00710386">
              <w:rPr>
                <w:rFonts w:eastAsiaTheme="minorEastAsia" w:cs="Times New Roman"/>
                <w:szCs w:val="22"/>
                <w:lang w:eastAsia="en-GB"/>
              </w:rPr>
              <w:t>0.05</w:t>
            </w:r>
          </w:p>
        </w:tc>
        <w:tc>
          <w:tcPr>
            <w:tcW w:w="2126" w:type="dxa"/>
          </w:tcPr>
          <w:p w:rsidR="00710386" w:rsidRPr="00710386" w:rsidRDefault="00710386" w:rsidP="00710386">
            <w:pPr>
              <w:spacing w:after="0"/>
              <w:jc w:val="center"/>
              <w:rPr>
                <w:rFonts w:eastAsiaTheme="minorEastAsia" w:cs="Times New Roman"/>
                <w:szCs w:val="22"/>
                <w:lang w:eastAsia="en-GB"/>
              </w:rPr>
            </w:pPr>
            <w:r w:rsidRPr="00710386">
              <w:rPr>
                <w:rFonts w:eastAsiaTheme="minorEastAsia" w:cs="Times New Roman"/>
                <w:szCs w:val="22"/>
                <w:lang w:eastAsia="en-GB"/>
              </w:rPr>
              <w:t>0.05</w:t>
            </w:r>
          </w:p>
        </w:tc>
        <w:tc>
          <w:tcPr>
            <w:tcW w:w="1701" w:type="dxa"/>
            <w:vAlign w:val="center"/>
          </w:tcPr>
          <w:p w:rsidR="00710386" w:rsidRPr="00710386" w:rsidRDefault="00710386" w:rsidP="00710386">
            <w:pPr>
              <w:spacing w:after="0"/>
              <w:jc w:val="center"/>
              <w:rPr>
                <w:rFonts w:eastAsiaTheme="minorEastAsia" w:cs="Times New Roman"/>
                <w:szCs w:val="22"/>
                <w:lang w:eastAsia="en-GB"/>
              </w:rPr>
            </w:pPr>
            <w:r w:rsidRPr="00710386">
              <w:rPr>
                <w:rFonts w:eastAsiaTheme="minorEastAsia" w:cs="Times New Roman"/>
                <w:szCs w:val="22"/>
                <w:lang w:eastAsia="en-GB"/>
              </w:rPr>
              <w:t>5</w:t>
            </w:r>
          </w:p>
        </w:tc>
        <w:tc>
          <w:tcPr>
            <w:tcW w:w="1238" w:type="dxa"/>
            <w:vAlign w:val="center"/>
          </w:tcPr>
          <w:p w:rsidR="00710386" w:rsidRPr="00710386" w:rsidRDefault="00710386" w:rsidP="00710386">
            <w:pPr>
              <w:kinsoku w:val="0"/>
              <w:overflowPunct w:val="0"/>
              <w:spacing w:after="0"/>
              <w:ind w:left="547" w:hanging="547"/>
              <w:jc w:val="center"/>
              <w:textAlignment w:val="baseline"/>
              <w:rPr>
                <w:rFonts w:eastAsia="SimSun" w:cs="Times New Roman"/>
                <w:kern w:val="2"/>
                <w:sz w:val="21"/>
                <w:szCs w:val="22"/>
                <w:lang w:val="en-US" w:eastAsia="zh-CN"/>
              </w:rPr>
            </w:pPr>
            <w:r w:rsidRPr="00710386">
              <w:rPr>
                <w:rFonts w:eastAsia="SimSun" w:cs="Times New Roman"/>
                <w:kern w:val="2"/>
                <w:sz w:val="21"/>
                <w:szCs w:val="22"/>
                <w:lang w:val="en-US" w:eastAsia="zh-CN"/>
              </w:rPr>
              <w:t xml:space="preserve">2015 </w:t>
            </w:r>
          </w:p>
        </w:tc>
      </w:tr>
      <w:tr w:rsidR="00710386" w:rsidRPr="00710386" w:rsidTr="00710386">
        <w:trPr>
          <w:trHeight w:val="131"/>
          <w:jc w:val="center"/>
        </w:trPr>
        <w:tc>
          <w:tcPr>
            <w:tcW w:w="1530" w:type="dxa"/>
            <w:vMerge/>
            <w:vAlign w:val="center"/>
          </w:tcPr>
          <w:p w:rsidR="00710386" w:rsidRPr="00710386" w:rsidRDefault="00710386" w:rsidP="00710386">
            <w:pPr>
              <w:spacing w:after="0"/>
              <w:jc w:val="center"/>
              <w:rPr>
                <w:rFonts w:eastAsiaTheme="minorEastAsia" w:cs="Times New Roman"/>
                <w:szCs w:val="22"/>
                <w:lang w:eastAsia="en-GB"/>
              </w:rPr>
            </w:pPr>
          </w:p>
        </w:tc>
        <w:tc>
          <w:tcPr>
            <w:tcW w:w="1308" w:type="dxa"/>
            <w:vAlign w:val="center"/>
          </w:tcPr>
          <w:p w:rsidR="00710386" w:rsidRPr="00710386" w:rsidRDefault="00710386" w:rsidP="00710386">
            <w:pPr>
              <w:spacing w:after="0"/>
              <w:jc w:val="center"/>
              <w:rPr>
                <w:rFonts w:eastAsiaTheme="minorEastAsia" w:cs="Times New Roman"/>
                <w:szCs w:val="22"/>
                <w:lang w:eastAsia="en-GB"/>
              </w:rPr>
            </w:pPr>
            <w:r w:rsidRPr="00710386">
              <w:rPr>
                <w:rFonts w:eastAsiaTheme="minorEastAsia" w:cs="Times New Roman"/>
                <w:szCs w:val="22"/>
                <w:lang w:eastAsia="en-GB"/>
              </w:rPr>
              <w:t>China</w:t>
            </w:r>
          </w:p>
        </w:tc>
        <w:tc>
          <w:tcPr>
            <w:tcW w:w="1219" w:type="dxa"/>
            <w:vAlign w:val="center"/>
          </w:tcPr>
          <w:p w:rsidR="00710386" w:rsidRPr="00710386" w:rsidRDefault="00710386" w:rsidP="00710386">
            <w:pPr>
              <w:spacing w:after="0"/>
              <w:jc w:val="center"/>
              <w:rPr>
                <w:rFonts w:eastAsiaTheme="minorEastAsia" w:cs="Times New Roman"/>
                <w:szCs w:val="22"/>
                <w:lang w:eastAsia="en-GB"/>
              </w:rPr>
            </w:pPr>
            <w:r w:rsidRPr="00710386">
              <w:rPr>
                <w:rFonts w:eastAsiaTheme="minorEastAsia" w:cs="Times New Roman"/>
                <w:szCs w:val="22"/>
                <w:lang w:eastAsia="en-GB"/>
              </w:rPr>
              <w:t>3</w:t>
            </w:r>
          </w:p>
        </w:tc>
        <w:tc>
          <w:tcPr>
            <w:tcW w:w="2126" w:type="dxa"/>
          </w:tcPr>
          <w:p w:rsidR="00710386" w:rsidRPr="00710386" w:rsidRDefault="00710386" w:rsidP="00710386">
            <w:pPr>
              <w:spacing w:after="0"/>
              <w:jc w:val="center"/>
              <w:rPr>
                <w:rFonts w:eastAsiaTheme="minorEastAsia" w:cs="Times New Roman"/>
                <w:szCs w:val="22"/>
                <w:lang w:eastAsia="en-GB"/>
              </w:rPr>
            </w:pPr>
            <w:r w:rsidRPr="00710386">
              <w:rPr>
                <w:rFonts w:eastAsiaTheme="minorEastAsia" w:cs="Times New Roman"/>
                <w:szCs w:val="22"/>
                <w:lang w:eastAsia="en-GB"/>
              </w:rPr>
              <w:t>5</w:t>
            </w:r>
          </w:p>
        </w:tc>
        <w:tc>
          <w:tcPr>
            <w:tcW w:w="1701" w:type="dxa"/>
            <w:vAlign w:val="center"/>
          </w:tcPr>
          <w:p w:rsidR="00710386" w:rsidRPr="00710386" w:rsidRDefault="00710386" w:rsidP="00710386">
            <w:pPr>
              <w:spacing w:after="0"/>
              <w:jc w:val="center"/>
              <w:rPr>
                <w:rFonts w:eastAsiaTheme="minorEastAsia" w:cs="Times New Roman"/>
                <w:szCs w:val="22"/>
                <w:lang w:eastAsia="en-GB"/>
              </w:rPr>
            </w:pPr>
            <w:r w:rsidRPr="00710386">
              <w:rPr>
                <w:rFonts w:eastAsiaTheme="minorEastAsia" w:cs="Times New Roman"/>
                <w:szCs w:val="22"/>
                <w:lang w:eastAsia="en-GB"/>
              </w:rPr>
              <w:t>5</w:t>
            </w:r>
          </w:p>
        </w:tc>
        <w:tc>
          <w:tcPr>
            <w:tcW w:w="1238" w:type="dxa"/>
            <w:vAlign w:val="center"/>
          </w:tcPr>
          <w:p w:rsidR="00710386" w:rsidRPr="00710386" w:rsidRDefault="00710386" w:rsidP="00710386">
            <w:pPr>
              <w:kinsoku w:val="0"/>
              <w:overflowPunct w:val="0"/>
              <w:spacing w:after="0"/>
              <w:ind w:left="547" w:hanging="547"/>
              <w:jc w:val="center"/>
              <w:textAlignment w:val="baseline"/>
              <w:rPr>
                <w:rFonts w:eastAsia="SimSun" w:cs="Times New Roman"/>
                <w:kern w:val="2"/>
                <w:sz w:val="21"/>
                <w:szCs w:val="22"/>
                <w:lang w:val="en-US" w:eastAsia="zh-CN"/>
              </w:rPr>
            </w:pPr>
            <w:r w:rsidRPr="00710386">
              <w:rPr>
                <w:rFonts w:eastAsia="SimSun" w:cs="Times New Roman"/>
                <w:kern w:val="2"/>
                <w:sz w:val="21"/>
                <w:szCs w:val="22"/>
                <w:lang w:val="en-US" w:eastAsia="zh-CN"/>
              </w:rPr>
              <w:t>2015</w:t>
            </w:r>
          </w:p>
        </w:tc>
      </w:tr>
    </w:tbl>
    <w:p w:rsidR="00710386" w:rsidRPr="00710386" w:rsidRDefault="00710386" w:rsidP="00710386">
      <w:pPr>
        <w:spacing w:after="0"/>
        <w:rPr>
          <w:rFonts w:eastAsiaTheme="minorEastAsia" w:cs="Times New Roman"/>
          <w:b/>
          <w:szCs w:val="22"/>
          <w:lang w:eastAsia="en-GB"/>
        </w:rPr>
      </w:pPr>
    </w:p>
    <w:p w:rsidR="00710386" w:rsidRPr="00ED6CCA" w:rsidRDefault="00710386" w:rsidP="00710386">
      <w:pPr>
        <w:pStyle w:val="Heading1"/>
        <w:numPr>
          <w:ilvl w:val="0"/>
          <w:numId w:val="0"/>
        </w:numPr>
        <w:spacing w:before="0"/>
        <w:ind w:left="1"/>
        <w:jc w:val="left"/>
        <w:rPr>
          <w:rFonts w:ascii="Times New Roman" w:hAnsi="Times New Roman" w:cs="Times New Roman"/>
          <w:color w:val="000000" w:themeColor="text1"/>
          <w:sz w:val="22"/>
        </w:rPr>
      </w:pPr>
      <w:r w:rsidRPr="00ED6CCA">
        <w:rPr>
          <w:rFonts w:ascii="Times New Roman" w:hAnsi="Times New Roman" w:cs="Times New Roman"/>
          <w:color w:val="000000" w:themeColor="text1"/>
          <w:sz w:val="22"/>
        </w:rPr>
        <w:t>21st Session at Bandung, Indonesia</w:t>
      </w:r>
    </w:p>
    <w:p w:rsidR="00710386" w:rsidRDefault="00710386" w:rsidP="00710386">
      <w:pPr>
        <w:spacing w:after="0"/>
      </w:pPr>
    </w:p>
    <w:p w:rsidR="00710386" w:rsidRDefault="00710386" w:rsidP="00710386">
      <w:pPr>
        <w:spacing w:after="0"/>
        <w:rPr>
          <w:rFonts w:cs="Times New Roman"/>
        </w:rPr>
      </w:pPr>
      <w:r w:rsidRPr="00ED6CCA">
        <w:rPr>
          <w:rFonts w:cs="Times New Roman"/>
        </w:rPr>
        <w:t>The Group examined this agenda item with the assistance of a presentation delivered by the chairpersons of the WGs and recommended to continue with the activities defined in the work plans, in particular, to exploring the scope for capacity building in data generation in producing countries. It was proposed that the Working Group on MRLs in the Brew be dissolved after the submission and endorsement of the policy document. [CCP</w:t>
      </w:r>
      <w:proofErr w:type="gramStart"/>
      <w:r w:rsidRPr="00ED6CCA">
        <w:rPr>
          <w:rFonts w:cs="Times New Roman"/>
        </w:rPr>
        <w:t>:TE</w:t>
      </w:r>
      <w:proofErr w:type="gramEnd"/>
      <w:r w:rsidRPr="00ED6CCA">
        <w:rPr>
          <w:rFonts w:cs="Times New Roman"/>
        </w:rPr>
        <w:t xml:space="preserve"> 14/6, Nov 2014].  The report of this session also mentions that a major achievement of the IGG was the submission to – and acceptance by – CODEX Alimentarius of a list of priority chemicals detailing the correlation between field trial protocol and good laboratory practices (GLPs) supervised protocol [CCP:TE 14/6].  </w:t>
      </w:r>
    </w:p>
    <w:p w:rsidR="00710386" w:rsidRPr="00921AEA" w:rsidRDefault="00710386" w:rsidP="00710386">
      <w:pPr>
        <w:spacing w:after="0"/>
        <w:rPr>
          <w:rFonts w:cs="Times New Roman"/>
          <w:b/>
        </w:rPr>
      </w:pPr>
      <w:r w:rsidRPr="00921AEA">
        <w:rPr>
          <w:rFonts w:cs="Times New Roman"/>
          <w:b/>
        </w:rPr>
        <w:lastRenderedPageBreak/>
        <w:t>Intersessional Meeting at Milan held on 14-15 Oct, 2015</w:t>
      </w:r>
    </w:p>
    <w:p w:rsidR="00710386" w:rsidRDefault="00710386" w:rsidP="00710386">
      <w:pPr>
        <w:spacing w:after="0"/>
        <w:rPr>
          <w:rFonts w:cs="Times New Roman"/>
        </w:rPr>
      </w:pPr>
    </w:p>
    <w:p w:rsidR="00710386" w:rsidRPr="00ED6CCA" w:rsidRDefault="00710386" w:rsidP="00710386">
      <w:pPr>
        <w:spacing w:after="0"/>
        <w:rPr>
          <w:rFonts w:cs="Times New Roman"/>
          <w:b/>
          <w:color w:val="FF0000"/>
        </w:rPr>
      </w:pPr>
      <w:r w:rsidRPr="00ED6CCA">
        <w:rPr>
          <w:rFonts w:cs="Times New Roman"/>
        </w:rPr>
        <w:t xml:space="preserve">In the session, the </w:t>
      </w:r>
      <w:r>
        <w:rPr>
          <w:rFonts w:cs="Times New Roman"/>
        </w:rPr>
        <w:t xml:space="preserve">group examined the progress and reviewed the priority list and recommended to continue the activities defined in the work plan and proposed that the </w:t>
      </w:r>
      <w:r w:rsidRPr="00ED6CCA">
        <w:rPr>
          <w:rFonts w:cs="Times New Roman"/>
        </w:rPr>
        <w:t>policy document</w:t>
      </w:r>
      <w:r>
        <w:rPr>
          <w:rFonts w:cs="Times New Roman"/>
        </w:rPr>
        <w:t xml:space="preserve"> on the brew factor based risk assessment for fixation of MRL in tea be submitted to Codex. The </w:t>
      </w:r>
      <w:r w:rsidRPr="00ED6CCA">
        <w:rPr>
          <w:rFonts w:cs="Times New Roman"/>
        </w:rPr>
        <w:t>following action plan was formulated:</w:t>
      </w:r>
    </w:p>
    <w:p w:rsidR="00710386" w:rsidRDefault="00710386" w:rsidP="00710386">
      <w:pPr>
        <w:pStyle w:val="Heading1"/>
        <w:numPr>
          <w:ilvl w:val="0"/>
          <w:numId w:val="0"/>
        </w:numPr>
        <w:spacing w:before="0"/>
        <w:ind w:left="1"/>
        <w:jc w:val="left"/>
        <w:rPr>
          <w:rFonts w:ascii="Times New Roman" w:hAnsi="Times New Roman" w:cs="Times New Roman"/>
          <w:sz w:val="22"/>
        </w:rPr>
      </w:pPr>
    </w:p>
    <w:p w:rsidR="00710386" w:rsidRDefault="00710386" w:rsidP="00710386">
      <w:pPr>
        <w:pStyle w:val="Heading1"/>
        <w:numPr>
          <w:ilvl w:val="0"/>
          <w:numId w:val="0"/>
        </w:numPr>
        <w:spacing w:before="0"/>
        <w:ind w:left="1"/>
        <w:jc w:val="left"/>
        <w:rPr>
          <w:rFonts w:ascii="Times New Roman" w:hAnsi="Times New Roman" w:cs="Times New Roman"/>
          <w:sz w:val="22"/>
        </w:rPr>
      </w:pPr>
      <w:proofErr w:type="gramStart"/>
      <w:r w:rsidRPr="00ED6CCA">
        <w:rPr>
          <w:rFonts w:ascii="Times New Roman" w:hAnsi="Times New Roman" w:cs="Times New Roman"/>
          <w:sz w:val="22"/>
        </w:rPr>
        <w:t>Action  plan</w:t>
      </w:r>
      <w:proofErr w:type="gramEnd"/>
      <w:r>
        <w:rPr>
          <w:rFonts w:ascii="Times New Roman" w:hAnsi="Times New Roman" w:cs="Times New Roman"/>
          <w:sz w:val="22"/>
        </w:rPr>
        <w:t>:</w:t>
      </w:r>
    </w:p>
    <w:p w:rsidR="00710386" w:rsidRDefault="00710386" w:rsidP="00710386">
      <w:pPr>
        <w:spacing w:after="0"/>
        <w:ind w:left="360" w:hanging="360"/>
        <w:rPr>
          <w:rFonts w:cs="Times New Roman"/>
        </w:rPr>
      </w:pPr>
    </w:p>
    <w:p w:rsidR="00710386" w:rsidRPr="00F320F3" w:rsidRDefault="00710386" w:rsidP="00710386">
      <w:pPr>
        <w:spacing w:after="0"/>
        <w:rPr>
          <w:rFonts w:cs="Times New Roman"/>
        </w:rPr>
      </w:pPr>
      <w:r>
        <w:rPr>
          <w:rFonts w:cs="Times New Roman"/>
        </w:rPr>
        <w:t>(1)  To assess the s</w:t>
      </w:r>
      <w:r w:rsidRPr="00F320F3">
        <w:rPr>
          <w:rFonts w:cs="Times New Roman"/>
        </w:rPr>
        <w:t>tatus of field trials required for setting Codex MRLs &amp; submission of the list for advance notification to FAO-IGG &amp; National Codex Points.</w:t>
      </w:r>
    </w:p>
    <w:p w:rsidR="00710386" w:rsidRPr="00F320F3" w:rsidRDefault="00710386" w:rsidP="00710386">
      <w:pPr>
        <w:spacing w:after="0"/>
        <w:rPr>
          <w:rFonts w:cs="Times New Roman"/>
        </w:rPr>
      </w:pPr>
    </w:p>
    <w:p w:rsidR="00710386" w:rsidRPr="00F320F3" w:rsidRDefault="00710386" w:rsidP="00710386">
      <w:pPr>
        <w:spacing w:after="0"/>
        <w:rPr>
          <w:rFonts w:cs="Times New Roman"/>
        </w:rPr>
      </w:pPr>
      <w:r w:rsidRPr="00F320F3">
        <w:rPr>
          <w:rFonts w:cs="Times New Roman"/>
        </w:rPr>
        <w:t xml:space="preserve">(2) To update </w:t>
      </w:r>
      <w:r>
        <w:rPr>
          <w:rFonts w:cs="Times New Roman"/>
        </w:rPr>
        <w:t xml:space="preserve">the </w:t>
      </w:r>
      <w:r w:rsidRPr="00F320F3">
        <w:rPr>
          <w:rFonts w:cs="Times New Roman"/>
        </w:rPr>
        <w:t xml:space="preserve">priority list based on new information on Risk assessment, or Replacements </w:t>
      </w:r>
      <w:proofErr w:type="gramStart"/>
      <w:r w:rsidRPr="00F320F3">
        <w:rPr>
          <w:rFonts w:cs="Times New Roman"/>
        </w:rPr>
        <w:t>or  Potential</w:t>
      </w:r>
      <w:proofErr w:type="gramEnd"/>
      <w:r w:rsidRPr="00F320F3">
        <w:rPr>
          <w:rFonts w:cs="Times New Roman"/>
        </w:rPr>
        <w:t xml:space="preserve"> use in Tea</w:t>
      </w:r>
    </w:p>
    <w:p w:rsidR="00710386" w:rsidRPr="00F320F3" w:rsidRDefault="00710386" w:rsidP="00710386">
      <w:pPr>
        <w:spacing w:after="0"/>
        <w:rPr>
          <w:rFonts w:cs="Times New Roman"/>
        </w:rPr>
      </w:pPr>
    </w:p>
    <w:p w:rsidR="00710386" w:rsidRPr="00F320F3" w:rsidRDefault="00710386" w:rsidP="00710386">
      <w:pPr>
        <w:spacing w:after="0"/>
        <w:rPr>
          <w:rFonts w:cs="Times New Roman"/>
        </w:rPr>
      </w:pPr>
      <w:r w:rsidRPr="00F320F3">
        <w:rPr>
          <w:rFonts w:cs="Times New Roman"/>
        </w:rPr>
        <w:t>(3) To share information on consuming countries on MRL restrictions.</w:t>
      </w:r>
    </w:p>
    <w:p w:rsidR="00710386" w:rsidRPr="00F320F3" w:rsidRDefault="00710386" w:rsidP="00710386">
      <w:pPr>
        <w:spacing w:after="0"/>
        <w:rPr>
          <w:rFonts w:cs="Times New Roman"/>
        </w:rPr>
      </w:pPr>
    </w:p>
    <w:p w:rsidR="00710386" w:rsidRPr="00F320F3" w:rsidRDefault="00710386" w:rsidP="00710386">
      <w:pPr>
        <w:spacing w:after="0"/>
        <w:rPr>
          <w:rFonts w:cs="Times New Roman"/>
        </w:rPr>
      </w:pPr>
      <w:r w:rsidRPr="00F320F3">
        <w:rPr>
          <w:rFonts w:cs="Times New Roman"/>
        </w:rPr>
        <w:t>(4) To assess status &amp; development of required infrastructure &amp; ne</w:t>
      </w:r>
      <w:r>
        <w:rPr>
          <w:rFonts w:cs="Times New Roman"/>
        </w:rPr>
        <w:t>w methods to cope with changing</w:t>
      </w:r>
      <w:r w:rsidRPr="00F320F3">
        <w:rPr>
          <w:rFonts w:cs="Times New Roman"/>
        </w:rPr>
        <w:t xml:space="preserve"> situations </w:t>
      </w:r>
      <w:r>
        <w:rPr>
          <w:rFonts w:cs="Times New Roman"/>
        </w:rPr>
        <w:t>and</w:t>
      </w:r>
      <w:r w:rsidRPr="00F320F3">
        <w:rPr>
          <w:rFonts w:cs="Times New Roman"/>
        </w:rPr>
        <w:t xml:space="preserve"> cost.</w:t>
      </w:r>
    </w:p>
    <w:p w:rsidR="00710386" w:rsidRPr="00F320F3" w:rsidRDefault="00710386" w:rsidP="00710386">
      <w:pPr>
        <w:spacing w:after="0"/>
        <w:rPr>
          <w:rFonts w:cs="Times New Roman"/>
        </w:rPr>
      </w:pPr>
    </w:p>
    <w:p w:rsidR="00710386" w:rsidRPr="00F320F3" w:rsidRDefault="00710386" w:rsidP="00710386">
      <w:pPr>
        <w:spacing w:after="0"/>
        <w:rPr>
          <w:rFonts w:cs="Times New Roman"/>
        </w:rPr>
      </w:pPr>
      <w:r>
        <w:rPr>
          <w:rFonts w:cs="Times New Roman"/>
        </w:rPr>
        <w:t>(</w:t>
      </w:r>
      <w:r w:rsidRPr="00F320F3">
        <w:rPr>
          <w:rFonts w:cs="Times New Roman"/>
        </w:rPr>
        <w:t>5) Communication plan for quick information exchange and advance notification for simultane</w:t>
      </w:r>
      <w:r>
        <w:rPr>
          <w:rFonts w:cs="Times New Roman"/>
        </w:rPr>
        <w:t xml:space="preserve">ous data submission by members and </w:t>
      </w:r>
      <w:r w:rsidRPr="00F320F3">
        <w:rPr>
          <w:rFonts w:cs="Times New Roman"/>
        </w:rPr>
        <w:t xml:space="preserve">seeking manufacturers support </w:t>
      </w:r>
      <w:proofErr w:type="gramStart"/>
      <w:r w:rsidRPr="00F320F3">
        <w:rPr>
          <w:rFonts w:cs="Times New Roman"/>
        </w:rPr>
        <w:t>and  to</w:t>
      </w:r>
      <w:proofErr w:type="gramEnd"/>
      <w:r w:rsidRPr="00F320F3">
        <w:rPr>
          <w:rFonts w:cs="Times New Roman"/>
        </w:rPr>
        <w:t xml:space="preserve"> negate adverse publicity.</w:t>
      </w:r>
    </w:p>
    <w:p w:rsidR="00710386" w:rsidRPr="00F320F3" w:rsidRDefault="00710386" w:rsidP="00710386">
      <w:pPr>
        <w:spacing w:after="0"/>
        <w:rPr>
          <w:rFonts w:cs="Times New Roman"/>
        </w:rPr>
      </w:pPr>
    </w:p>
    <w:p w:rsidR="00710386" w:rsidRPr="00F320F3" w:rsidRDefault="00710386" w:rsidP="00710386">
      <w:pPr>
        <w:spacing w:after="0"/>
        <w:rPr>
          <w:rFonts w:cs="Times New Roman"/>
        </w:rPr>
      </w:pPr>
      <w:r w:rsidRPr="00F320F3">
        <w:rPr>
          <w:rFonts w:cs="Times New Roman"/>
        </w:rPr>
        <w:t xml:space="preserve">(6) Data submission to include brew factor based risk assessment for all teas traded globally except </w:t>
      </w:r>
      <w:proofErr w:type="spellStart"/>
      <w:r w:rsidRPr="00F320F3">
        <w:rPr>
          <w:rFonts w:cs="Times New Roman"/>
        </w:rPr>
        <w:t>Matcha</w:t>
      </w:r>
      <w:proofErr w:type="spellEnd"/>
      <w:r w:rsidRPr="00F320F3">
        <w:rPr>
          <w:rFonts w:cs="Times New Roman"/>
        </w:rPr>
        <w:t xml:space="preserve"> Tea.</w:t>
      </w:r>
    </w:p>
    <w:p w:rsidR="00710386" w:rsidRPr="00F320F3" w:rsidRDefault="00710386" w:rsidP="00710386">
      <w:pPr>
        <w:spacing w:after="0"/>
        <w:rPr>
          <w:rFonts w:cs="Times New Roman"/>
        </w:rPr>
      </w:pPr>
    </w:p>
    <w:p w:rsidR="00710386" w:rsidRPr="00F320F3" w:rsidRDefault="00710386" w:rsidP="00710386">
      <w:pPr>
        <w:spacing w:after="0"/>
        <w:rPr>
          <w:rFonts w:cs="Times New Roman"/>
        </w:rPr>
      </w:pPr>
      <w:r w:rsidRPr="00F320F3">
        <w:rPr>
          <w:rFonts w:cs="Times New Roman"/>
        </w:rPr>
        <w:t xml:space="preserve">(7) To share available information on </w:t>
      </w:r>
      <w:proofErr w:type="spellStart"/>
      <w:r w:rsidRPr="00F320F3">
        <w:rPr>
          <w:rFonts w:cs="Times New Roman"/>
        </w:rPr>
        <w:t>anthraquinone</w:t>
      </w:r>
      <w:proofErr w:type="spellEnd"/>
      <w:r w:rsidRPr="00F320F3">
        <w:rPr>
          <w:rFonts w:cs="Times New Roman"/>
        </w:rPr>
        <w:t xml:space="preserve">, </w:t>
      </w:r>
      <w:proofErr w:type="gramStart"/>
      <w:r w:rsidRPr="00F320F3">
        <w:rPr>
          <w:rFonts w:cs="Times New Roman"/>
        </w:rPr>
        <w:t>nicotine  and</w:t>
      </w:r>
      <w:proofErr w:type="gramEnd"/>
      <w:r w:rsidRPr="00F320F3">
        <w:rPr>
          <w:rFonts w:cs="Times New Roman"/>
        </w:rPr>
        <w:t xml:space="preserve">  other contaminants and to </w:t>
      </w:r>
      <w:proofErr w:type="spellStart"/>
      <w:r w:rsidRPr="00F320F3">
        <w:rPr>
          <w:rFonts w:cs="Times New Roman"/>
        </w:rPr>
        <w:t>carryout</w:t>
      </w:r>
      <w:proofErr w:type="spellEnd"/>
      <w:r w:rsidRPr="00F320F3">
        <w:rPr>
          <w:rFonts w:cs="Times New Roman"/>
        </w:rPr>
        <w:t xml:space="preserve"> a global study to generate data on occurrence in tea. India, Sri Lanka, China, Kenya, Japan, UK and Germany agreed to participate in this collaborative study.</w:t>
      </w:r>
    </w:p>
    <w:p w:rsidR="00710386" w:rsidRPr="00F320F3" w:rsidRDefault="00710386" w:rsidP="00710386">
      <w:pPr>
        <w:spacing w:after="0"/>
        <w:rPr>
          <w:rFonts w:cs="Times New Roman"/>
        </w:rPr>
      </w:pPr>
    </w:p>
    <w:p w:rsidR="00710386" w:rsidRDefault="00710386" w:rsidP="00710386">
      <w:pPr>
        <w:spacing w:after="0"/>
        <w:rPr>
          <w:rFonts w:cs="Times New Roman"/>
        </w:rPr>
      </w:pPr>
      <w:r w:rsidRPr="00F320F3">
        <w:rPr>
          <w:rFonts w:cs="Times New Roman"/>
        </w:rPr>
        <w:t xml:space="preserve">(8) </w:t>
      </w:r>
      <w:proofErr w:type="gramStart"/>
      <w:r w:rsidRPr="00F320F3">
        <w:rPr>
          <w:rFonts w:cs="Times New Roman"/>
        </w:rPr>
        <w:t>Explore  a</w:t>
      </w:r>
      <w:proofErr w:type="gramEnd"/>
      <w:r w:rsidRPr="00F320F3">
        <w:rPr>
          <w:rFonts w:cs="Times New Roman"/>
        </w:rPr>
        <w:t xml:space="preserve"> potential representation in CODEX for tea to give agreed position a voice. </w:t>
      </w:r>
    </w:p>
    <w:p w:rsidR="00710386" w:rsidRDefault="00710386" w:rsidP="00710386">
      <w:pPr>
        <w:spacing w:after="0"/>
        <w:rPr>
          <w:rFonts w:cs="Times New Roman"/>
        </w:rPr>
      </w:pPr>
    </w:p>
    <w:p w:rsidR="00710386" w:rsidRPr="00F320F3" w:rsidRDefault="00710386" w:rsidP="00710386">
      <w:pPr>
        <w:spacing w:after="0"/>
        <w:rPr>
          <w:rFonts w:cs="Times New Roman"/>
        </w:rPr>
      </w:pPr>
      <w:r w:rsidRPr="00F320F3">
        <w:rPr>
          <w:rFonts w:cs="Times New Roman"/>
        </w:rPr>
        <w:t xml:space="preserve"> (9) Share information on development of pest resistance.</w:t>
      </w:r>
    </w:p>
    <w:p w:rsidR="00710386" w:rsidRPr="00F320F3" w:rsidRDefault="00710386" w:rsidP="00710386">
      <w:pPr>
        <w:spacing w:after="0"/>
        <w:rPr>
          <w:rFonts w:cs="Times New Roman"/>
        </w:rPr>
      </w:pPr>
    </w:p>
    <w:p w:rsidR="00710386" w:rsidRPr="00F320F3" w:rsidRDefault="00710386" w:rsidP="00710386">
      <w:pPr>
        <w:spacing w:after="0"/>
        <w:rPr>
          <w:rFonts w:cs="Times New Roman"/>
        </w:rPr>
      </w:pPr>
      <w:r w:rsidRPr="00F320F3">
        <w:rPr>
          <w:rFonts w:cs="Times New Roman"/>
        </w:rPr>
        <w:t xml:space="preserve">(10) The policy document entitled “Guidance Document on Risk Assessment Using Brew Factor </w:t>
      </w:r>
      <w:r>
        <w:rPr>
          <w:rFonts w:cs="Times New Roman"/>
        </w:rPr>
        <w:t>f</w:t>
      </w:r>
      <w:r w:rsidRPr="00F320F3">
        <w:rPr>
          <w:rFonts w:cs="Times New Roman"/>
        </w:rPr>
        <w:t>or Fixation of MRLs of Pesticides in Tea” will be submitted to the CCPR and JMPR for reference.</w:t>
      </w:r>
    </w:p>
    <w:p w:rsidR="00710386" w:rsidRPr="00F320F3" w:rsidRDefault="00710386" w:rsidP="00710386">
      <w:pPr>
        <w:spacing w:after="0"/>
        <w:rPr>
          <w:rFonts w:cs="Times New Roman"/>
        </w:rPr>
      </w:pPr>
    </w:p>
    <w:p w:rsidR="00710386" w:rsidRDefault="00710386" w:rsidP="00710386">
      <w:pPr>
        <w:rPr>
          <w:b/>
        </w:rPr>
      </w:pPr>
      <w:r>
        <w:rPr>
          <w:b/>
        </w:rPr>
        <w:br w:type="page"/>
      </w:r>
    </w:p>
    <w:p w:rsidR="00710386" w:rsidRDefault="00710386" w:rsidP="00710386">
      <w:pPr>
        <w:rPr>
          <w:rFonts w:cs="Times New Roman"/>
          <w:b/>
        </w:rPr>
      </w:pPr>
      <w:r w:rsidRPr="00395D1F">
        <w:rPr>
          <w:rFonts w:cs="Times New Roman"/>
          <w:b/>
        </w:rPr>
        <w:lastRenderedPageBreak/>
        <w:t>Progress made since 21</w:t>
      </w:r>
      <w:r w:rsidRPr="00395D1F">
        <w:rPr>
          <w:rFonts w:cs="Times New Roman"/>
          <w:b/>
          <w:vertAlign w:val="superscript"/>
        </w:rPr>
        <w:t>st</w:t>
      </w:r>
      <w:r w:rsidRPr="00395D1F">
        <w:rPr>
          <w:rFonts w:cs="Times New Roman"/>
          <w:b/>
        </w:rPr>
        <w:t xml:space="preserve"> Session at Bandung, Indonesia held on 5-7 Nov 2014</w:t>
      </w:r>
      <w:r>
        <w:rPr>
          <w:rFonts w:cs="Times New Roman"/>
          <w:b/>
        </w:rPr>
        <w:t xml:space="preserve"> and </w:t>
      </w:r>
      <w:r w:rsidRPr="00921AEA">
        <w:rPr>
          <w:rFonts w:cs="Times New Roman"/>
          <w:b/>
        </w:rPr>
        <w:t>Intersessional Meeting at Milan held on 14-15 Oct, 2015</w:t>
      </w:r>
      <w:r w:rsidRPr="00395D1F">
        <w:rPr>
          <w:rFonts w:cs="Times New Roman"/>
          <w:b/>
        </w:rPr>
        <w:t>:</w:t>
      </w:r>
    </w:p>
    <w:p w:rsidR="00710386" w:rsidRPr="00694F3B" w:rsidRDefault="00710386" w:rsidP="00710386">
      <w:pPr>
        <w:pStyle w:val="ListParagraph"/>
        <w:numPr>
          <w:ilvl w:val="0"/>
          <w:numId w:val="19"/>
        </w:numPr>
        <w:spacing w:after="0"/>
        <w:ind w:left="360"/>
        <w:jc w:val="both"/>
        <w:rPr>
          <w:rFonts w:cs="Times New Roman"/>
        </w:rPr>
      </w:pPr>
      <w:r w:rsidRPr="00694F3B">
        <w:rPr>
          <w:rFonts w:cs="Times New Roman"/>
        </w:rPr>
        <w:t xml:space="preserve">To </w:t>
      </w:r>
      <w:proofErr w:type="gramStart"/>
      <w:r w:rsidRPr="00694F3B">
        <w:rPr>
          <w:rFonts w:cs="Times New Roman"/>
        </w:rPr>
        <w:t>assess  status</w:t>
      </w:r>
      <w:proofErr w:type="gramEnd"/>
      <w:r w:rsidRPr="00694F3B">
        <w:rPr>
          <w:rFonts w:cs="Times New Roman"/>
        </w:rPr>
        <w:t xml:space="preserve"> of field trials required for setting Codex MRLs &amp; submission of the list for advance notification to FAO-IGG &amp; National Codex Points.</w:t>
      </w:r>
    </w:p>
    <w:p w:rsidR="00710386" w:rsidRPr="00395D1F" w:rsidRDefault="00710386" w:rsidP="00710386">
      <w:pPr>
        <w:rPr>
          <w:rFonts w:cs="Times New Roman"/>
          <w:b/>
        </w:rPr>
      </w:pPr>
    </w:p>
    <w:p w:rsidR="00710386" w:rsidRPr="00694F3B" w:rsidRDefault="00710386" w:rsidP="00710386">
      <w:pPr>
        <w:pStyle w:val="ListParagraph"/>
        <w:numPr>
          <w:ilvl w:val="1"/>
          <w:numId w:val="19"/>
        </w:numPr>
        <w:spacing w:line="276" w:lineRule="auto"/>
        <w:ind w:left="450"/>
        <w:rPr>
          <w:rFonts w:cs="Times New Roman"/>
          <w:b/>
          <w:i/>
        </w:rPr>
      </w:pPr>
      <w:r w:rsidRPr="00694F3B">
        <w:rPr>
          <w:rFonts w:cs="Times New Roman"/>
          <w:b/>
          <w:i/>
        </w:rPr>
        <w:t xml:space="preserve">Codex Priority list </w:t>
      </w:r>
      <w:proofErr w:type="spellStart"/>
      <w:r w:rsidRPr="00694F3B">
        <w:rPr>
          <w:rFonts w:cs="Times New Roman"/>
          <w:b/>
          <w:i/>
        </w:rPr>
        <w:t>updationfor</w:t>
      </w:r>
      <w:proofErr w:type="spellEnd"/>
      <w:r w:rsidRPr="00694F3B">
        <w:rPr>
          <w:rFonts w:cs="Times New Roman"/>
          <w:b/>
          <w:i/>
        </w:rPr>
        <w:t xml:space="preserve"> fixation of MRLs in Tea</w:t>
      </w:r>
    </w:p>
    <w:p w:rsidR="00710386" w:rsidRPr="009D25C9" w:rsidRDefault="00710386" w:rsidP="00710386">
      <w:pPr>
        <w:ind w:left="450"/>
        <w:rPr>
          <w:rFonts w:cs="Times New Roman"/>
          <w:color w:val="000000"/>
          <w:shd w:val="clear" w:color="auto" w:fill="FFFFFF"/>
        </w:rPr>
      </w:pPr>
      <w:r w:rsidRPr="009D25C9">
        <w:rPr>
          <w:rFonts w:cs="Times New Roman"/>
        </w:rPr>
        <w:t xml:space="preserve">A circular was sent </w:t>
      </w:r>
      <w:r>
        <w:rPr>
          <w:rFonts w:cs="Times New Roman"/>
        </w:rPr>
        <w:t xml:space="preserve">from the WG </w:t>
      </w:r>
      <w:r w:rsidRPr="009D25C9">
        <w:rPr>
          <w:rFonts w:cs="Times New Roman"/>
        </w:rPr>
        <w:t xml:space="preserve">on May, 2015 to all stakeholders requesting updates on the priority list, data compilation and submission by email and a posting on May 14, 2015 on the FAO-IGG </w:t>
      </w:r>
      <w:r>
        <w:rPr>
          <w:rFonts w:cs="Times New Roman"/>
        </w:rPr>
        <w:t>f</w:t>
      </w:r>
      <w:r w:rsidRPr="009D25C9">
        <w:rPr>
          <w:rFonts w:cs="Times New Roman"/>
        </w:rPr>
        <w:t>orum</w:t>
      </w:r>
      <w:r>
        <w:rPr>
          <w:rFonts w:cs="Times New Roman"/>
        </w:rPr>
        <w:t xml:space="preserve"> with the information that the </w:t>
      </w:r>
      <w:r w:rsidRPr="009D25C9">
        <w:rPr>
          <w:rFonts w:cs="Times New Roman"/>
          <w:color w:val="000000"/>
          <w:shd w:val="clear" w:color="auto" w:fill="FFFFFF"/>
        </w:rPr>
        <w:t>Indian delegation to 47th Session CCPR meeting held in Beijing, China on 13-18 April 2015 proposed inclusion of additional pesticides in Codex priority list for fixation of MRLs in Tea.</w:t>
      </w:r>
      <w:r>
        <w:rPr>
          <w:rFonts w:cs="Times New Roman"/>
          <w:color w:val="000000"/>
          <w:shd w:val="clear" w:color="auto" w:fill="FFFFFF"/>
        </w:rPr>
        <w:t xml:space="preserve"> </w:t>
      </w:r>
      <w:r w:rsidRPr="009D25C9">
        <w:rPr>
          <w:rFonts w:cs="Times New Roman"/>
          <w:color w:val="000000"/>
          <w:shd w:val="clear" w:color="auto" w:fill="FFFFFF"/>
        </w:rPr>
        <w:t>The requested was accepted and the following compounds were included in the CCPR priority list for tea crop</w:t>
      </w:r>
      <w:r>
        <w:rPr>
          <w:rFonts w:cs="Times New Roman"/>
          <w:color w:val="000000"/>
          <w:shd w:val="clear" w:color="auto" w:fill="FFFFFF"/>
        </w:rPr>
        <w:t>:</w:t>
      </w:r>
    </w:p>
    <w:p w:rsidR="00710386" w:rsidRPr="009D25C9" w:rsidRDefault="00710386" w:rsidP="00710386">
      <w:pPr>
        <w:ind w:left="360"/>
        <w:rPr>
          <w:rFonts w:cs="Times New Roman"/>
          <w:color w:val="000000"/>
          <w:szCs w:val="17"/>
          <w:shd w:val="clear" w:color="auto" w:fill="FFFFFF"/>
        </w:rPr>
      </w:pPr>
      <w:r w:rsidRPr="009D25C9">
        <w:rPr>
          <w:rFonts w:cs="Times New Roman"/>
          <w:color w:val="000000"/>
          <w:szCs w:val="17"/>
          <w:shd w:val="clear" w:color="auto" w:fill="FFFFFF"/>
        </w:rPr>
        <w:t>Ethion(2017),Profenophos(2017),Propiconazole,Hexaconazole(2017),L-Cyhalothrin(2017),Fenazaquin (2017),</w:t>
      </w:r>
      <w:proofErr w:type="spellStart"/>
      <w:r w:rsidRPr="009D25C9">
        <w:rPr>
          <w:rFonts w:cs="Times New Roman"/>
          <w:color w:val="000000"/>
          <w:szCs w:val="17"/>
          <w:shd w:val="clear" w:color="auto" w:fill="FFFFFF"/>
        </w:rPr>
        <w:t>Acetamiprid</w:t>
      </w:r>
      <w:proofErr w:type="spellEnd"/>
      <w:r w:rsidRPr="009D25C9">
        <w:rPr>
          <w:rFonts w:cs="Times New Roman"/>
          <w:color w:val="000000"/>
          <w:szCs w:val="17"/>
          <w:shd w:val="clear" w:color="auto" w:fill="FFFFFF"/>
        </w:rPr>
        <w:t xml:space="preserve"> (2017),Quinalphos (2017),</w:t>
      </w:r>
      <w:proofErr w:type="spellStart"/>
      <w:r w:rsidRPr="009D25C9">
        <w:rPr>
          <w:rFonts w:cs="Times New Roman"/>
          <w:color w:val="000000"/>
          <w:szCs w:val="17"/>
          <w:shd w:val="clear" w:color="auto" w:fill="FFFFFF"/>
        </w:rPr>
        <w:t>Imidacloprid</w:t>
      </w:r>
      <w:proofErr w:type="spellEnd"/>
      <w:r w:rsidRPr="009D25C9">
        <w:rPr>
          <w:rFonts w:cs="Times New Roman"/>
          <w:color w:val="000000"/>
          <w:szCs w:val="17"/>
          <w:shd w:val="clear" w:color="auto" w:fill="FFFFFF"/>
        </w:rPr>
        <w:t xml:space="preserve"> (2017),</w:t>
      </w:r>
      <w:proofErr w:type="spellStart"/>
      <w:r w:rsidRPr="009D25C9">
        <w:rPr>
          <w:rFonts w:cs="Times New Roman"/>
          <w:color w:val="000000"/>
          <w:szCs w:val="17"/>
          <w:shd w:val="clear" w:color="auto" w:fill="FFFFFF"/>
        </w:rPr>
        <w:t>Tebuconazole</w:t>
      </w:r>
      <w:proofErr w:type="spellEnd"/>
      <w:r w:rsidRPr="009D25C9">
        <w:rPr>
          <w:rFonts w:cs="Times New Roman"/>
          <w:color w:val="000000"/>
          <w:szCs w:val="17"/>
          <w:shd w:val="clear" w:color="auto" w:fill="FFFFFF"/>
        </w:rPr>
        <w:t xml:space="preserve"> (2017), </w:t>
      </w:r>
      <w:proofErr w:type="spellStart"/>
      <w:r w:rsidRPr="009D25C9">
        <w:rPr>
          <w:rFonts w:cs="Times New Roman"/>
          <w:color w:val="000000"/>
          <w:szCs w:val="17"/>
          <w:shd w:val="clear" w:color="auto" w:fill="FFFFFF"/>
        </w:rPr>
        <w:t>Spiromesifen</w:t>
      </w:r>
      <w:proofErr w:type="spellEnd"/>
      <w:r w:rsidRPr="009D25C9">
        <w:rPr>
          <w:rFonts w:cs="Times New Roman"/>
          <w:color w:val="000000"/>
          <w:szCs w:val="17"/>
          <w:shd w:val="clear" w:color="auto" w:fill="FFFFFF"/>
        </w:rPr>
        <w:t xml:space="preserve"> (2016, 2017)</w:t>
      </w:r>
      <w:r>
        <w:rPr>
          <w:rFonts w:cs="Times New Roman"/>
          <w:color w:val="000000"/>
          <w:szCs w:val="17"/>
          <w:shd w:val="clear" w:color="auto" w:fill="FFFFFF"/>
        </w:rPr>
        <w:t xml:space="preserve">, </w:t>
      </w:r>
      <w:proofErr w:type="spellStart"/>
      <w:r w:rsidRPr="009D25C9">
        <w:rPr>
          <w:rFonts w:cs="Times New Roman"/>
          <w:color w:val="000000"/>
          <w:szCs w:val="17"/>
          <w:shd w:val="clear" w:color="auto" w:fill="FFFFFF"/>
        </w:rPr>
        <w:t>Dimethoate</w:t>
      </w:r>
      <w:proofErr w:type="spellEnd"/>
      <w:r w:rsidRPr="009D25C9">
        <w:rPr>
          <w:rFonts w:cs="Times New Roman"/>
          <w:color w:val="000000"/>
          <w:szCs w:val="17"/>
          <w:shd w:val="clear" w:color="auto" w:fill="FFFFFF"/>
        </w:rPr>
        <w:t xml:space="preserve"> (2017),</w:t>
      </w:r>
      <w:proofErr w:type="spellStart"/>
      <w:r w:rsidRPr="009D25C9">
        <w:rPr>
          <w:rFonts w:cs="Times New Roman"/>
          <w:color w:val="000000"/>
          <w:szCs w:val="17"/>
          <w:shd w:val="clear" w:color="auto" w:fill="FFFFFF"/>
        </w:rPr>
        <w:t>Carbendazim</w:t>
      </w:r>
      <w:proofErr w:type="spellEnd"/>
      <w:r w:rsidRPr="009D25C9">
        <w:rPr>
          <w:rFonts w:cs="Times New Roman"/>
          <w:color w:val="000000"/>
          <w:szCs w:val="17"/>
          <w:shd w:val="clear" w:color="auto" w:fill="FFFFFF"/>
        </w:rPr>
        <w:t xml:space="preserve"> (2017), 2,4-D (2017), </w:t>
      </w:r>
      <w:proofErr w:type="spellStart"/>
      <w:r w:rsidRPr="009D25C9">
        <w:rPr>
          <w:rFonts w:cs="Times New Roman"/>
          <w:color w:val="000000"/>
          <w:szCs w:val="17"/>
          <w:shd w:val="clear" w:color="auto" w:fill="FFFFFF"/>
        </w:rPr>
        <w:t>Bifenthrin</w:t>
      </w:r>
      <w:proofErr w:type="spellEnd"/>
      <w:r w:rsidRPr="009D25C9">
        <w:rPr>
          <w:rFonts w:cs="Times New Roman"/>
          <w:color w:val="000000"/>
          <w:szCs w:val="17"/>
          <w:shd w:val="clear" w:color="auto" w:fill="FFFFFF"/>
        </w:rPr>
        <w:t xml:space="preserve"> (2017), </w:t>
      </w:r>
      <w:proofErr w:type="spellStart"/>
      <w:r w:rsidRPr="009D25C9">
        <w:rPr>
          <w:rFonts w:cs="Times New Roman"/>
          <w:color w:val="000000"/>
          <w:szCs w:val="17"/>
          <w:shd w:val="clear" w:color="auto" w:fill="FFFFFF"/>
        </w:rPr>
        <w:t>Cyclaniliprole</w:t>
      </w:r>
      <w:proofErr w:type="spellEnd"/>
      <w:r w:rsidRPr="009D25C9">
        <w:rPr>
          <w:rFonts w:cs="Times New Roman"/>
          <w:color w:val="000000"/>
          <w:szCs w:val="17"/>
          <w:shd w:val="clear" w:color="auto" w:fill="FFFFFF"/>
        </w:rPr>
        <w:t>(2017),</w:t>
      </w:r>
      <w:proofErr w:type="spellStart"/>
      <w:r w:rsidRPr="009D25C9">
        <w:rPr>
          <w:rFonts w:cs="Times New Roman"/>
          <w:color w:val="000000"/>
          <w:szCs w:val="17"/>
          <w:shd w:val="clear" w:color="auto" w:fill="FFFFFF"/>
        </w:rPr>
        <w:t>Pyraclostrobin</w:t>
      </w:r>
      <w:proofErr w:type="spellEnd"/>
      <w:r w:rsidRPr="009D25C9">
        <w:rPr>
          <w:rFonts w:cs="Times New Roman"/>
          <w:color w:val="000000"/>
          <w:szCs w:val="17"/>
          <w:shd w:val="clear" w:color="auto" w:fill="FFFFFF"/>
        </w:rPr>
        <w:t xml:space="preserve"> (2017) and </w:t>
      </w:r>
      <w:proofErr w:type="spellStart"/>
      <w:r w:rsidRPr="009D25C9">
        <w:rPr>
          <w:rFonts w:cs="Times New Roman"/>
          <w:color w:val="000000"/>
          <w:szCs w:val="17"/>
          <w:shd w:val="clear" w:color="auto" w:fill="FFFFFF"/>
        </w:rPr>
        <w:t>Pyrifluquinazon</w:t>
      </w:r>
      <w:proofErr w:type="spellEnd"/>
      <w:r w:rsidRPr="009D25C9">
        <w:rPr>
          <w:rFonts w:cs="Times New Roman"/>
          <w:color w:val="000000"/>
          <w:szCs w:val="17"/>
          <w:shd w:val="clear" w:color="auto" w:fill="FFFFFF"/>
        </w:rPr>
        <w:t xml:space="preserve"> (2017).The last 3 compounds were requested by the manufacturers.</w:t>
      </w:r>
      <w:r w:rsidRPr="009D25C9">
        <w:rPr>
          <w:rStyle w:val="apple-converted-space"/>
          <w:rFonts w:cs="Times New Roman"/>
          <w:color w:val="000000"/>
          <w:szCs w:val="17"/>
          <w:shd w:val="clear" w:color="auto" w:fill="FFFFFF"/>
        </w:rPr>
        <w:t> </w:t>
      </w:r>
      <w:r w:rsidRPr="009D25C9">
        <w:rPr>
          <w:rFonts w:cs="Times New Roman"/>
          <w:color w:val="000000"/>
          <w:szCs w:val="17"/>
        </w:rPr>
        <w:br/>
      </w:r>
    </w:p>
    <w:p w:rsidR="00710386" w:rsidRPr="009B2455" w:rsidRDefault="00710386" w:rsidP="00710386">
      <w:pPr>
        <w:pStyle w:val="ListParagraph"/>
        <w:numPr>
          <w:ilvl w:val="1"/>
          <w:numId w:val="19"/>
        </w:numPr>
        <w:spacing w:line="276" w:lineRule="auto"/>
        <w:ind w:left="540"/>
        <w:rPr>
          <w:rFonts w:cs="Times New Roman"/>
          <w:b/>
          <w:i/>
          <w:color w:val="000000"/>
          <w:szCs w:val="17"/>
          <w:shd w:val="clear" w:color="auto" w:fill="FFFFFF"/>
        </w:rPr>
      </w:pPr>
      <w:r w:rsidRPr="009B2455">
        <w:rPr>
          <w:rFonts w:cs="Times New Roman"/>
          <w:b/>
          <w:i/>
          <w:color w:val="000000"/>
          <w:szCs w:val="17"/>
          <w:shd w:val="clear" w:color="auto" w:fill="FFFFFF"/>
        </w:rPr>
        <w:t>Data generation</w:t>
      </w:r>
      <w:r>
        <w:rPr>
          <w:rFonts w:cs="Times New Roman"/>
          <w:b/>
          <w:i/>
          <w:color w:val="000000"/>
          <w:szCs w:val="17"/>
          <w:shd w:val="clear" w:color="auto" w:fill="FFFFFF"/>
        </w:rPr>
        <w:t xml:space="preserve"> / submission/</w:t>
      </w:r>
      <w:r w:rsidRPr="009B2455">
        <w:rPr>
          <w:rFonts w:cs="Times New Roman"/>
          <w:b/>
          <w:i/>
          <w:color w:val="000000"/>
          <w:szCs w:val="17"/>
          <w:shd w:val="clear" w:color="auto" w:fill="FFFFFF"/>
        </w:rPr>
        <w:t xml:space="preserve"> fixation of MRL in tea</w:t>
      </w:r>
    </w:p>
    <w:p w:rsidR="00710386" w:rsidRDefault="00710386" w:rsidP="00710386">
      <w:pPr>
        <w:pStyle w:val="ListParagraph"/>
        <w:ind w:left="540"/>
        <w:rPr>
          <w:rFonts w:cs="Times New Roman"/>
          <w:b/>
          <w:color w:val="000000"/>
          <w:szCs w:val="17"/>
          <w:shd w:val="clear" w:color="auto" w:fill="FFFFFF"/>
        </w:rPr>
      </w:pPr>
    </w:p>
    <w:p w:rsidR="00710386" w:rsidRPr="00BB61B6" w:rsidRDefault="00710386" w:rsidP="00710386">
      <w:pPr>
        <w:pStyle w:val="ListParagraph"/>
        <w:ind w:left="540"/>
        <w:rPr>
          <w:rFonts w:cs="Times New Roman"/>
          <w:b/>
          <w:color w:val="000000"/>
          <w:shd w:val="clear" w:color="auto" w:fill="FFFFFF"/>
        </w:rPr>
      </w:pPr>
      <w:r>
        <w:rPr>
          <w:rFonts w:cs="Times New Roman"/>
          <w:b/>
          <w:color w:val="000000"/>
          <w:shd w:val="clear" w:color="auto" w:fill="FFFFFF"/>
        </w:rPr>
        <w:t>1.</w:t>
      </w:r>
      <w:r w:rsidRPr="00BB61B6">
        <w:rPr>
          <w:rFonts w:cs="Times New Roman"/>
          <w:b/>
          <w:color w:val="000000"/>
          <w:shd w:val="clear" w:color="auto" w:fill="FFFFFF"/>
        </w:rPr>
        <w:t>2.1 India</w:t>
      </w:r>
    </w:p>
    <w:p w:rsidR="00710386" w:rsidRDefault="00710386" w:rsidP="00710386">
      <w:pPr>
        <w:pStyle w:val="ListParagraph"/>
        <w:ind w:left="540"/>
        <w:rPr>
          <w:rFonts w:cs="Times New Roman"/>
          <w:color w:val="000000"/>
          <w:shd w:val="clear" w:color="auto" w:fill="FFFFFF"/>
        </w:rPr>
      </w:pPr>
    </w:p>
    <w:p w:rsidR="00710386" w:rsidRPr="006B2670" w:rsidRDefault="00710386" w:rsidP="00710386">
      <w:pPr>
        <w:pStyle w:val="ListParagraph"/>
        <w:ind w:left="540"/>
        <w:rPr>
          <w:rFonts w:cs="Times New Roman"/>
          <w:color w:val="000000"/>
          <w:shd w:val="clear" w:color="auto" w:fill="FFFFFF"/>
        </w:rPr>
      </w:pPr>
      <w:r w:rsidRPr="006B2670">
        <w:rPr>
          <w:rFonts w:cs="Times New Roman"/>
          <w:color w:val="000000"/>
          <w:shd w:val="clear" w:color="auto" w:fill="FFFFFF"/>
        </w:rPr>
        <w:t xml:space="preserve">A new set of multi-locational supervised field trials were carried out in India to generated additional data on </w:t>
      </w:r>
      <w:proofErr w:type="spellStart"/>
      <w:r w:rsidRPr="006B2670">
        <w:rPr>
          <w:rFonts w:eastAsia="Calibri" w:cs="Times New Roman"/>
          <w:color w:val="000000"/>
        </w:rPr>
        <w:t>Emamectin</w:t>
      </w:r>
      <w:proofErr w:type="spellEnd"/>
      <w:r w:rsidRPr="006B2670">
        <w:rPr>
          <w:rFonts w:eastAsia="Calibri" w:cs="Times New Roman"/>
          <w:color w:val="000000"/>
        </w:rPr>
        <w:t xml:space="preserve"> Benzoate</w:t>
      </w:r>
      <w:r w:rsidRPr="006B2670">
        <w:rPr>
          <w:rFonts w:eastAsia="Calibri" w:cs="Times New Roman"/>
          <w:lang w:val="en-US"/>
        </w:rPr>
        <w:t xml:space="preserve">, </w:t>
      </w:r>
      <w:proofErr w:type="spellStart"/>
      <w:r w:rsidRPr="006B2670">
        <w:rPr>
          <w:rFonts w:eastAsia="Calibri" w:cs="Times New Roman"/>
          <w:lang w:val="en-US"/>
        </w:rPr>
        <w:t>Flubendiamide</w:t>
      </w:r>
      <w:proofErr w:type="spellEnd"/>
      <w:r w:rsidRPr="006B2670">
        <w:rPr>
          <w:lang w:val="en-US"/>
        </w:rPr>
        <w:t xml:space="preserve">, </w:t>
      </w:r>
      <w:proofErr w:type="spellStart"/>
      <w:r w:rsidRPr="006B2670">
        <w:rPr>
          <w:rFonts w:eastAsia="Calibri" w:cs="Times New Roman"/>
          <w:color w:val="000000"/>
        </w:rPr>
        <w:t>Imidacloprid</w:t>
      </w:r>
      <w:proofErr w:type="spellEnd"/>
      <w:r w:rsidRPr="006B2670">
        <w:rPr>
          <w:color w:val="000000"/>
        </w:rPr>
        <w:t xml:space="preserve">, </w:t>
      </w:r>
      <w:proofErr w:type="spellStart"/>
      <w:r w:rsidRPr="006B2670">
        <w:rPr>
          <w:rFonts w:eastAsia="Calibri" w:cs="Times New Roman"/>
          <w:color w:val="000000"/>
        </w:rPr>
        <w:t>Acetamiprid</w:t>
      </w:r>
      <w:proofErr w:type="spellEnd"/>
      <w:r w:rsidRPr="006B2670">
        <w:rPr>
          <w:color w:val="000000"/>
        </w:rPr>
        <w:t>,</w:t>
      </w:r>
      <w:proofErr w:type="spellStart"/>
      <w:r w:rsidRPr="006B2670">
        <w:rPr>
          <w:rFonts w:eastAsia="Calibri" w:cs="Times New Roman"/>
          <w:lang w:val="en-US"/>
        </w:rPr>
        <w:t>Propiconazole</w:t>
      </w:r>
      <w:proofErr w:type="spellEnd"/>
      <w:r w:rsidRPr="006B2670">
        <w:rPr>
          <w:lang w:val="en-US"/>
        </w:rPr>
        <w:t xml:space="preserve">, </w:t>
      </w:r>
      <w:proofErr w:type="spellStart"/>
      <w:r w:rsidRPr="006B2670">
        <w:rPr>
          <w:rFonts w:eastAsia="Calibri" w:cs="Times New Roman"/>
          <w:lang w:val="en-US"/>
        </w:rPr>
        <w:t>Thiamethoxam</w:t>
      </w:r>
      <w:proofErr w:type="spellEnd"/>
      <w:r w:rsidRPr="006B2670">
        <w:rPr>
          <w:lang w:val="en-US"/>
        </w:rPr>
        <w:t xml:space="preserve">, </w:t>
      </w:r>
      <w:proofErr w:type="spellStart"/>
      <w:r w:rsidRPr="006B2670">
        <w:rPr>
          <w:rFonts w:eastAsia="Calibri" w:cs="Times New Roman"/>
          <w:lang w:val="en-US"/>
        </w:rPr>
        <w:t>Dimethoate</w:t>
      </w:r>
      <w:proofErr w:type="spellEnd"/>
      <w:r w:rsidRPr="006B2670">
        <w:rPr>
          <w:lang w:val="en-US"/>
        </w:rPr>
        <w:t xml:space="preserve">, </w:t>
      </w:r>
      <w:proofErr w:type="spellStart"/>
      <w:r w:rsidRPr="006B2670">
        <w:rPr>
          <w:rFonts w:eastAsia="Calibri" w:cs="Times New Roman"/>
          <w:lang w:val="en-US"/>
        </w:rPr>
        <w:t>Hexaconazole</w:t>
      </w:r>
      <w:proofErr w:type="spellEnd"/>
      <w:r w:rsidRPr="006B2670">
        <w:rPr>
          <w:lang w:val="en-US"/>
        </w:rPr>
        <w:t xml:space="preserve">, </w:t>
      </w:r>
      <w:proofErr w:type="spellStart"/>
      <w:r w:rsidRPr="006B2670">
        <w:rPr>
          <w:rFonts w:eastAsia="Calibri" w:cs="Times New Roman"/>
          <w:lang w:val="en-US"/>
        </w:rPr>
        <w:t>Fenpyroximate</w:t>
      </w:r>
      <w:proofErr w:type="spellEnd"/>
      <w:r w:rsidRPr="006B2670">
        <w:rPr>
          <w:rFonts w:eastAsia="Calibri" w:cs="Times New Roman"/>
          <w:lang w:val="en-US"/>
        </w:rPr>
        <w:t xml:space="preserve">, </w:t>
      </w:r>
      <w:proofErr w:type="spellStart"/>
      <w:r w:rsidRPr="006B2670">
        <w:rPr>
          <w:rFonts w:eastAsia="Calibri" w:cs="Times New Roman"/>
          <w:lang w:val="en-US"/>
        </w:rPr>
        <w:t>Mancozeb</w:t>
      </w:r>
      <w:proofErr w:type="spellEnd"/>
      <w:r w:rsidRPr="006B2670">
        <w:rPr>
          <w:rFonts w:eastAsia="Calibri" w:cs="Times New Roman"/>
          <w:lang w:val="en-US"/>
        </w:rPr>
        <w:t xml:space="preserve">, </w:t>
      </w:r>
      <w:proofErr w:type="spellStart"/>
      <w:r w:rsidRPr="006B2670">
        <w:rPr>
          <w:rFonts w:eastAsia="Calibri" w:cs="Times New Roman"/>
          <w:lang w:val="en-US"/>
        </w:rPr>
        <w:t>Bifenthrin</w:t>
      </w:r>
      <w:proofErr w:type="spellEnd"/>
      <w:r w:rsidRPr="006B2670">
        <w:rPr>
          <w:rFonts w:eastAsia="Calibri" w:cs="Times New Roman"/>
          <w:lang w:val="en-US"/>
        </w:rPr>
        <w:t xml:space="preserve">, </w:t>
      </w:r>
      <w:proofErr w:type="spellStart"/>
      <w:r w:rsidRPr="006B2670">
        <w:rPr>
          <w:rFonts w:eastAsia="Calibri" w:cs="Times New Roman"/>
          <w:color w:val="000000"/>
        </w:rPr>
        <w:t>Clothainidin</w:t>
      </w:r>
      <w:proofErr w:type="spellEnd"/>
      <w:r w:rsidRPr="006B2670">
        <w:rPr>
          <w:color w:val="000000"/>
        </w:rPr>
        <w:t xml:space="preserve">, </w:t>
      </w:r>
      <w:proofErr w:type="spellStart"/>
      <w:r w:rsidRPr="006B2670">
        <w:rPr>
          <w:rFonts w:eastAsia="Calibri" w:cs="Times New Roman"/>
          <w:color w:val="000000"/>
        </w:rPr>
        <w:t>Fenpyroximate</w:t>
      </w:r>
      <w:proofErr w:type="spellEnd"/>
      <w:r w:rsidRPr="006B2670">
        <w:rPr>
          <w:color w:val="000000"/>
        </w:rPr>
        <w:t xml:space="preserve">, </w:t>
      </w:r>
      <w:proofErr w:type="spellStart"/>
      <w:r w:rsidRPr="006B2670">
        <w:rPr>
          <w:rFonts w:eastAsia="Calibri" w:cs="Times New Roman"/>
          <w:color w:val="000000"/>
        </w:rPr>
        <w:t>Profenophos</w:t>
      </w:r>
      <w:proofErr w:type="spellEnd"/>
      <w:r w:rsidRPr="006B2670">
        <w:rPr>
          <w:color w:val="000000"/>
        </w:rPr>
        <w:t xml:space="preserve">, </w:t>
      </w:r>
      <w:proofErr w:type="spellStart"/>
      <w:r w:rsidRPr="006B2670">
        <w:rPr>
          <w:rFonts w:eastAsia="Calibri" w:cs="Times New Roman"/>
          <w:color w:val="000000"/>
        </w:rPr>
        <w:t>Hexythiazox</w:t>
      </w:r>
      <w:proofErr w:type="spellEnd"/>
      <w:r w:rsidRPr="006B2670">
        <w:rPr>
          <w:color w:val="000000"/>
        </w:rPr>
        <w:t xml:space="preserve">, </w:t>
      </w:r>
      <w:proofErr w:type="spellStart"/>
      <w:r w:rsidRPr="006B2670">
        <w:rPr>
          <w:rFonts w:eastAsia="Calibri" w:cs="Times New Roman"/>
          <w:color w:val="000000"/>
        </w:rPr>
        <w:t>Cypermethrin</w:t>
      </w:r>
      <w:proofErr w:type="spellEnd"/>
      <w:r w:rsidRPr="006B2670">
        <w:rPr>
          <w:color w:val="000000"/>
        </w:rPr>
        <w:t xml:space="preserve"> and </w:t>
      </w:r>
      <w:r w:rsidRPr="006B2670">
        <w:rPr>
          <w:rFonts w:eastAsia="Calibri" w:cs="Times New Roman"/>
          <w:color w:val="000000"/>
        </w:rPr>
        <w:t>L-</w:t>
      </w:r>
      <w:proofErr w:type="spellStart"/>
      <w:r w:rsidRPr="006B2670">
        <w:rPr>
          <w:rFonts w:eastAsia="Calibri" w:cs="Times New Roman"/>
          <w:color w:val="000000"/>
        </w:rPr>
        <w:t>Cyhalothrin</w:t>
      </w:r>
      <w:r>
        <w:rPr>
          <w:color w:val="000000"/>
        </w:rPr>
        <w:t>in</w:t>
      </w:r>
      <w:proofErr w:type="spellEnd"/>
      <w:r>
        <w:rPr>
          <w:color w:val="000000"/>
        </w:rPr>
        <w:t xml:space="preserve"> tea in 2014 and 2015. </w:t>
      </w:r>
    </w:p>
    <w:p w:rsidR="00710386" w:rsidRDefault="00710386" w:rsidP="00710386">
      <w:pPr>
        <w:pStyle w:val="ListParagraph"/>
        <w:ind w:left="540"/>
        <w:rPr>
          <w:rFonts w:eastAsia="Calibri" w:cs="Times New Roman"/>
          <w:lang w:val="en-US"/>
        </w:rPr>
      </w:pPr>
    </w:p>
    <w:p w:rsidR="00710386" w:rsidRPr="00364DA8" w:rsidRDefault="00710386" w:rsidP="00710386">
      <w:pPr>
        <w:pStyle w:val="ListParagraph"/>
        <w:ind w:left="540"/>
        <w:rPr>
          <w:rFonts w:eastAsia="Calibri" w:cs="Times New Roman"/>
          <w:lang w:val="en-US"/>
        </w:rPr>
      </w:pPr>
      <w:r w:rsidRPr="00364DA8">
        <w:rPr>
          <w:rFonts w:eastAsia="Calibri" w:cs="Times New Roman"/>
          <w:lang w:val="en-US"/>
        </w:rPr>
        <w:t>The Data for 12 pesticides (</w:t>
      </w:r>
      <w:proofErr w:type="spellStart"/>
      <w:r w:rsidRPr="00364DA8">
        <w:rPr>
          <w:rFonts w:eastAsia="Calibri" w:cs="Times New Roman"/>
          <w:lang w:val="en-US"/>
        </w:rPr>
        <w:t>Acetamiprid</w:t>
      </w:r>
      <w:proofErr w:type="spellEnd"/>
      <w:r w:rsidRPr="00364DA8">
        <w:rPr>
          <w:rFonts w:eastAsia="Calibri" w:cs="Times New Roman"/>
          <w:lang w:val="en-US"/>
        </w:rPr>
        <w:t xml:space="preserve">, </w:t>
      </w:r>
      <w:proofErr w:type="spellStart"/>
      <w:r w:rsidRPr="00364DA8">
        <w:rPr>
          <w:rFonts w:eastAsia="Calibri" w:cs="Times New Roman"/>
          <w:lang w:val="en-US"/>
        </w:rPr>
        <w:t>Ethion</w:t>
      </w:r>
      <w:proofErr w:type="spellEnd"/>
      <w:r w:rsidRPr="00364DA8">
        <w:rPr>
          <w:rFonts w:eastAsia="Calibri" w:cs="Times New Roman"/>
          <w:lang w:val="en-US"/>
        </w:rPr>
        <w:t xml:space="preserve">, </w:t>
      </w:r>
      <w:proofErr w:type="spellStart"/>
      <w:r w:rsidRPr="00364DA8">
        <w:rPr>
          <w:rFonts w:eastAsia="Calibri" w:cs="Times New Roman"/>
          <w:lang w:val="en-US"/>
        </w:rPr>
        <w:t>Fenazaquin</w:t>
      </w:r>
      <w:proofErr w:type="spellEnd"/>
      <w:r w:rsidRPr="00364DA8">
        <w:rPr>
          <w:rFonts w:eastAsia="Calibri" w:cs="Times New Roman"/>
          <w:lang w:val="en-US"/>
        </w:rPr>
        <w:t xml:space="preserve">, </w:t>
      </w:r>
      <w:proofErr w:type="spellStart"/>
      <w:r w:rsidRPr="00364DA8">
        <w:rPr>
          <w:rFonts w:eastAsia="Calibri" w:cs="Times New Roman"/>
          <w:lang w:val="en-US"/>
        </w:rPr>
        <w:t>Dimethoate</w:t>
      </w:r>
      <w:proofErr w:type="spellEnd"/>
      <w:r w:rsidRPr="00364DA8">
        <w:rPr>
          <w:rFonts w:eastAsia="Calibri" w:cs="Times New Roman"/>
          <w:lang w:val="en-US"/>
        </w:rPr>
        <w:t xml:space="preserve">, </w:t>
      </w:r>
      <w:proofErr w:type="spellStart"/>
      <w:r w:rsidRPr="00364DA8">
        <w:rPr>
          <w:rFonts w:eastAsia="Calibri" w:cs="Times New Roman"/>
          <w:lang w:val="en-US"/>
        </w:rPr>
        <w:t>Imidacloprid</w:t>
      </w:r>
      <w:proofErr w:type="spellEnd"/>
      <w:r w:rsidRPr="00364DA8">
        <w:rPr>
          <w:rFonts w:eastAsia="Calibri" w:cs="Times New Roman"/>
          <w:lang w:val="en-US"/>
        </w:rPr>
        <w:t xml:space="preserve">, </w:t>
      </w:r>
      <w:proofErr w:type="spellStart"/>
      <w:r w:rsidRPr="00364DA8">
        <w:rPr>
          <w:rFonts w:eastAsia="Calibri" w:cs="Times New Roman"/>
          <w:lang w:val="en-US"/>
        </w:rPr>
        <w:t>Profenofos</w:t>
      </w:r>
      <w:proofErr w:type="spellEnd"/>
      <w:r w:rsidRPr="00364DA8">
        <w:rPr>
          <w:rFonts w:eastAsia="Calibri" w:cs="Times New Roman"/>
          <w:lang w:val="en-US"/>
        </w:rPr>
        <w:t>, Quinalphos, L-</w:t>
      </w:r>
      <w:proofErr w:type="spellStart"/>
      <w:r w:rsidRPr="00364DA8">
        <w:rPr>
          <w:rFonts w:eastAsia="Calibri" w:cs="Times New Roman"/>
          <w:lang w:val="en-US"/>
        </w:rPr>
        <w:t>Cyhalothrin</w:t>
      </w:r>
      <w:proofErr w:type="spellEnd"/>
      <w:r w:rsidRPr="00364DA8">
        <w:rPr>
          <w:rFonts w:eastAsia="Calibri" w:cs="Times New Roman"/>
          <w:lang w:val="en-US"/>
        </w:rPr>
        <w:t xml:space="preserve">, 2-4-D, </w:t>
      </w:r>
      <w:proofErr w:type="spellStart"/>
      <w:r w:rsidRPr="00364DA8">
        <w:rPr>
          <w:rFonts w:eastAsia="Calibri" w:cs="Times New Roman"/>
          <w:lang w:val="en-US"/>
        </w:rPr>
        <w:t>Propiconazole</w:t>
      </w:r>
      <w:proofErr w:type="spellEnd"/>
      <w:r w:rsidRPr="00364DA8">
        <w:rPr>
          <w:rFonts w:eastAsia="Calibri" w:cs="Times New Roman"/>
          <w:lang w:val="en-US"/>
        </w:rPr>
        <w:t xml:space="preserve">, </w:t>
      </w:r>
      <w:proofErr w:type="spellStart"/>
      <w:r w:rsidRPr="00364DA8">
        <w:rPr>
          <w:rFonts w:eastAsia="Calibri" w:cs="Times New Roman"/>
          <w:lang w:val="en-US"/>
        </w:rPr>
        <w:t>Hexaconazole</w:t>
      </w:r>
      <w:proofErr w:type="spellEnd"/>
      <w:r w:rsidRPr="00364DA8">
        <w:rPr>
          <w:rFonts w:eastAsia="Calibri" w:cs="Times New Roman"/>
          <w:lang w:val="en-US"/>
        </w:rPr>
        <w:t xml:space="preserve">, </w:t>
      </w:r>
      <w:proofErr w:type="spellStart"/>
      <w:r w:rsidRPr="00364DA8">
        <w:rPr>
          <w:rFonts w:eastAsia="Calibri" w:cs="Times New Roman"/>
          <w:lang w:val="en-US"/>
        </w:rPr>
        <w:t>Tebuconazole</w:t>
      </w:r>
      <w:proofErr w:type="spellEnd"/>
      <w:r w:rsidRPr="00364DA8">
        <w:rPr>
          <w:rFonts w:eastAsia="Calibri" w:cs="Times New Roman"/>
          <w:lang w:val="en-US"/>
        </w:rPr>
        <w:t xml:space="preserve">) currently used and having potential for use in tea were submitted through National Codex Point in Jan 2016 from field trials carried out by Tea Research Institutes at </w:t>
      </w:r>
      <w:proofErr w:type="spellStart"/>
      <w:r w:rsidRPr="00364DA8">
        <w:rPr>
          <w:rFonts w:eastAsia="Calibri" w:cs="Times New Roman"/>
          <w:lang w:val="en-US"/>
        </w:rPr>
        <w:t>Tocklai</w:t>
      </w:r>
      <w:proofErr w:type="spellEnd"/>
      <w:r w:rsidRPr="00364DA8">
        <w:rPr>
          <w:rFonts w:eastAsia="Calibri" w:cs="Times New Roman"/>
          <w:lang w:val="en-US"/>
        </w:rPr>
        <w:t xml:space="preserve"> &amp; UPASI in India for JMPR evaluation in 2017.</w:t>
      </w:r>
    </w:p>
    <w:p w:rsidR="00710386" w:rsidRDefault="00710386" w:rsidP="00710386">
      <w:pPr>
        <w:ind w:left="540"/>
        <w:rPr>
          <w:rFonts w:cs="Times New Roman"/>
          <w:color w:val="000000"/>
          <w:szCs w:val="17"/>
        </w:rPr>
      </w:pPr>
      <w:r>
        <w:rPr>
          <w:rFonts w:cs="Times New Roman"/>
          <w:color w:val="000000"/>
          <w:szCs w:val="17"/>
        </w:rPr>
        <w:t>Data on nine pesticides (</w:t>
      </w:r>
      <w:proofErr w:type="spellStart"/>
      <w:r>
        <w:rPr>
          <w:rFonts w:cs="Times New Roman"/>
          <w:color w:val="000000"/>
          <w:szCs w:val="17"/>
        </w:rPr>
        <w:t>Bifenthrin</w:t>
      </w:r>
      <w:proofErr w:type="spellEnd"/>
      <w:r>
        <w:rPr>
          <w:rFonts w:cs="Times New Roman"/>
          <w:color w:val="000000"/>
          <w:szCs w:val="17"/>
        </w:rPr>
        <w:t xml:space="preserve">, </w:t>
      </w:r>
      <w:proofErr w:type="spellStart"/>
      <w:r>
        <w:rPr>
          <w:rFonts w:cs="Times New Roman"/>
          <w:color w:val="000000"/>
          <w:szCs w:val="17"/>
        </w:rPr>
        <w:t>Clothinidin</w:t>
      </w:r>
      <w:proofErr w:type="spellEnd"/>
      <w:r>
        <w:rPr>
          <w:rFonts w:cs="Times New Roman"/>
          <w:color w:val="000000"/>
          <w:szCs w:val="17"/>
        </w:rPr>
        <w:t xml:space="preserve">, </w:t>
      </w:r>
      <w:proofErr w:type="spellStart"/>
      <w:r>
        <w:rPr>
          <w:rFonts w:cs="Times New Roman"/>
          <w:color w:val="000000"/>
          <w:szCs w:val="17"/>
        </w:rPr>
        <w:t>Fenpropathrin</w:t>
      </w:r>
      <w:proofErr w:type="spellEnd"/>
      <w:r>
        <w:rPr>
          <w:rFonts w:cs="Times New Roman"/>
          <w:color w:val="000000"/>
          <w:szCs w:val="17"/>
        </w:rPr>
        <w:t xml:space="preserve">, </w:t>
      </w:r>
      <w:proofErr w:type="spellStart"/>
      <w:r>
        <w:rPr>
          <w:rFonts w:cs="Times New Roman"/>
          <w:color w:val="000000"/>
          <w:szCs w:val="17"/>
        </w:rPr>
        <w:t>Fenpyroximate</w:t>
      </w:r>
      <w:proofErr w:type="spellEnd"/>
      <w:r>
        <w:rPr>
          <w:rFonts w:cs="Times New Roman"/>
          <w:color w:val="000000"/>
          <w:szCs w:val="17"/>
        </w:rPr>
        <w:t xml:space="preserve">, </w:t>
      </w:r>
      <w:proofErr w:type="spellStart"/>
      <w:r>
        <w:rPr>
          <w:rFonts w:cs="Times New Roman"/>
          <w:color w:val="000000"/>
          <w:szCs w:val="17"/>
        </w:rPr>
        <w:t>Hexythiazox</w:t>
      </w:r>
      <w:proofErr w:type="spellEnd"/>
      <w:r>
        <w:rPr>
          <w:rFonts w:cs="Times New Roman"/>
          <w:color w:val="000000"/>
          <w:szCs w:val="17"/>
        </w:rPr>
        <w:t xml:space="preserve">, </w:t>
      </w:r>
      <w:proofErr w:type="spellStart"/>
      <w:r>
        <w:rPr>
          <w:rFonts w:cs="Times New Roman"/>
          <w:color w:val="000000"/>
          <w:szCs w:val="17"/>
        </w:rPr>
        <w:t>Hexaconazole</w:t>
      </w:r>
      <w:proofErr w:type="spellEnd"/>
      <w:r>
        <w:rPr>
          <w:rFonts w:cs="Times New Roman"/>
          <w:color w:val="000000"/>
          <w:szCs w:val="17"/>
        </w:rPr>
        <w:t xml:space="preserve">, </w:t>
      </w:r>
      <w:proofErr w:type="spellStart"/>
      <w:r>
        <w:rPr>
          <w:rFonts w:cs="Times New Roman"/>
          <w:color w:val="000000"/>
          <w:szCs w:val="17"/>
        </w:rPr>
        <w:t>Propiconazole</w:t>
      </w:r>
      <w:proofErr w:type="spellEnd"/>
      <w:r>
        <w:rPr>
          <w:rFonts w:cs="Times New Roman"/>
          <w:color w:val="000000"/>
          <w:szCs w:val="17"/>
        </w:rPr>
        <w:t xml:space="preserve">, </w:t>
      </w:r>
      <w:proofErr w:type="spellStart"/>
      <w:r>
        <w:rPr>
          <w:rFonts w:cs="Times New Roman"/>
          <w:color w:val="000000"/>
          <w:szCs w:val="17"/>
        </w:rPr>
        <w:t>Thiamethoxam</w:t>
      </w:r>
      <w:proofErr w:type="spellEnd"/>
      <w:r>
        <w:rPr>
          <w:rFonts w:cs="Times New Roman"/>
          <w:color w:val="000000"/>
          <w:szCs w:val="17"/>
        </w:rPr>
        <w:t xml:space="preserve"> and </w:t>
      </w:r>
      <w:proofErr w:type="spellStart"/>
      <w:r>
        <w:rPr>
          <w:rFonts w:cs="Times New Roman"/>
          <w:color w:val="000000"/>
          <w:szCs w:val="17"/>
        </w:rPr>
        <w:t>Mancozeb</w:t>
      </w:r>
      <w:proofErr w:type="spellEnd"/>
      <w:r>
        <w:rPr>
          <w:rFonts w:cs="Times New Roman"/>
          <w:color w:val="000000"/>
          <w:szCs w:val="17"/>
        </w:rPr>
        <w:t>) were also submitted to Food Safety Authority of India in June 2015 for revision/fixation of national MRLs in tea using brew factor for risk assessment.</w:t>
      </w:r>
    </w:p>
    <w:p w:rsidR="00710386" w:rsidRPr="00CD2964" w:rsidRDefault="00710386" w:rsidP="00710386">
      <w:pPr>
        <w:pStyle w:val="ListParagraph"/>
        <w:numPr>
          <w:ilvl w:val="2"/>
          <w:numId w:val="20"/>
        </w:numPr>
        <w:spacing w:line="276" w:lineRule="auto"/>
        <w:ind w:left="540" w:hanging="360"/>
        <w:rPr>
          <w:rFonts w:cs="Times New Roman"/>
          <w:b/>
          <w:color w:val="000000"/>
          <w:szCs w:val="17"/>
        </w:rPr>
      </w:pPr>
      <w:r w:rsidRPr="00CD2964">
        <w:rPr>
          <w:rFonts w:cs="Times New Roman"/>
          <w:b/>
          <w:color w:val="000000"/>
          <w:szCs w:val="17"/>
        </w:rPr>
        <w:t>China</w:t>
      </w:r>
    </w:p>
    <w:p w:rsidR="00710386" w:rsidRPr="00461F02" w:rsidRDefault="00710386" w:rsidP="00710386">
      <w:pPr>
        <w:pStyle w:val="Default"/>
        <w:ind w:left="540"/>
        <w:rPr>
          <w:sz w:val="22"/>
        </w:rPr>
      </w:pPr>
      <w:r w:rsidRPr="00461F02">
        <w:rPr>
          <w:sz w:val="22"/>
        </w:rPr>
        <w:t>Supervised field trial</w:t>
      </w:r>
      <w:r w:rsidRPr="00461F02">
        <w:rPr>
          <w:rFonts w:hint="eastAsia"/>
          <w:sz w:val="22"/>
        </w:rPr>
        <w:t>s</w:t>
      </w:r>
      <w:r w:rsidRPr="00461F02">
        <w:rPr>
          <w:sz w:val="22"/>
        </w:rPr>
        <w:t xml:space="preserve"> as par Good Agricultural Practice (GAP) </w:t>
      </w:r>
      <w:r w:rsidRPr="00461F02">
        <w:rPr>
          <w:rFonts w:hint="eastAsia"/>
          <w:sz w:val="22"/>
        </w:rPr>
        <w:t xml:space="preserve">were </w:t>
      </w:r>
      <w:r w:rsidRPr="00461F02">
        <w:rPr>
          <w:sz w:val="22"/>
        </w:rPr>
        <w:t>carried out</w:t>
      </w:r>
      <w:r w:rsidRPr="00461F02">
        <w:rPr>
          <w:rFonts w:hint="eastAsia"/>
          <w:sz w:val="22"/>
        </w:rPr>
        <w:t xml:space="preserve"> in China in 2014</w:t>
      </w:r>
      <w:r w:rsidRPr="00461F02">
        <w:rPr>
          <w:sz w:val="22"/>
        </w:rPr>
        <w:t xml:space="preserve"> on </w:t>
      </w:r>
      <w:r w:rsidRPr="00461F02">
        <w:rPr>
          <w:rFonts w:hint="eastAsia"/>
          <w:sz w:val="22"/>
        </w:rPr>
        <w:t>12 pesticides</w:t>
      </w:r>
      <w:r w:rsidRPr="00461F02">
        <w:rPr>
          <w:sz w:val="22"/>
        </w:rPr>
        <w:t xml:space="preserve">, </w:t>
      </w:r>
      <w:r w:rsidRPr="00461F02">
        <w:rPr>
          <w:i/>
          <w:sz w:val="22"/>
        </w:rPr>
        <w:t>viz</w:t>
      </w:r>
      <w:r w:rsidRPr="00461F02">
        <w:rPr>
          <w:sz w:val="22"/>
        </w:rPr>
        <w:t xml:space="preserve">., </w:t>
      </w:r>
      <w:r w:rsidRPr="00461F02">
        <w:rPr>
          <w:rFonts w:hint="eastAsia"/>
          <w:sz w:val="22"/>
        </w:rPr>
        <w:t>tolfenpyrad, i</w:t>
      </w:r>
      <w:r w:rsidRPr="00461F02">
        <w:rPr>
          <w:sz w:val="22"/>
        </w:rPr>
        <w:t>ndoxacarb</w:t>
      </w:r>
      <w:r w:rsidRPr="00461F02">
        <w:rPr>
          <w:rFonts w:hint="eastAsia"/>
          <w:sz w:val="22"/>
        </w:rPr>
        <w:t xml:space="preserve">, propargite, pyraclostrobin, chlorfluazuron, propiconazole, </w:t>
      </w:r>
      <w:r w:rsidRPr="00461F02">
        <w:rPr>
          <w:sz w:val="22"/>
        </w:rPr>
        <w:t>thiacloprid</w:t>
      </w:r>
      <w:r w:rsidRPr="00461F02">
        <w:rPr>
          <w:rFonts w:hint="eastAsia"/>
          <w:sz w:val="22"/>
        </w:rPr>
        <w:t xml:space="preserve">, </w:t>
      </w:r>
      <w:r w:rsidRPr="00461F02">
        <w:rPr>
          <w:sz w:val="22"/>
        </w:rPr>
        <w:t>imidacloprid</w:t>
      </w:r>
      <w:r w:rsidRPr="00461F02">
        <w:rPr>
          <w:rFonts w:hint="eastAsia"/>
          <w:sz w:val="22"/>
        </w:rPr>
        <w:t xml:space="preserve">, </w:t>
      </w:r>
      <w:r w:rsidRPr="00461F02">
        <w:rPr>
          <w:sz w:val="22"/>
        </w:rPr>
        <w:t>thiamethoxam</w:t>
      </w:r>
      <w:r w:rsidRPr="00461F02">
        <w:rPr>
          <w:rFonts w:hint="eastAsia"/>
          <w:sz w:val="22"/>
        </w:rPr>
        <w:t>, acetamiprid, d</w:t>
      </w:r>
      <w:r w:rsidRPr="00461F02">
        <w:rPr>
          <w:sz w:val="22"/>
        </w:rPr>
        <w:t>imethoate</w:t>
      </w:r>
      <w:r w:rsidRPr="00461F02">
        <w:rPr>
          <w:rFonts w:hint="eastAsia"/>
          <w:sz w:val="22"/>
        </w:rPr>
        <w:t xml:space="preserve"> and dinotefuran</w:t>
      </w:r>
      <w:r w:rsidRPr="00461F02">
        <w:rPr>
          <w:sz w:val="22"/>
        </w:rPr>
        <w:t>.</w:t>
      </w:r>
      <w:r>
        <w:rPr>
          <w:sz w:val="22"/>
        </w:rPr>
        <w:t xml:space="preserve"> </w:t>
      </w:r>
      <w:r w:rsidRPr="004F5288">
        <w:rPr>
          <w:sz w:val="22"/>
        </w:rPr>
        <w:t>In 2016, tolfenpyrad has been registed in China. The MRLs is 20 mg/kg.</w:t>
      </w:r>
    </w:p>
    <w:p w:rsidR="00710386" w:rsidRDefault="00710386" w:rsidP="00710386">
      <w:pPr>
        <w:pStyle w:val="Default"/>
        <w:ind w:left="540"/>
      </w:pPr>
    </w:p>
    <w:p w:rsidR="00710386" w:rsidRDefault="00710386" w:rsidP="00710386">
      <w:pPr>
        <w:pStyle w:val="Default"/>
        <w:rPr>
          <w:rFonts w:eastAsia="SimSun"/>
          <w:color w:val="auto"/>
          <w:kern w:val="2"/>
          <w:sz w:val="22"/>
        </w:rPr>
      </w:pPr>
    </w:p>
    <w:p w:rsidR="00710386" w:rsidRDefault="00710386" w:rsidP="00710386">
      <w:pPr>
        <w:pStyle w:val="Default"/>
        <w:ind w:left="270"/>
        <w:rPr>
          <w:rFonts w:eastAsia="SimSun"/>
          <w:color w:val="auto"/>
          <w:kern w:val="2"/>
          <w:sz w:val="22"/>
          <w:lang w:val="en-US"/>
        </w:rPr>
      </w:pPr>
      <w:r w:rsidRPr="00CD2964">
        <w:rPr>
          <w:rFonts w:eastAsia="SimSun" w:hint="eastAsia"/>
          <w:color w:val="auto"/>
          <w:kern w:val="2"/>
          <w:sz w:val="22"/>
        </w:rPr>
        <w:t>Great efforts have been made to regulate MRLs for pesticide in Tea</w:t>
      </w:r>
      <w:r>
        <w:rPr>
          <w:rFonts w:eastAsia="SimSun"/>
          <w:color w:val="auto"/>
          <w:kern w:val="2"/>
          <w:sz w:val="22"/>
        </w:rPr>
        <w:t xml:space="preserve"> in China</w:t>
      </w:r>
      <w:r w:rsidRPr="00CD2964">
        <w:rPr>
          <w:rFonts w:eastAsia="SimSun" w:hint="eastAsia"/>
          <w:color w:val="auto"/>
          <w:kern w:val="2"/>
          <w:sz w:val="22"/>
        </w:rPr>
        <w:t xml:space="preserve">. Until 2014, </w:t>
      </w:r>
      <w:r w:rsidRPr="00CD2964">
        <w:rPr>
          <w:rFonts w:eastAsia="SimSun"/>
          <w:color w:val="auto"/>
          <w:kern w:val="2"/>
          <w:sz w:val="22"/>
        </w:rPr>
        <w:t>MRLs for</w:t>
      </w:r>
      <w:r w:rsidRPr="00CD2964">
        <w:rPr>
          <w:rFonts w:eastAsia="SimSun" w:hint="eastAsia"/>
          <w:color w:val="auto"/>
          <w:kern w:val="2"/>
          <w:sz w:val="22"/>
        </w:rPr>
        <w:t xml:space="preserve"> </w:t>
      </w:r>
      <w:r w:rsidRPr="00CD2964">
        <w:rPr>
          <w:rFonts w:eastAsia="SimSun"/>
          <w:color w:val="auto"/>
          <w:kern w:val="2"/>
          <w:sz w:val="22"/>
        </w:rPr>
        <w:t>28 pesticides in tea have been set up in regulation GB 2763-2014 (National</w:t>
      </w:r>
      <w:r w:rsidRPr="00CD2964">
        <w:rPr>
          <w:color w:val="auto"/>
          <w:sz w:val="22"/>
        </w:rPr>
        <w:t xml:space="preserve"> food safety standard-Maximum residue limits for pesticides in food) issued by </w:t>
      </w:r>
      <w:r w:rsidRPr="00CD2964">
        <w:rPr>
          <w:rFonts w:eastAsia="SimSun"/>
          <w:color w:val="auto"/>
          <w:kern w:val="2"/>
          <w:sz w:val="22"/>
        </w:rPr>
        <w:t>Ministry of Agriculture of the People’s Republic of China (MOA)</w:t>
      </w:r>
      <w:r w:rsidRPr="00CD2964">
        <w:rPr>
          <w:color w:val="auto"/>
          <w:sz w:val="22"/>
        </w:rPr>
        <w:t>. In 14</w:t>
      </w:r>
      <w:r w:rsidRPr="00CD2964">
        <w:rPr>
          <w:color w:val="auto"/>
          <w:sz w:val="22"/>
          <w:vertAlign w:val="superscript"/>
        </w:rPr>
        <w:t>th</w:t>
      </w:r>
      <w:r w:rsidRPr="00CD2964">
        <w:rPr>
          <w:color w:val="auto"/>
          <w:sz w:val="22"/>
        </w:rPr>
        <w:t xml:space="preserve"> Jul 2015,</w:t>
      </w:r>
      <w:r w:rsidRPr="00CD2964">
        <w:rPr>
          <w:rFonts w:eastAsia="SimSun"/>
          <w:color w:val="auto"/>
          <w:kern w:val="2"/>
          <w:sz w:val="22"/>
        </w:rPr>
        <w:t xml:space="preserve"> </w:t>
      </w:r>
      <w:r w:rsidRPr="00CD2964">
        <w:rPr>
          <w:color w:val="auto"/>
          <w:sz w:val="22"/>
        </w:rPr>
        <w:t xml:space="preserve">a draft document </w:t>
      </w:r>
      <w:r w:rsidRPr="00CD2964">
        <w:rPr>
          <w:rFonts w:eastAsia="SimSun"/>
          <w:color w:val="auto"/>
          <w:kern w:val="2"/>
          <w:sz w:val="22"/>
        </w:rPr>
        <w:t xml:space="preserve">GB 2763-2015, </w:t>
      </w:r>
      <w:r w:rsidRPr="00CD2964">
        <w:rPr>
          <w:color w:val="auto"/>
          <w:sz w:val="22"/>
        </w:rPr>
        <w:t xml:space="preserve">including </w:t>
      </w:r>
      <w:r w:rsidRPr="00CD2964">
        <w:rPr>
          <w:color w:val="auto"/>
          <w:sz w:val="22"/>
        </w:rPr>
        <w:lastRenderedPageBreak/>
        <w:t xml:space="preserve">amendments and reversion, </w:t>
      </w:r>
      <w:r w:rsidRPr="00CD2964">
        <w:rPr>
          <w:rFonts w:hint="eastAsia"/>
          <w:color w:val="auto"/>
          <w:sz w:val="22"/>
        </w:rPr>
        <w:t>were</w:t>
      </w:r>
      <w:r w:rsidRPr="00CD2964">
        <w:rPr>
          <w:color w:val="auto"/>
          <w:sz w:val="22"/>
        </w:rPr>
        <w:t xml:space="preserve"> completed and will be issued later.  In the </w:t>
      </w:r>
      <w:r w:rsidRPr="00CD2964">
        <w:rPr>
          <w:rFonts w:eastAsia="SimSun"/>
          <w:color w:val="auto"/>
          <w:kern w:val="2"/>
          <w:sz w:val="22"/>
        </w:rPr>
        <w:t xml:space="preserve">new regulation, there will be </w:t>
      </w:r>
      <w:r w:rsidRPr="00CD2964">
        <w:rPr>
          <w:rFonts w:eastAsia="SimSun" w:hint="eastAsia"/>
          <w:color w:val="auto"/>
          <w:kern w:val="2"/>
          <w:sz w:val="22"/>
        </w:rPr>
        <w:t>more than 35</w:t>
      </w:r>
      <w:r w:rsidRPr="00CD2964">
        <w:rPr>
          <w:rFonts w:eastAsia="SimSun"/>
          <w:color w:val="auto"/>
          <w:kern w:val="2"/>
          <w:sz w:val="22"/>
        </w:rPr>
        <w:t xml:space="preserve"> MRLs for pesticide in tea as </w:t>
      </w:r>
      <w:r>
        <w:rPr>
          <w:rFonts w:eastAsia="SimSun"/>
          <w:color w:val="auto"/>
          <w:kern w:val="2"/>
          <w:sz w:val="22"/>
        </w:rPr>
        <w:t>listed in Table 2.</w:t>
      </w:r>
    </w:p>
    <w:p w:rsidR="00710386" w:rsidRPr="00710386" w:rsidRDefault="00710386" w:rsidP="00710386">
      <w:pPr>
        <w:pStyle w:val="Default"/>
        <w:ind w:left="270"/>
        <w:rPr>
          <w:rFonts w:eastAsia="SimSun"/>
          <w:color w:val="auto"/>
          <w:kern w:val="2"/>
          <w:sz w:val="22"/>
          <w:lang w:val="en-US"/>
        </w:rPr>
      </w:pPr>
    </w:p>
    <w:p w:rsidR="00710386" w:rsidRPr="00CD2964" w:rsidRDefault="00710386" w:rsidP="00710386">
      <w:pPr>
        <w:pStyle w:val="ListParagraph"/>
        <w:ind w:left="1800" w:firstLine="360"/>
        <w:jc w:val="both"/>
        <w:rPr>
          <w:rFonts w:eastAsia="SimSun" w:cs="Times New Roman"/>
          <w:b/>
          <w:kern w:val="2"/>
        </w:rPr>
      </w:pPr>
      <w:proofErr w:type="gramStart"/>
      <w:r w:rsidRPr="00CD2964">
        <w:rPr>
          <w:rFonts w:eastAsia="SimSun" w:cs="Times New Roman"/>
          <w:b/>
          <w:kern w:val="2"/>
        </w:rPr>
        <w:t xml:space="preserve">Table </w:t>
      </w:r>
      <w:r>
        <w:rPr>
          <w:rFonts w:eastAsia="SimSun" w:cs="Times New Roman"/>
          <w:b/>
          <w:kern w:val="2"/>
        </w:rPr>
        <w:t>2</w:t>
      </w:r>
      <w:r w:rsidRPr="00CD2964">
        <w:rPr>
          <w:rFonts w:eastAsia="SimSun" w:cs="Times New Roman"/>
          <w:b/>
          <w:kern w:val="2"/>
        </w:rPr>
        <w:t>.</w:t>
      </w:r>
      <w:proofErr w:type="gramEnd"/>
      <w:r w:rsidRPr="00CD2964">
        <w:rPr>
          <w:rFonts w:eastAsia="SimSun" w:cs="Times New Roman"/>
          <w:b/>
          <w:kern w:val="2"/>
        </w:rPr>
        <w:t xml:space="preserve">  MRLs for pesticides in tea in China</w:t>
      </w:r>
    </w:p>
    <w:tbl>
      <w:tblPr>
        <w:tblW w:w="5104" w:type="dxa"/>
        <w:jc w:val="center"/>
        <w:tblInd w:w="-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9"/>
        <w:gridCol w:w="1755"/>
      </w:tblGrid>
      <w:tr w:rsidR="00710386" w:rsidRPr="00CD2964" w:rsidTr="00710386">
        <w:trPr>
          <w:trHeight w:val="158"/>
          <w:jc w:val="center"/>
        </w:trPr>
        <w:tc>
          <w:tcPr>
            <w:tcW w:w="3281" w:type="pct"/>
            <w:vAlign w:val="center"/>
          </w:tcPr>
          <w:p w:rsidR="00710386" w:rsidRPr="00CD2964" w:rsidRDefault="00710386" w:rsidP="00710386">
            <w:pPr>
              <w:spacing w:after="0"/>
              <w:ind w:left="158"/>
              <w:rPr>
                <w:rFonts w:cs="Times New Roman"/>
                <w:b/>
              </w:rPr>
            </w:pPr>
            <w:r w:rsidRPr="00CD2964">
              <w:rPr>
                <w:rFonts w:cs="Times New Roman"/>
                <w:b/>
              </w:rPr>
              <w:t>Pesticides</w:t>
            </w:r>
          </w:p>
        </w:tc>
        <w:tc>
          <w:tcPr>
            <w:tcW w:w="1719" w:type="pct"/>
            <w:vAlign w:val="center"/>
          </w:tcPr>
          <w:p w:rsidR="00710386" w:rsidRPr="00CD2964" w:rsidRDefault="00710386" w:rsidP="00710386">
            <w:pPr>
              <w:spacing w:after="0"/>
              <w:jc w:val="center"/>
              <w:rPr>
                <w:rFonts w:cs="Times New Roman"/>
                <w:b/>
              </w:rPr>
            </w:pPr>
            <w:r w:rsidRPr="00CD2964">
              <w:rPr>
                <w:rFonts w:cs="Times New Roman"/>
                <w:b/>
              </w:rPr>
              <w:t>China MRL</w:t>
            </w:r>
          </w:p>
          <w:p w:rsidR="00710386" w:rsidRPr="00CD2964" w:rsidRDefault="00710386" w:rsidP="00710386">
            <w:pPr>
              <w:spacing w:after="0"/>
              <w:jc w:val="center"/>
              <w:rPr>
                <w:rFonts w:cs="Times New Roman"/>
                <w:b/>
              </w:rPr>
            </w:pPr>
            <w:r w:rsidRPr="00CD2964">
              <w:rPr>
                <w:rFonts w:cs="Times New Roman"/>
                <w:b/>
              </w:rPr>
              <w:t>mg/kg</w:t>
            </w:r>
          </w:p>
        </w:tc>
      </w:tr>
      <w:tr w:rsidR="00710386" w:rsidRPr="00CD2964" w:rsidTr="00710386">
        <w:trPr>
          <w:trHeight w:val="158"/>
          <w:jc w:val="center"/>
        </w:trPr>
        <w:tc>
          <w:tcPr>
            <w:tcW w:w="3281" w:type="pct"/>
            <w:vAlign w:val="center"/>
          </w:tcPr>
          <w:p w:rsidR="00710386" w:rsidRPr="00CD2964" w:rsidRDefault="00710386" w:rsidP="00710386">
            <w:pPr>
              <w:spacing w:after="0"/>
              <w:ind w:left="102"/>
              <w:rPr>
                <w:rFonts w:cs="Times New Roman"/>
              </w:rPr>
            </w:pPr>
            <w:proofErr w:type="spellStart"/>
            <w:r w:rsidRPr="00CD2964">
              <w:rPr>
                <w:rFonts w:cs="Times New Roman"/>
                <w:bCs/>
                <w:lang w:val="es-ES"/>
              </w:rPr>
              <w:t>Acephate</w:t>
            </w:r>
            <w:proofErr w:type="spellEnd"/>
          </w:p>
        </w:tc>
        <w:tc>
          <w:tcPr>
            <w:tcW w:w="1719" w:type="pct"/>
            <w:vAlign w:val="center"/>
          </w:tcPr>
          <w:p w:rsidR="00710386" w:rsidRPr="00CD2964" w:rsidRDefault="00710386" w:rsidP="00710386">
            <w:pPr>
              <w:spacing w:after="0"/>
              <w:jc w:val="center"/>
              <w:rPr>
                <w:rFonts w:cs="Times New Roman"/>
              </w:rPr>
            </w:pPr>
            <w:r w:rsidRPr="00CD2964">
              <w:rPr>
                <w:rFonts w:cs="Times New Roman"/>
              </w:rPr>
              <w:t>0.1</w:t>
            </w:r>
          </w:p>
        </w:tc>
      </w:tr>
      <w:tr w:rsidR="00710386" w:rsidRPr="00CD2964" w:rsidTr="00710386">
        <w:trPr>
          <w:trHeight w:val="158"/>
          <w:jc w:val="center"/>
        </w:trPr>
        <w:tc>
          <w:tcPr>
            <w:tcW w:w="3281" w:type="pct"/>
            <w:vAlign w:val="center"/>
          </w:tcPr>
          <w:p w:rsidR="00710386" w:rsidRPr="00CD2964" w:rsidRDefault="00710386" w:rsidP="00710386">
            <w:pPr>
              <w:spacing w:after="0"/>
              <w:ind w:left="102"/>
              <w:rPr>
                <w:rFonts w:cs="Times New Roman"/>
                <w:lang w:val="de-DE"/>
              </w:rPr>
            </w:pPr>
            <w:proofErr w:type="spellStart"/>
            <w:r w:rsidRPr="00CD2964">
              <w:rPr>
                <w:rFonts w:cs="Times New Roman"/>
                <w:bCs/>
              </w:rPr>
              <w:t>Bifenthrin</w:t>
            </w:r>
            <w:proofErr w:type="spellEnd"/>
          </w:p>
        </w:tc>
        <w:tc>
          <w:tcPr>
            <w:tcW w:w="1719" w:type="pct"/>
            <w:vAlign w:val="center"/>
          </w:tcPr>
          <w:p w:rsidR="00710386" w:rsidRPr="00CD2964" w:rsidRDefault="00710386" w:rsidP="00710386">
            <w:pPr>
              <w:spacing w:after="0"/>
              <w:jc w:val="center"/>
              <w:rPr>
                <w:rFonts w:cs="Times New Roman"/>
                <w:lang w:val="de-DE"/>
              </w:rPr>
            </w:pPr>
            <w:r w:rsidRPr="00CD2964">
              <w:rPr>
                <w:rFonts w:cs="Times New Roman"/>
                <w:lang w:val="de-DE"/>
              </w:rPr>
              <w:t>5</w:t>
            </w:r>
          </w:p>
        </w:tc>
      </w:tr>
      <w:tr w:rsidR="00710386" w:rsidRPr="00CD2964" w:rsidTr="00710386">
        <w:trPr>
          <w:trHeight w:val="158"/>
          <w:jc w:val="center"/>
        </w:trPr>
        <w:tc>
          <w:tcPr>
            <w:tcW w:w="3281" w:type="pct"/>
            <w:vAlign w:val="center"/>
          </w:tcPr>
          <w:p w:rsidR="00710386" w:rsidRPr="00CD2964" w:rsidRDefault="00710386" w:rsidP="00710386">
            <w:pPr>
              <w:spacing w:after="0"/>
              <w:ind w:left="102"/>
              <w:rPr>
                <w:rFonts w:cs="Times New Roman"/>
              </w:rPr>
            </w:pPr>
            <w:proofErr w:type="spellStart"/>
            <w:r w:rsidRPr="00CD2964">
              <w:rPr>
                <w:rFonts w:cs="Times New Roman"/>
                <w:bCs/>
              </w:rPr>
              <w:t>Buprofezin</w:t>
            </w:r>
            <w:proofErr w:type="spellEnd"/>
          </w:p>
        </w:tc>
        <w:tc>
          <w:tcPr>
            <w:tcW w:w="1719" w:type="pct"/>
            <w:vAlign w:val="center"/>
          </w:tcPr>
          <w:p w:rsidR="00710386" w:rsidRPr="00CD2964" w:rsidRDefault="00710386" w:rsidP="00710386">
            <w:pPr>
              <w:spacing w:after="0"/>
              <w:jc w:val="center"/>
              <w:rPr>
                <w:rFonts w:cs="Times New Roman"/>
              </w:rPr>
            </w:pPr>
            <w:r w:rsidRPr="00CD2964">
              <w:rPr>
                <w:rFonts w:cs="Times New Roman"/>
              </w:rPr>
              <w:t>10</w:t>
            </w:r>
          </w:p>
        </w:tc>
      </w:tr>
      <w:tr w:rsidR="00710386" w:rsidRPr="00CD2964" w:rsidTr="00710386">
        <w:trPr>
          <w:trHeight w:val="158"/>
          <w:jc w:val="center"/>
        </w:trPr>
        <w:tc>
          <w:tcPr>
            <w:tcW w:w="3281" w:type="pct"/>
            <w:vAlign w:val="center"/>
          </w:tcPr>
          <w:p w:rsidR="00710386" w:rsidRPr="00CD2964" w:rsidRDefault="00710386" w:rsidP="00710386">
            <w:pPr>
              <w:spacing w:after="0"/>
              <w:ind w:left="102"/>
              <w:rPr>
                <w:rFonts w:cs="Times New Roman"/>
              </w:rPr>
            </w:pPr>
            <w:proofErr w:type="spellStart"/>
            <w:r w:rsidRPr="00CD2964">
              <w:rPr>
                <w:rFonts w:cs="Times New Roman"/>
                <w:bCs/>
                <w:spacing w:val="5"/>
              </w:rPr>
              <w:t>Carbendazim</w:t>
            </w:r>
            <w:proofErr w:type="spellEnd"/>
          </w:p>
        </w:tc>
        <w:tc>
          <w:tcPr>
            <w:tcW w:w="1719" w:type="pct"/>
            <w:vAlign w:val="center"/>
          </w:tcPr>
          <w:p w:rsidR="00710386" w:rsidRPr="00CD2964" w:rsidRDefault="00710386" w:rsidP="00710386">
            <w:pPr>
              <w:spacing w:after="0"/>
              <w:jc w:val="center"/>
              <w:rPr>
                <w:rFonts w:cs="Times New Roman"/>
              </w:rPr>
            </w:pPr>
            <w:r w:rsidRPr="00CD2964">
              <w:rPr>
                <w:rFonts w:cs="Times New Roman"/>
              </w:rPr>
              <w:t>5</w:t>
            </w:r>
          </w:p>
        </w:tc>
      </w:tr>
      <w:tr w:rsidR="00710386" w:rsidRPr="00CD2964" w:rsidTr="00710386">
        <w:trPr>
          <w:trHeight w:val="118"/>
          <w:jc w:val="center"/>
        </w:trPr>
        <w:tc>
          <w:tcPr>
            <w:tcW w:w="3281" w:type="pct"/>
            <w:vAlign w:val="center"/>
          </w:tcPr>
          <w:p w:rsidR="00710386" w:rsidRPr="00CD2964" w:rsidRDefault="00710386" w:rsidP="00710386">
            <w:pPr>
              <w:spacing w:after="0"/>
              <w:ind w:left="102"/>
              <w:rPr>
                <w:rFonts w:cs="Times New Roman"/>
                <w:bCs/>
              </w:rPr>
            </w:pPr>
            <w:proofErr w:type="spellStart"/>
            <w:r w:rsidRPr="00CD2964">
              <w:rPr>
                <w:rFonts w:cs="Times New Roman"/>
                <w:bCs/>
              </w:rPr>
              <w:t>Carbofuran</w:t>
            </w:r>
            <w:proofErr w:type="spellEnd"/>
          </w:p>
        </w:tc>
        <w:tc>
          <w:tcPr>
            <w:tcW w:w="1719" w:type="pct"/>
            <w:vAlign w:val="center"/>
          </w:tcPr>
          <w:p w:rsidR="00710386" w:rsidRPr="00CD2964" w:rsidRDefault="00710386" w:rsidP="00710386">
            <w:pPr>
              <w:spacing w:after="0"/>
              <w:jc w:val="center"/>
              <w:rPr>
                <w:rFonts w:cs="Times New Roman"/>
              </w:rPr>
            </w:pPr>
            <w:r w:rsidRPr="00CD2964">
              <w:rPr>
                <w:rFonts w:cs="Times New Roman"/>
              </w:rPr>
              <w:t>0.05</w:t>
            </w:r>
          </w:p>
        </w:tc>
      </w:tr>
      <w:tr w:rsidR="00710386" w:rsidRPr="00CD2964" w:rsidTr="00710386">
        <w:trPr>
          <w:trHeight w:val="273"/>
          <w:jc w:val="center"/>
        </w:trPr>
        <w:tc>
          <w:tcPr>
            <w:tcW w:w="3281" w:type="pct"/>
            <w:vAlign w:val="center"/>
          </w:tcPr>
          <w:p w:rsidR="00710386" w:rsidRPr="00CD2964" w:rsidRDefault="00710386" w:rsidP="00710386">
            <w:pPr>
              <w:spacing w:after="0"/>
              <w:ind w:left="102"/>
              <w:rPr>
                <w:rFonts w:cs="Times New Roman"/>
              </w:rPr>
            </w:pPr>
            <w:proofErr w:type="spellStart"/>
            <w:r w:rsidRPr="00CD2964">
              <w:rPr>
                <w:rFonts w:cs="Times New Roman"/>
                <w:bCs/>
              </w:rPr>
              <w:t>Cartap</w:t>
            </w:r>
            <w:proofErr w:type="spellEnd"/>
          </w:p>
        </w:tc>
        <w:tc>
          <w:tcPr>
            <w:tcW w:w="1719" w:type="pct"/>
            <w:vAlign w:val="center"/>
          </w:tcPr>
          <w:p w:rsidR="00710386" w:rsidRPr="00CD2964" w:rsidRDefault="00710386" w:rsidP="00710386">
            <w:pPr>
              <w:spacing w:after="0"/>
              <w:jc w:val="center"/>
              <w:rPr>
                <w:rFonts w:cs="Times New Roman"/>
              </w:rPr>
            </w:pPr>
            <w:r w:rsidRPr="00CD2964">
              <w:rPr>
                <w:rFonts w:cs="Times New Roman"/>
              </w:rPr>
              <w:t>20</w:t>
            </w:r>
          </w:p>
        </w:tc>
      </w:tr>
      <w:tr w:rsidR="00710386" w:rsidRPr="00CD2964" w:rsidTr="00710386">
        <w:trPr>
          <w:trHeight w:val="84"/>
          <w:jc w:val="center"/>
        </w:trPr>
        <w:tc>
          <w:tcPr>
            <w:tcW w:w="3281" w:type="pct"/>
            <w:vAlign w:val="center"/>
          </w:tcPr>
          <w:p w:rsidR="00710386" w:rsidRPr="00CD2964" w:rsidRDefault="00710386" w:rsidP="00710386">
            <w:pPr>
              <w:spacing w:after="0"/>
              <w:ind w:left="102"/>
              <w:rPr>
                <w:rFonts w:cs="Times New Roman"/>
              </w:rPr>
            </w:pPr>
            <w:r>
              <w:rPr>
                <w:rFonts w:cs="Times New Roman"/>
                <w:bCs/>
              </w:rPr>
              <w:t>L</w:t>
            </w:r>
            <w:r w:rsidRPr="00CD2964">
              <w:rPr>
                <w:rFonts w:cs="Times New Roman"/>
                <w:bCs/>
              </w:rPr>
              <w:t>-</w:t>
            </w:r>
            <w:proofErr w:type="spellStart"/>
            <w:r w:rsidRPr="00CD2964">
              <w:rPr>
                <w:rFonts w:cs="Times New Roman"/>
                <w:bCs/>
              </w:rPr>
              <w:t>cyhalothrin</w:t>
            </w:r>
            <w:r>
              <w:rPr>
                <w:rFonts w:cs="Times New Roman"/>
                <w:bCs/>
              </w:rPr>
              <w:t>,cyhalothrin</w:t>
            </w:r>
            <w:proofErr w:type="spellEnd"/>
          </w:p>
        </w:tc>
        <w:tc>
          <w:tcPr>
            <w:tcW w:w="1719" w:type="pct"/>
            <w:vAlign w:val="center"/>
          </w:tcPr>
          <w:p w:rsidR="00710386" w:rsidRPr="00CD2964" w:rsidRDefault="00710386" w:rsidP="00710386">
            <w:pPr>
              <w:spacing w:after="0"/>
              <w:jc w:val="center"/>
              <w:rPr>
                <w:rFonts w:cs="Times New Roman"/>
              </w:rPr>
            </w:pPr>
            <w:r w:rsidRPr="00CD2964">
              <w:rPr>
                <w:rFonts w:cs="Times New Roman"/>
              </w:rPr>
              <w:t>15</w:t>
            </w:r>
          </w:p>
        </w:tc>
      </w:tr>
      <w:tr w:rsidR="00710386" w:rsidRPr="00CD2964" w:rsidTr="00710386">
        <w:trPr>
          <w:trHeight w:val="84"/>
          <w:jc w:val="center"/>
        </w:trPr>
        <w:tc>
          <w:tcPr>
            <w:tcW w:w="3281" w:type="pct"/>
            <w:vAlign w:val="center"/>
          </w:tcPr>
          <w:p w:rsidR="00710386" w:rsidRPr="00CD2964" w:rsidRDefault="00710386" w:rsidP="00710386">
            <w:pPr>
              <w:spacing w:after="0"/>
              <w:ind w:left="102"/>
              <w:rPr>
                <w:rFonts w:cs="Times New Roman"/>
              </w:rPr>
            </w:pPr>
            <w:proofErr w:type="spellStart"/>
            <w:r w:rsidRPr="00CD2964">
              <w:rPr>
                <w:rFonts w:cs="Times New Roman"/>
                <w:bCs/>
              </w:rPr>
              <w:t>Cyfluthrin</w:t>
            </w:r>
            <w:proofErr w:type="spellEnd"/>
            <w:r>
              <w:rPr>
                <w:rFonts w:cs="Times New Roman"/>
                <w:bCs/>
              </w:rPr>
              <w:t xml:space="preserve">, </w:t>
            </w:r>
            <w:r w:rsidRPr="00CD2964">
              <w:rPr>
                <w:rFonts w:cs="Times New Roman"/>
                <w:bCs/>
              </w:rPr>
              <w:t>beta-</w:t>
            </w:r>
            <w:proofErr w:type="spellStart"/>
            <w:r w:rsidRPr="00CD2964">
              <w:rPr>
                <w:rFonts w:cs="Times New Roman"/>
                <w:bCs/>
              </w:rPr>
              <w:t>cyfluthrin</w:t>
            </w:r>
            <w:proofErr w:type="spellEnd"/>
          </w:p>
        </w:tc>
        <w:tc>
          <w:tcPr>
            <w:tcW w:w="1719" w:type="pct"/>
            <w:vAlign w:val="center"/>
          </w:tcPr>
          <w:p w:rsidR="00710386" w:rsidRPr="00CD2964" w:rsidRDefault="00710386" w:rsidP="00710386">
            <w:pPr>
              <w:spacing w:after="0"/>
              <w:jc w:val="center"/>
              <w:rPr>
                <w:rFonts w:cs="Times New Roman"/>
              </w:rPr>
            </w:pPr>
            <w:r w:rsidRPr="00CD2964">
              <w:rPr>
                <w:rFonts w:cs="Times New Roman"/>
              </w:rPr>
              <w:t>1</w:t>
            </w:r>
          </w:p>
        </w:tc>
      </w:tr>
      <w:tr w:rsidR="00710386" w:rsidRPr="00CD2964" w:rsidTr="00710386">
        <w:trPr>
          <w:trHeight w:val="74"/>
          <w:jc w:val="center"/>
        </w:trPr>
        <w:tc>
          <w:tcPr>
            <w:tcW w:w="3281" w:type="pct"/>
            <w:vAlign w:val="center"/>
          </w:tcPr>
          <w:p w:rsidR="00710386" w:rsidRPr="00CD2964" w:rsidRDefault="00710386" w:rsidP="00710386">
            <w:pPr>
              <w:spacing w:after="0"/>
              <w:ind w:left="102"/>
              <w:rPr>
                <w:rFonts w:cs="Times New Roman"/>
              </w:rPr>
            </w:pPr>
            <w:proofErr w:type="spellStart"/>
            <w:r w:rsidRPr="00CD2964">
              <w:rPr>
                <w:rFonts w:cs="Times New Roman"/>
                <w:bCs/>
              </w:rPr>
              <w:t>Cypermethrin</w:t>
            </w:r>
            <w:r>
              <w:rPr>
                <w:rFonts w:cs="Times New Roman"/>
                <w:bCs/>
              </w:rPr>
              <w:t>,</w:t>
            </w:r>
            <w:r w:rsidRPr="00CD2964">
              <w:rPr>
                <w:rFonts w:cs="Times New Roman"/>
                <w:bCs/>
              </w:rPr>
              <w:t>beta-cypermethrin</w:t>
            </w:r>
            <w:proofErr w:type="spellEnd"/>
          </w:p>
        </w:tc>
        <w:tc>
          <w:tcPr>
            <w:tcW w:w="1719" w:type="pct"/>
            <w:vAlign w:val="center"/>
          </w:tcPr>
          <w:p w:rsidR="00710386" w:rsidRPr="00CD2964" w:rsidRDefault="00710386" w:rsidP="00710386">
            <w:pPr>
              <w:spacing w:after="0"/>
              <w:jc w:val="center"/>
              <w:rPr>
                <w:rFonts w:cs="Times New Roman"/>
              </w:rPr>
            </w:pPr>
            <w:r w:rsidRPr="00CD2964">
              <w:rPr>
                <w:rFonts w:cs="Times New Roman"/>
              </w:rPr>
              <w:t>20</w:t>
            </w:r>
          </w:p>
        </w:tc>
      </w:tr>
      <w:tr w:rsidR="00710386" w:rsidRPr="00CD2964" w:rsidTr="00710386">
        <w:trPr>
          <w:trHeight w:val="74"/>
          <w:jc w:val="center"/>
        </w:trPr>
        <w:tc>
          <w:tcPr>
            <w:tcW w:w="3281" w:type="pct"/>
            <w:vAlign w:val="center"/>
          </w:tcPr>
          <w:p w:rsidR="00710386" w:rsidRPr="00CD2964" w:rsidRDefault="00710386" w:rsidP="00710386">
            <w:pPr>
              <w:spacing w:after="0"/>
              <w:ind w:left="102"/>
              <w:rPr>
                <w:rFonts w:cs="Times New Roman"/>
              </w:rPr>
            </w:pPr>
            <w:r w:rsidRPr="00CD2964">
              <w:rPr>
                <w:rFonts w:cs="Times New Roman"/>
                <w:bCs/>
                <w:lang w:val="es-ES"/>
              </w:rPr>
              <w:t>DDT</w:t>
            </w:r>
          </w:p>
        </w:tc>
        <w:tc>
          <w:tcPr>
            <w:tcW w:w="1719" w:type="pct"/>
            <w:vAlign w:val="center"/>
          </w:tcPr>
          <w:p w:rsidR="00710386" w:rsidRPr="00CD2964" w:rsidRDefault="00710386" w:rsidP="00710386">
            <w:pPr>
              <w:spacing w:after="0"/>
              <w:jc w:val="center"/>
              <w:rPr>
                <w:rFonts w:cs="Times New Roman"/>
              </w:rPr>
            </w:pPr>
            <w:r w:rsidRPr="00CD2964">
              <w:rPr>
                <w:rFonts w:cs="Times New Roman"/>
              </w:rPr>
              <w:t>0.2</w:t>
            </w:r>
          </w:p>
        </w:tc>
      </w:tr>
      <w:tr w:rsidR="00710386" w:rsidRPr="00CD2964" w:rsidTr="00710386">
        <w:trPr>
          <w:trHeight w:val="74"/>
          <w:jc w:val="center"/>
        </w:trPr>
        <w:tc>
          <w:tcPr>
            <w:tcW w:w="3281" w:type="pct"/>
            <w:vAlign w:val="center"/>
          </w:tcPr>
          <w:p w:rsidR="00710386" w:rsidRPr="00CD2964" w:rsidRDefault="00710386" w:rsidP="00710386">
            <w:pPr>
              <w:spacing w:after="0"/>
              <w:ind w:left="102"/>
              <w:rPr>
                <w:rFonts w:cs="Times New Roman"/>
                <w:bCs/>
              </w:rPr>
            </w:pPr>
            <w:proofErr w:type="spellStart"/>
            <w:r w:rsidRPr="00CD2964">
              <w:rPr>
                <w:rFonts w:cs="Times New Roman"/>
                <w:bCs/>
              </w:rPr>
              <w:t>Demeton</w:t>
            </w:r>
            <w:proofErr w:type="spellEnd"/>
          </w:p>
        </w:tc>
        <w:tc>
          <w:tcPr>
            <w:tcW w:w="1719" w:type="pct"/>
            <w:vAlign w:val="center"/>
          </w:tcPr>
          <w:p w:rsidR="00710386" w:rsidRPr="00CD2964" w:rsidRDefault="00710386" w:rsidP="00710386">
            <w:pPr>
              <w:spacing w:after="0"/>
              <w:jc w:val="center"/>
              <w:rPr>
                <w:rFonts w:cs="Times New Roman"/>
              </w:rPr>
            </w:pPr>
            <w:r w:rsidRPr="00CD2964">
              <w:rPr>
                <w:rFonts w:cs="Times New Roman"/>
              </w:rPr>
              <w:t>0.05</w:t>
            </w:r>
          </w:p>
        </w:tc>
      </w:tr>
      <w:tr w:rsidR="00710386" w:rsidRPr="00CD2964" w:rsidTr="00710386">
        <w:trPr>
          <w:trHeight w:val="110"/>
          <w:jc w:val="center"/>
        </w:trPr>
        <w:tc>
          <w:tcPr>
            <w:tcW w:w="3281" w:type="pct"/>
            <w:vAlign w:val="center"/>
          </w:tcPr>
          <w:p w:rsidR="00710386" w:rsidRPr="00CD2964" w:rsidRDefault="00710386" w:rsidP="00710386">
            <w:pPr>
              <w:spacing w:after="0"/>
              <w:ind w:left="102"/>
              <w:rPr>
                <w:rFonts w:cs="Times New Roman"/>
              </w:rPr>
            </w:pPr>
            <w:proofErr w:type="spellStart"/>
            <w:r w:rsidRPr="00CD2964">
              <w:rPr>
                <w:rFonts w:cs="Times New Roman"/>
                <w:bCs/>
              </w:rPr>
              <w:t>Deltamethrin</w:t>
            </w:r>
            <w:proofErr w:type="spellEnd"/>
          </w:p>
        </w:tc>
        <w:tc>
          <w:tcPr>
            <w:tcW w:w="1719" w:type="pct"/>
            <w:vAlign w:val="center"/>
          </w:tcPr>
          <w:p w:rsidR="00710386" w:rsidRPr="00CD2964" w:rsidRDefault="00710386" w:rsidP="00710386">
            <w:pPr>
              <w:spacing w:after="0"/>
              <w:jc w:val="center"/>
              <w:rPr>
                <w:rFonts w:cs="Times New Roman"/>
              </w:rPr>
            </w:pPr>
            <w:r w:rsidRPr="00CD2964">
              <w:rPr>
                <w:rFonts w:cs="Times New Roman"/>
              </w:rPr>
              <w:t>10</w:t>
            </w:r>
          </w:p>
        </w:tc>
      </w:tr>
      <w:tr w:rsidR="00710386" w:rsidRPr="00CD2964" w:rsidTr="00710386">
        <w:trPr>
          <w:trHeight w:val="110"/>
          <w:jc w:val="center"/>
        </w:trPr>
        <w:tc>
          <w:tcPr>
            <w:tcW w:w="3281" w:type="pct"/>
            <w:vAlign w:val="center"/>
          </w:tcPr>
          <w:p w:rsidR="00710386" w:rsidRPr="00CD2964" w:rsidRDefault="00710386" w:rsidP="00710386">
            <w:pPr>
              <w:spacing w:after="0"/>
              <w:ind w:left="102"/>
              <w:rPr>
                <w:rFonts w:cs="Times New Roman"/>
              </w:rPr>
            </w:pPr>
            <w:proofErr w:type="spellStart"/>
            <w:r w:rsidRPr="00CD2964">
              <w:rPr>
                <w:rFonts w:cs="Times New Roman"/>
                <w:bCs/>
              </w:rPr>
              <w:t>Diafenthiuron</w:t>
            </w:r>
            <w:proofErr w:type="spellEnd"/>
          </w:p>
        </w:tc>
        <w:tc>
          <w:tcPr>
            <w:tcW w:w="1719" w:type="pct"/>
            <w:vAlign w:val="center"/>
          </w:tcPr>
          <w:p w:rsidR="00710386" w:rsidRPr="00CD2964" w:rsidRDefault="00710386" w:rsidP="00710386">
            <w:pPr>
              <w:spacing w:after="0"/>
              <w:jc w:val="center"/>
              <w:rPr>
                <w:rFonts w:cs="Times New Roman"/>
              </w:rPr>
            </w:pPr>
            <w:r w:rsidRPr="00CD2964">
              <w:rPr>
                <w:rFonts w:cs="Times New Roman"/>
              </w:rPr>
              <w:t>5*</w:t>
            </w:r>
          </w:p>
        </w:tc>
      </w:tr>
      <w:tr w:rsidR="00710386" w:rsidRPr="00CD2964" w:rsidTr="00710386">
        <w:trPr>
          <w:trHeight w:val="78"/>
          <w:jc w:val="center"/>
        </w:trPr>
        <w:tc>
          <w:tcPr>
            <w:tcW w:w="3281" w:type="pct"/>
            <w:vAlign w:val="center"/>
          </w:tcPr>
          <w:p w:rsidR="00710386" w:rsidRPr="00CD2964" w:rsidRDefault="00710386" w:rsidP="00710386">
            <w:pPr>
              <w:spacing w:after="0"/>
              <w:ind w:left="102"/>
              <w:rPr>
                <w:rFonts w:cs="Times New Roman"/>
                <w:bCs/>
              </w:rPr>
            </w:pPr>
            <w:proofErr w:type="spellStart"/>
            <w:r w:rsidRPr="00CD2964">
              <w:rPr>
                <w:rFonts w:cs="Times New Roman"/>
              </w:rPr>
              <w:t>Dicofol</w:t>
            </w:r>
            <w:proofErr w:type="spellEnd"/>
          </w:p>
        </w:tc>
        <w:tc>
          <w:tcPr>
            <w:tcW w:w="1719" w:type="pct"/>
            <w:vAlign w:val="center"/>
          </w:tcPr>
          <w:p w:rsidR="00710386" w:rsidRPr="00CD2964" w:rsidRDefault="00710386" w:rsidP="00710386">
            <w:pPr>
              <w:spacing w:after="0"/>
              <w:jc w:val="center"/>
              <w:rPr>
                <w:rFonts w:cs="Times New Roman"/>
              </w:rPr>
            </w:pPr>
            <w:r w:rsidRPr="00CD2964">
              <w:rPr>
                <w:rFonts w:cs="Times New Roman"/>
              </w:rPr>
              <w:t>0.2</w:t>
            </w:r>
          </w:p>
        </w:tc>
      </w:tr>
      <w:tr w:rsidR="00710386" w:rsidRPr="00CD2964" w:rsidTr="00710386">
        <w:trPr>
          <w:trHeight w:val="68"/>
          <w:jc w:val="center"/>
        </w:trPr>
        <w:tc>
          <w:tcPr>
            <w:tcW w:w="3281" w:type="pct"/>
            <w:vAlign w:val="center"/>
          </w:tcPr>
          <w:p w:rsidR="00710386" w:rsidRPr="00CD2964" w:rsidRDefault="00710386" w:rsidP="00710386">
            <w:pPr>
              <w:spacing w:after="0"/>
              <w:ind w:left="102"/>
              <w:rPr>
                <w:rFonts w:cs="Times New Roman"/>
              </w:rPr>
            </w:pPr>
            <w:proofErr w:type="spellStart"/>
            <w:r w:rsidRPr="00CD2964">
              <w:rPr>
                <w:rFonts w:cs="Times New Roman"/>
                <w:bCs/>
              </w:rPr>
              <w:t>Difenoconazole</w:t>
            </w:r>
            <w:proofErr w:type="spellEnd"/>
          </w:p>
        </w:tc>
        <w:tc>
          <w:tcPr>
            <w:tcW w:w="1719" w:type="pct"/>
            <w:vAlign w:val="center"/>
          </w:tcPr>
          <w:p w:rsidR="00710386" w:rsidRPr="00CD2964" w:rsidRDefault="00710386" w:rsidP="00710386">
            <w:pPr>
              <w:spacing w:after="0"/>
              <w:jc w:val="center"/>
              <w:rPr>
                <w:rFonts w:cs="Times New Roman"/>
              </w:rPr>
            </w:pPr>
            <w:r w:rsidRPr="00CD2964">
              <w:rPr>
                <w:rFonts w:cs="Times New Roman"/>
              </w:rPr>
              <w:t>10</w:t>
            </w:r>
          </w:p>
        </w:tc>
      </w:tr>
      <w:tr w:rsidR="00710386" w:rsidRPr="00CD2964" w:rsidTr="00710386">
        <w:trPr>
          <w:trHeight w:val="68"/>
          <w:jc w:val="center"/>
        </w:trPr>
        <w:tc>
          <w:tcPr>
            <w:tcW w:w="3281" w:type="pct"/>
            <w:vAlign w:val="center"/>
          </w:tcPr>
          <w:p w:rsidR="00710386" w:rsidRPr="00CD2964" w:rsidRDefault="00710386" w:rsidP="00710386">
            <w:pPr>
              <w:spacing w:after="0"/>
              <w:ind w:left="102"/>
              <w:rPr>
                <w:rFonts w:cs="Times New Roman"/>
              </w:rPr>
            </w:pPr>
            <w:r w:rsidRPr="00CD2964">
              <w:rPr>
                <w:rFonts w:cs="Times New Roman"/>
                <w:bCs/>
                <w:noProof/>
              </w:rPr>
              <w:t>Diflubenzuron</w:t>
            </w:r>
          </w:p>
        </w:tc>
        <w:tc>
          <w:tcPr>
            <w:tcW w:w="1719" w:type="pct"/>
            <w:vAlign w:val="center"/>
          </w:tcPr>
          <w:p w:rsidR="00710386" w:rsidRPr="00CD2964" w:rsidRDefault="00710386" w:rsidP="00710386">
            <w:pPr>
              <w:spacing w:after="0"/>
              <w:jc w:val="center"/>
              <w:rPr>
                <w:rFonts w:cs="Times New Roman"/>
              </w:rPr>
            </w:pPr>
            <w:r w:rsidRPr="00CD2964">
              <w:rPr>
                <w:rFonts w:cs="Times New Roman"/>
              </w:rPr>
              <w:t>20</w:t>
            </w:r>
          </w:p>
        </w:tc>
      </w:tr>
      <w:tr w:rsidR="00710386" w:rsidRPr="00CD2964" w:rsidTr="00710386">
        <w:trPr>
          <w:trHeight w:val="68"/>
          <w:jc w:val="center"/>
        </w:trPr>
        <w:tc>
          <w:tcPr>
            <w:tcW w:w="3281" w:type="pct"/>
            <w:vAlign w:val="center"/>
          </w:tcPr>
          <w:p w:rsidR="00710386" w:rsidRPr="00CD2964" w:rsidRDefault="00710386" w:rsidP="00710386">
            <w:pPr>
              <w:spacing w:after="0"/>
              <w:ind w:left="102"/>
              <w:rPr>
                <w:rFonts w:cs="Times New Roman"/>
              </w:rPr>
            </w:pPr>
            <w:proofErr w:type="spellStart"/>
            <w:r w:rsidRPr="00CD2964">
              <w:rPr>
                <w:rFonts w:cs="Times New Roman"/>
                <w:bCs/>
              </w:rPr>
              <w:t>Endosulfan</w:t>
            </w:r>
            <w:proofErr w:type="spellEnd"/>
          </w:p>
        </w:tc>
        <w:tc>
          <w:tcPr>
            <w:tcW w:w="1719" w:type="pct"/>
            <w:vAlign w:val="center"/>
          </w:tcPr>
          <w:p w:rsidR="00710386" w:rsidRPr="00CD2964" w:rsidRDefault="00710386" w:rsidP="00710386">
            <w:pPr>
              <w:spacing w:after="0"/>
              <w:jc w:val="center"/>
              <w:rPr>
                <w:rFonts w:cs="Times New Roman"/>
              </w:rPr>
            </w:pPr>
            <w:r w:rsidRPr="00CD2964">
              <w:rPr>
                <w:rFonts w:cs="Times New Roman"/>
              </w:rPr>
              <w:t>10</w:t>
            </w:r>
          </w:p>
        </w:tc>
      </w:tr>
      <w:tr w:rsidR="00710386" w:rsidRPr="00CD2964" w:rsidTr="00710386">
        <w:trPr>
          <w:trHeight w:val="68"/>
          <w:jc w:val="center"/>
        </w:trPr>
        <w:tc>
          <w:tcPr>
            <w:tcW w:w="3281" w:type="pct"/>
            <w:vAlign w:val="center"/>
          </w:tcPr>
          <w:p w:rsidR="00710386" w:rsidRPr="00CD2964" w:rsidRDefault="00710386" w:rsidP="00710386">
            <w:pPr>
              <w:spacing w:after="0"/>
              <w:ind w:left="102"/>
              <w:rPr>
                <w:rFonts w:cs="Times New Roman"/>
                <w:bCs/>
              </w:rPr>
            </w:pPr>
            <w:proofErr w:type="spellStart"/>
            <w:r w:rsidRPr="00CD2964">
              <w:rPr>
                <w:rFonts w:cs="Times New Roman"/>
                <w:bCs/>
              </w:rPr>
              <w:t>Ethoprophos</w:t>
            </w:r>
            <w:proofErr w:type="spellEnd"/>
          </w:p>
        </w:tc>
        <w:tc>
          <w:tcPr>
            <w:tcW w:w="1719" w:type="pct"/>
            <w:vAlign w:val="center"/>
          </w:tcPr>
          <w:p w:rsidR="00710386" w:rsidRPr="00CD2964" w:rsidRDefault="00710386" w:rsidP="00710386">
            <w:pPr>
              <w:spacing w:after="0"/>
              <w:jc w:val="center"/>
              <w:rPr>
                <w:rFonts w:cs="Times New Roman"/>
              </w:rPr>
            </w:pPr>
            <w:r w:rsidRPr="00CD2964">
              <w:rPr>
                <w:rFonts w:cs="Times New Roman"/>
              </w:rPr>
              <w:t>0.05</w:t>
            </w:r>
          </w:p>
        </w:tc>
      </w:tr>
      <w:tr w:rsidR="00710386" w:rsidRPr="00CD2964" w:rsidTr="00710386">
        <w:trPr>
          <w:trHeight w:val="68"/>
          <w:jc w:val="center"/>
        </w:trPr>
        <w:tc>
          <w:tcPr>
            <w:tcW w:w="3281" w:type="pct"/>
            <w:vAlign w:val="center"/>
          </w:tcPr>
          <w:p w:rsidR="00710386" w:rsidRPr="00CD2964" w:rsidRDefault="00710386" w:rsidP="00710386">
            <w:pPr>
              <w:spacing w:after="0"/>
              <w:ind w:left="102"/>
              <w:rPr>
                <w:rFonts w:cs="Times New Roman"/>
                <w:bCs/>
                <w:highlight w:val="yellow"/>
              </w:rPr>
            </w:pPr>
            <w:proofErr w:type="spellStart"/>
            <w:r w:rsidRPr="00CD2964">
              <w:rPr>
                <w:rFonts w:cs="Times New Roman"/>
              </w:rPr>
              <w:t>Fenazaquin</w:t>
            </w:r>
            <w:proofErr w:type="spellEnd"/>
          </w:p>
        </w:tc>
        <w:tc>
          <w:tcPr>
            <w:tcW w:w="1719" w:type="pct"/>
            <w:vAlign w:val="center"/>
          </w:tcPr>
          <w:p w:rsidR="00710386" w:rsidRPr="00CD2964" w:rsidRDefault="00710386" w:rsidP="00710386">
            <w:pPr>
              <w:spacing w:after="0"/>
              <w:jc w:val="center"/>
              <w:rPr>
                <w:rFonts w:cs="Times New Roman"/>
                <w:lang w:val="de-DE"/>
              </w:rPr>
            </w:pPr>
            <w:r w:rsidRPr="00CD2964">
              <w:rPr>
                <w:rFonts w:cs="Times New Roman"/>
                <w:lang w:val="de-DE"/>
              </w:rPr>
              <w:t>15</w:t>
            </w:r>
          </w:p>
        </w:tc>
      </w:tr>
      <w:tr w:rsidR="00710386" w:rsidRPr="00CD2964" w:rsidTr="00710386">
        <w:trPr>
          <w:trHeight w:val="68"/>
          <w:jc w:val="center"/>
        </w:trPr>
        <w:tc>
          <w:tcPr>
            <w:tcW w:w="3281" w:type="pct"/>
            <w:vAlign w:val="center"/>
          </w:tcPr>
          <w:p w:rsidR="00710386" w:rsidRPr="00CD2964" w:rsidRDefault="00710386" w:rsidP="00710386">
            <w:pPr>
              <w:spacing w:after="0"/>
              <w:ind w:left="102"/>
              <w:rPr>
                <w:rFonts w:cs="Times New Roman"/>
                <w:lang w:val="de-DE"/>
              </w:rPr>
            </w:pPr>
            <w:r w:rsidRPr="00CD2964">
              <w:rPr>
                <w:rFonts w:cs="Times New Roman"/>
                <w:bCs/>
                <w:lang w:val="de-DE"/>
              </w:rPr>
              <w:t>Fenpropathrin</w:t>
            </w:r>
          </w:p>
        </w:tc>
        <w:tc>
          <w:tcPr>
            <w:tcW w:w="1719" w:type="pct"/>
            <w:vAlign w:val="center"/>
          </w:tcPr>
          <w:p w:rsidR="00710386" w:rsidRPr="00CD2964" w:rsidRDefault="00710386" w:rsidP="00710386">
            <w:pPr>
              <w:spacing w:after="0"/>
              <w:jc w:val="center"/>
              <w:rPr>
                <w:rFonts w:cs="Times New Roman"/>
                <w:lang w:val="de-DE"/>
              </w:rPr>
            </w:pPr>
            <w:r w:rsidRPr="00CD2964">
              <w:rPr>
                <w:rFonts w:cs="Times New Roman"/>
                <w:lang w:val="de-DE"/>
              </w:rPr>
              <w:t>5</w:t>
            </w:r>
          </w:p>
        </w:tc>
      </w:tr>
      <w:tr w:rsidR="00710386" w:rsidRPr="00CD2964" w:rsidTr="00710386">
        <w:trPr>
          <w:trHeight w:val="68"/>
          <w:jc w:val="center"/>
        </w:trPr>
        <w:tc>
          <w:tcPr>
            <w:tcW w:w="3281" w:type="pct"/>
            <w:vAlign w:val="center"/>
          </w:tcPr>
          <w:p w:rsidR="00710386" w:rsidRPr="00CD2964" w:rsidRDefault="00710386" w:rsidP="00710386">
            <w:pPr>
              <w:spacing w:after="0"/>
              <w:ind w:left="102"/>
              <w:rPr>
                <w:rFonts w:cs="Times New Roman"/>
              </w:rPr>
            </w:pPr>
            <w:r w:rsidRPr="00CD2964">
              <w:rPr>
                <w:rFonts w:cs="Times New Roman"/>
                <w:bCs/>
                <w:lang w:val="de-DE"/>
              </w:rPr>
              <w:t>F</w:t>
            </w:r>
            <w:proofErr w:type="spellStart"/>
            <w:r w:rsidRPr="00CD2964">
              <w:rPr>
                <w:rFonts w:cs="Times New Roman"/>
                <w:bCs/>
              </w:rPr>
              <w:t>enitrothion</w:t>
            </w:r>
            <w:proofErr w:type="spellEnd"/>
          </w:p>
        </w:tc>
        <w:tc>
          <w:tcPr>
            <w:tcW w:w="1719" w:type="pct"/>
            <w:vAlign w:val="center"/>
          </w:tcPr>
          <w:p w:rsidR="00710386" w:rsidRPr="00CD2964" w:rsidRDefault="00710386" w:rsidP="00710386">
            <w:pPr>
              <w:spacing w:after="0"/>
              <w:jc w:val="center"/>
              <w:rPr>
                <w:rFonts w:cs="Times New Roman"/>
              </w:rPr>
            </w:pPr>
            <w:r w:rsidRPr="00CD2964">
              <w:rPr>
                <w:rFonts w:cs="Times New Roman"/>
              </w:rPr>
              <w:t>0.5</w:t>
            </w:r>
          </w:p>
        </w:tc>
      </w:tr>
      <w:tr w:rsidR="00710386" w:rsidRPr="00CD2964" w:rsidTr="00710386">
        <w:trPr>
          <w:trHeight w:val="68"/>
          <w:jc w:val="center"/>
        </w:trPr>
        <w:tc>
          <w:tcPr>
            <w:tcW w:w="3281" w:type="pct"/>
            <w:vAlign w:val="center"/>
          </w:tcPr>
          <w:p w:rsidR="00710386" w:rsidRPr="00CD2964" w:rsidRDefault="00710386" w:rsidP="00710386">
            <w:pPr>
              <w:spacing w:after="0"/>
              <w:ind w:left="102"/>
              <w:rPr>
                <w:rFonts w:cs="Times New Roman"/>
                <w:bCs/>
              </w:rPr>
            </w:pPr>
            <w:r w:rsidRPr="00CD2964">
              <w:rPr>
                <w:rFonts w:cs="Times New Roman"/>
                <w:bCs/>
                <w:lang w:val="de-DE"/>
              </w:rPr>
              <w:t>F</w:t>
            </w:r>
            <w:proofErr w:type="spellStart"/>
            <w:r w:rsidRPr="00CD2964">
              <w:rPr>
                <w:rFonts w:cs="Times New Roman"/>
                <w:bCs/>
              </w:rPr>
              <w:t>envalerate</w:t>
            </w:r>
            <w:proofErr w:type="spellEnd"/>
            <w:r w:rsidRPr="00CD2964">
              <w:rPr>
                <w:rFonts w:cs="Times New Roman"/>
                <w:bCs/>
              </w:rPr>
              <w:t>/</w:t>
            </w:r>
          </w:p>
          <w:p w:rsidR="00710386" w:rsidRPr="00CD2964" w:rsidRDefault="00710386" w:rsidP="00710386">
            <w:pPr>
              <w:spacing w:after="0"/>
              <w:ind w:left="102"/>
              <w:rPr>
                <w:rFonts w:cs="Times New Roman"/>
                <w:bCs/>
              </w:rPr>
            </w:pPr>
            <w:r w:rsidRPr="00CD2964">
              <w:rPr>
                <w:rFonts w:cs="Times New Roman"/>
                <w:bCs/>
              </w:rPr>
              <w:t>S-</w:t>
            </w:r>
            <w:proofErr w:type="spellStart"/>
            <w:r w:rsidRPr="00CD2964">
              <w:rPr>
                <w:rFonts w:cs="Times New Roman"/>
                <w:bCs/>
              </w:rPr>
              <w:t>fenvalerate</w:t>
            </w:r>
            <w:proofErr w:type="spellEnd"/>
          </w:p>
        </w:tc>
        <w:tc>
          <w:tcPr>
            <w:tcW w:w="1719" w:type="pct"/>
            <w:vAlign w:val="center"/>
          </w:tcPr>
          <w:p w:rsidR="00710386" w:rsidRPr="00CD2964" w:rsidRDefault="00710386" w:rsidP="00710386">
            <w:pPr>
              <w:spacing w:after="0"/>
              <w:jc w:val="center"/>
              <w:rPr>
                <w:rFonts w:cs="Times New Roman"/>
              </w:rPr>
            </w:pPr>
            <w:r w:rsidRPr="00CD2964">
              <w:rPr>
                <w:rFonts w:cs="Times New Roman"/>
              </w:rPr>
              <w:t>0.1</w:t>
            </w:r>
          </w:p>
        </w:tc>
      </w:tr>
      <w:tr w:rsidR="00710386" w:rsidRPr="00CD2964" w:rsidTr="00710386">
        <w:trPr>
          <w:trHeight w:val="68"/>
          <w:jc w:val="center"/>
        </w:trPr>
        <w:tc>
          <w:tcPr>
            <w:tcW w:w="3281" w:type="pct"/>
            <w:vAlign w:val="center"/>
          </w:tcPr>
          <w:p w:rsidR="00710386" w:rsidRPr="00CD2964" w:rsidRDefault="00710386" w:rsidP="00710386">
            <w:pPr>
              <w:spacing w:after="0"/>
              <w:ind w:left="102"/>
              <w:rPr>
                <w:rFonts w:cs="Times New Roman"/>
              </w:rPr>
            </w:pPr>
            <w:r w:rsidRPr="00CD2964">
              <w:rPr>
                <w:rFonts w:cs="Times New Roman"/>
                <w:bCs/>
                <w:lang w:val="de-DE"/>
              </w:rPr>
              <w:t>F</w:t>
            </w:r>
            <w:proofErr w:type="spellStart"/>
            <w:r w:rsidRPr="00CD2964">
              <w:rPr>
                <w:rFonts w:cs="Times New Roman"/>
                <w:bCs/>
              </w:rPr>
              <w:t>lucythrinate</w:t>
            </w:r>
            <w:proofErr w:type="spellEnd"/>
          </w:p>
        </w:tc>
        <w:tc>
          <w:tcPr>
            <w:tcW w:w="1719" w:type="pct"/>
            <w:vAlign w:val="center"/>
          </w:tcPr>
          <w:p w:rsidR="00710386" w:rsidRPr="00CD2964" w:rsidRDefault="00710386" w:rsidP="00710386">
            <w:pPr>
              <w:spacing w:after="0"/>
              <w:jc w:val="center"/>
              <w:rPr>
                <w:rFonts w:cs="Times New Roman"/>
              </w:rPr>
            </w:pPr>
            <w:r w:rsidRPr="00CD2964">
              <w:rPr>
                <w:rFonts w:cs="Times New Roman"/>
              </w:rPr>
              <w:t>20</w:t>
            </w:r>
          </w:p>
        </w:tc>
      </w:tr>
      <w:tr w:rsidR="00710386" w:rsidRPr="00CD2964" w:rsidTr="00710386">
        <w:trPr>
          <w:trHeight w:val="68"/>
          <w:jc w:val="center"/>
        </w:trPr>
        <w:tc>
          <w:tcPr>
            <w:tcW w:w="3281" w:type="pct"/>
            <w:vAlign w:val="center"/>
          </w:tcPr>
          <w:p w:rsidR="00710386" w:rsidRPr="00CD2964" w:rsidRDefault="00710386" w:rsidP="00710386">
            <w:pPr>
              <w:spacing w:after="0"/>
              <w:ind w:left="102"/>
              <w:rPr>
                <w:rFonts w:cs="Times New Roman"/>
              </w:rPr>
            </w:pPr>
            <w:proofErr w:type="spellStart"/>
            <w:r w:rsidRPr="00CD2964">
              <w:rPr>
                <w:rFonts w:cs="Times New Roman"/>
                <w:bCs/>
              </w:rPr>
              <w:t>Glufosinate</w:t>
            </w:r>
            <w:proofErr w:type="spellEnd"/>
            <w:r w:rsidRPr="00CD2964">
              <w:rPr>
                <w:rFonts w:cs="Times New Roman"/>
                <w:bCs/>
              </w:rPr>
              <w:t>-ammonium</w:t>
            </w:r>
          </w:p>
        </w:tc>
        <w:tc>
          <w:tcPr>
            <w:tcW w:w="1719" w:type="pct"/>
            <w:vAlign w:val="center"/>
          </w:tcPr>
          <w:p w:rsidR="00710386" w:rsidRPr="00CD2964" w:rsidRDefault="00710386" w:rsidP="00710386">
            <w:pPr>
              <w:spacing w:after="0"/>
              <w:jc w:val="center"/>
              <w:rPr>
                <w:rFonts w:cs="Times New Roman"/>
              </w:rPr>
            </w:pPr>
            <w:r w:rsidRPr="00CD2964">
              <w:rPr>
                <w:rFonts w:cs="Times New Roman"/>
              </w:rPr>
              <w:t>0.5</w:t>
            </w:r>
          </w:p>
        </w:tc>
      </w:tr>
      <w:tr w:rsidR="00710386" w:rsidRPr="00CD2964" w:rsidTr="00710386">
        <w:trPr>
          <w:trHeight w:val="68"/>
          <w:jc w:val="center"/>
        </w:trPr>
        <w:tc>
          <w:tcPr>
            <w:tcW w:w="3281" w:type="pct"/>
            <w:vAlign w:val="center"/>
          </w:tcPr>
          <w:p w:rsidR="00710386" w:rsidRPr="00CD2964" w:rsidRDefault="00710386" w:rsidP="00710386">
            <w:pPr>
              <w:spacing w:after="0"/>
              <w:ind w:left="102"/>
              <w:rPr>
                <w:rFonts w:cs="Times New Roman"/>
              </w:rPr>
            </w:pPr>
            <w:r w:rsidRPr="00CD2964">
              <w:rPr>
                <w:rFonts w:cs="Times New Roman"/>
                <w:bCs/>
              </w:rPr>
              <w:t>Glyphosate</w:t>
            </w:r>
          </w:p>
        </w:tc>
        <w:tc>
          <w:tcPr>
            <w:tcW w:w="1719" w:type="pct"/>
            <w:vAlign w:val="center"/>
          </w:tcPr>
          <w:p w:rsidR="00710386" w:rsidRPr="00CD2964" w:rsidRDefault="00710386" w:rsidP="00710386">
            <w:pPr>
              <w:spacing w:after="0"/>
              <w:jc w:val="center"/>
              <w:rPr>
                <w:rFonts w:cs="Times New Roman"/>
              </w:rPr>
            </w:pPr>
            <w:r w:rsidRPr="00CD2964">
              <w:rPr>
                <w:rFonts w:cs="Times New Roman"/>
              </w:rPr>
              <w:t>1</w:t>
            </w:r>
          </w:p>
        </w:tc>
      </w:tr>
      <w:tr w:rsidR="00710386" w:rsidRPr="00CD2964" w:rsidTr="00710386">
        <w:trPr>
          <w:trHeight w:val="68"/>
          <w:jc w:val="center"/>
        </w:trPr>
        <w:tc>
          <w:tcPr>
            <w:tcW w:w="3281" w:type="pct"/>
            <w:vAlign w:val="center"/>
          </w:tcPr>
          <w:p w:rsidR="00710386" w:rsidRPr="00CD2964" w:rsidRDefault="00710386" w:rsidP="00710386">
            <w:pPr>
              <w:spacing w:after="0"/>
              <w:ind w:left="102"/>
              <w:rPr>
                <w:rFonts w:cs="Times New Roman"/>
              </w:rPr>
            </w:pPr>
            <w:proofErr w:type="spellStart"/>
            <w:r>
              <w:rPr>
                <w:rFonts w:cs="Times New Roman"/>
                <w:bCs/>
              </w:rPr>
              <w:t>H</w:t>
            </w:r>
            <w:r w:rsidRPr="00CD2964">
              <w:rPr>
                <w:rFonts w:cs="Times New Roman"/>
                <w:bCs/>
              </w:rPr>
              <w:t>exachlorocyclohexane</w:t>
            </w:r>
            <w:proofErr w:type="spellEnd"/>
            <w:r>
              <w:rPr>
                <w:rFonts w:cs="Times New Roman"/>
                <w:bCs/>
              </w:rPr>
              <w:t xml:space="preserve"> HCH)</w:t>
            </w:r>
          </w:p>
        </w:tc>
        <w:tc>
          <w:tcPr>
            <w:tcW w:w="1719" w:type="pct"/>
            <w:vAlign w:val="center"/>
          </w:tcPr>
          <w:p w:rsidR="00710386" w:rsidRPr="00CD2964" w:rsidRDefault="00710386" w:rsidP="00710386">
            <w:pPr>
              <w:spacing w:after="0"/>
              <w:jc w:val="center"/>
              <w:rPr>
                <w:rFonts w:cs="Times New Roman"/>
              </w:rPr>
            </w:pPr>
            <w:r w:rsidRPr="00CD2964">
              <w:rPr>
                <w:rFonts w:cs="Times New Roman"/>
              </w:rPr>
              <w:t>0.2</w:t>
            </w:r>
          </w:p>
        </w:tc>
      </w:tr>
      <w:tr w:rsidR="00710386" w:rsidRPr="00CD2964" w:rsidTr="00710386">
        <w:trPr>
          <w:trHeight w:val="68"/>
          <w:jc w:val="center"/>
        </w:trPr>
        <w:tc>
          <w:tcPr>
            <w:tcW w:w="3281" w:type="pct"/>
            <w:vAlign w:val="center"/>
          </w:tcPr>
          <w:p w:rsidR="00710386" w:rsidRPr="00CD2964" w:rsidRDefault="00710386" w:rsidP="00710386">
            <w:pPr>
              <w:spacing w:after="0"/>
              <w:ind w:left="102"/>
              <w:rPr>
                <w:rFonts w:cs="Times New Roman"/>
                <w:bCs/>
              </w:rPr>
            </w:pPr>
            <w:proofErr w:type="spellStart"/>
            <w:r w:rsidRPr="00CD2964">
              <w:rPr>
                <w:rFonts w:cs="Times New Roman"/>
              </w:rPr>
              <w:t>Hexythiazox</w:t>
            </w:r>
            <w:proofErr w:type="spellEnd"/>
          </w:p>
        </w:tc>
        <w:tc>
          <w:tcPr>
            <w:tcW w:w="1719" w:type="pct"/>
            <w:vAlign w:val="center"/>
          </w:tcPr>
          <w:p w:rsidR="00710386" w:rsidRPr="00CD2964" w:rsidRDefault="00710386" w:rsidP="00710386">
            <w:pPr>
              <w:spacing w:after="0"/>
              <w:jc w:val="center"/>
              <w:rPr>
                <w:rFonts w:cs="Times New Roman"/>
              </w:rPr>
            </w:pPr>
            <w:r w:rsidRPr="00CD2964">
              <w:rPr>
                <w:rFonts w:cs="Times New Roman"/>
              </w:rPr>
              <w:t>15</w:t>
            </w:r>
          </w:p>
        </w:tc>
      </w:tr>
      <w:tr w:rsidR="00710386" w:rsidRPr="00CD2964" w:rsidTr="00710386">
        <w:trPr>
          <w:trHeight w:val="68"/>
          <w:jc w:val="center"/>
        </w:trPr>
        <w:tc>
          <w:tcPr>
            <w:tcW w:w="3281" w:type="pct"/>
            <w:vAlign w:val="center"/>
          </w:tcPr>
          <w:p w:rsidR="00710386" w:rsidRPr="00CD2964" w:rsidRDefault="00710386" w:rsidP="00710386">
            <w:pPr>
              <w:spacing w:after="0"/>
              <w:ind w:left="102"/>
              <w:rPr>
                <w:rFonts w:cs="Times New Roman"/>
                <w:bCs/>
              </w:rPr>
            </w:pPr>
            <w:proofErr w:type="spellStart"/>
            <w:r w:rsidRPr="00CD2964">
              <w:rPr>
                <w:rFonts w:cs="Times New Roman"/>
              </w:rPr>
              <w:t>Imidaclothiz</w:t>
            </w:r>
            <w:proofErr w:type="spellEnd"/>
          </w:p>
        </w:tc>
        <w:tc>
          <w:tcPr>
            <w:tcW w:w="1719" w:type="pct"/>
            <w:vAlign w:val="center"/>
          </w:tcPr>
          <w:p w:rsidR="00710386" w:rsidRPr="00CD2964" w:rsidRDefault="00710386" w:rsidP="00710386">
            <w:pPr>
              <w:spacing w:after="0"/>
              <w:jc w:val="center"/>
              <w:rPr>
                <w:rFonts w:cs="Times New Roman"/>
              </w:rPr>
            </w:pPr>
            <w:r w:rsidRPr="00CD2964">
              <w:rPr>
                <w:rFonts w:cs="Times New Roman"/>
              </w:rPr>
              <w:t>3*</w:t>
            </w:r>
          </w:p>
        </w:tc>
      </w:tr>
      <w:tr w:rsidR="00710386" w:rsidRPr="00CD2964" w:rsidTr="00710386">
        <w:trPr>
          <w:trHeight w:val="68"/>
          <w:jc w:val="center"/>
        </w:trPr>
        <w:tc>
          <w:tcPr>
            <w:tcW w:w="3281" w:type="pct"/>
            <w:vAlign w:val="center"/>
          </w:tcPr>
          <w:p w:rsidR="00710386" w:rsidRPr="00CD2964" w:rsidRDefault="00710386" w:rsidP="00710386">
            <w:pPr>
              <w:spacing w:after="0"/>
              <w:ind w:left="102"/>
              <w:rPr>
                <w:rFonts w:cs="Times New Roman"/>
                <w:bCs/>
              </w:rPr>
            </w:pPr>
            <w:proofErr w:type="spellStart"/>
            <w:r w:rsidRPr="00CD2964">
              <w:rPr>
                <w:rFonts w:cs="Times New Roman"/>
                <w:bCs/>
              </w:rPr>
              <w:t>Indoxacarb</w:t>
            </w:r>
            <w:proofErr w:type="spellEnd"/>
          </w:p>
        </w:tc>
        <w:tc>
          <w:tcPr>
            <w:tcW w:w="1719" w:type="pct"/>
            <w:vAlign w:val="center"/>
          </w:tcPr>
          <w:p w:rsidR="00710386" w:rsidRPr="00CD2964" w:rsidRDefault="00710386" w:rsidP="00710386">
            <w:pPr>
              <w:spacing w:after="0"/>
              <w:jc w:val="center"/>
              <w:rPr>
                <w:rFonts w:cs="Times New Roman"/>
              </w:rPr>
            </w:pPr>
            <w:r w:rsidRPr="00CD2964">
              <w:rPr>
                <w:rFonts w:cs="Times New Roman"/>
              </w:rPr>
              <w:t>5</w:t>
            </w:r>
          </w:p>
        </w:tc>
      </w:tr>
      <w:tr w:rsidR="00710386" w:rsidRPr="00CD2964" w:rsidTr="00710386">
        <w:trPr>
          <w:trHeight w:val="68"/>
          <w:jc w:val="center"/>
        </w:trPr>
        <w:tc>
          <w:tcPr>
            <w:tcW w:w="3281" w:type="pct"/>
            <w:vAlign w:val="center"/>
          </w:tcPr>
          <w:p w:rsidR="00710386" w:rsidRPr="00CD2964" w:rsidRDefault="00710386" w:rsidP="00710386">
            <w:pPr>
              <w:spacing w:after="0"/>
              <w:ind w:left="102"/>
              <w:rPr>
                <w:rFonts w:cs="Times New Roman"/>
                <w:bCs/>
              </w:rPr>
            </w:pPr>
            <w:proofErr w:type="spellStart"/>
            <w:r w:rsidRPr="00CD2964">
              <w:rPr>
                <w:rFonts w:cs="Times New Roman"/>
                <w:bCs/>
              </w:rPr>
              <w:t>Isazofos</w:t>
            </w:r>
            <w:proofErr w:type="spellEnd"/>
          </w:p>
        </w:tc>
        <w:tc>
          <w:tcPr>
            <w:tcW w:w="1719" w:type="pct"/>
            <w:vAlign w:val="center"/>
          </w:tcPr>
          <w:p w:rsidR="00710386" w:rsidRPr="00CD2964" w:rsidRDefault="00710386" w:rsidP="00710386">
            <w:pPr>
              <w:spacing w:after="0"/>
              <w:jc w:val="center"/>
              <w:rPr>
                <w:rFonts w:cs="Times New Roman"/>
              </w:rPr>
            </w:pPr>
            <w:r w:rsidRPr="00CD2964">
              <w:rPr>
                <w:rFonts w:cs="Times New Roman"/>
              </w:rPr>
              <w:t>0.01</w:t>
            </w:r>
          </w:p>
        </w:tc>
      </w:tr>
      <w:tr w:rsidR="00710386" w:rsidRPr="00CD2964" w:rsidTr="00710386">
        <w:trPr>
          <w:trHeight w:val="68"/>
          <w:jc w:val="center"/>
        </w:trPr>
        <w:tc>
          <w:tcPr>
            <w:tcW w:w="3281" w:type="pct"/>
            <w:vAlign w:val="center"/>
          </w:tcPr>
          <w:p w:rsidR="00710386" w:rsidRPr="00CD2964" w:rsidRDefault="00710386" w:rsidP="00710386">
            <w:pPr>
              <w:spacing w:after="0"/>
              <w:ind w:left="102"/>
              <w:rPr>
                <w:rFonts w:cs="Times New Roman"/>
                <w:bCs/>
              </w:rPr>
            </w:pPr>
            <w:proofErr w:type="spellStart"/>
            <w:r w:rsidRPr="00CD2964">
              <w:rPr>
                <w:rFonts w:cs="Times New Roman"/>
                <w:bCs/>
              </w:rPr>
              <w:t>Isocarbophos</w:t>
            </w:r>
            <w:proofErr w:type="spellEnd"/>
          </w:p>
        </w:tc>
        <w:tc>
          <w:tcPr>
            <w:tcW w:w="1719" w:type="pct"/>
            <w:vAlign w:val="center"/>
          </w:tcPr>
          <w:p w:rsidR="00710386" w:rsidRPr="00CD2964" w:rsidRDefault="00710386" w:rsidP="00710386">
            <w:pPr>
              <w:spacing w:after="0"/>
              <w:jc w:val="center"/>
              <w:rPr>
                <w:rFonts w:cs="Times New Roman"/>
              </w:rPr>
            </w:pPr>
            <w:r w:rsidRPr="00CD2964">
              <w:rPr>
                <w:rFonts w:cs="Times New Roman"/>
              </w:rPr>
              <w:t>0.05</w:t>
            </w:r>
          </w:p>
        </w:tc>
      </w:tr>
      <w:tr w:rsidR="00710386" w:rsidRPr="00CD2964" w:rsidTr="00710386">
        <w:trPr>
          <w:trHeight w:val="68"/>
          <w:jc w:val="center"/>
        </w:trPr>
        <w:tc>
          <w:tcPr>
            <w:tcW w:w="3281" w:type="pct"/>
            <w:vAlign w:val="center"/>
          </w:tcPr>
          <w:p w:rsidR="00710386" w:rsidRPr="00CD2964" w:rsidRDefault="00710386" w:rsidP="00710386">
            <w:pPr>
              <w:spacing w:after="0"/>
              <w:ind w:left="102"/>
              <w:rPr>
                <w:rFonts w:cs="Times New Roman"/>
              </w:rPr>
            </w:pPr>
            <w:proofErr w:type="spellStart"/>
            <w:r w:rsidRPr="00CD2964">
              <w:rPr>
                <w:rFonts w:cs="Times New Roman"/>
                <w:bCs/>
              </w:rPr>
              <w:t>Methomyl</w:t>
            </w:r>
            <w:proofErr w:type="spellEnd"/>
          </w:p>
        </w:tc>
        <w:tc>
          <w:tcPr>
            <w:tcW w:w="1719" w:type="pct"/>
            <w:vAlign w:val="center"/>
          </w:tcPr>
          <w:p w:rsidR="00710386" w:rsidRPr="00CD2964" w:rsidRDefault="00710386" w:rsidP="00710386">
            <w:pPr>
              <w:spacing w:after="0"/>
              <w:jc w:val="center"/>
              <w:rPr>
                <w:rFonts w:cs="Times New Roman"/>
              </w:rPr>
            </w:pPr>
            <w:r w:rsidRPr="00CD2964">
              <w:rPr>
                <w:rFonts w:cs="Times New Roman"/>
              </w:rPr>
              <w:t>0.2</w:t>
            </w:r>
          </w:p>
        </w:tc>
      </w:tr>
      <w:tr w:rsidR="00710386" w:rsidRPr="00CD2964" w:rsidTr="00710386">
        <w:trPr>
          <w:trHeight w:val="68"/>
          <w:jc w:val="center"/>
        </w:trPr>
        <w:tc>
          <w:tcPr>
            <w:tcW w:w="3281" w:type="pct"/>
            <w:vAlign w:val="center"/>
          </w:tcPr>
          <w:p w:rsidR="00710386" w:rsidRPr="00CD2964" w:rsidRDefault="00710386" w:rsidP="00710386">
            <w:pPr>
              <w:spacing w:after="0"/>
              <w:ind w:left="102"/>
              <w:rPr>
                <w:rFonts w:cs="Times New Roman"/>
                <w:bCs/>
              </w:rPr>
            </w:pPr>
            <w:proofErr w:type="spellStart"/>
            <w:r w:rsidRPr="00CD2964">
              <w:rPr>
                <w:rFonts w:cs="Times New Roman"/>
                <w:bCs/>
              </w:rPr>
              <w:t>Omethoate</w:t>
            </w:r>
            <w:proofErr w:type="spellEnd"/>
          </w:p>
        </w:tc>
        <w:tc>
          <w:tcPr>
            <w:tcW w:w="1719" w:type="pct"/>
            <w:vAlign w:val="center"/>
          </w:tcPr>
          <w:p w:rsidR="00710386" w:rsidRPr="00CD2964" w:rsidRDefault="00710386" w:rsidP="00710386">
            <w:pPr>
              <w:spacing w:after="0"/>
              <w:jc w:val="center"/>
              <w:rPr>
                <w:rFonts w:cs="Times New Roman"/>
              </w:rPr>
            </w:pPr>
            <w:r w:rsidRPr="00CD2964">
              <w:rPr>
                <w:rFonts w:cs="Times New Roman"/>
              </w:rPr>
              <w:t>0.05</w:t>
            </w:r>
          </w:p>
        </w:tc>
      </w:tr>
      <w:tr w:rsidR="00710386" w:rsidRPr="00CD2964" w:rsidTr="00710386">
        <w:trPr>
          <w:trHeight w:val="68"/>
          <w:jc w:val="center"/>
        </w:trPr>
        <w:tc>
          <w:tcPr>
            <w:tcW w:w="3281" w:type="pct"/>
            <w:vAlign w:val="center"/>
          </w:tcPr>
          <w:p w:rsidR="00710386" w:rsidRPr="00CD2964" w:rsidRDefault="00710386" w:rsidP="00710386">
            <w:pPr>
              <w:spacing w:after="0"/>
              <w:ind w:left="102"/>
              <w:rPr>
                <w:rFonts w:cs="Times New Roman"/>
              </w:rPr>
            </w:pPr>
            <w:r w:rsidRPr="00CD2964">
              <w:rPr>
                <w:rFonts w:cs="Times New Roman"/>
                <w:bCs/>
              </w:rPr>
              <w:t>Permethrin</w:t>
            </w:r>
          </w:p>
        </w:tc>
        <w:tc>
          <w:tcPr>
            <w:tcW w:w="1719" w:type="pct"/>
            <w:vAlign w:val="center"/>
          </w:tcPr>
          <w:p w:rsidR="00710386" w:rsidRPr="00CD2964" w:rsidRDefault="00710386" w:rsidP="00710386">
            <w:pPr>
              <w:spacing w:after="0"/>
              <w:jc w:val="center"/>
              <w:rPr>
                <w:rFonts w:cs="Times New Roman"/>
              </w:rPr>
            </w:pPr>
            <w:r w:rsidRPr="00CD2964">
              <w:rPr>
                <w:rFonts w:cs="Times New Roman"/>
              </w:rPr>
              <w:t>20</w:t>
            </w:r>
          </w:p>
        </w:tc>
      </w:tr>
      <w:tr w:rsidR="00710386" w:rsidRPr="00CD2964" w:rsidTr="00710386">
        <w:trPr>
          <w:trHeight w:val="68"/>
          <w:jc w:val="center"/>
        </w:trPr>
        <w:tc>
          <w:tcPr>
            <w:tcW w:w="3281" w:type="pct"/>
            <w:vAlign w:val="center"/>
          </w:tcPr>
          <w:p w:rsidR="00710386" w:rsidRPr="00CD2964" w:rsidRDefault="00710386" w:rsidP="00710386">
            <w:pPr>
              <w:spacing w:after="0"/>
              <w:ind w:left="102"/>
              <w:rPr>
                <w:rFonts w:cs="Times New Roman"/>
                <w:bCs/>
              </w:rPr>
            </w:pPr>
            <w:proofErr w:type="spellStart"/>
            <w:r w:rsidRPr="00CD2964">
              <w:rPr>
                <w:rFonts w:cs="Times New Roman"/>
                <w:bCs/>
              </w:rPr>
              <w:t>Phosfolan</w:t>
            </w:r>
            <w:proofErr w:type="spellEnd"/>
          </w:p>
        </w:tc>
        <w:tc>
          <w:tcPr>
            <w:tcW w:w="1719" w:type="pct"/>
            <w:vAlign w:val="center"/>
          </w:tcPr>
          <w:p w:rsidR="00710386" w:rsidRPr="00CD2964" w:rsidRDefault="00710386" w:rsidP="00710386">
            <w:pPr>
              <w:spacing w:after="0"/>
              <w:jc w:val="center"/>
              <w:rPr>
                <w:rFonts w:cs="Times New Roman"/>
              </w:rPr>
            </w:pPr>
            <w:r w:rsidRPr="00CD2964">
              <w:rPr>
                <w:rFonts w:cs="Times New Roman"/>
              </w:rPr>
              <w:t>0.03</w:t>
            </w:r>
          </w:p>
        </w:tc>
      </w:tr>
      <w:tr w:rsidR="00710386" w:rsidRPr="00CD2964" w:rsidTr="00710386">
        <w:trPr>
          <w:trHeight w:val="153"/>
          <w:jc w:val="center"/>
        </w:trPr>
        <w:tc>
          <w:tcPr>
            <w:tcW w:w="3281" w:type="pct"/>
            <w:vAlign w:val="center"/>
          </w:tcPr>
          <w:p w:rsidR="00710386" w:rsidRPr="00CD2964" w:rsidRDefault="00710386" w:rsidP="00710386">
            <w:pPr>
              <w:spacing w:after="0"/>
              <w:ind w:left="102"/>
              <w:rPr>
                <w:rFonts w:cs="Times New Roman"/>
                <w:bCs/>
              </w:rPr>
            </w:pPr>
            <w:proofErr w:type="spellStart"/>
            <w:r w:rsidRPr="00CD2964">
              <w:rPr>
                <w:rFonts w:cs="Times New Roman"/>
                <w:bCs/>
              </w:rPr>
              <w:t>Phoxim</w:t>
            </w:r>
            <w:proofErr w:type="spellEnd"/>
          </w:p>
        </w:tc>
        <w:tc>
          <w:tcPr>
            <w:tcW w:w="1719" w:type="pct"/>
            <w:vAlign w:val="center"/>
          </w:tcPr>
          <w:p w:rsidR="00710386" w:rsidRPr="00CD2964" w:rsidRDefault="00710386" w:rsidP="00710386">
            <w:pPr>
              <w:spacing w:after="0"/>
              <w:jc w:val="center"/>
              <w:rPr>
                <w:rFonts w:cs="Times New Roman"/>
              </w:rPr>
            </w:pPr>
            <w:r w:rsidRPr="00CD2964">
              <w:rPr>
                <w:rFonts w:cs="Times New Roman"/>
              </w:rPr>
              <w:t>0.2</w:t>
            </w:r>
          </w:p>
        </w:tc>
      </w:tr>
      <w:tr w:rsidR="00710386" w:rsidRPr="00CD2964" w:rsidTr="00710386">
        <w:trPr>
          <w:trHeight w:val="68"/>
          <w:jc w:val="center"/>
        </w:trPr>
        <w:tc>
          <w:tcPr>
            <w:tcW w:w="3281" w:type="pct"/>
            <w:vAlign w:val="center"/>
          </w:tcPr>
          <w:p w:rsidR="00710386" w:rsidRPr="00CD2964" w:rsidRDefault="00710386" w:rsidP="00710386">
            <w:pPr>
              <w:spacing w:after="0"/>
              <w:ind w:left="102"/>
              <w:rPr>
                <w:rFonts w:cs="Times New Roman"/>
              </w:rPr>
            </w:pPr>
            <w:proofErr w:type="spellStart"/>
            <w:r w:rsidRPr="00CD2964">
              <w:rPr>
                <w:rFonts w:cs="Times New Roman"/>
                <w:bCs/>
              </w:rPr>
              <w:t>Pyridaben</w:t>
            </w:r>
            <w:proofErr w:type="spellEnd"/>
          </w:p>
        </w:tc>
        <w:tc>
          <w:tcPr>
            <w:tcW w:w="1719" w:type="pct"/>
            <w:vAlign w:val="center"/>
          </w:tcPr>
          <w:p w:rsidR="00710386" w:rsidRPr="00CD2964" w:rsidRDefault="00710386" w:rsidP="00710386">
            <w:pPr>
              <w:spacing w:after="0"/>
              <w:jc w:val="center"/>
              <w:rPr>
                <w:rFonts w:cs="Times New Roman"/>
              </w:rPr>
            </w:pPr>
            <w:r w:rsidRPr="00CD2964">
              <w:rPr>
                <w:rFonts w:cs="Times New Roman"/>
              </w:rPr>
              <w:t>5</w:t>
            </w:r>
          </w:p>
        </w:tc>
      </w:tr>
      <w:tr w:rsidR="00710386" w:rsidRPr="00CD2964" w:rsidTr="00710386">
        <w:trPr>
          <w:trHeight w:val="68"/>
          <w:jc w:val="center"/>
        </w:trPr>
        <w:tc>
          <w:tcPr>
            <w:tcW w:w="3281" w:type="pct"/>
            <w:vAlign w:val="center"/>
          </w:tcPr>
          <w:p w:rsidR="00710386" w:rsidRPr="00CD2964" w:rsidRDefault="00710386" w:rsidP="00710386">
            <w:pPr>
              <w:spacing w:after="0"/>
              <w:ind w:left="102"/>
              <w:rPr>
                <w:rFonts w:cs="Times New Roman"/>
                <w:bCs/>
              </w:rPr>
            </w:pPr>
            <w:proofErr w:type="spellStart"/>
            <w:r w:rsidRPr="00CD2964">
              <w:rPr>
                <w:rFonts w:cs="Times New Roman"/>
                <w:bCs/>
              </w:rPr>
              <w:t>Terbufos</w:t>
            </w:r>
            <w:proofErr w:type="spellEnd"/>
          </w:p>
        </w:tc>
        <w:tc>
          <w:tcPr>
            <w:tcW w:w="1719" w:type="pct"/>
            <w:vAlign w:val="center"/>
          </w:tcPr>
          <w:p w:rsidR="00710386" w:rsidRPr="00CD2964" w:rsidRDefault="00710386" w:rsidP="00710386">
            <w:pPr>
              <w:spacing w:after="0"/>
              <w:jc w:val="center"/>
              <w:rPr>
                <w:rFonts w:cs="Times New Roman"/>
              </w:rPr>
            </w:pPr>
            <w:r w:rsidRPr="00CD2964">
              <w:rPr>
                <w:rFonts w:cs="Times New Roman"/>
              </w:rPr>
              <w:t>0.01</w:t>
            </w:r>
          </w:p>
        </w:tc>
      </w:tr>
      <w:tr w:rsidR="00710386" w:rsidRPr="00CD2964" w:rsidTr="00710386">
        <w:trPr>
          <w:trHeight w:val="68"/>
          <w:jc w:val="center"/>
        </w:trPr>
        <w:tc>
          <w:tcPr>
            <w:tcW w:w="3281" w:type="pct"/>
            <w:vAlign w:val="center"/>
          </w:tcPr>
          <w:p w:rsidR="00710386" w:rsidRPr="00CD2964" w:rsidRDefault="00710386" w:rsidP="00710386">
            <w:pPr>
              <w:spacing w:after="0"/>
              <w:ind w:left="1"/>
              <w:rPr>
                <w:rFonts w:cs="Times New Roman"/>
                <w:bCs/>
                <w:i/>
              </w:rPr>
            </w:pPr>
            <w:r>
              <w:rPr>
                <w:rFonts w:cs="Times New Roman"/>
                <w:bCs/>
                <w:i/>
              </w:rPr>
              <w:t>*</w:t>
            </w:r>
            <w:r w:rsidRPr="00CD2964">
              <w:rPr>
                <w:rFonts w:cs="Times New Roman"/>
                <w:bCs/>
                <w:i/>
              </w:rPr>
              <w:t>Not regulated.</w:t>
            </w:r>
          </w:p>
        </w:tc>
        <w:tc>
          <w:tcPr>
            <w:tcW w:w="1719" w:type="pct"/>
            <w:vAlign w:val="center"/>
          </w:tcPr>
          <w:p w:rsidR="00710386" w:rsidRPr="00CD2964" w:rsidRDefault="00710386" w:rsidP="00710386">
            <w:pPr>
              <w:spacing w:after="0"/>
              <w:jc w:val="center"/>
              <w:rPr>
                <w:rFonts w:cs="Times New Roman"/>
                <w:i/>
              </w:rPr>
            </w:pPr>
          </w:p>
        </w:tc>
      </w:tr>
    </w:tbl>
    <w:p w:rsidR="00710386" w:rsidRDefault="00710386" w:rsidP="00710386">
      <w:pPr>
        <w:pStyle w:val="ListParagraph"/>
        <w:ind w:left="360"/>
        <w:rPr>
          <w:rFonts w:cs="Times New Roman"/>
          <w:b/>
          <w:i/>
        </w:rPr>
      </w:pPr>
    </w:p>
    <w:p w:rsidR="00710386" w:rsidRDefault="00710386">
      <w:pPr>
        <w:spacing w:line="276" w:lineRule="auto"/>
        <w:rPr>
          <w:rFonts w:cs="Times New Roman"/>
          <w:b/>
          <w:i/>
        </w:rPr>
      </w:pPr>
      <w:r>
        <w:rPr>
          <w:rFonts w:cs="Times New Roman"/>
          <w:b/>
          <w:i/>
        </w:rPr>
        <w:br w:type="page"/>
      </w:r>
    </w:p>
    <w:p w:rsidR="00710386" w:rsidRPr="00694F3B" w:rsidRDefault="00710386" w:rsidP="00710386">
      <w:pPr>
        <w:pStyle w:val="ListParagraph"/>
        <w:numPr>
          <w:ilvl w:val="2"/>
          <w:numId w:val="21"/>
        </w:numPr>
        <w:spacing w:line="276" w:lineRule="auto"/>
        <w:rPr>
          <w:rFonts w:cs="Times New Roman"/>
          <w:b/>
          <w:i/>
          <w:color w:val="000000"/>
          <w:szCs w:val="17"/>
          <w:shd w:val="clear" w:color="auto" w:fill="FFFFFF"/>
        </w:rPr>
      </w:pPr>
      <w:r w:rsidRPr="00694F3B">
        <w:rPr>
          <w:rFonts w:cs="Times New Roman"/>
          <w:b/>
          <w:i/>
          <w:color w:val="000000"/>
          <w:szCs w:val="17"/>
          <w:shd w:val="clear" w:color="auto" w:fill="FFFFFF"/>
        </w:rPr>
        <w:lastRenderedPageBreak/>
        <w:t>Draft Kenya Standard KS 2128: 2015doption of codex standards</w:t>
      </w:r>
    </w:p>
    <w:p w:rsidR="00710386" w:rsidRDefault="00710386" w:rsidP="00710386">
      <w:pPr>
        <w:ind w:left="270"/>
        <w:jc w:val="both"/>
        <w:rPr>
          <w:rFonts w:cs="Times New Roman"/>
          <w:color w:val="000000"/>
          <w:szCs w:val="17"/>
          <w:shd w:val="clear" w:color="auto" w:fill="FFFFFF"/>
        </w:rPr>
      </w:pPr>
      <w:r w:rsidRPr="00694F3B">
        <w:rPr>
          <w:rFonts w:cs="Times New Roman"/>
          <w:color w:val="000000"/>
          <w:szCs w:val="17"/>
          <w:shd w:val="clear" w:color="auto" w:fill="FFFFFF"/>
        </w:rPr>
        <w:t xml:space="preserve">Kenya </w:t>
      </w:r>
      <w:r>
        <w:rPr>
          <w:rFonts w:cs="Times New Roman"/>
          <w:color w:val="000000"/>
          <w:szCs w:val="17"/>
          <w:shd w:val="clear" w:color="auto" w:fill="FFFFFF"/>
        </w:rPr>
        <w:t xml:space="preserve">introduced a </w:t>
      </w:r>
      <w:r w:rsidRPr="00226E3D">
        <w:rPr>
          <w:rFonts w:cs="Times New Roman"/>
          <w:i/>
          <w:color w:val="000000"/>
          <w:szCs w:val="17"/>
          <w:shd w:val="clear" w:color="auto" w:fill="FFFFFF"/>
        </w:rPr>
        <w:t>Draft Kenya Standard KS 2128: 2015</w:t>
      </w:r>
      <w:r>
        <w:rPr>
          <w:rFonts w:cs="Times New Roman"/>
          <w:color w:val="000000"/>
          <w:szCs w:val="17"/>
          <w:shd w:val="clear" w:color="auto" w:fill="FFFFFF"/>
        </w:rPr>
        <w:t xml:space="preserve"> in August 2015 with a code of practice in tea. </w:t>
      </w:r>
      <w:r w:rsidRPr="009B2455">
        <w:rPr>
          <w:rFonts w:cs="Times New Roman"/>
          <w:color w:val="000000"/>
          <w:szCs w:val="17"/>
          <w:shd w:val="clear" w:color="auto" w:fill="FFFFFF"/>
        </w:rPr>
        <w:t xml:space="preserve"> In the Annexure C of th</w:t>
      </w:r>
      <w:r>
        <w:rPr>
          <w:rFonts w:cs="Times New Roman"/>
          <w:color w:val="000000"/>
          <w:szCs w:val="17"/>
          <w:shd w:val="clear" w:color="auto" w:fill="FFFFFF"/>
        </w:rPr>
        <w:t>is</w:t>
      </w:r>
      <w:r w:rsidRPr="009B2455">
        <w:rPr>
          <w:rFonts w:cs="Times New Roman"/>
          <w:color w:val="000000"/>
          <w:szCs w:val="17"/>
          <w:shd w:val="clear" w:color="auto" w:fill="FFFFFF"/>
        </w:rPr>
        <w:t xml:space="preserve"> standard, MRLs have been proposed for 14 compounds based on Codex MRLs</w:t>
      </w:r>
      <w:r>
        <w:rPr>
          <w:rFonts w:cs="Times New Roman"/>
          <w:color w:val="000000"/>
          <w:szCs w:val="17"/>
          <w:shd w:val="clear" w:color="auto" w:fill="FFFFFF"/>
        </w:rPr>
        <w:t xml:space="preserve"> (Table 3).</w:t>
      </w:r>
    </w:p>
    <w:p w:rsidR="00710386" w:rsidRPr="00710386" w:rsidRDefault="00710386" w:rsidP="00710386">
      <w:pPr>
        <w:spacing w:line="276" w:lineRule="auto"/>
        <w:rPr>
          <w:rFonts w:asciiTheme="minorHAnsi" w:eastAsiaTheme="minorEastAsia" w:hAnsiTheme="minorHAnsi" w:cstheme="minorBidi"/>
          <w:szCs w:val="22"/>
          <w:lang w:eastAsia="en-GB"/>
        </w:rPr>
      </w:pPr>
      <w:r w:rsidRPr="00710386">
        <w:rPr>
          <w:rFonts w:asciiTheme="minorHAnsi" w:eastAsiaTheme="minorEastAsia" w:hAnsiTheme="minorHAnsi" w:cstheme="minorBidi"/>
          <w:b/>
          <w:szCs w:val="22"/>
          <w:lang w:eastAsia="en-GB"/>
        </w:rPr>
        <w:t>Table 3.</w:t>
      </w:r>
      <w:r w:rsidRPr="00710386">
        <w:rPr>
          <w:rFonts w:asciiTheme="minorHAnsi" w:eastAsiaTheme="minorEastAsia" w:hAnsiTheme="minorHAnsi" w:cstheme="minorBidi"/>
          <w:b/>
          <w:bCs/>
          <w:szCs w:val="22"/>
          <w:lang w:eastAsia="en-GB"/>
        </w:rPr>
        <w:t>List of pesticides and maximum residue limits for tea (</w:t>
      </w:r>
      <w:r w:rsidRPr="00710386">
        <w:rPr>
          <w:rFonts w:eastAsiaTheme="minorEastAsia" w:cs="Times New Roman"/>
          <w:b/>
          <w:bCs/>
          <w:szCs w:val="22"/>
          <w:lang w:eastAsia="en-GB"/>
        </w:rPr>
        <w:t>Green tea/Black tea)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5220"/>
        <w:gridCol w:w="1440"/>
        <w:gridCol w:w="1440"/>
      </w:tblGrid>
      <w:tr w:rsidR="00710386" w:rsidRPr="00710386" w:rsidTr="00710386">
        <w:trPr>
          <w:trHeight w:val="228"/>
        </w:trPr>
        <w:tc>
          <w:tcPr>
            <w:tcW w:w="918" w:type="dxa"/>
          </w:tcPr>
          <w:p w:rsidR="00710386" w:rsidRPr="00710386" w:rsidRDefault="00710386" w:rsidP="00710386">
            <w:pPr>
              <w:widowControl w:val="0"/>
              <w:autoSpaceDE w:val="0"/>
              <w:autoSpaceDN w:val="0"/>
              <w:adjustRightInd w:val="0"/>
              <w:spacing w:after="0"/>
              <w:rPr>
                <w:rFonts w:eastAsia="SimHei" w:cs="Times New Roman"/>
                <w:color w:val="000000"/>
                <w:szCs w:val="22"/>
                <w:lang w:eastAsia="zh-CN"/>
              </w:rPr>
            </w:pPr>
            <w:proofErr w:type="spellStart"/>
            <w:r w:rsidRPr="00710386">
              <w:rPr>
                <w:rFonts w:eastAsia="SimHei" w:cs="Times New Roman"/>
                <w:b/>
                <w:bCs/>
                <w:color w:val="000000"/>
                <w:szCs w:val="22"/>
                <w:lang w:eastAsia="zh-CN"/>
              </w:rPr>
              <w:t>Sl</w:t>
            </w:r>
            <w:proofErr w:type="spellEnd"/>
            <w:r w:rsidRPr="00710386">
              <w:rPr>
                <w:rFonts w:eastAsia="SimHei" w:cs="Times New Roman"/>
                <w:b/>
                <w:bCs/>
                <w:color w:val="000000"/>
                <w:szCs w:val="22"/>
                <w:lang w:eastAsia="zh-CN"/>
              </w:rPr>
              <w:t xml:space="preserve"> No.</w:t>
            </w:r>
          </w:p>
        </w:tc>
        <w:tc>
          <w:tcPr>
            <w:tcW w:w="5220" w:type="dxa"/>
          </w:tcPr>
          <w:p w:rsidR="00710386" w:rsidRPr="00710386" w:rsidRDefault="00710386" w:rsidP="00710386">
            <w:pPr>
              <w:widowControl w:val="0"/>
              <w:autoSpaceDE w:val="0"/>
              <w:autoSpaceDN w:val="0"/>
              <w:adjustRightInd w:val="0"/>
              <w:spacing w:after="0"/>
              <w:rPr>
                <w:rFonts w:eastAsia="SimHei" w:cs="Times New Roman"/>
                <w:color w:val="000000"/>
                <w:szCs w:val="22"/>
                <w:lang w:eastAsia="zh-CN"/>
              </w:rPr>
            </w:pPr>
            <w:r w:rsidRPr="00710386">
              <w:rPr>
                <w:rFonts w:eastAsia="SimHei" w:cs="Times New Roman"/>
                <w:b/>
                <w:bCs/>
                <w:color w:val="000000"/>
                <w:szCs w:val="22"/>
                <w:lang w:eastAsia="zh-CN"/>
              </w:rPr>
              <w:t xml:space="preserve">Pesticides </w:t>
            </w:r>
          </w:p>
        </w:tc>
        <w:tc>
          <w:tcPr>
            <w:tcW w:w="1440" w:type="dxa"/>
          </w:tcPr>
          <w:p w:rsidR="00710386" w:rsidRPr="00710386" w:rsidRDefault="00710386" w:rsidP="00710386">
            <w:pPr>
              <w:widowControl w:val="0"/>
              <w:autoSpaceDE w:val="0"/>
              <w:autoSpaceDN w:val="0"/>
              <w:adjustRightInd w:val="0"/>
              <w:spacing w:after="0"/>
              <w:jc w:val="center"/>
              <w:rPr>
                <w:rFonts w:eastAsia="SimHei" w:cs="Times New Roman"/>
                <w:b/>
                <w:bCs/>
                <w:color w:val="000000"/>
                <w:szCs w:val="22"/>
                <w:lang w:eastAsia="zh-CN"/>
              </w:rPr>
            </w:pPr>
            <w:r w:rsidRPr="00710386">
              <w:rPr>
                <w:rFonts w:eastAsia="SimHei" w:cs="Times New Roman"/>
                <w:b/>
                <w:bCs/>
                <w:color w:val="000000"/>
                <w:szCs w:val="22"/>
                <w:lang w:eastAsia="zh-CN"/>
              </w:rPr>
              <w:t>Kenya</w:t>
            </w:r>
          </w:p>
          <w:p w:rsidR="00710386" w:rsidRPr="00710386" w:rsidRDefault="00710386" w:rsidP="00710386">
            <w:pPr>
              <w:widowControl w:val="0"/>
              <w:autoSpaceDE w:val="0"/>
              <w:autoSpaceDN w:val="0"/>
              <w:adjustRightInd w:val="0"/>
              <w:spacing w:after="0"/>
              <w:jc w:val="center"/>
              <w:rPr>
                <w:rFonts w:eastAsia="SimHei" w:cs="Times New Roman"/>
                <w:color w:val="000000"/>
                <w:szCs w:val="22"/>
                <w:lang w:eastAsia="zh-CN"/>
              </w:rPr>
            </w:pPr>
            <w:r w:rsidRPr="00710386">
              <w:rPr>
                <w:rFonts w:eastAsia="SimHei" w:cs="Times New Roman"/>
                <w:b/>
                <w:bCs/>
                <w:color w:val="000000"/>
                <w:szCs w:val="22"/>
                <w:lang w:eastAsia="zh-CN"/>
              </w:rPr>
              <w:t>MRL (mg/kg)</w:t>
            </w:r>
          </w:p>
        </w:tc>
        <w:tc>
          <w:tcPr>
            <w:tcW w:w="1440" w:type="dxa"/>
          </w:tcPr>
          <w:p w:rsidR="00710386" w:rsidRPr="00710386" w:rsidRDefault="00710386" w:rsidP="00710386">
            <w:pPr>
              <w:widowControl w:val="0"/>
              <w:autoSpaceDE w:val="0"/>
              <w:autoSpaceDN w:val="0"/>
              <w:adjustRightInd w:val="0"/>
              <w:spacing w:after="0"/>
              <w:rPr>
                <w:rFonts w:eastAsia="SimHei" w:cs="Times New Roman"/>
                <w:b/>
                <w:bCs/>
                <w:color w:val="000000"/>
                <w:szCs w:val="22"/>
                <w:lang w:eastAsia="zh-CN"/>
              </w:rPr>
            </w:pPr>
            <w:r w:rsidRPr="00710386">
              <w:rPr>
                <w:rFonts w:eastAsia="SimHei" w:cs="Times New Roman"/>
                <w:b/>
                <w:bCs/>
                <w:color w:val="000000"/>
                <w:szCs w:val="22"/>
                <w:lang w:eastAsia="zh-CN"/>
              </w:rPr>
              <w:t>Codex MRL</w:t>
            </w:r>
          </w:p>
          <w:p w:rsidR="00710386" w:rsidRPr="00710386" w:rsidRDefault="00710386" w:rsidP="00710386">
            <w:pPr>
              <w:widowControl w:val="0"/>
              <w:autoSpaceDE w:val="0"/>
              <w:autoSpaceDN w:val="0"/>
              <w:adjustRightInd w:val="0"/>
              <w:spacing w:after="0"/>
              <w:rPr>
                <w:rFonts w:eastAsia="SimHei" w:cs="Times New Roman"/>
                <w:b/>
                <w:bCs/>
                <w:color w:val="000000"/>
                <w:szCs w:val="22"/>
                <w:lang w:eastAsia="zh-CN"/>
              </w:rPr>
            </w:pPr>
            <w:r w:rsidRPr="00710386">
              <w:rPr>
                <w:rFonts w:eastAsia="SimHei" w:cs="Times New Roman"/>
                <w:b/>
                <w:bCs/>
                <w:color w:val="000000"/>
                <w:szCs w:val="22"/>
                <w:lang w:eastAsia="zh-CN"/>
              </w:rPr>
              <w:t>(mg/kg)</w:t>
            </w:r>
          </w:p>
        </w:tc>
      </w:tr>
      <w:tr w:rsidR="00710386" w:rsidRPr="00710386" w:rsidTr="00710386">
        <w:trPr>
          <w:trHeight w:val="172"/>
        </w:trPr>
        <w:tc>
          <w:tcPr>
            <w:tcW w:w="918" w:type="dxa"/>
          </w:tcPr>
          <w:p w:rsidR="00710386" w:rsidRPr="00710386" w:rsidRDefault="00710386" w:rsidP="00710386">
            <w:pPr>
              <w:widowControl w:val="0"/>
              <w:autoSpaceDE w:val="0"/>
              <w:autoSpaceDN w:val="0"/>
              <w:adjustRightInd w:val="0"/>
              <w:spacing w:after="0"/>
              <w:rPr>
                <w:rFonts w:eastAsia="SimHei" w:cs="Times New Roman"/>
                <w:color w:val="000000"/>
                <w:szCs w:val="22"/>
                <w:lang w:eastAsia="zh-CN"/>
              </w:rPr>
            </w:pPr>
            <w:r w:rsidRPr="00710386">
              <w:rPr>
                <w:rFonts w:eastAsia="SimHei" w:cs="Times New Roman"/>
                <w:color w:val="000000"/>
                <w:szCs w:val="22"/>
                <w:lang w:eastAsia="zh-CN"/>
              </w:rPr>
              <w:t xml:space="preserve">1. </w:t>
            </w:r>
          </w:p>
        </w:tc>
        <w:tc>
          <w:tcPr>
            <w:tcW w:w="5220" w:type="dxa"/>
          </w:tcPr>
          <w:p w:rsidR="00710386" w:rsidRPr="00710386" w:rsidRDefault="00710386" w:rsidP="00710386">
            <w:pPr>
              <w:widowControl w:val="0"/>
              <w:autoSpaceDE w:val="0"/>
              <w:autoSpaceDN w:val="0"/>
              <w:adjustRightInd w:val="0"/>
              <w:spacing w:after="0"/>
              <w:rPr>
                <w:rFonts w:eastAsia="SimHei" w:cs="Times New Roman"/>
                <w:color w:val="000000"/>
                <w:szCs w:val="22"/>
                <w:lang w:eastAsia="zh-CN"/>
              </w:rPr>
            </w:pPr>
            <w:proofErr w:type="spellStart"/>
            <w:r w:rsidRPr="00710386">
              <w:rPr>
                <w:rFonts w:eastAsia="SimHei" w:cs="Times New Roman"/>
                <w:color w:val="000000"/>
                <w:szCs w:val="22"/>
                <w:lang w:eastAsia="zh-CN"/>
              </w:rPr>
              <w:t>Paraquat</w:t>
            </w:r>
            <w:proofErr w:type="spellEnd"/>
          </w:p>
        </w:tc>
        <w:tc>
          <w:tcPr>
            <w:tcW w:w="1440" w:type="dxa"/>
          </w:tcPr>
          <w:p w:rsidR="00710386" w:rsidRPr="00710386" w:rsidRDefault="00710386" w:rsidP="00710386">
            <w:pPr>
              <w:widowControl w:val="0"/>
              <w:autoSpaceDE w:val="0"/>
              <w:autoSpaceDN w:val="0"/>
              <w:adjustRightInd w:val="0"/>
              <w:spacing w:after="0"/>
              <w:jc w:val="center"/>
              <w:rPr>
                <w:rFonts w:eastAsia="SimHei" w:cs="Times New Roman"/>
                <w:color w:val="000000"/>
                <w:szCs w:val="22"/>
                <w:lang w:eastAsia="zh-CN"/>
              </w:rPr>
            </w:pPr>
            <w:r w:rsidRPr="00710386">
              <w:rPr>
                <w:rFonts w:eastAsia="SimHei" w:cs="Times New Roman"/>
                <w:color w:val="000000"/>
                <w:szCs w:val="22"/>
                <w:lang w:eastAsia="zh-CN"/>
              </w:rPr>
              <w:t>0.2</w:t>
            </w:r>
          </w:p>
        </w:tc>
        <w:tc>
          <w:tcPr>
            <w:tcW w:w="1440" w:type="dxa"/>
          </w:tcPr>
          <w:p w:rsidR="00710386" w:rsidRPr="00710386" w:rsidRDefault="00710386" w:rsidP="00710386">
            <w:pPr>
              <w:widowControl w:val="0"/>
              <w:autoSpaceDE w:val="0"/>
              <w:autoSpaceDN w:val="0"/>
              <w:adjustRightInd w:val="0"/>
              <w:spacing w:after="0"/>
              <w:jc w:val="center"/>
              <w:rPr>
                <w:rFonts w:eastAsia="SimHei" w:cs="Times New Roman"/>
                <w:color w:val="000000"/>
                <w:szCs w:val="22"/>
                <w:lang w:eastAsia="zh-CN"/>
              </w:rPr>
            </w:pPr>
            <w:r w:rsidRPr="00710386">
              <w:rPr>
                <w:rFonts w:eastAsia="SimHei" w:cs="Times New Roman"/>
                <w:color w:val="000000"/>
                <w:szCs w:val="22"/>
                <w:lang w:eastAsia="zh-CN"/>
              </w:rPr>
              <w:t>0.2</w:t>
            </w:r>
          </w:p>
        </w:tc>
      </w:tr>
      <w:tr w:rsidR="00710386" w:rsidRPr="00710386" w:rsidTr="00710386">
        <w:trPr>
          <w:trHeight w:val="171"/>
        </w:trPr>
        <w:tc>
          <w:tcPr>
            <w:tcW w:w="918" w:type="dxa"/>
          </w:tcPr>
          <w:p w:rsidR="00710386" w:rsidRPr="00710386" w:rsidRDefault="00710386" w:rsidP="00710386">
            <w:pPr>
              <w:widowControl w:val="0"/>
              <w:autoSpaceDE w:val="0"/>
              <w:autoSpaceDN w:val="0"/>
              <w:adjustRightInd w:val="0"/>
              <w:spacing w:after="0"/>
              <w:rPr>
                <w:rFonts w:eastAsia="SimHei" w:cs="Times New Roman"/>
                <w:color w:val="000000"/>
                <w:szCs w:val="22"/>
                <w:lang w:eastAsia="zh-CN"/>
              </w:rPr>
            </w:pPr>
            <w:r w:rsidRPr="00710386">
              <w:rPr>
                <w:rFonts w:eastAsia="SimHei" w:cs="Times New Roman"/>
                <w:color w:val="000000"/>
                <w:szCs w:val="22"/>
                <w:lang w:eastAsia="zh-CN"/>
              </w:rPr>
              <w:t xml:space="preserve">2. </w:t>
            </w:r>
          </w:p>
        </w:tc>
        <w:tc>
          <w:tcPr>
            <w:tcW w:w="5220" w:type="dxa"/>
          </w:tcPr>
          <w:p w:rsidR="00710386" w:rsidRPr="00710386" w:rsidRDefault="00710386" w:rsidP="00710386">
            <w:pPr>
              <w:widowControl w:val="0"/>
              <w:autoSpaceDE w:val="0"/>
              <w:autoSpaceDN w:val="0"/>
              <w:adjustRightInd w:val="0"/>
              <w:spacing w:after="0"/>
              <w:rPr>
                <w:rFonts w:eastAsia="SimHei" w:cs="Times New Roman"/>
                <w:color w:val="000000"/>
                <w:szCs w:val="22"/>
                <w:lang w:eastAsia="zh-CN"/>
              </w:rPr>
            </w:pPr>
            <w:proofErr w:type="spellStart"/>
            <w:r w:rsidRPr="00710386">
              <w:rPr>
                <w:rFonts w:eastAsia="SimHei" w:cs="Times New Roman"/>
                <w:color w:val="000000"/>
                <w:szCs w:val="22"/>
                <w:lang w:eastAsia="zh-CN"/>
              </w:rPr>
              <w:t>Methidathion</w:t>
            </w:r>
            <w:proofErr w:type="spellEnd"/>
          </w:p>
        </w:tc>
        <w:tc>
          <w:tcPr>
            <w:tcW w:w="1440" w:type="dxa"/>
          </w:tcPr>
          <w:p w:rsidR="00710386" w:rsidRPr="00710386" w:rsidRDefault="00710386" w:rsidP="00710386">
            <w:pPr>
              <w:widowControl w:val="0"/>
              <w:autoSpaceDE w:val="0"/>
              <w:autoSpaceDN w:val="0"/>
              <w:adjustRightInd w:val="0"/>
              <w:spacing w:after="0"/>
              <w:jc w:val="center"/>
              <w:rPr>
                <w:rFonts w:eastAsia="SimHei" w:cs="Times New Roman"/>
                <w:color w:val="000000"/>
                <w:szCs w:val="22"/>
                <w:lang w:eastAsia="zh-CN"/>
              </w:rPr>
            </w:pPr>
            <w:r w:rsidRPr="00710386">
              <w:rPr>
                <w:rFonts w:eastAsia="SimHei" w:cs="Times New Roman"/>
                <w:color w:val="000000"/>
                <w:szCs w:val="22"/>
                <w:lang w:eastAsia="zh-CN"/>
              </w:rPr>
              <w:t>0.5</w:t>
            </w:r>
          </w:p>
        </w:tc>
        <w:tc>
          <w:tcPr>
            <w:tcW w:w="1440" w:type="dxa"/>
          </w:tcPr>
          <w:p w:rsidR="00710386" w:rsidRPr="00710386" w:rsidRDefault="00710386" w:rsidP="00710386">
            <w:pPr>
              <w:widowControl w:val="0"/>
              <w:autoSpaceDE w:val="0"/>
              <w:autoSpaceDN w:val="0"/>
              <w:adjustRightInd w:val="0"/>
              <w:spacing w:after="0"/>
              <w:jc w:val="center"/>
              <w:rPr>
                <w:rFonts w:eastAsia="SimHei" w:cs="Times New Roman"/>
                <w:color w:val="000000"/>
                <w:szCs w:val="22"/>
                <w:lang w:eastAsia="zh-CN"/>
              </w:rPr>
            </w:pPr>
            <w:r w:rsidRPr="00710386">
              <w:rPr>
                <w:rFonts w:eastAsia="SimHei" w:cs="Times New Roman"/>
                <w:color w:val="000000"/>
                <w:szCs w:val="22"/>
                <w:lang w:eastAsia="zh-CN"/>
              </w:rPr>
              <w:t>0.5</w:t>
            </w:r>
          </w:p>
        </w:tc>
      </w:tr>
      <w:tr w:rsidR="00710386" w:rsidRPr="00710386" w:rsidTr="00710386">
        <w:trPr>
          <w:trHeight w:val="171"/>
        </w:trPr>
        <w:tc>
          <w:tcPr>
            <w:tcW w:w="918" w:type="dxa"/>
          </w:tcPr>
          <w:p w:rsidR="00710386" w:rsidRPr="00710386" w:rsidRDefault="00710386" w:rsidP="00710386">
            <w:pPr>
              <w:widowControl w:val="0"/>
              <w:autoSpaceDE w:val="0"/>
              <w:autoSpaceDN w:val="0"/>
              <w:adjustRightInd w:val="0"/>
              <w:spacing w:after="0"/>
              <w:rPr>
                <w:rFonts w:eastAsia="SimHei" w:cs="Times New Roman"/>
                <w:color w:val="000000"/>
                <w:szCs w:val="22"/>
                <w:lang w:eastAsia="zh-CN"/>
              </w:rPr>
            </w:pPr>
            <w:r w:rsidRPr="00710386">
              <w:rPr>
                <w:rFonts w:eastAsia="SimHei" w:cs="Times New Roman"/>
                <w:color w:val="000000"/>
                <w:szCs w:val="22"/>
                <w:lang w:eastAsia="zh-CN"/>
              </w:rPr>
              <w:t xml:space="preserve">3. </w:t>
            </w:r>
          </w:p>
        </w:tc>
        <w:tc>
          <w:tcPr>
            <w:tcW w:w="5220" w:type="dxa"/>
          </w:tcPr>
          <w:p w:rsidR="00710386" w:rsidRPr="00710386" w:rsidRDefault="00710386" w:rsidP="00710386">
            <w:pPr>
              <w:widowControl w:val="0"/>
              <w:autoSpaceDE w:val="0"/>
              <w:autoSpaceDN w:val="0"/>
              <w:adjustRightInd w:val="0"/>
              <w:spacing w:after="0"/>
              <w:rPr>
                <w:rFonts w:eastAsia="SimHei" w:cs="Times New Roman"/>
                <w:color w:val="000000"/>
                <w:szCs w:val="22"/>
                <w:lang w:eastAsia="zh-CN"/>
              </w:rPr>
            </w:pPr>
            <w:proofErr w:type="spellStart"/>
            <w:r w:rsidRPr="00710386">
              <w:rPr>
                <w:rFonts w:eastAsia="SimHei" w:cs="Times New Roman"/>
                <w:color w:val="000000"/>
                <w:szCs w:val="22"/>
                <w:lang w:eastAsia="zh-CN"/>
              </w:rPr>
              <w:t>Clothianidin</w:t>
            </w:r>
            <w:proofErr w:type="spellEnd"/>
          </w:p>
        </w:tc>
        <w:tc>
          <w:tcPr>
            <w:tcW w:w="1440" w:type="dxa"/>
          </w:tcPr>
          <w:p w:rsidR="00710386" w:rsidRPr="00710386" w:rsidRDefault="00710386" w:rsidP="00710386">
            <w:pPr>
              <w:widowControl w:val="0"/>
              <w:autoSpaceDE w:val="0"/>
              <w:autoSpaceDN w:val="0"/>
              <w:adjustRightInd w:val="0"/>
              <w:spacing w:after="0"/>
              <w:jc w:val="center"/>
              <w:rPr>
                <w:rFonts w:eastAsia="SimHei" w:cs="Times New Roman"/>
                <w:color w:val="000000"/>
                <w:szCs w:val="22"/>
                <w:lang w:eastAsia="zh-CN"/>
              </w:rPr>
            </w:pPr>
            <w:r w:rsidRPr="00710386">
              <w:rPr>
                <w:rFonts w:eastAsia="SimHei" w:cs="Times New Roman"/>
                <w:color w:val="000000"/>
                <w:szCs w:val="22"/>
                <w:lang w:eastAsia="zh-CN"/>
              </w:rPr>
              <w:t>0.7</w:t>
            </w:r>
          </w:p>
        </w:tc>
        <w:tc>
          <w:tcPr>
            <w:tcW w:w="1440" w:type="dxa"/>
          </w:tcPr>
          <w:p w:rsidR="00710386" w:rsidRPr="00710386" w:rsidRDefault="00710386" w:rsidP="00710386">
            <w:pPr>
              <w:widowControl w:val="0"/>
              <w:autoSpaceDE w:val="0"/>
              <w:autoSpaceDN w:val="0"/>
              <w:adjustRightInd w:val="0"/>
              <w:spacing w:after="0"/>
              <w:jc w:val="center"/>
              <w:rPr>
                <w:rFonts w:eastAsia="SimHei" w:cs="Times New Roman"/>
                <w:color w:val="000000"/>
                <w:szCs w:val="22"/>
                <w:lang w:eastAsia="zh-CN"/>
              </w:rPr>
            </w:pPr>
            <w:r w:rsidRPr="00710386">
              <w:rPr>
                <w:rFonts w:eastAsia="SimHei" w:cs="Times New Roman"/>
                <w:color w:val="000000"/>
                <w:szCs w:val="22"/>
                <w:lang w:eastAsia="zh-CN"/>
              </w:rPr>
              <w:t>0.7</w:t>
            </w:r>
          </w:p>
        </w:tc>
      </w:tr>
      <w:tr w:rsidR="00710386" w:rsidRPr="00710386" w:rsidTr="00710386">
        <w:trPr>
          <w:trHeight w:val="172"/>
        </w:trPr>
        <w:tc>
          <w:tcPr>
            <w:tcW w:w="918" w:type="dxa"/>
          </w:tcPr>
          <w:p w:rsidR="00710386" w:rsidRPr="00710386" w:rsidRDefault="00710386" w:rsidP="00710386">
            <w:pPr>
              <w:widowControl w:val="0"/>
              <w:autoSpaceDE w:val="0"/>
              <w:autoSpaceDN w:val="0"/>
              <w:adjustRightInd w:val="0"/>
              <w:spacing w:after="0"/>
              <w:rPr>
                <w:rFonts w:eastAsia="SimHei" w:cs="Times New Roman"/>
                <w:color w:val="000000"/>
                <w:szCs w:val="22"/>
                <w:lang w:eastAsia="zh-CN"/>
              </w:rPr>
            </w:pPr>
            <w:r w:rsidRPr="00710386">
              <w:rPr>
                <w:rFonts w:eastAsia="SimHei" w:cs="Times New Roman"/>
                <w:color w:val="000000"/>
                <w:szCs w:val="22"/>
                <w:lang w:eastAsia="zh-CN"/>
              </w:rPr>
              <w:t xml:space="preserve">4. </w:t>
            </w:r>
          </w:p>
        </w:tc>
        <w:tc>
          <w:tcPr>
            <w:tcW w:w="5220" w:type="dxa"/>
          </w:tcPr>
          <w:p w:rsidR="00710386" w:rsidRPr="00710386" w:rsidRDefault="00710386" w:rsidP="00710386">
            <w:pPr>
              <w:widowControl w:val="0"/>
              <w:autoSpaceDE w:val="0"/>
              <w:autoSpaceDN w:val="0"/>
              <w:adjustRightInd w:val="0"/>
              <w:spacing w:after="0"/>
              <w:rPr>
                <w:rFonts w:eastAsia="SimHei" w:cs="Times New Roman"/>
                <w:color w:val="000000"/>
                <w:szCs w:val="22"/>
                <w:lang w:eastAsia="zh-CN"/>
              </w:rPr>
            </w:pPr>
            <w:proofErr w:type="spellStart"/>
            <w:r w:rsidRPr="00710386">
              <w:rPr>
                <w:rFonts w:eastAsia="SimHei" w:cs="Times New Roman"/>
                <w:color w:val="000000"/>
                <w:szCs w:val="22"/>
                <w:lang w:eastAsia="zh-CN"/>
              </w:rPr>
              <w:t>Fenpropathrin</w:t>
            </w:r>
            <w:proofErr w:type="spellEnd"/>
          </w:p>
        </w:tc>
        <w:tc>
          <w:tcPr>
            <w:tcW w:w="1440" w:type="dxa"/>
          </w:tcPr>
          <w:p w:rsidR="00710386" w:rsidRPr="00710386" w:rsidRDefault="00710386" w:rsidP="00710386">
            <w:pPr>
              <w:widowControl w:val="0"/>
              <w:autoSpaceDE w:val="0"/>
              <w:autoSpaceDN w:val="0"/>
              <w:adjustRightInd w:val="0"/>
              <w:spacing w:after="0"/>
              <w:jc w:val="center"/>
              <w:rPr>
                <w:rFonts w:eastAsia="SimHei" w:cs="Times New Roman"/>
                <w:color w:val="000000"/>
                <w:szCs w:val="22"/>
                <w:lang w:eastAsia="zh-CN"/>
              </w:rPr>
            </w:pPr>
            <w:r w:rsidRPr="00710386">
              <w:rPr>
                <w:rFonts w:eastAsia="SimHei" w:cs="Times New Roman"/>
                <w:color w:val="000000"/>
                <w:szCs w:val="22"/>
                <w:lang w:eastAsia="zh-CN"/>
              </w:rPr>
              <w:t>2</w:t>
            </w:r>
          </w:p>
        </w:tc>
        <w:tc>
          <w:tcPr>
            <w:tcW w:w="1440" w:type="dxa"/>
          </w:tcPr>
          <w:p w:rsidR="00710386" w:rsidRPr="00710386" w:rsidRDefault="00710386" w:rsidP="00710386">
            <w:pPr>
              <w:widowControl w:val="0"/>
              <w:autoSpaceDE w:val="0"/>
              <w:autoSpaceDN w:val="0"/>
              <w:adjustRightInd w:val="0"/>
              <w:spacing w:after="0"/>
              <w:jc w:val="center"/>
              <w:rPr>
                <w:rFonts w:eastAsia="SimHei" w:cs="Times New Roman"/>
                <w:color w:val="000000"/>
                <w:szCs w:val="22"/>
                <w:lang w:eastAsia="zh-CN"/>
              </w:rPr>
            </w:pPr>
            <w:r w:rsidRPr="00710386">
              <w:rPr>
                <w:rFonts w:eastAsia="SimHei" w:cs="Times New Roman"/>
                <w:color w:val="000000"/>
                <w:szCs w:val="22"/>
                <w:lang w:eastAsia="zh-CN"/>
              </w:rPr>
              <w:t>2</w:t>
            </w:r>
          </w:p>
        </w:tc>
      </w:tr>
      <w:tr w:rsidR="00710386" w:rsidRPr="00710386" w:rsidTr="00710386">
        <w:trPr>
          <w:trHeight w:val="171"/>
        </w:trPr>
        <w:tc>
          <w:tcPr>
            <w:tcW w:w="918" w:type="dxa"/>
          </w:tcPr>
          <w:p w:rsidR="00710386" w:rsidRPr="00710386" w:rsidRDefault="00710386" w:rsidP="00710386">
            <w:pPr>
              <w:widowControl w:val="0"/>
              <w:autoSpaceDE w:val="0"/>
              <w:autoSpaceDN w:val="0"/>
              <w:adjustRightInd w:val="0"/>
              <w:spacing w:after="0"/>
              <w:rPr>
                <w:rFonts w:eastAsia="SimHei" w:cs="Times New Roman"/>
                <w:color w:val="000000"/>
                <w:szCs w:val="22"/>
                <w:lang w:eastAsia="zh-CN"/>
              </w:rPr>
            </w:pPr>
            <w:r w:rsidRPr="00710386">
              <w:rPr>
                <w:rFonts w:eastAsia="SimHei" w:cs="Times New Roman"/>
                <w:color w:val="000000"/>
                <w:szCs w:val="22"/>
                <w:lang w:eastAsia="zh-CN"/>
              </w:rPr>
              <w:t xml:space="preserve">5. </w:t>
            </w:r>
          </w:p>
        </w:tc>
        <w:tc>
          <w:tcPr>
            <w:tcW w:w="5220" w:type="dxa"/>
          </w:tcPr>
          <w:p w:rsidR="00710386" w:rsidRPr="00710386" w:rsidRDefault="00710386" w:rsidP="00710386">
            <w:pPr>
              <w:widowControl w:val="0"/>
              <w:autoSpaceDE w:val="0"/>
              <w:autoSpaceDN w:val="0"/>
              <w:adjustRightInd w:val="0"/>
              <w:spacing w:after="0"/>
              <w:rPr>
                <w:rFonts w:eastAsia="SimHei" w:cs="Times New Roman"/>
                <w:color w:val="000000"/>
                <w:szCs w:val="22"/>
                <w:lang w:eastAsia="zh-CN"/>
              </w:rPr>
            </w:pPr>
            <w:proofErr w:type="spellStart"/>
            <w:r w:rsidRPr="00710386">
              <w:rPr>
                <w:rFonts w:eastAsia="SimHei" w:cs="Times New Roman"/>
                <w:color w:val="000000"/>
                <w:szCs w:val="22"/>
                <w:lang w:eastAsia="zh-CN"/>
              </w:rPr>
              <w:t>Chlorpyrifos</w:t>
            </w:r>
            <w:proofErr w:type="spellEnd"/>
          </w:p>
        </w:tc>
        <w:tc>
          <w:tcPr>
            <w:tcW w:w="1440" w:type="dxa"/>
          </w:tcPr>
          <w:p w:rsidR="00710386" w:rsidRPr="00710386" w:rsidRDefault="00710386" w:rsidP="00710386">
            <w:pPr>
              <w:widowControl w:val="0"/>
              <w:autoSpaceDE w:val="0"/>
              <w:autoSpaceDN w:val="0"/>
              <w:adjustRightInd w:val="0"/>
              <w:spacing w:after="0"/>
              <w:jc w:val="center"/>
              <w:rPr>
                <w:rFonts w:eastAsia="SimHei" w:cs="Times New Roman"/>
                <w:color w:val="000000"/>
                <w:szCs w:val="22"/>
                <w:lang w:eastAsia="zh-CN"/>
              </w:rPr>
            </w:pPr>
            <w:r w:rsidRPr="00710386">
              <w:rPr>
                <w:rFonts w:eastAsia="SimHei" w:cs="Times New Roman"/>
                <w:color w:val="000000"/>
                <w:szCs w:val="22"/>
                <w:lang w:eastAsia="zh-CN"/>
              </w:rPr>
              <w:t>2</w:t>
            </w:r>
          </w:p>
        </w:tc>
        <w:tc>
          <w:tcPr>
            <w:tcW w:w="1440" w:type="dxa"/>
          </w:tcPr>
          <w:p w:rsidR="00710386" w:rsidRPr="00710386" w:rsidRDefault="00710386" w:rsidP="00710386">
            <w:pPr>
              <w:widowControl w:val="0"/>
              <w:autoSpaceDE w:val="0"/>
              <w:autoSpaceDN w:val="0"/>
              <w:adjustRightInd w:val="0"/>
              <w:spacing w:after="0"/>
              <w:jc w:val="center"/>
              <w:rPr>
                <w:rFonts w:eastAsia="SimHei" w:cs="Times New Roman"/>
                <w:color w:val="000000"/>
                <w:szCs w:val="22"/>
                <w:lang w:eastAsia="zh-CN"/>
              </w:rPr>
            </w:pPr>
            <w:r w:rsidRPr="00710386">
              <w:rPr>
                <w:rFonts w:eastAsia="SimHei" w:cs="Times New Roman"/>
                <w:color w:val="000000"/>
                <w:szCs w:val="22"/>
                <w:lang w:eastAsia="zh-CN"/>
              </w:rPr>
              <w:t>2</w:t>
            </w:r>
          </w:p>
        </w:tc>
      </w:tr>
      <w:tr w:rsidR="00710386" w:rsidRPr="00710386" w:rsidTr="00710386">
        <w:trPr>
          <w:trHeight w:val="171"/>
        </w:trPr>
        <w:tc>
          <w:tcPr>
            <w:tcW w:w="918" w:type="dxa"/>
          </w:tcPr>
          <w:p w:rsidR="00710386" w:rsidRPr="00710386" w:rsidRDefault="00710386" w:rsidP="00710386">
            <w:pPr>
              <w:widowControl w:val="0"/>
              <w:autoSpaceDE w:val="0"/>
              <w:autoSpaceDN w:val="0"/>
              <w:adjustRightInd w:val="0"/>
              <w:spacing w:after="0"/>
              <w:rPr>
                <w:rFonts w:eastAsia="SimHei" w:cs="Times New Roman"/>
                <w:color w:val="000000"/>
                <w:szCs w:val="22"/>
                <w:lang w:eastAsia="zh-CN"/>
              </w:rPr>
            </w:pPr>
            <w:r w:rsidRPr="00710386">
              <w:rPr>
                <w:rFonts w:eastAsia="SimHei" w:cs="Times New Roman"/>
                <w:color w:val="000000"/>
                <w:szCs w:val="22"/>
                <w:lang w:eastAsia="zh-CN"/>
              </w:rPr>
              <w:t xml:space="preserve">6. </w:t>
            </w:r>
          </w:p>
        </w:tc>
        <w:tc>
          <w:tcPr>
            <w:tcW w:w="5220" w:type="dxa"/>
          </w:tcPr>
          <w:p w:rsidR="00710386" w:rsidRPr="00710386" w:rsidRDefault="00710386" w:rsidP="00710386">
            <w:pPr>
              <w:widowControl w:val="0"/>
              <w:autoSpaceDE w:val="0"/>
              <w:autoSpaceDN w:val="0"/>
              <w:adjustRightInd w:val="0"/>
              <w:spacing w:after="0"/>
              <w:rPr>
                <w:rFonts w:eastAsia="SimHei" w:cs="Times New Roman"/>
                <w:color w:val="000000"/>
                <w:szCs w:val="22"/>
                <w:lang w:eastAsia="zh-CN"/>
              </w:rPr>
            </w:pPr>
            <w:proofErr w:type="spellStart"/>
            <w:r w:rsidRPr="00710386">
              <w:rPr>
                <w:rFonts w:eastAsia="SimHei" w:cs="Times New Roman"/>
                <w:color w:val="000000"/>
                <w:szCs w:val="22"/>
                <w:lang w:eastAsia="zh-CN"/>
              </w:rPr>
              <w:t>Deltamethrin</w:t>
            </w:r>
            <w:proofErr w:type="spellEnd"/>
          </w:p>
        </w:tc>
        <w:tc>
          <w:tcPr>
            <w:tcW w:w="1440" w:type="dxa"/>
          </w:tcPr>
          <w:p w:rsidR="00710386" w:rsidRPr="00710386" w:rsidRDefault="00710386" w:rsidP="00710386">
            <w:pPr>
              <w:widowControl w:val="0"/>
              <w:autoSpaceDE w:val="0"/>
              <w:autoSpaceDN w:val="0"/>
              <w:adjustRightInd w:val="0"/>
              <w:spacing w:after="0"/>
              <w:jc w:val="center"/>
              <w:rPr>
                <w:rFonts w:eastAsia="SimHei" w:cs="Times New Roman"/>
                <w:color w:val="000000"/>
                <w:szCs w:val="22"/>
                <w:lang w:eastAsia="zh-CN"/>
              </w:rPr>
            </w:pPr>
            <w:r w:rsidRPr="00710386">
              <w:rPr>
                <w:rFonts w:eastAsia="SimHei" w:cs="Times New Roman"/>
                <w:color w:val="000000"/>
                <w:szCs w:val="22"/>
                <w:lang w:eastAsia="zh-CN"/>
              </w:rPr>
              <w:t>5</w:t>
            </w:r>
          </w:p>
        </w:tc>
        <w:tc>
          <w:tcPr>
            <w:tcW w:w="1440" w:type="dxa"/>
          </w:tcPr>
          <w:p w:rsidR="00710386" w:rsidRPr="00710386" w:rsidRDefault="00710386" w:rsidP="00710386">
            <w:pPr>
              <w:widowControl w:val="0"/>
              <w:autoSpaceDE w:val="0"/>
              <w:autoSpaceDN w:val="0"/>
              <w:adjustRightInd w:val="0"/>
              <w:spacing w:after="0"/>
              <w:jc w:val="center"/>
              <w:rPr>
                <w:rFonts w:eastAsia="SimHei" w:cs="Times New Roman"/>
                <w:color w:val="000000"/>
                <w:szCs w:val="22"/>
                <w:lang w:eastAsia="zh-CN"/>
              </w:rPr>
            </w:pPr>
            <w:r w:rsidRPr="00710386">
              <w:rPr>
                <w:rFonts w:eastAsia="SimHei" w:cs="Times New Roman"/>
                <w:color w:val="000000"/>
                <w:szCs w:val="22"/>
                <w:lang w:eastAsia="zh-CN"/>
              </w:rPr>
              <w:t>5</w:t>
            </w:r>
          </w:p>
        </w:tc>
      </w:tr>
      <w:tr w:rsidR="00710386" w:rsidRPr="00710386" w:rsidTr="00710386">
        <w:trPr>
          <w:trHeight w:val="172"/>
        </w:trPr>
        <w:tc>
          <w:tcPr>
            <w:tcW w:w="918" w:type="dxa"/>
          </w:tcPr>
          <w:p w:rsidR="00710386" w:rsidRPr="00710386" w:rsidRDefault="00710386" w:rsidP="00710386">
            <w:pPr>
              <w:widowControl w:val="0"/>
              <w:autoSpaceDE w:val="0"/>
              <w:autoSpaceDN w:val="0"/>
              <w:adjustRightInd w:val="0"/>
              <w:spacing w:after="0"/>
              <w:rPr>
                <w:rFonts w:eastAsia="SimHei" w:cs="Times New Roman"/>
                <w:color w:val="000000"/>
                <w:szCs w:val="22"/>
                <w:lang w:eastAsia="zh-CN"/>
              </w:rPr>
            </w:pPr>
            <w:r w:rsidRPr="00710386">
              <w:rPr>
                <w:rFonts w:eastAsia="SimHei" w:cs="Times New Roman"/>
                <w:color w:val="000000"/>
                <w:szCs w:val="22"/>
                <w:lang w:eastAsia="zh-CN"/>
              </w:rPr>
              <w:t xml:space="preserve">7. </w:t>
            </w:r>
          </w:p>
        </w:tc>
        <w:tc>
          <w:tcPr>
            <w:tcW w:w="5220" w:type="dxa"/>
          </w:tcPr>
          <w:p w:rsidR="00710386" w:rsidRPr="00710386" w:rsidRDefault="00710386" w:rsidP="00710386">
            <w:pPr>
              <w:widowControl w:val="0"/>
              <w:autoSpaceDE w:val="0"/>
              <w:autoSpaceDN w:val="0"/>
              <w:adjustRightInd w:val="0"/>
              <w:spacing w:after="0"/>
              <w:rPr>
                <w:rFonts w:eastAsia="SimHei" w:cs="Times New Roman"/>
                <w:color w:val="000000"/>
                <w:szCs w:val="22"/>
                <w:lang w:eastAsia="zh-CN"/>
              </w:rPr>
            </w:pPr>
            <w:proofErr w:type="spellStart"/>
            <w:r w:rsidRPr="00710386">
              <w:rPr>
                <w:rFonts w:eastAsia="SimHei" w:cs="Times New Roman"/>
                <w:color w:val="000000"/>
                <w:szCs w:val="22"/>
                <w:lang w:eastAsia="zh-CN"/>
              </w:rPr>
              <w:t>Propargite</w:t>
            </w:r>
            <w:proofErr w:type="spellEnd"/>
          </w:p>
        </w:tc>
        <w:tc>
          <w:tcPr>
            <w:tcW w:w="1440" w:type="dxa"/>
          </w:tcPr>
          <w:p w:rsidR="00710386" w:rsidRPr="00710386" w:rsidRDefault="00710386" w:rsidP="00710386">
            <w:pPr>
              <w:widowControl w:val="0"/>
              <w:autoSpaceDE w:val="0"/>
              <w:autoSpaceDN w:val="0"/>
              <w:adjustRightInd w:val="0"/>
              <w:spacing w:after="0"/>
              <w:jc w:val="center"/>
              <w:rPr>
                <w:rFonts w:eastAsia="SimHei" w:cs="Times New Roman"/>
                <w:color w:val="000000"/>
                <w:szCs w:val="22"/>
                <w:lang w:eastAsia="zh-CN"/>
              </w:rPr>
            </w:pPr>
            <w:r w:rsidRPr="00710386">
              <w:rPr>
                <w:rFonts w:eastAsia="SimHei" w:cs="Times New Roman"/>
                <w:color w:val="000000"/>
                <w:szCs w:val="22"/>
                <w:lang w:eastAsia="zh-CN"/>
              </w:rPr>
              <w:t>5</w:t>
            </w:r>
          </w:p>
        </w:tc>
        <w:tc>
          <w:tcPr>
            <w:tcW w:w="1440" w:type="dxa"/>
          </w:tcPr>
          <w:p w:rsidR="00710386" w:rsidRPr="00710386" w:rsidRDefault="00710386" w:rsidP="00710386">
            <w:pPr>
              <w:widowControl w:val="0"/>
              <w:autoSpaceDE w:val="0"/>
              <w:autoSpaceDN w:val="0"/>
              <w:adjustRightInd w:val="0"/>
              <w:spacing w:after="0"/>
              <w:jc w:val="center"/>
              <w:rPr>
                <w:rFonts w:eastAsia="SimHei" w:cs="Times New Roman"/>
                <w:color w:val="000000"/>
                <w:szCs w:val="22"/>
                <w:lang w:eastAsia="zh-CN"/>
              </w:rPr>
            </w:pPr>
            <w:r w:rsidRPr="00710386">
              <w:rPr>
                <w:rFonts w:eastAsia="SimHei" w:cs="Times New Roman"/>
                <w:color w:val="000000"/>
                <w:szCs w:val="22"/>
                <w:lang w:eastAsia="zh-CN"/>
              </w:rPr>
              <w:t>5</w:t>
            </w:r>
          </w:p>
        </w:tc>
      </w:tr>
      <w:tr w:rsidR="00710386" w:rsidRPr="00710386" w:rsidTr="00710386">
        <w:trPr>
          <w:trHeight w:val="171"/>
        </w:trPr>
        <w:tc>
          <w:tcPr>
            <w:tcW w:w="918" w:type="dxa"/>
          </w:tcPr>
          <w:p w:rsidR="00710386" w:rsidRPr="00710386" w:rsidRDefault="00710386" w:rsidP="00710386">
            <w:pPr>
              <w:widowControl w:val="0"/>
              <w:autoSpaceDE w:val="0"/>
              <w:autoSpaceDN w:val="0"/>
              <w:adjustRightInd w:val="0"/>
              <w:spacing w:after="0"/>
              <w:rPr>
                <w:rFonts w:eastAsia="SimHei" w:cs="Times New Roman"/>
                <w:color w:val="000000"/>
                <w:szCs w:val="22"/>
                <w:lang w:eastAsia="zh-CN"/>
              </w:rPr>
            </w:pPr>
            <w:r w:rsidRPr="00710386">
              <w:rPr>
                <w:rFonts w:eastAsia="SimHei" w:cs="Times New Roman"/>
                <w:color w:val="000000"/>
                <w:szCs w:val="22"/>
                <w:lang w:eastAsia="zh-CN"/>
              </w:rPr>
              <w:t xml:space="preserve">8. </w:t>
            </w:r>
          </w:p>
        </w:tc>
        <w:tc>
          <w:tcPr>
            <w:tcW w:w="5220" w:type="dxa"/>
          </w:tcPr>
          <w:p w:rsidR="00710386" w:rsidRPr="00710386" w:rsidRDefault="00710386" w:rsidP="00710386">
            <w:pPr>
              <w:widowControl w:val="0"/>
              <w:autoSpaceDE w:val="0"/>
              <w:autoSpaceDN w:val="0"/>
              <w:adjustRightInd w:val="0"/>
              <w:spacing w:after="0"/>
              <w:rPr>
                <w:rFonts w:eastAsia="SimHei" w:cs="Times New Roman"/>
                <w:color w:val="000000"/>
                <w:szCs w:val="22"/>
                <w:lang w:eastAsia="zh-CN"/>
              </w:rPr>
            </w:pPr>
            <w:proofErr w:type="spellStart"/>
            <w:r w:rsidRPr="00710386">
              <w:rPr>
                <w:rFonts w:eastAsia="SimHei" w:cs="Times New Roman"/>
                <w:color w:val="000000"/>
                <w:szCs w:val="22"/>
                <w:lang w:eastAsia="zh-CN"/>
              </w:rPr>
              <w:t>Endosulfan</w:t>
            </w:r>
            <w:proofErr w:type="spellEnd"/>
          </w:p>
        </w:tc>
        <w:tc>
          <w:tcPr>
            <w:tcW w:w="1440" w:type="dxa"/>
          </w:tcPr>
          <w:p w:rsidR="00710386" w:rsidRPr="00710386" w:rsidRDefault="00710386" w:rsidP="00710386">
            <w:pPr>
              <w:widowControl w:val="0"/>
              <w:autoSpaceDE w:val="0"/>
              <w:autoSpaceDN w:val="0"/>
              <w:adjustRightInd w:val="0"/>
              <w:spacing w:after="0"/>
              <w:jc w:val="center"/>
              <w:rPr>
                <w:rFonts w:eastAsia="SimHei" w:cs="Times New Roman"/>
                <w:color w:val="000000"/>
                <w:szCs w:val="22"/>
                <w:lang w:eastAsia="zh-CN"/>
              </w:rPr>
            </w:pPr>
            <w:r w:rsidRPr="00710386">
              <w:rPr>
                <w:rFonts w:eastAsia="SimHei" w:cs="Times New Roman"/>
                <w:color w:val="000000"/>
                <w:szCs w:val="22"/>
                <w:lang w:eastAsia="zh-CN"/>
              </w:rPr>
              <w:t>10</w:t>
            </w:r>
          </w:p>
        </w:tc>
        <w:tc>
          <w:tcPr>
            <w:tcW w:w="1440" w:type="dxa"/>
          </w:tcPr>
          <w:p w:rsidR="00710386" w:rsidRPr="00710386" w:rsidRDefault="00710386" w:rsidP="00710386">
            <w:pPr>
              <w:widowControl w:val="0"/>
              <w:autoSpaceDE w:val="0"/>
              <w:autoSpaceDN w:val="0"/>
              <w:adjustRightInd w:val="0"/>
              <w:spacing w:after="0"/>
              <w:jc w:val="center"/>
              <w:rPr>
                <w:rFonts w:eastAsia="SimHei" w:cs="Times New Roman"/>
                <w:color w:val="000000"/>
                <w:szCs w:val="22"/>
                <w:lang w:eastAsia="zh-CN"/>
              </w:rPr>
            </w:pPr>
            <w:r w:rsidRPr="00710386">
              <w:rPr>
                <w:rFonts w:eastAsia="SimHei" w:cs="Times New Roman"/>
                <w:color w:val="000000"/>
                <w:szCs w:val="22"/>
                <w:lang w:eastAsia="zh-CN"/>
              </w:rPr>
              <w:t>10</w:t>
            </w:r>
          </w:p>
        </w:tc>
      </w:tr>
      <w:tr w:rsidR="00710386" w:rsidRPr="00710386" w:rsidTr="00710386">
        <w:trPr>
          <w:trHeight w:val="171"/>
        </w:trPr>
        <w:tc>
          <w:tcPr>
            <w:tcW w:w="918" w:type="dxa"/>
          </w:tcPr>
          <w:p w:rsidR="00710386" w:rsidRPr="00710386" w:rsidRDefault="00710386" w:rsidP="00710386">
            <w:pPr>
              <w:widowControl w:val="0"/>
              <w:autoSpaceDE w:val="0"/>
              <w:autoSpaceDN w:val="0"/>
              <w:adjustRightInd w:val="0"/>
              <w:spacing w:after="0"/>
              <w:rPr>
                <w:rFonts w:eastAsia="SimHei" w:cs="Times New Roman"/>
                <w:color w:val="000000"/>
                <w:szCs w:val="22"/>
                <w:lang w:eastAsia="zh-CN"/>
              </w:rPr>
            </w:pPr>
            <w:r w:rsidRPr="00710386">
              <w:rPr>
                <w:rFonts w:eastAsia="SimHei" w:cs="Times New Roman"/>
                <w:color w:val="000000"/>
                <w:szCs w:val="22"/>
                <w:lang w:eastAsia="zh-CN"/>
              </w:rPr>
              <w:t xml:space="preserve">9. </w:t>
            </w:r>
          </w:p>
        </w:tc>
        <w:tc>
          <w:tcPr>
            <w:tcW w:w="5220" w:type="dxa"/>
          </w:tcPr>
          <w:p w:rsidR="00710386" w:rsidRPr="00710386" w:rsidRDefault="00710386" w:rsidP="00710386">
            <w:pPr>
              <w:widowControl w:val="0"/>
              <w:autoSpaceDE w:val="0"/>
              <w:autoSpaceDN w:val="0"/>
              <w:adjustRightInd w:val="0"/>
              <w:spacing w:after="0"/>
              <w:rPr>
                <w:rFonts w:eastAsia="SimHei" w:cs="Times New Roman"/>
                <w:color w:val="000000"/>
                <w:szCs w:val="22"/>
                <w:lang w:eastAsia="zh-CN"/>
              </w:rPr>
            </w:pPr>
            <w:proofErr w:type="spellStart"/>
            <w:r w:rsidRPr="00710386">
              <w:rPr>
                <w:rFonts w:eastAsia="SimHei" w:cs="Times New Roman"/>
                <w:color w:val="000000"/>
                <w:szCs w:val="22"/>
                <w:lang w:eastAsia="zh-CN"/>
              </w:rPr>
              <w:t>Etoxazole</w:t>
            </w:r>
            <w:proofErr w:type="spellEnd"/>
          </w:p>
        </w:tc>
        <w:tc>
          <w:tcPr>
            <w:tcW w:w="1440" w:type="dxa"/>
          </w:tcPr>
          <w:p w:rsidR="00710386" w:rsidRPr="00710386" w:rsidRDefault="00710386" w:rsidP="00710386">
            <w:pPr>
              <w:widowControl w:val="0"/>
              <w:autoSpaceDE w:val="0"/>
              <w:autoSpaceDN w:val="0"/>
              <w:adjustRightInd w:val="0"/>
              <w:spacing w:after="0"/>
              <w:jc w:val="center"/>
              <w:rPr>
                <w:rFonts w:eastAsia="SimHei" w:cs="Times New Roman"/>
                <w:color w:val="000000"/>
                <w:szCs w:val="22"/>
                <w:lang w:eastAsia="zh-CN"/>
              </w:rPr>
            </w:pPr>
            <w:r w:rsidRPr="00710386">
              <w:rPr>
                <w:rFonts w:eastAsia="SimHei" w:cs="Times New Roman"/>
                <w:color w:val="000000"/>
                <w:szCs w:val="22"/>
                <w:lang w:eastAsia="zh-CN"/>
              </w:rPr>
              <w:t>15</w:t>
            </w:r>
          </w:p>
        </w:tc>
        <w:tc>
          <w:tcPr>
            <w:tcW w:w="1440" w:type="dxa"/>
          </w:tcPr>
          <w:p w:rsidR="00710386" w:rsidRPr="00710386" w:rsidRDefault="00710386" w:rsidP="00710386">
            <w:pPr>
              <w:widowControl w:val="0"/>
              <w:autoSpaceDE w:val="0"/>
              <w:autoSpaceDN w:val="0"/>
              <w:adjustRightInd w:val="0"/>
              <w:spacing w:after="0"/>
              <w:jc w:val="center"/>
              <w:rPr>
                <w:rFonts w:eastAsia="SimHei" w:cs="Times New Roman"/>
                <w:color w:val="000000"/>
                <w:szCs w:val="22"/>
                <w:lang w:eastAsia="zh-CN"/>
              </w:rPr>
            </w:pPr>
            <w:r w:rsidRPr="00710386">
              <w:rPr>
                <w:rFonts w:eastAsia="SimHei" w:cs="Times New Roman"/>
                <w:color w:val="000000"/>
                <w:szCs w:val="22"/>
                <w:lang w:eastAsia="zh-CN"/>
              </w:rPr>
              <w:t>15</w:t>
            </w:r>
          </w:p>
        </w:tc>
      </w:tr>
      <w:tr w:rsidR="00710386" w:rsidRPr="00710386" w:rsidTr="00710386">
        <w:trPr>
          <w:trHeight w:val="171"/>
        </w:trPr>
        <w:tc>
          <w:tcPr>
            <w:tcW w:w="918" w:type="dxa"/>
          </w:tcPr>
          <w:p w:rsidR="00710386" w:rsidRPr="00710386" w:rsidRDefault="00710386" w:rsidP="00710386">
            <w:pPr>
              <w:widowControl w:val="0"/>
              <w:autoSpaceDE w:val="0"/>
              <w:autoSpaceDN w:val="0"/>
              <w:adjustRightInd w:val="0"/>
              <w:spacing w:after="0"/>
              <w:rPr>
                <w:rFonts w:eastAsia="SimHei" w:cs="Times New Roman"/>
                <w:color w:val="000000"/>
                <w:szCs w:val="22"/>
                <w:lang w:eastAsia="zh-CN"/>
              </w:rPr>
            </w:pPr>
            <w:r w:rsidRPr="00710386">
              <w:rPr>
                <w:rFonts w:eastAsia="SimHei" w:cs="Times New Roman"/>
                <w:color w:val="000000"/>
                <w:szCs w:val="22"/>
                <w:lang w:eastAsia="zh-CN"/>
              </w:rPr>
              <w:t xml:space="preserve">10. </w:t>
            </w:r>
          </w:p>
        </w:tc>
        <w:tc>
          <w:tcPr>
            <w:tcW w:w="5220" w:type="dxa"/>
          </w:tcPr>
          <w:p w:rsidR="00710386" w:rsidRPr="00710386" w:rsidRDefault="00710386" w:rsidP="00710386">
            <w:pPr>
              <w:widowControl w:val="0"/>
              <w:autoSpaceDE w:val="0"/>
              <w:autoSpaceDN w:val="0"/>
              <w:adjustRightInd w:val="0"/>
              <w:spacing w:after="0"/>
              <w:rPr>
                <w:rFonts w:eastAsia="SimHei" w:cs="Times New Roman"/>
                <w:color w:val="000000"/>
                <w:szCs w:val="22"/>
                <w:lang w:eastAsia="zh-CN"/>
              </w:rPr>
            </w:pPr>
            <w:proofErr w:type="spellStart"/>
            <w:r w:rsidRPr="00710386">
              <w:rPr>
                <w:rFonts w:eastAsia="SimHei" w:cs="Times New Roman"/>
                <w:color w:val="000000"/>
                <w:szCs w:val="22"/>
                <w:lang w:eastAsia="zh-CN"/>
              </w:rPr>
              <w:t>Hexythiazox</w:t>
            </w:r>
            <w:proofErr w:type="spellEnd"/>
          </w:p>
        </w:tc>
        <w:tc>
          <w:tcPr>
            <w:tcW w:w="1440" w:type="dxa"/>
          </w:tcPr>
          <w:p w:rsidR="00710386" w:rsidRPr="00710386" w:rsidRDefault="00710386" w:rsidP="00710386">
            <w:pPr>
              <w:widowControl w:val="0"/>
              <w:autoSpaceDE w:val="0"/>
              <w:autoSpaceDN w:val="0"/>
              <w:adjustRightInd w:val="0"/>
              <w:spacing w:after="0"/>
              <w:jc w:val="center"/>
              <w:rPr>
                <w:rFonts w:eastAsia="SimHei" w:cs="Times New Roman"/>
                <w:color w:val="000000"/>
                <w:szCs w:val="22"/>
                <w:lang w:eastAsia="zh-CN"/>
              </w:rPr>
            </w:pPr>
            <w:r w:rsidRPr="00710386">
              <w:rPr>
                <w:rFonts w:eastAsia="SimHei" w:cs="Times New Roman"/>
                <w:color w:val="000000"/>
                <w:szCs w:val="22"/>
                <w:lang w:eastAsia="zh-CN"/>
              </w:rPr>
              <w:t>15</w:t>
            </w:r>
          </w:p>
        </w:tc>
        <w:tc>
          <w:tcPr>
            <w:tcW w:w="1440" w:type="dxa"/>
          </w:tcPr>
          <w:p w:rsidR="00710386" w:rsidRPr="00710386" w:rsidRDefault="00710386" w:rsidP="00710386">
            <w:pPr>
              <w:widowControl w:val="0"/>
              <w:autoSpaceDE w:val="0"/>
              <w:autoSpaceDN w:val="0"/>
              <w:adjustRightInd w:val="0"/>
              <w:spacing w:after="0"/>
              <w:jc w:val="center"/>
              <w:rPr>
                <w:rFonts w:eastAsia="SimHei" w:cs="Times New Roman"/>
                <w:color w:val="000000"/>
                <w:szCs w:val="22"/>
                <w:lang w:eastAsia="zh-CN"/>
              </w:rPr>
            </w:pPr>
            <w:r w:rsidRPr="00710386">
              <w:rPr>
                <w:rFonts w:eastAsia="SimHei" w:cs="Times New Roman"/>
                <w:color w:val="000000"/>
                <w:szCs w:val="22"/>
                <w:lang w:eastAsia="zh-CN"/>
              </w:rPr>
              <w:t>15</w:t>
            </w:r>
          </w:p>
        </w:tc>
      </w:tr>
      <w:tr w:rsidR="00710386" w:rsidRPr="00710386" w:rsidTr="00710386">
        <w:trPr>
          <w:trHeight w:val="223"/>
        </w:trPr>
        <w:tc>
          <w:tcPr>
            <w:tcW w:w="918" w:type="dxa"/>
          </w:tcPr>
          <w:p w:rsidR="00710386" w:rsidRPr="00710386" w:rsidRDefault="00710386" w:rsidP="00710386">
            <w:pPr>
              <w:widowControl w:val="0"/>
              <w:autoSpaceDE w:val="0"/>
              <w:autoSpaceDN w:val="0"/>
              <w:adjustRightInd w:val="0"/>
              <w:spacing w:after="0"/>
              <w:rPr>
                <w:rFonts w:eastAsia="SimHei" w:cs="Times New Roman"/>
                <w:color w:val="000000"/>
                <w:szCs w:val="22"/>
                <w:lang w:eastAsia="zh-CN"/>
              </w:rPr>
            </w:pPr>
            <w:r w:rsidRPr="00710386">
              <w:rPr>
                <w:rFonts w:eastAsia="SimHei" w:cs="Times New Roman"/>
                <w:color w:val="000000"/>
                <w:szCs w:val="22"/>
                <w:lang w:eastAsia="zh-CN"/>
              </w:rPr>
              <w:t xml:space="preserve">11. </w:t>
            </w:r>
          </w:p>
        </w:tc>
        <w:tc>
          <w:tcPr>
            <w:tcW w:w="5220" w:type="dxa"/>
          </w:tcPr>
          <w:p w:rsidR="00710386" w:rsidRPr="00710386" w:rsidRDefault="00710386" w:rsidP="00710386">
            <w:pPr>
              <w:widowControl w:val="0"/>
              <w:autoSpaceDE w:val="0"/>
              <w:autoSpaceDN w:val="0"/>
              <w:adjustRightInd w:val="0"/>
              <w:spacing w:after="0"/>
              <w:rPr>
                <w:rFonts w:eastAsia="SimHei" w:cs="Times New Roman"/>
                <w:color w:val="000000"/>
                <w:szCs w:val="22"/>
                <w:lang w:eastAsia="zh-CN"/>
              </w:rPr>
            </w:pPr>
            <w:proofErr w:type="spellStart"/>
            <w:r w:rsidRPr="00710386">
              <w:rPr>
                <w:rFonts w:eastAsia="SimHei" w:cs="Times New Roman"/>
                <w:color w:val="000000"/>
                <w:szCs w:val="22"/>
                <w:lang w:eastAsia="zh-CN"/>
              </w:rPr>
              <w:t>Cypermethrins</w:t>
            </w:r>
            <w:proofErr w:type="spellEnd"/>
            <w:r w:rsidRPr="00710386">
              <w:rPr>
                <w:rFonts w:eastAsia="SimHei" w:cs="Times New Roman"/>
                <w:color w:val="000000"/>
                <w:szCs w:val="22"/>
                <w:lang w:eastAsia="zh-CN"/>
              </w:rPr>
              <w:t xml:space="preserve"> (including alpha- &amp; zeta- </w:t>
            </w:r>
            <w:proofErr w:type="spellStart"/>
            <w:r w:rsidRPr="00710386">
              <w:rPr>
                <w:rFonts w:eastAsia="SimHei" w:cs="Times New Roman"/>
                <w:color w:val="000000"/>
                <w:szCs w:val="22"/>
                <w:lang w:eastAsia="zh-CN"/>
              </w:rPr>
              <w:t>cypermethrin</w:t>
            </w:r>
            <w:proofErr w:type="spellEnd"/>
            <w:r w:rsidRPr="00710386">
              <w:rPr>
                <w:rFonts w:eastAsia="SimHei" w:cs="Times New Roman"/>
                <w:color w:val="000000"/>
                <w:szCs w:val="22"/>
                <w:lang w:eastAsia="zh-CN"/>
              </w:rPr>
              <w:t xml:space="preserve">) </w:t>
            </w:r>
          </w:p>
        </w:tc>
        <w:tc>
          <w:tcPr>
            <w:tcW w:w="1440" w:type="dxa"/>
          </w:tcPr>
          <w:p w:rsidR="00710386" w:rsidRPr="00710386" w:rsidRDefault="00710386" w:rsidP="00710386">
            <w:pPr>
              <w:widowControl w:val="0"/>
              <w:autoSpaceDE w:val="0"/>
              <w:autoSpaceDN w:val="0"/>
              <w:adjustRightInd w:val="0"/>
              <w:spacing w:after="0"/>
              <w:jc w:val="center"/>
              <w:rPr>
                <w:rFonts w:eastAsia="SimHei" w:cs="Times New Roman"/>
                <w:color w:val="000000"/>
                <w:szCs w:val="22"/>
                <w:lang w:eastAsia="zh-CN"/>
              </w:rPr>
            </w:pPr>
            <w:r w:rsidRPr="00710386">
              <w:rPr>
                <w:rFonts w:eastAsia="SimHei" w:cs="Times New Roman"/>
                <w:color w:val="000000"/>
                <w:szCs w:val="22"/>
                <w:lang w:eastAsia="zh-CN"/>
              </w:rPr>
              <w:t>15</w:t>
            </w:r>
          </w:p>
        </w:tc>
        <w:tc>
          <w:tcPr>
            <w:tcW w:w="1440" w:type="dxa"/>
          </w:tcPr>
          <w:p w:rsidR="00710386" w:rsidRPr="00710386" w:rsidRDefault="00710386" w:rsidP="00710386">
            <w:pPr>
              <w:widowControl w:val="0"/>
              <w:autoSpaceDE w:val="0"/>
              <w:autoSpaceDN w:val="0"/>
              <w:adjustRightInd w:val="0"/>
              <w:spacing w:after="0"/>
              <w:jc w:val="center"/>
              <w:rPr>
                <w:rFonts w:eastAsia="SimHei" w:cs="Times New Roman"/>
                <w:color w:val="000000"/>
                <w:szCs w:val="22"/>
                <w:lang w:eastAsia="zh-CN"/>
              </w:rPr>
            </w:pPr>
            <w:r w:rsidRPr="00710386">
              <w:rPr>
                <w:rFonts w:eastAsia="SimHei" w:cs="Times New Roman"/>
                <w:color w:val="000000"/>
                <w:szCs w:val="22"/>
                <w:lang w:eastAsia="zh-CN"/>
              </w:rPr>
              <w:t>15</w:t>
            </w:r>
          </w:p>
        </w:tc>
      </w:tr>
      <w:tr w:rsidR="00710386" w:rsidRPr="00710386" w:rsidTr="00710386">
        <w:trPr>
          <w:trHeight w:val="171"/>
        </w:trPr>
        <w:tc>
          <w:tcPr>
            <w:tcW w:w="918" w:type="dxa"/>
          </w:tcPr>
          <w:p w:rsidR="00710386" w:rsidRPr="00710386" w:rsidRDefault="00710386" w:rsidP="00710386">
            <w:pPr>
              <w:widowControl w:val="0"/>
              <w:autoSpaceDE w:val="0"/>
              <w:autoSpaceDN w:val="0"/>
              <w:adjustRightInd w:val="0"/>
              <w:spacing w:after="0"/>
              <w:rPr>
                <w:rFonts w:eastAsia="SimHei" w:cs="Times New Roman"/>
                <w:color w:val="000000"/>
                <w:szCs w:val="22"/>
                <w:lang w:eastAsia="zh-CN"/>
              </w:rPr>
            </w:pPr>
            <w:r w:rsidRPr="00710386">
              <w:rPr>
                <w:rFonts w:eastAsia="SimHei" w:cs="Times New Roman"/>
                <w:color w:val="000000"/>
                <w:szCs w:val="22"/>
                <w:lang w:eastAsia="zh-CN"/>
              </w:rPr>
              <w:t xml:space="preserve">12. </w:t>
            </w:r>
          </w:p>
        </w:tc>
        <w:tc>
          <w:tcPr>
            <w:tcW w:w="5220" w:type="dxa"/>
          </w:tcPr>
          <w:p w:rsidR="00710386" w:rsidRPr="00710386" w:rsidRDefault="00710386" w:rsidP="00710386">
            <w:pPr>
              <w:widowControl w:val="0"/>
              <w:autoSpaceDE w:val="0"/>
              <w:autoSpaceDN w:val="0"/>
              <w:adjustRightInd w:val="0"/>
              <w:spacing w:after="0"/>
              <w:rPr>
                <w:rFonts w:eastAsia="SimHei" w:cs="Times New Roman"/>
                <w:color w:val="000000"/>
                <w:szCs w:val="22"/>
                <w:lang w:eastAsia="zh-CN"/>
              </w:rPr>
            </w:pPr>
            <w:r w:rsidRPr="00710386">
              <w:rPr>
                <w:rFonts w:eastAsia="SimHei" w:cs="Times New Roman"/>
                <w:color w:val="000000"/>
                <w:szCs w:val="22"/>
                <w:lang w:eastAsia="zh-CN"/>
              </w:rPr>
              <w:t>Permethrin</w:t>
            </w:r>
          </w:p>
        </w:tc>
        <w:tc>
          <w:tcPr>
            <w:tcW w:w="1440" w:type="dxa"/>
          </w:tcPr>
          <w:p w:rsidR="00710386" w:rsidRPr="00710386" w:rsidRDefault="00710386" w:rsidP="00710386">
            <w:pPr>
              <w:widowControl w:val="0"/>
              <w:autoSpaceDE w:val="0"/>
              <w:autoSpaceDN w:val="0"/>
              <w:adjustRightInd w:val="0"/>
              <w:spacing w:after="0"/>
              <w:jc w:val="center"/>
              <w:rPr>
                <w:rFonts w:eastAsia="SimHei" w:cs="Times New Roman"/>
                <w:color w:val="000000"/>
                <w:szCs w:val="22"/>
                <w:lang w:eastAsia="zh-CN"/>
              </w:rPr>
            </w:pPr>
            <w:r w:rsidRPr="00710386">
              <w:rPr>
                <w:rFonts w:eastAsia="SimHei" w:cs="Times New Roman"/>
                <w:color w:val="000000"/>
                <w:szCs w:val="22"/>
                <w:lang w:eastAsia="zh-CN"/>
              </w:rPr>
              <w:t>20</w:t>
            </w:r>
          </w:p>
        </w:tc>
        <w:tc>
          <w:tcPr>
            <w:tcW w:w="1440" w:type="dxa"/>
          </w:tcPr>
          <w:p w:rsidR="00710386" w:rsidRPr="00710386" w:rsidRDefault="00710386" w:rsidP="00710386">
            <w:pPr>
              <w:widowControl w:val="0"/>
              <w:autoSpaceDE w:val="0"/>
              <w:autoSpaceDN w:val="0"/>
              <w:adjustRightInd w:val="0"/>
              <w:spacing w:after="0"/>
              <w:jc w:val="center"/>
              <w:rPr>
                <w:rFonts w:eastAsia="SimHei" w:cs="Times New Roman"/>
                <w:color w:val="000000"/>
                <w:szCs w:val="22"/>
                <w:lang w:eastAsia="zh-CN"/>
              </w:rPr>
            </w:pPr>
            <w:r w:rsidRPr="00710386">
              <w:rPr>
                <w:rFonts w:eastAsia="SimHei" w:cs="Times New Roman"/>
                <w:color w:val="000000"/>
                <w:szCs w:val="22"/>
                <w:lang w:eastAsia="zh-CN"/>
              </w:rPr>
              <w:t>20</w:t>
            </w:r>
          </w:p>
        </w:tc>
      </w:tr>
      <w:tr w:rsidR="00710386" w:rsidRPr="00710386" w:rsidTr="00710386">
        <w:trPr>
          <w:trHeight w:val="171"/>
        </w:trPr>
        <w:tc>
          <w:tcPr>
            <w:tcW w:w="918" w:type="dxa"/>
          </w:tcPr>
          <w:p w:rsidR="00710386" w:rsidRPr="00710386" w:rsidRDefault="00710386" w:rsidP="00710386">
            <w:pPr>
              <w:widowControl w:val="0"/>
              <w:autoSpaceDE w:val="0"/>
              <w:autoSpaceDN w:val="0"/>
              <w:adjustRightInd w:val="0"/>
              <w:spacing w:after="0"/>
              <w:rPr>
                <w:rFonts w:eastAsia="SimHei" w:cs="Times New Roman"/>
                <w:color w:val="000000"/>
                <w:szCs w:val="22"/>
                <w:lang w:eastAsia="zh-CN"/>
              </w:rPr>
            </w:pPr>
            <w:r w:rsidRPr="00710386">
              <w:rPr>
                <w:rFonts w:eastAsia="SimHei" w:cs="Times New Roman"/>
                <w:color w:val="000000"/>
                <w:szCs w:val="22"/>
                <w:lang w:eastAsia="zh-CN"/>
              </w:rPr>
              <w:t xml:space="preserve">13. </w:t>
            </w:r>
          </w:p>
        </w:tc>
        <w:tc>
          <w:tcPr>
            <w:tcW w:w="5220" w:type="dxa"/>
          </w:tcPr>
          <w:p w:rsidR="00710386" w:rsidRPr="00710386" w:rsidRDefault="00710386" w:rsidP="00710386">
            <w:pPr>
              <w:widowControl w:val="0"/>
              <w:autoSpaceDE w:val="0"/>
              <w:autoSpaceDN w:val="0"/>
              <w:adjustRightInd w:val="0"/>
              <w:spacing w:after="0"/>
              <w:rPr>
                <w:rFonts w:eastAsia="SimHei" w:cs="Times New Roman"/>
                <w:color w:val="000000"/>
                <w:szCs w:val="22"/>
                <w:lang w:eastAsia="zh-CN"/>
              </w:rPr>
            </w:pPr>
            <w:proofErr w:type="spellStart"/>
            <w:r w:rsidRPr="00710386">
              <w:rPr>
                <w:rFonts w:eastAsia="SimHei" w:cs="Times New Roman"/>
                <w:color w:val="000000"/>
                <w:szCs w:val="22"/>
                <w:lang w:eastAsia="zh-CN"/>
              </w:rPr>
              <w:t>Thiamethoxam</w:t>
            </w:r>
            <w:proofErr w:type="spellEnd"/>
          </w:p>
        </w:tc>
        <w:tc>
          <w:tcPr>
            <w:tcW w:w="1440" w:type="dxa"/>
          </w:tcPr>
          <w:p w:rsidR="00710386" w:rsidRPr="00710386" w:rsidRDefault="00710386" w:rsidP="00710386">
            <w:pPr>
              <w:widowControl w:val="0"/>
              <w:autoSpaceDE w:val="0"/>
              <w:autoSpaceDN w:val="0"/>
              <w:adjustRightInd w:val="0"/>
              <w:spacing w:after="0"/>
              <w:jc w:val="center"/>
              <w:rPr>
                <w:rFonts w:eastAsia="SimHei" w:cs="Times New Roman"/>
                <w:color w:val="000000"/>
                <w:szCs w:val="22"/>
                <w:lang w:eastAsia="zh-CN"/>
              </w:rPr>
            </w:pPr>
            <w:r w:rsidRPr="00710386">
              <w:rPr>
                <w:rFonts w:eastAsia="SimHei" w:cs="Times New Roman"/>
                <w:color w:val="000000"/>
                <w:szCs w:val="22"/>
                <w:lang w:eastAsia="zh-CN"/>
              </w:rPr>
              <w:t>20</w:t>
            </w:r>
          </w:p>
        </w:tc>
        <w:tc>
          <w:tcPr>
            <w:tcW w:w="1440" w:type="dxa"/>
          </w:tcPr>
          <w:p w:rsidR="00710386" w:rsidRPr="00710386" w:rsidRDefault="00710386" w:rsidP="00710386">
            <w:pPr>
              <w:widowControl w:val="0"/>
              <w:autoSpaceDE w:val="0"/>
              <w:autoSpaceDN w:val="0"/>
              <w:adjustRightInd w:val="0"/>
              <w:spacing w:after="0"/>
              <w:jc w:val="center"/>
              <w:rPr>
                <w:rFonts w:eastAsia="SimHei" w:cs="Times New Roman"/>
                <w:color w:val="000000"/>
                <w:szCs w:val="22"/>
                <w:lang w:eastAsia="zh-CN"/>
              </w:rPr>
            </w:pPr>
            <w:r w:rsidRPr="00710386">
              <w:rPr>
                <w:rFonts w:eastAsia="SimHei" w:cs="Times New Roman"/>
                <w:color w:val="000000"/>
                <w:szCs w:val="22"/>
                <w:lang w:eastAsia="zh-CN"/>
              </w:rPr>
              <w:t>20</w:t>
            </w:r>
          </w:p>
        </w:tc>
      </w:tr>
      <w:tr w:rsidR="00710386" w:rsidRPr="00710386" w:rsidTr="00710386">
        <w:trPr>
          <w:trHeight w:val="171"/>
        </w:trPr>
        <w:tc>
          <w:tcPr>
            <w:tcW w:w="918" w:type="dxa"/>
          </w:tcPr>
          <w:p w:rsidR="00710386" w:rsidRPr="00710386" w:rsidRDefault="00710386" w:rsidP="00710386">
            <w:pPr>
              <w:widowControl w:val="0"/>
              <w:autoSpaceDE w:val="0"/>
              <w:autoSpaceDN w:val="0"/>
              <w:adjustRightInd w:val="0"/>
              <w:spacing w:after="0"/>
              <w:rPr>
                <w:rFonts w:eastAsia="SimHei" w:cs="Times New Roman"/>
                <w:color w:val="000000"/>
                <w:szCs w:val="22"/>
                <w:lang w:eastAsia="zh-CN"/>
              </w:rPr>
            </w:pPr>
            <w:r w:rsidRPr="00710386">
              <w:rPr>
                <w:rFonts w:eastAsia="SimHei" w:cs="Times New Roman"/>
                <w:color w:val="000000"/>
                <w:szCs w:val="22"/>
                <w:lang w:eastAsia="zh-CN"/>
              </w:rPr>
              <w:t xml:space="preserve">14. </w:t>
            </w:r>
          </w:p>
        </w:tc>
        <w:tc>
          <w:tcPr>
            <w:tcW w:w="5220" w:type="dxa"/>
          </w:tcPr>
          <w:p w:rsidR="00710386" w:rsidRPr="00710386" w:rsidRDefault="00710386" w:rsidP="00710386">
            <w:pPr>
              <w:widowControl w:val="0"/>
              <w:autoSpaceDE w:val="0"/>
              <w:autoSpaceDN w:val="0"/>
              <w:adjustRightInd w:val="0"/>
              <w:spacing w:after="0"/>
              <w:rPr>
                <w:rFonts w:eastAsia="SimHei" w:cs="Times New Roman"/>
                <w:color w:val="000000"/>
                <w:szCs w:val="22"/>
                <w:lang w:eastAsia="zh-CN"/>
              </w:rPr>
            </w:pPr>
            <w:proofErr w:type="spellStart"/>
            <w:r w:rsidRPr="00710386">
              <w:rPr>
                <w:rFonts w:eastAsia="SimHei" w:cs="Times New Roman"/>
                <w:color w:val="000000"/>
                <w:szCs w:val="22"/>
                <w:lang w:eastAsia="zh-CN"/>
              </w:rPr>
              <w:t>Bifenthrin</w:t>
            </w:r>
            <w:proofErr w:type="spellEnd"/>
          </w:p>
        </w:tc>
        <w:tc>
          <w:tcPr>
            <w:tcW w:w="1440" w:type="dxa"/>
          </w:tcPr>
          <w:p w:rsidR="00710386" w:rsidRPr="00710386" w:rsidRDefault="00710386" w:rsidP="00710386">
            <w:pPr>
              <w:widowControl w:val="0"/>
              <w:autoSpaceDE w:val="0"/>
              <w:autoSpaceDN w:val="0"/>
              <w:adjustRightInd w:val="0"/>
              <w:spacing w:after="0"/>
              <w:jc w:val="center"/>
              <w:rPr>
                <w:rFonts w:eastAsia="SimHei" w:cs="Times New Roman"/>
                <w:color w:val="000000"/>
                <w:szCs w:val="22"/>
                <w:lang w:eastAsia="zh-CN"/>
              </w:rPr>
            </w:pPr>
            <w:r w:rsidRPr="00710386">
              <w:rPr>
                <w:rFonts w:eastAsia="SimHei" w:cs="Times New Roman"/>
                <w:color w:val="000000"/>
                <w:szCs w:val="22"/>
                <w:lang w:eastAsia="zh-CN"/>
              </w:rPr>
              <w:t>30</w:t>
            </w:r>
          </w:p>
        </w:tc>
        <w:tc>
          <w:tcPr>
            <w:tcW w:w="1440" w:type="dxa"/>
          </w:tcPr>
          <w:p w:rsidR="00710386" w:rsidRPr="00710386" w:rsidRDefault="00710386" w:rsidP="00710386">
            <w:pPr>
              <w:widowControl w:val="0"/>
              <w:autoSpaceDE w:val="0"/>
              <w:autoSpaceDN w:val="0"/>
              <w:adjustRightInd w:val="0"/>
              <w:spacing w:after="0"/>
              <w:jc w:val="center"/>
              <w:rPr>
                <w:rFonts w:eastAsia="SimHei" w:cs="Times New Roman"/>
                <w:color w:val="000000"/>
                <w:szCs w:val="22"/>
                <w:lang w:eastAsia="zh-CN"/>
              </w:rPr>
            </w:pPr>
            <w:r w:rsidRPr="00710386">
              <w:rPr>
                <w:rFonts w:eastAsia="SimHei" w:cs="Times New Roman"/>
                <w:color w:val="000000"/>
                <w:szCs w:val="22"/>
                <w:lang w:eastAsia="zh-CN"/>
              </w:rPr>
              <w:t>30</w:t>
            </w:r>
          </w:p>
        </w:tc>
      </w:tr>
    </w:tbl>
    <w:p w:rsidR="00710386" w:rsidRPr="00710386" w:rsidRDefault="00710386" w:rsidP="00710386">
      <w:pPr>
        <w:spacing w:line="276" w:lineRule="auto"/>
        <w:jc w:val="both"/>
        <w:rPr>
          <w:rFonts w:eastAsiaTheme="minorEastAsia" w:cs="Times New Roman"/>
          <w:color w:val="000000"/>
          <w:szCs w:val="17"/>
          <w:shd w:val="clear" w:color="auto" w:fill="FFFFFF"/>
          <w:lang w:eastAsia="en-GB"/>
        </w:rPr>
      </w:pPr>
    </w:p>
    <w:p w:rsidR="00710386" w:rsidRDefault="00710386" w:rsidP="00710386">
      <w:pPr>
        <w:ind w:left="270"/>
        <w:rPr>
          <w:rStyle w:val="apple-converted-space"/>
          <w:rFonts w:cs="Times New Roman"/>
          <w:color w:val="000000"/>
          <w:szCs w:val="17"/>
          <w:shd w:val="clear" w:color="auto" w:fill="FFFFFF"/>
        </w:rPr>
      </w:pPr>
      <w:r>
        <w:rPr>
          <w:rFonts w:cs="Times New Roman"/>
          <w:color w:val="000000"/>
          <w:szCs w:val="17"/>
          <w:shd w:val="clear" w:color="auto" w:fill="FFFFFF"/>
        </w:rPr>
        <w:t>T</w:t>
      </w:r>
      <w:r w:rsidRPr="009B2455">
        <w:rPr>
          <w:rFonts w:cs="Times New Roman"/>
          <w:color w:val="000000"/>
          <w:szCs w:val="17"/>
          <w:shd w:val="clear" w:color="auto" w:fill="FFFFFF"/>
        </w:rPr>
        <w:t xml:space="preserve">his is a </w:t>
      </w:r>
      <w:r>
        <w:rPr>
          <w:rFonts w:cs="Times New Roman"/>
          <w:color w:val="000000"/>
          <w:szCs w:val="17"/>
          <w:shd w:val="clear" w:color="auto" w:fill="FFFFFF"/>
        </w:rPr>
        <w:t>certain</w:t>
      </w:r>
      <w:r w:rsidRPr="009B2455">
        <w:rPr>
          <w:rFonts w:cs="Times New Roman"/>
          <w:color w:val="000000"/>
          <w:szCs w:val="17"/>
          <w:shd w:val="clear" w:color="auto" w:fill="FFFFFF"/>
        </w:rPr>
        <w:t xml:space="preserve"> move towards harmonization.</w:t>
      </w:r>
      <w:r w:rsidRPr="009B2455">
        <w:rPr>
          <w:rStyle w:val="apple-converted-space"/>
          <w:rFonts w:cs="Times New Roman"/>
          <w:color w:val="000000"/>
          <w:szCs w:val="17"/>
          <w:shd w:val="clear" w:color="auto" w:fill="FFFFFF"/>
        </w:rPr>
        <w:t> </w:t>
      </w:r>
      <w:r>
        <w:rPr>
          <w:rStyle w:val="apple-converted-space"/>
          <w:rFonts w:cs="Times New Roman"/>
          <w:color w:val="000000"/>
          <w:szCs w:val="17"/>
          <w:shd w:val="clear" w:color="auto" w:fill="FFFFFF"/>
        </w:rPr>
        <w:t xml:space="preserve">The information was posted in the FAO-IGG Forum for benefit to members. </w:t>
      </w:r>
    </w:p>
    <w:p w:rsidR="00710386" w:rsidRPr="0067314B" w:rsidRDefault="00710386" w:rsidP="00710386">
      <w:pPr>
        <w:pStyle w:val="ListParagraph"/>
        <w:numPr>
          <w:ilvl w:val="0"/>
          <w:numId w:val="19"/>
        </w:numPr>
        <w:spacing w:line="276" w:lineRule="auto"/>
        <w:ind w:left="360"/>
        <w:rPr>
          <w:rFonts w:cs="Times New Roman"/>
          <w:b/>
          <w:color w:val="000000"/>
          <w:szCs w:val="17"/>
          <w:shd w:val="clear" w:color="auto" w:fill="FFFFFF"/>
        </w:rPr>
      </w:pPr>
      <w:r w:rsidRPr="00694F3B">
        <w:rPr>
          <w:rFonts w:cs="Times New Roman"/>
        </w:rPr>
        <w:t xml:space="preserve">To </w:t>
      </w:r>
      <w:proofErr w:type="gramStart"/>
      <w:r w:rsidRPr="00694F3B">
        <w:rPr>
          <w:rFonts w:cs="Times New Roman"/>
        </w:rPr>
        <w:t>update  priority</w:t>
      </w:r>
      <w:proofErr w:type="gramEnd"/>
      <w:r w:rsidRPr="00694F3B">
        <w:rPr>
          <w:rFonts w:cs="Times New Roman"/>
        </w:rPr>
        <w:t xml:space="preserve"> list based on new information on Risk assessment, or Replacements or  Potential use in Tea</w:t>
      </w:r>
      <w:r>
        <w:rPr>
          <w:rFonts w:cs="Times New Roman"/>
        </w:rPr>
        <w:t>.</w:t>
      </w:r>
    </w:p>
    <w:p w:rsidR="00710386" w:rsidRDefault="00710386" w:rsidP="00710386">
      <w:pPr>
        <w:pStyle w:val="ListParagraph"/>
        <w:ind w:left="360"/>
        <w:rPr>
          <w:rFonts w:cs="Times New Roman"/>
        </w:rPr>
      </w:pPr>
    </w:p>
    <w:p w:rsidR="00710386" w:rsidRPr="0067314B" w:rsidRDefault="00710386" w:rsidP="00710386">
      <w:pPr>
        <w:pStyle w:val="ListParagraph"/>
        <w:ind w:left="180"/>
        <w:rPr>
          <w:rFonts w:cs="Times New Roman"/>
          <w:b/>
          <w:color w:val="000000"/>
          <w:szCs w:val="17"/>
          <w:shd w:val="clear" w:color="auto" w:fill="FFFFFF"/>
        </w:rPr>
      </w:pPr>
      <w:r w:rsidRPr="006A0D3A">
        <w:t xml:space="preserve">The priority list of chemicals for the data generation first prepared in 2005 for 24 pesticides has been updated in subsequent sessions. </w:t>
      </w:r>
      <w:r>
        <w:t xml:space="preserve"> </w:t>
      </w:r>
      <w:r w:rsidRPr="006A0D3A">
        <w:t>In the 21st Session of the Group held in Bandung, Indonesia on 5-</w:t>
      </w:r>
      <w:r>
        <w:t>7</w:t>
      </w:r>
      <w:r w:rsidRPr="006A0D3A">
        <w:t xml:space="preserve"> Nov 2014, </w:t>
      </w:r>
      <w:r>
        <w:t xml:space="preserve">and the Intersessional Meeting of the Group held in Milan on 14-15 Oct 2015, </w:t>
      </w:r>
      <w:r w:rsidRPr="006A0D3A">
        <w:t xml:space="preserve">the priority list of compounds in different countries </w:t>
      </w:r>
      <w:r>
        <w:t>were reviewed in order to</w:t>
      </w:r>
      <w:r w:rsidRPr="006A0D3A">
        <w:t xml:space="preserve"> remove</w:t>
      </w:r>
      <w:r>
        <w:t xml:space="preserve"> </w:t>
      </w:r>
      <w:r w:rsidRPr="006A0D3A">
        <w:t>ano</w:t>
      </w:r>
      <w:r>
        <w:t>malies and duplication of work and the status was as follows:</w:t>
      </w:r>
    </w:p>
    <w:p w:rsidR="00710386" w:rsidRPr="00710386" w:rsidRDefault="00710386" w:rsidP="00710386">
      <w:pPr>
        <w:jc w:val="center"/>
        <w:rPr>
          <w:rFonts w:eastAsiaTheme="minorEastAsia"/>
          <w:b/>
          <w:lang w:eastAsia="en-GB"/>
        </w:rPr>
      </w:pPr>
      <w:r w:rsidRPr="00710386">
        <w:rPr>
          <w:rFonts w:eastAsiaTheme="minorEastAsia"/>
          <w:b/>
          <w:lang w:eastAsia="en-GB"/>
        </w:rPr>
        <w:t>Priority list of chemicals</w:t>
      </w:r>
    </w:p>
    <w:tbl>
      <w:tblPr>
        <w:tblpPr w:leftFromText="180" w:rightFromText="180" w:vertAnchor="text" w:horzAnchor="margin" w:tblpY="15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83"/>
        <w:gridCol w:w="1707"/>
        <w:gridCol w:w="1727"/>
        <w:gridCol w:w="1939"/>
        <w:gridCol w:w="1687"/>
      </w:tblGrid>
      <w:tr w:rsidR="00710386" w:rsidRPr="00710386" w:rsidTr="00710386">
        <w:tc>
          <w:tcPr>
            <w:tcW w:w="2183"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b/>
                <w:szCs w:val="22"/>
                <w:lang w:eastAsia="en-GB"/>
              </w:rPr>
            </w:pPr>
            <w:r w:rsidRPr="00710386">
              <w:rPr>
                <w:rFonts w:eastAsiaTheme="minorEastAsia" w:cstheme="minorBidi"/>
                <w:b/>
                <w:szCs w:val="22"/>
                <w:lang w:eastAsia="en-GB"/>
              </w:rPr>
              <w:t>Pesticides</w:t>
            </w:r>
          </w:p>
        </w:tc>
        <w:tc>
          <w:tcPr>
            <w:tcW w:w="170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b/>
                <w:szCs w:val="22"/>
                <w:lang w:eastAsia="en-GB"/>
              </w:rPr>
            </w:pPr>
            <w:r w:rsidRPr="00710386">
              <w:rPr>
                <w:rFonts w:eastAsiaTheme="minorEastAsia" w:cstheme="minorBidi"/>
                <w:b/>
                <w:szCs w:val="22"/>
                <w:lang w:eastAsia="en-GB"/>
              </w:rPr>
              <w:t xml:space="preserve">Data Availability </w:t>
            </w:r>
          </w:p>
        </w:tc>
        <w:tc>
          <w:tcPr>
            <w:tcW w:w="172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b/>
                <w:szCs w:val="22"/>
                <w:lang w:eastAsia="en-GB"/>
              </w:rPr>
            </w:pPr>
            <w:r w:rsidRPr="00710386">
              <w:rPr>
                <w:rFonts w:eastAsiaTheme="minorEastAsia" w:cstheme="minorBidi"/>
                <w:b/>
                <w:szCs w:val="22"/>
                <w:lang w:eastAsia="en-GB"/>
              </w:rPr>
              <w:t>No of trials &amp; Country</w:t>
            </w:r>
          </w:p>
        </w:tc>
        <w:tc>
          <w:tcPr>
            <w:tcW w:w="1939"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b/>
                <w:szCs w:val="22"/>
                <w:lang w:eastAsia="en-GB"/>
              </w:rPr>
            </w:pPr>
            <w:r w:rsidRPr="00710386">
              <w:rPr>
                <w:rFonts w:eastAsiaTheme="minorEastAsia" w:cstheme="minorBidi"/>
                <w:b/>
                <w:szCs w:val="22"/>
                <w:lang w:eastAsia="en-GB"/>
              </w:rPr>
              <w:t>National MRLs</w:t>
            </w:r>
          </w:p>
          <w:p w:rsidR="00710386" w:rsidRPr="00710386" w:rsidRDefault="00710386" w:rsidP="00710386">
            <w:pPr>
              <w:spacing w:after="0"/>
              <w:rPr>
                <w:rFonts w:eastAsiaTheme="minorEastAsia" w:cstheme="minorBidi"/>
                <w:b/>
                <w:szCs w:val="22"/>
                <w:lang w:eastAsia="en-GB"/>
              </w:rPr>
            </w:pPr>
            <w:r w:rsidRPr="00710386">
              <w:rPr>
                <w:rFonts w:eastAsiaTheme="minorEastAsia" w:cstheme="minorBidi"/>
                <w:b/>
                <w:szCs w:val="22"/>
                <w:lang w:eastAsia="en-GB"/>
              </w:rPr>
              <w:t>[MRL (Country)]</w:t>
            </w:r>
          </w:p>
        </w:tc>
        <w:tc>
          <w:tcPr>
            <w:tcW w:w="168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b/>
                <w:szCs w:val="22"/>
                <w:lang w:eastAsia="en-GB"/>
              </w:rPr>
            </w:pPr>
            <w:r w:rsidRPr="00710386">
              <w:rPr>
                <w:rFonts w:eastAsiaTheme="minorEastAsia" w:cstheme="minorBidi"/>
                <w:b/>
                <w:szCs w:val="22"/>
                <w:lang w:eastAsia="en-GB"/>
              </w:rPr>
              <w:t>Data submitted to Codex &amp; date</w:t>
            </w:r>
          </w:p>
        </w:tc>
      </w:tr>
      <w:tr w:rsidR="00710386" w:rsidRPr="00710386" w:rsidTr="00710386">
        <w:tc>
          <w:tcPr>
            <w:tcW w:w="2183"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jc w:val="center"/>
              <w:rPr>
                <w:rFonts w:eastAsiaTheme="minorEastAsia" w:cstheme="minorBidi"/>
                <w:szCs w:val="22"/>
                <w:lang w:eastAsia="en-GB"/>
              </w:rPr>
            </w:pPr>
            <w:r w:rsidRPr="00710386">
              <w:rPr>
                <w:rFonts w:eastAsiaTheme="minorEastAsia" w:cstheme="minorBidi"/>
                <w:szCs w:val="22"/>
                <w:lang w:eastAsia="en-GB"/>
              </w:rPr>
              <w:t>1</w:t>
            </w:r>
          </w:p>
        </w:tc>
        <w:tc>
          <w:tcPr>
            <w:tcW w:w="170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jc w:val="center"/>
              <w:rPr>
                <w:rFonts w:eastAsiaTheme="minorEastAsia" w:cstheme="minorBidi"/>
                <w:szCs w:val="22"/>
                <w:lang w:eastAsia="en-GB"/>
              </w:rPr>
            </w:pPr>
            <w:r w:rsidRPr="00710386">
              <w:rPr>
                <w:rFonts w:eastAsiaTheme="minorEastAsia" w:cstheme="minorBidi"/>
                <w:szCs w:val="22"/>
                <w:lang w:eastAsia="en-GB"/>
              </w:rPr>
              <w:t>2</w:t>
            </w:r>
          </w:p>
        </w:tc>
        <w:tc>
          <w:tcPr>
            <w:tcW w:w="172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jc w:val="center"/>
              <w:rPr>
                <w:rFonts w:eastAsiaTheme="minorEastAsia" w:cstheme="minorBidi"/>
                <w:szCs w:val="22"/>
                <w:lang w:eastAsia="en-GB"/>
              </w:rPr>
            </w:pPr>
            <w:r w:rsidRPr="00710386">
              <w:rPr>
                <w:rFonts w:eastAsiaTheme="minorEastAsia" w:cstheme="minorBidi"/>
                <w:szCs w:val="22"/>
                <w:lang w:eastAsia="en-GB"/>
              </w:rPr>
              <w:t>3</w:t>
            </w:r>
          </w:p>
        </w:tc>
        <w:tc>
          <w:tcPr>
            <w:tcW w:w="1939"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jc w:val="center"/>
              <w:rPr>
                <w:rFonts w:eastAsiaTheme="minorEastAsia" w:cstheme="minorBidi"/>
                <w:szCs w:val="22"/>
                <w:lang w:eastAsia="en-GB"/>
              </w:rPr>
            </w:pPr>
            <w:r w:rsidRPr="00710386">
              <w:rPr>
                <w:rFonts w:eastAsiaTheme="minorEastAsia" w:cstheme="minorBidi"/>
                <w:szCs w:val="22"/>
                <w:lang w:eastAsia="en-GB"/>
              </w:rPr>
              <w:t>4</w:t>
            </w:r>
          </w:p>
        </w:tc>
        <w:tc>
          <w:tcPr>
            <w:tcW w:w="168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jc w:val="center"/>
              <w:rPr>
                <w:rFonts w:eastAsiaTheme="minorEastAsia" w:cstheme="minorBidi"/>
                <w:szCs w:val="22"/>
                <w:lang w:eastAsia="en-GB"/>
              </w:rPr>
            </w:pPr>
            <w:r w:rsidRPr="00710386">
              <w:rPr>
                <w:rFonts w:eastAsiaTheme="minorEastAsia" w:cstheme="minorBidi"/>
                <w:szCs w:val="22"/>
                <w:lang w:eastAsia="en-GB"/>
              </w:rPr>
              <w:t>5</w:t>
            </w:r>
          </w:p>
        </w:tc>
      </w:tr>
      <w:tr w:rsidR="00710386" w:rsidRPr="00710386" w:rsidTr="00710386">
        <w:tc>
          <w:tcPr>
            <w:tcW w:w="2183"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szCs w:val="22"/>
                <w:lang w:eastAsia="en-GB"/>
              </w:rPr>
            </w:pPr>
            <w:proofErr w:type="spellStart"/>
            <w:r w:rsidRPr="00710386">
              <w:rPr>
                <w:rFonts w:eastAsiaTheme="minorEastAsia" w:cstheme="minorBidi"/>
                <w:szCs w:val="22"/>
                <w:lang w:eastAsia="en-GB"/>
              </w:rPr>
              <w:t>Acetamiprid</w:t>
            </w:r>
            <w:proofErr w:type="spellEnd"/>
          </w:p>
        </w:tc>
        <w:tc>
          <w:tcPr>
            <w:tcW w:w="170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szCs w:val="22"/>
                <w:lang w:eastAsia="en-GB"/>
              </w:rPr>
            </w:pPr>
            <w:r w:rsidRPr="00710386">
              <w:rPr>
                <w:rFonts w:eastAsiaTheme="minorEastAsia" w:cstheme="minorBidi"/>
                <w:szCs w:val="22"/>
                <w:lang w:eastAsia="en-GB"/>
              </w:rPr>
              <w:t>Yes</w:t>
            </w:r>
          </w:p>
        </w:tc>
        <w:tc>
          <w:tcPr>
            <w:tcW w:w="172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szCs w:val="22"/>
                <w:lang w:eastAsia="en-GB"/>
              </w:rPr>
            </w:pPr>
            <w:r w:rsidRPr="00710386">
              <w:rPr>
                <w:rFonts w:eastAsiaTheme="minorEastAsia" w:cstheme="minorBidi"/>
                <w:szCs w:val="22"/>
                <w:lang w:eastAsia="en-GB"/>
              </w:rPr>
              <w:t>4(Japan)</w:t>
            </w:r>
            <w:r w:rsidRPr="00710386">
              <w:rPr>
                <w:rFonts w:eastAsiaTheme="minorEastAsia" w:cstheme="minorBidi"/>
                <w:szCs w:val="22"/>
                <w:lang w:eastAsia="en-GB"/>
              </w:rPr>
              <w:br/>
              <w:t xml:space="preserve">4 (India)  </w:t>
            </w:r>
            <w:r w:rsidRPr="00710386">
              <w:rPr>
                <w:rFonts w:eastAsiaTheme="minorEastAsia" w:cstheme="minorBidi"/>
                <w:szCs w:val="22"/>
                <w:lang w:eastAsia="en-GB"/>
              </w:rPr>
              <w:br/>
              <w:t>8 (China)</w:t>
            </w:r>
          </w:p>
        </w:tc>
        <w:tc>
          <w:tcPr>
            <w:tcW w:w="1939"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szCs w:val="22"/>
                <w:lang w:eastAsia="en-GB"/>
              </w:rPr>
            </w:pPr>
            <w:r w:rsidRPr="00710386">
              <w:rPr>
                <w:rFonts w:eastAsiaTheme="minorEastAsia" w:cstheme="minorBidi"/>
                <w:szCs w:val="22"/>
                <w:lang w:eastAsia="en-GB"/>
              </w:rPr>
              <w:t>40 (</w:t>
            </w:r>
            <w:proofErr w:type="spellStart"/>
            <w:r w:rsidRPr="00710386">
              <w:rPr>
                <w:rFonts w:eastAsiaTheme="minorEastAsia" w:cstheme="minorBidi"/>
                <w:szCs w:val="22"/>
                <w:lang w:eastAsia="en-GB"/>
              </w:rPr>
              <w:t>Jp</w:t>
            </w:r>
            <w:proofErr w:type="spellEnd"/>
            <w:r w:rsidRPr="00710386">
              <w:rPr>
                <w:rFonts w:eastAsiaTheme="minorEastAsia" w:cstheme="minorBidi"/>
                <w:szCs w:val="22"/>
                <w:lang w:eastAsia="en-GB"/>
              </w:rPr>
              <w:t>), 50 (US)</w:t>
            </w:r>
          </w:p>
        </w:tc>
        <w:tc>
          <w:tcPr>
            <w:tcW w:w="168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szCs w:val="22"/>
                <w:lang w:eastAsia="en-GB"/>
              </w:rPr>
            </w:pPr>
            <w:r w:rsidRPr="00710386">
              <w:rPr>
                <w:rFonts w:eastAsiaTheme="minorEastAsia" w:cstheme="minorBidi"/>
                <w:szCs w:val="22"/>
                <w:lang w:eastAsia="en-GB"/>
              </w:rPr>
              <w:t>India (2016)</w:t>
            </w:r>
          </w:p>
        </w:tc>
      </w:tr>
      <w:tr w:rsidR="00710386" w:rsidRPr="00710386" w:rsidTr="00710386">
        <w:tc>
          <w:tcPr>
            <w:tcW w:w="2183"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szCs w:val="22"/>
                <w:lang w:eastAsia="en-GB"/>
              </w:rPr>
            </w:pPr>
            <w:proofErr w:type="spellStart"/>
            <w:r w:rsidRPr="00710386">
              <w:rPr>
                <w:rFonts w:eastAsiaTheme="minorEastAsia" w:cstheme="minorBidi"/>
                <w:szCs w:val="22"/>
                <w:lang w:eastAsia="en-GB"/>
              </w:rPr>
              <w:t>Bifenthrin</w:t>
            </w:r>
            <w:proofErr w:type="spellEnd"/>
          </w:p>
        </w:tc>
        <w:tc>
          <w:tcPr>
            <w:tcW w:w="170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szCs w:val="22"/>
                <w:lang w:eastAsia="en-GB"/>
              </w:rPr>
            </w:pPr>
            <w:r w:rsidRPr="00710386">
              <w:rPr>
                <w:rFonts w:eastAsiaTheme="minorEastAsia" w:cstheme="minorBidi"/>
                <w:szCs w:val="22"/>
                <w:lang w:eastAsia="en-GB"/>
              </w:rPr>
              <w:t>Yes</w:t>
            </w:r>
          </w:p>
        </w:tc>
        <w:tc>
          <w:tcPr>
            <w:tcW w:w="172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szCs w:val="22"/>
                <w:lang w:eastAsia="en-GB"/>
              </w:rPr>
            </w:pPr>
            <w:r w:rsidRPr="00710386">
              <w:rPr>
                <w:rFonts w:eastAsiaTheme="minorEastAsia" w:cstheme="minorBidi"/>
                <w:szCs w:val="22"/>
                <w:lang w:eastAsia="en-GB"/>
              </w:rPr>
              <w:t>6(Japan)</w:t>
            </w:r>
            <w:r w:rsidRPr="00710386">
              <w:rPr>
                <w:rFonts w:eastAsiaTheme="minorEastAsia" w:cstheme="minorBidi"/>
                <w:szCs w:val="22"/>
                <w:lang w:eastAsia="en-GB"/>
              </w:rPr>
              <w:br/>
              <w:t>2(India)</w:t>
            </w:r>
          </w:p>
        </w:tc>
        <w:tc>
          <w:tcPr>
            <w:tcW w:w="1939"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szCs w:val="22"/>
                <w:lang w:eastAsia="en-GB"/>
              </w:rPr>
            </w:pPr>
            <w:r w:rsidRPr="00710386">
              <w:rPr>
                <w:rFonts w:eastAsiaTheme="minorEastAsia" w:cstheme="minorBidi"/>
                <w:szCs w:val="22"/>
                <w:lang w:eastAsia="en-GB"/>
              </w:rPr>
              <w:t>30 (</w:t>
            </w:r>
            <w:proofErr w:type="spellStart"/>
            <w:r w:rsidRPr="00710386">
              <w:rPr>
                <w:rFonts w:eastAsiaTheme="minorEastAsia" w:cstheme="minorBidi"/>
                <w:szCs w:val="22"/>
                <w:lang w:eastAsia="en-GB"/>
              </w:rPr>
              <w:t>Jp</w:t>
            </w:r>
            <w:proofErr w:type="spellEnd"/>
            <w:r w:rsidRPr="00710386">
              <w:rPr>
                <w:rFonts w:eastAsiaTheme="minorEastAsia" w:cstheme="minorBidi"/>
                <w:szCs w:val="22"/>
                <w:lang w:eastAsia="en-GB"/>
              </w:rPr>
              <w:t>) , 30 (US)</w:t>
            </w:r>
          </w:p>
        </w:tc>
        <w:tc>
          <w:tcPr>
            <w:tcW w:w="168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szCs w:val="22"/>
                <w:lang w:eastAsia="en-GB"/>
              </w:rPr>
            </w:pPr>
            <w:r w:rsidRPr="00710386">
              <w:rPr>
                <w:rFonts w:eastAsiaTheme="minorEastAsia" w:cstheme="minorBidi"/>
                <w:szCs w:val="22"/>
                <w:lang w:eastAsia="en-GB"/>
              </w:rPr>
              <w:t>30 (2011)</w:t>
            </w:r>
          </w:p>
        </w:tc>
      </w:tr>
      <w:tr w:rsidR="00710386" w:rsidRPr="00710386" w:rsidTr="00710386">
        <w:tc>
          <w:tcPr>
            <w:tcW w:w="2183"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szCs w:val="22"/>
                <w:lang w:eastAsia="en-GB"/>
              </w:rPr>
            </w:pPr>
            <w:proofErr w:type="spellStart"/>
            <w:r w:rsidRPr="00710386">
              <w:rPr>
                <w:rFonts w:eastAsiaTheme="minorEastAsia" w:cstheme="minorBidi"/>
                <w:szCs w:val="22"/>
                <w:lang w:eastAsia="en-GB"/>
              </w:rPr>
              <w:t>Buprofezin</w:t>
            </w:r>
            <w:proofErr w:type="spellEnd"/>
          </w:p>
        </w:tc>
        <w:tc>
          <w:tcPr>
            <w:tcW w:w="170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szCs w:val="22"/>
                <w:lang w:eastAsia="en-GB"/>
              </w:rPr>
            </w:pPr>
            <w:r w:rsidRPr="00710386">
              <w:rPr>
                <w:rFonts w:eastAsiaTheme="minorEastAsia" w:cstheme="minorBidi"/>
                <w:szCs w:val="22"/>
                <w:lang w:eastAsia="en-GB"/>
              </w:rPr>
              <w:t>Submitted to EU</w:t>
            </w:r>
          </w:p>
        </w:tc>
        <w:tc>
          <w:tcPr>
            <w:tcW w:w="172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szCs w:val="22"/>
                <w:lang w:eastAsia="en-GB"/>
              </w:rPr>
            </w:pPr>
            <w:r w:rsidRPr="00710386">
              <w:rPr>
                <w:rFonts w:eastAsiaTheme="minorEastAsia" w:cstheme="minorBidi"/>
                <w:szCs w:val="22"/>
                <w:lang w:eastAsia="en-GB"/>
              </w:rPr>
              <w:t>6(Japan)</w:t>
            </w:r>
          </w:p>
        </w:tc>
        <w:tc>
          <w:tcPr>
            <w:tcW w:w="1939"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szCs w:val="22"/>
                <w:lang w:eastAsia="en-GB"/>
              </w:rPr>
            </w:pPr>
            <w:r w:rsidRPr="00710386">
              <w:rPr>
                <w:rFonts w:eastAsiaTheme="minorEastAsia" w:cstheme="minorBidi"/>
                <w:szCs w:val="22"/>
                <w:lang w:eastAsia="en-GB"/>
              </w:rPr>
              <w:t>30 (</w:t>
            </w:r>
            <w:proofErr w:type="spellStart"/>
            <w:r w:rsidRPr="00710386">
              <w:rPr>
                <w:rFonts w:eastAsiaTheme="minorEastAsia" w:cstheme="minorBidi"/>
                <w:szCs w:val="22"/>
                <w:lang w:eastAsia="en-GB"/>
              </w:rPr>
              <w:t>Jp</w:t>
            </w:r>
            <w:proofErr w:type="spellEnd"/>
            <w:r w:rsidRPr="00710386">
              <w:rPr>
                <w:rFonts w:eastAsiaTheme="minorEastAsia" w:cstheme="minorBidi"/>
                <w:szCs w:val="22"/>
                <w:lang w:eastAsia="en-GB"/>
              </w:rPr>
              <w:t>), 20 (US)</w:t>
            </w:r>
          </w:p>
        </w:tc>
        <w:tc>
          <w:tcPr>
            <w:tcW w:w="168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szCs w:val="22"/>
                <w:lang w:eastAsia="en-GB"/>
              </w:rPr>
            </w:pPr>
            <w:r w:rsidRPr="00710386">
              <w:rPr>
                <w:rFonts w:eastAsiaTheme="minorEastAsia" w:cstheme="minorBidi"/>
                <w:szCs w:val="22"/>
                <w:lang w:eastAsia="en-GB"/>
              </w:rPr>
              <w:t>30 (codex, Green Tea)</w:t>
            </w:r>
          </w:p>
        </w:tc>
      </w:tr>
      <w:tr w:rsidR="00710386" w:rsidRPr="00710386" w:rsidTr="00710386">
        <w:tc>
          <w:tcPr>
            <w:tcW w:w="2183"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szCs w:val="22"/>
                <w:lang w:eastAsia="en-GB"/>
              </w:rPr>
            </w:pPr>
            <w:proofErr w:type="spellStart"/>
            <w:r w:rsidRPr="00710386">
              <w:rPr>
                <w:rFonts w:eastAsiaTheme="minorEastAsia" w:cstheme="minorBidi"/>
                <w:szCs w:val="22"/>
                <w:lang w:eastAsia="en-GB"/>
              </w:rPr>
              <w:t>Chlorfenapyr</w:t>
            </w:r>
            <w:proofErr w:type="spellEnd"/>
          </w:p>
        </w:tc>
        <w:tc>
          <w:tcPr>
            <w:tcW w:w="170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szCs w:val="22"/>
                <w:lang w:eastAsia="en-GB"/>
              </w:rPr>
            </w:pPr>
            <w:r w:rsidRPr="00710386">
              <w:rPr>
                <w:rFonts w:eastAsiaTheme="minorEastAsia" w:cstheme="minorBidi"/>
                <w:szCs w:val="22"/>
                <w:lang w:eastAsia="en-GB"/>
              </w:rPr>
              <w:t xml:space="preserve">Yes  </w:t>
            </w:r>
          </w:p>
        </w:tc>
        <w:tc>
          <w:tcPr>
            <w:tcW w:w="172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szCs w:val="22"/>
                <w:lang w:eastAsia="en-GB"/>
              </w:rPr>
            </w:pPr>
            <w:r w:rsidRPr="00710386">
              <w:rPr>
                <w:rFonts w:eastAsiaTheme="minorEastAsia" w:cstheme="minorBidi"/>
                <w:szCs w:val="22"/>
                <w:lang w:eastAsia="en-GB"/>
              </w:rPr>
              <w:t>2(Japan)</w:t>
            </w:r>
            <w:r w:rsidRPr="00710386">
              <w:rPr>
                <w:rFonts w:eastAsiaTheme="minorEastAsia" w:cstheme="minorBidi"/>
                <w:szCs w:val="22"/>
                <w:lang w:eastAsia="en-GB"/>
              </w:rPr>
              <w:br/>
              <w:t>10 (China)</w:t>
            </w:r>
          </w:p>
        </w:tc>
        <w:tc>
          <w:tcPr>
            <w:tcW w:w="1939"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szCs w:val="22"/>
                <w:lang w:eastAsia="en-GB"/>
              </w:rPr>
            </w:pPr>
            <w:r w:rsidRPr="00710386">
              <w:rPr>
                <w:rFonts w:eastAsiaTheme="minorEastAsia" w:cstheme="minorBidi"/>
                <w:szCs w:val="22"/>
                <w:lang w:eastAsia="en-GB"/>
              </w:rPr>
              <w:t>0.01 (US), 40 (</w:t>
            </w:r>
            <w:proofErr w:type="spellStart"/>
            <w:r w:rsidRPr="00710386">
              <w:rPr>
                <w:rFonts w:eastAsiaTheme="minorEastAsia" w:cstheme="minorBidi"/>
                <w:szCs w:val="22"/>
                <w:lang w:eastAsia="en-GB"/>
              </w:rPr>
              <w:t>Jp</w:t>
            </w:r>
            <w:proofErr w:type="spellEnd"/>
            <w:r w:rsidRPr="00710386">
              <w:rPr>
                <w:rFonts w:eastAsiaTheme="minorEastAsia" w:cstheme="minorBidi"/>
                <w:szCs w:val="22"/>
                <w:lang w:eastAsia="en-GB"/>
              </w:rPr>
              <w:t>)</w:t>
            </w:r>
          </w:p>
        </w:tc>
        <w:tc>
          <w:tcPr>
            <w:tcW w:w="168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szCs w:val="22"/>
                <w:lang w:eastAsia="en-GB"/>
              </w:rPr>
            </w:pPr>
          </w:p>
        </w:tc>
      </w:tr>
      <w:tr w:rsidR="00710386" w:rsidRPr="00710386" w:rsidTr="00710386">
        <w:tc>
          <w:tcPr>
            <w:tcW w:w="2183"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b/>
                <w:szCs w:val="22"/>
                <w:lang w:eastAsia="en-GB"/>
              </w:rPr>
            </w:pPr>
            <w:r w:rsidRPr="00710386">
              <w:rPr>
                <w:rFonts w:eastAsiaTheme="minorEastAsia" w:cstheme="minorBidi"/>
                <w:b/>
                <w:szCs w:val="22"/>
                <w:lang w:eastAsia="en-GB"/>
              </w:rPr>
              <w:lastRenderedPageBreak/>
              <w:t>Pesticides</w:t>
            </w:r>
          </w:p>
        </w:tc>
        <w:tc>
          <w:tcPr>
            <w:tcW w:w="170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b/>
                <w:szCs w:val="22"/>
                <w:lang w:eastAsia="en-GB"/>
              </w:rPr>
            </w:pPr>
            <w:r w:rsidRPr="00710386">
              <w:rPr>
                <w:rFonts w:eastAsiaTheme="minorEastAsia" w:cstheme="minorBidi"/>
                <w:b/>
                <w:szCs w:val="22"/>
                <w:lang w:eastAsia="en-GB"/>
              </w:rPr>
              <w:t xml:space="preserve">Data Availability </w:t>
            </w:r>
          </w:p>
        </w:tc>
        <w:tc>
          <w:tcPr>
            <w:tcW w:w="172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b/>
                <w:szCs w:val="22"/>
                <w:lang w:eastAsia="en-GB"/>
              </w:rPr>
            </w:pPr>
            <w:r w:rsidRPr="00710386">
              <w:rPr>
                <w:rFonts w:eastAsiaTheme="minorEastAsia" w:cstheme="minorBidi"/>
                <w:b/>
                <w:szCs w:val="22"/>
                <w:lang w:eastAsia="en-GB"/>
              </w:rPr>
              <w:t>No of trials &amp; Country</w:t>
            </w:r>
          </w:p>
        </w:tc>
        <w:tc>
          <w:tcPr>
            <w:tcW w:w="1939"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b/>
                <w:szCs w:val="22"/>
                <w:lang w:eastAsia="en-GB"/>
              </w:rPr>
            </w:pPr>
            <w:r w:rsidRPr="00710386">
              <w:rPr>
                <w:rFonts w:eastAsiaTheme="minorEastAsia" w:cstheme="minorBidi"/>
                <w:b/>
                <w:szCs w:val="22"/>
                <w:lang w:eastAsia="en-GB"/>
              </w:rPr>
              <w:t>National MRLs</w:t>
            </w:r>
          </w:p>
          <w:p w:rsidR="00710386" w:rsidRPr="00710386" w:rsidRDefault="00710386" w:rsidP="00710386">
            <w:pPr>
              <w:spacing w:after="0"/>
              <w:rPr>
                <w:rFonts w:eastAsiaTheme="minorEastAsia" w:cstheme="minorBidi"/>
                <w:b/>
                <w:szCs w:val="22"/>
                <w:lang w:eastAsia="en-GB"/>
              </w:rPr>
            </w:pPr>
            <w:r w:rsidRPr="00710386">
              <w:rPr>
                <w:rFonts w:eastAsiaTheme="minorEastAsia" w:cstheme="minorBidi"/>
                <w:b/>
                <w:szCs w:val="22"/>
                <w:lang w:eastAsia="en-GB"/>
              </w:rPr>
              <w:t>[MRL (Country)]</w:t>
            </w:r>
          </w:p>
        </w:tc>
        <w:tc>
          <w:tcPr>
            <w:tcW w:w="168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b/>
                <w:szCs w:val="22"/>
                <w:lang w:eastAsia="en-GB"/>
              </w:rPr>
            </w:pPr>
            <w:r w:rsidRPr="00710386">
              <w:rPr>
                <w:rFonts w:eastAsiaTheme="minorEastAsia" w:cstheme="minorBidi"/>
                <w:b/>
                <w:szCs w:val="22"/>
                <w:lang w:eastAsia="en-GB"/>
              </w:rPr>
              <w:t>Data submitted to Codex &amp; date</w:t>
            </w:r>
          </w:p>
        </w:tc>
      </w:tr>
      <w:tr w:rsidR="00710386" w:rsidRPr="00710386" w:rsidTr="00710386">
        <w:tc>
          <w:tcPr>
            <w:tcW w:w="2183"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jc w:val="center"/>
              <w:rPr>
                <w:rFonts w:eastAsiaTheme="minorEastAsia" w:cstheme="minorBidi"/>
                <w:szCs w:val="22"/>
                <w:lang w:eastAsia="en-GB"/>
              </w:rPr>
            </w:pPr>
            <w:r w:rsidRPr="00710386">
              <w:rPr>
                <w:rFonts w:eastAsiaTheme="minorEastAsia" w:cstheme="minorBidi"/>
                <w:szCs w:val="22"/>
                <w:lang w:eastAsia="en-GB"/>
              </w:rPr>
              <w:t>1</w:t>
            </w:r>
          </w:p>
        </w:tc>
        <w:tc>
          <w:tcPr>
            <w:tcW w:w="170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jc w:val="center"/>
              <w:rPr>
                <w:rFonts w:eastAsiaTheme="minorEastAsia" w:cstheme="minorBidi"/>
                <w:szCs w:val="22"/>
                <w:lang w:eastAsia="en-GB"/>
              </w:rPr>
            </w:pPr>
            <w:r w:rsidRPr="00710386">
              <w:rPr>
                <w:rFonts w:eastAsiaTheme="minorEastAsia" w:cstheme="minorBidi"/>
                <w:szCs w:val="22"/>
                <w:lang w:eastAsia="en-GB"/>
              </w:rPr>
              <w:t>2</w:t>
            </w:r>
          </w:p>
        </w:tc>
        <w:tc>
          <w:tcPr>
            <w:tcW w:w="172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jc w:val="center"/>
              <w:rPr>
                <w:rFonts w:eastAsiaTheme="minorEastAsia" w:cstheme="minorBidi"/>
                <w:szCs w:val="22"/>
                <w:lang w:eastAsia="en-GB"/>
              </w:rPr>
            </w:pPr>
            <w:r w:rsidRPr="00710386">
              <w:rPr>
                <w:rFonts w:eastAsiaTheme="minorEastAsia" w:cstheme="minorBidi"/>
                <w:szCs w:val="22"/>
                <w:lang w:eastAsia="en-GB"/>
              </w:rPr>
              <w:t>3</w:t>
            </w:r>
          </w:p>
        </w:tc>
        <w:tc>
          <w:tcPr>
            <w:tcW w:w="1939"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jc w:val="center"/>
              <w:rPr>
                <w:rFonts w:eastAsiaTheme="minorEastAsia" w:cstheme="minorBidi"/>
                <w:szCs w:val="22"/>
                <w:lang w:eastAsia="en-GB"/>
              </w:rPr>
            </w:pPr>
            <w:r w:rsidRPr="00710386">
              <w:rPr>
                <w:rFonts w:eastAsiaTheme="minorEastAsia" w:cstheme="minorBidi"/>
                <w:szCs w:val="22"/>
                <w:lang w:eastAsia="en-GB"/>
              </w:rPr>
              <w:t>4</w:t>
            </w:r>
          </w:p>
        </w:tc>
        <w:tc>
          <w:tcPr>
            <w:tcW w:w="168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jc w:val="center"/>
              <w:rPr>
                <w:rFonts w:eastAsiaTheme="minorEastAsia" w:cstheme="minorBidi"/>
                <w:szCs w:val="22"/>
                <w:lang w:eastAsia="en-GB"/>
              </w:rPr>
            </w:pPr>
            <w:r w:rsidRPr="00710386">
              <w:rPr>
                <w:rFonts w:eastAsiaTheme="minorEastAsia" w:cstheme="minorBidi"/>
                <w:szCs w:val="22"/>
                <w:lang w:eastAsia="en-GB"/>
              </w:rPr>
              <w:t>5</w:t>
            </w:r>
          </w:p>
        </w:tc>
      </w:tr>
      <w:tr w:rsidR="00710386" w:rsidRPr="00710386" w:rsidTr="00710386">
        <w:tc>
          <w:tcPr>
            <w:tcW w:w="2183"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szCs w:val="22"/>
                <w:lang w:eastAsia="en-GB"/>
              </w:rPr>
            </w:pPr>
            <w:r w:rsidRPr="00710386">
              <w:rPr>
                <w:rFonts w:eastAsiaTheme="minorEastAsia" w:cstheme="minorBidi"/>
                <w:szCs w:val="22"/>
                <w:lang w:eastAsia="en-GB"/>
              </w:rPr>
              <w:t>Chlorfluazuron</w:t>
            </w:r>
          </w:p>
        </w:tc>
        <w:tc>
          <w:tcPr>
            <w:tcW w:w="170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szCs w:val="22"/>
                <w:lang w:eastAsia="en-GB"/>
              </w:rPr>
            </w:pPr>
            <w:r w:rsidRPr="00710386">
              <w:rPr>
                <w:rFonts w:eastAsiaTheme="minorEastAsia" w:cstheme="minorBidi"/>
                <w:szCs w:val="22"/>
                <w:lang w:eastAsia="en-GB"/>
              </w:rPr>
              <w:t>Yes</w:t>
            </w:r>
          </w:p>
        </w:tc>
        <w:tc>
          <w:tcPr>
            <w:tcW w:w="172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szCs w:val="22"/>
                <w:lang w:eastAsia="en-GB"/>
              </w:rPr>
            </w:pPr>
            <w:r w:rsidRPr="00710386">
              <w:rPr>
                <w:rFonts w:eastAsiaTheme="minorEastAsia" w:cstheme="minorBidi"/>
                <w:szCs w:val="22"/>
                <w:lang w:eastAsia="en-GB"/>
              </w:rPr>
              <w:t>8 (Sri Lanka)</w:t>
            </w:r>
            <w:r w:rsidRPr="00710386">
              <w:rPr>
                <w:rFonts w:eastAsiaTheme="minorEastAsia" w:cstheme="minorBidi"/>
                <w:szCs w:val="22"/>
                <w:lang w:eastAsia="en-GB"/>
              </w:rPr>
              <w:br/>
              <w:t>2(Japan)</w:t>
            </w:r>
          </w:p>
        </w:tc>
        <w:tc>
          <w:tcPr>
            <w:tcW w:w="1939"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szCs w:val="22"/>
                <w:lang w:eastAsia="en-GB"/>
              </w:rPr>
            </w:pPr>
            <w:r w:rsidRPr="00710386">
              <w:rPr>
                <w:rFonts w:eastAsiaTheme="minorEastAsia" w:cstheme="minorBidi"/>
                <w:szCs w:val="22"/>
                <w:lang w:eastAsia="en-GB"/>
              </w:rPr>
              <w:t>10 (</w:t>
            </w:r>
            <w:proofErr w:type="spellStart"/>
            <w:r w:rsidRPr="00710386">
              <w:rPr>
                <w:rFonts w:eastAsiaTheme="minorEastAsia" w:cstheme="minorBidi"/>
                <w:szCs w:val="22"/>
                <w:lang w:eastAsia="en-GB"/>
              </w:rPr>
              <w:t>Jp</w:t>
            </w:r>
            <w:proofErr w:type="spellEnd"/>
            <w:r w:rsidRPr="00710386">
              <w:rPr>
                <w:rFonts w:eastAsiaTheme="minorEastAsia" w:cstheme="minorBidi"/>
                <w:szCs w:val="22"/>
                <w:lang w:eastAsia="en-GB"/>
              </w:rPr>
              <w:t>),</w:t>
            </w:r>
          </w:p>
        </w:tc>
        <w:tc>
          <w:tcPr>
            <w:tcW w:w="168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szCs w:val="22"/>
                <w:lang w:eastAsia="en-GB"/>
              </w:rPr>
            </w:pPr>
            <w:r w:rsidRPr="00710386">
              <w:rPr>
                <w:rFonts w:eastAsiaTheme="minorEastAsia" w:cstheme="minorBidi"/>
                <w:szCs w:val="22"/>
                <w:lang w:eastAsia="en-GB"/>
              </w:rPr>
              <w:t>Not submitted</w:t>
            </w:r>
          </w:p>
        </w:tc>
      </w:tr>
      <w:tr w:rsidR="00710386" w:rsidRPr="00710386" w:rsidTr="00710386">
        <w:tc>
          <w:tcPr>
            <w:tcW w:w="2183"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szCs w:val="22"/>
                <w:lang w:eastAsia="en-GB"/>
              </w:rPr>
            </w:pPr>
            <w:proofErr w:type="spellStart"/>
            <w:r w:rsidRPr="00710386">
              <w:rPr>
                <w:rFonts w:eastAsiaTheme="minorEastAsia" w:cstheme="minorBidi"/>
                <w:szCs w:val="22"/>
                <w:lang w:eastAsia="en-GB"/>
              </w:rPr>
              <w:t>Chlorpyrifos</w:t>
            </w:r>
            <w:proofErr w:type="spellEnd"/>
          </w:p>
        </w:tc>
        <w:tc>
          <w:tcPr>
            <w:tcW w:w="170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szCs w:val="22"/>
                <w:lang w:eastAsia="en-GB"/>
              </w:rPr>
            </w:pPr>
            <w:r w:rsidRPr="00710386">
              <w:rPr>
                <w:rFonts w:eastAsiaTheme="minorEastAsia" w:cstheme="minorBidi"/>
                <w:szCs w:val="22"/>
                <w:lang w:eastAsia="en-GB"/>
              </w:rPr>
              <w:t>Yes</w:t>
            </w:r>
          </w:p>
        </w:tc>
        <w:tc>
          <w:tcPr>
            <w:tcW w:w="172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szCs w:val="22"/>
                <w:lang w:eastAsia="en-GB"/>
              </w:rPr>
            </w:pPr>
            <w:r w:rsidRPr="00710386">
              <w:rPr>
                <w:rFonts w:eastAsiaTheme="minorEastAsia" w:cstheme="minorBidi"/>
                <w:szCs w:val="22"/>
                <w:lang w:eastAsia="en-GB"/>
              </w:rPr>
              <w:t>2(Japan)</w:t>
            </w:r>
            <w:r w:rsidRPr="00710386">
              <w:rPr>
                <w:rFonts w:eastAsiaTheme="minorEastAsia" w:cstheme="minorBidi"/>
                <w:szCs w:val="22"/>
                <w:lang w:eastAsia="en-GB"/>
              </w:rPr>
              <w:br/>
              <w:t>6 (India)</w:t>
            </w:r>
          </w:p>
        </w:tc>
        <w:tc>
          <w:tcPr>
            <w:tcW w:w="1939"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szCs w:val="22"/>
                <w:lang w:eastAsia="en-GB"/>
              </w:rPr>
            </w:pPr>
            <w:r w:rsidRPr="00710386">
              <w:rPr>
                <w:rFonts w:eastAsiaTheme="minorEastAsia" w:cstheme="minorBidi"/>
                <w:szCs w:val="22"/>
                <w:lang w:eastAsia="en-GB"/>
              </w:rPr>
              <w:t>10 (</w:t>
            </w:r>
            <w:proofErr w:type="spellStart"/>
            <w:r w:rsidRPr="00710386">
              <w:rPr>
                <w:rFonts w:eastAsiaTheme="minorEastAsia" w:cstheme="minorBidi"/>
                <w:szCs w:val="22"/>
                <w:lang w:eastAsia="en-GB"/>
              </w:rPr>
              <w:t>Jp</w:t>
            </w:r>
            <w:proofErr w:type="spellEnd"/>
            <w:r w:rsidRPr="00710386">
              <w:rPr>
                <w:rFonts w:eastAsiaTheme="minorEastAsia" w:cstheme="minorBidi"/>
                <w:szCs w:val="22"/>
                <w:lang w:eastAsia="en-GB"/>
              </w:rPr>
              <w:t>),</w:t>
            </w:r>
          </w:p>
        </w:tc>
        <w:tc>
          <w:tcPr>
            <w:tcW w:w="168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szCs w:val="22"/>
                <w:lang w:eastAsia="en-GB"/>
              </w:rPr>
            </w:pPr>
            <w:r w:rsidRPr="00710386">
              <w:rPr>
                <w:rFonts w:eastAsiaTheme="minorEastAsia" w:cstheme="minorBidi"/>
                <w:szCs w:val="22"/>
                <w:lang w:eastAsia="en-GB"/>
              </w:rPr>
              <w:t>2 (2005)</w:t>
            </w:r>
          </w:p>
        </w:tc>
      </w:tr>
      <w:tr w:rsidR="00710386" w:rsidRPr="00710386" w:rsidTr="00710386">
        <w:tc>
          <w:tcPr>
            <w:tcW w:w="2183"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szCs w:val="22"/>
                <w:lang w:eastAsia="en-GB"/>
              </w:rPr>
            </w:pPr>
            <w:proofErr w:type="spellStart"/>
            <w:r w:rsidRPr="00710386">
              <w:rPr>
                <w:rFonts w:eastAsiaTheme="minorEastAsia" w:cstheme="minorBidi"/>
                <w:szCs w:val="22"/>
                <w:lang w:eastAsia="en-GB"/>
              </w:rPr>
              <w:t>Chromafenozide</w:t>
            </w:r>
            <w:proofErr w:type="spellEnd"/>
          </w:p>
        </w:tc>
        <w:tc>
          <w:tcPr>
            <w:tcW w:w="170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szCs w:val="22"/>
                <w:lang w:eastAsia="en-GB"/>
              </w:rPr>
            </w:pPr>
            <w:r w:rsidRPr="00710386">
              <w:rPr>
                <w:rFonts w:eastAsiaTheme="minorEastAsia" w:cstheme="minorBidi"/>
                <w:szCs w:val="22"/>
                <w:lang w:eastAsia="en-GB"/>
              </w:rPr>
              <w:t>Limited</w:t>
            </w:r>
          </w:p>
        </w:tc>
        <w:tc>
          <w:tcPr>
            <w:tcW w:w="172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szCs w:val="22"/>
                <w:lang w:eastAsia="en-GB"/>
              </w:rPr>
            </w:pPr>
            <w:r w:rsidRPr="00710386">
              <w:rPr>
                <w:rFonts w:eastAsiaTheme="minorEastAsia" w:cstheme="minorBidi"/>
                <w:szCs w:val="22"/>
                <w:lang w:eastAsia="en-GB"/>
              </w:rPr>
              <w:t>2(Japan)</w:t>
            </w:r>
          </w:p>
        </w:tc>
        <w:tc>
          <w:tcPr>
            <w:tcW w:w="1939"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szCs w:val="22"/>
                <w:lang w:eastAsia="en-GB"/>
              </w:rPr>
            </w:pPr>
            <w:r w:rsidRPr="00710386">
              <w:rPr>
                <w:rFonts w:eastAsiaTheme="minorEastAsia" w:cstheme="minorBidi"/>
                <w:szCs w:val="22"/>
                <w:lang w:eastAsia="en-GB"/>
              </w:rPr>
              <w:t>20 (</w:t>
            </w:r>
            <w:proofErr w:type="spellStart"/>
            <w:r w:rsidRPr="00710386">
              <w:rPr>
                <w:rFonts w:eastAsiaTheme="minorEastAsia" w:cstheme="minorBidi"/>
                <w:szCs w:val="22"/>
                <w:lang w:eastAsia="en-GB"/>
              </w:rPr>
              <w:t>Jp</w:t>
            </w:r>
            <w:proofErr w:type="spellEnd"/>
            <w:r w:rsidRPr="00710386">
              <w:rPr>
                <w:rFonts w:eastAsiaTheme="minorEastAsia" w:cstheme="minorBidi"/>
                <w:szCs w:val="22"/>
                <w:lang w:eastAsia="en-GB"/>
              </w:rPr>
              <w:t>),</w:t>
            </w:r>
          </w:p>
        </w:tc>
        <w:tc>
          <w:tcPr>
            <w:tcW w:w="168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szCs w:val="22"/>
                <w:lang w:eastAsia="en-GB"/>
              </w:rPr>
            </w:pPr>
          </w:p>
        </w:tc>
      </w:tr>
      <w:tr w:rsidR="00710386" w:rsidRPr="00710386" w:rsidTr="00710386">
        <w:tc>
          <w:tcPr>
            <w:tcW w:w="2183"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szCs w:val="22"/>
                <w:lang w:eastAsia="en-GB"/>
              </w:rPr>
            </w:pPr>
            <w:proofErr w:type="spellStart"/>
            <w:r w:rsidRPr="00710386">
              <w:rPr>
                <w:rFonts w:eastAsiaTheme="minorEastAsia" w:cstheme="minorBidi"/>
                <w:szCs w:val="22"/>
                <w:lang w:eastAsia="en-GB"/>
              </w:rPr>
              <w:t>Clothianidin</w:t>
            </w:r>
            <w:proofErr w:type="spellEnd"/>
          </w:p>
        </w:tc>
        <w:tc>
          <w:tcPr>
            <w:tcW w:w="170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szCs w:val="22"/>
                <w:lang w:eastAsia="en-GB"/>
              </w:rPr>
            </w:pPr>
            <w:r w:rsidRPr="00710386">
              <w:rPr>
                <w:rFonts w:eastAsiaTheme="minorEastAsia" w:cstheme="minorBidi"/>
                <w:szCs w:val="22"/>
                <w:lang w:eastAsia="en-GB"/>
              </w:rPr>
              <w:t xml:space="preserve">Yes </w:t>
            </w:r>
          </w:p>
        </w:tc>
        <w:tc>
          <w:tcPr>
            <w:tcW w:w="172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szCs w:val="22"/>
                <w:lang w:eastAsia="en-GB"/>
              </w:rPr>
            </w:pPr>
            <w:r w:rsidRPr="00710386">
              <w:rPr>
                <w:rFonts w:eastAsiaTheme="minorEastAsia" w:cstheme="minorBidi"/>
                <w:szCs w:val="22"/>
                <w:lang w:eastAsia="en-GB"/>
              </w:rPr>
              <w:t>3(Japan)</w:t>
            </w:r>
            <w:r w:rsidRPr="00710386">
              <w:rPr>
                <w:rFonts w:eastAsiaTheme="minorEastAsia" w:cstheme="minorBidi"/>
                <w:szCs w:val="22"/>
                <w:lang w:eastAsia="en-GB"/>
              </w:rPr>
              <w:br/>
              <w:t>2 (India)</w:t>
            </w:r>
          </w:p>
        </w:tc>
        <w:tc>
          <w:tcPr>
            <w:tcW w:w="1939"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szCs w:val="22"/>
                <w:lang w:eastAsia="en-GB"/>
              </w:rPr>
            </w:pPr>
            <w:r w:rsidRPr="00710386">
              <w:rPr>
                <w:rFonts w:eastAsiaTheme="minorEastAsia" w:cstheme="minorBidi"/>
                <w:szCs w:val="22"/>
                <w:lang w:eastAsia="en-GB"/>
              </w:rPr>
              <w:t>50 (</w:t>
            </w:r>
            <w:proofErr w:type="spellStart"/>
            <w:r w:rsidRPr="00710386">
              <w:rPr>
                <w:rFonts w:eastAsiaTheme="minorEastAsia" w:cstheme="minorBidi"/>
                <w:szCs w:val="22"/>
                <w:lang w:eastAsia="en-GB"/>
              </w:rPr>
              <w:t>Jp</w:t>
            </w:r>
            <w:proofErr w:type="spellEnd"/>
            <w:r w:rsidRPr="00710386">
              <w:rPr>
                <w:rFonts w:eastAsiaTheme="minorEastAsia" w:cstheme="minorBidi"/>
                <w:szCs w:val="22"/>
                <w:lang w:eastAsia="en-GB"/>
              </w:rPr>
              <w:t>), 70 (US)</w:t>
            </w:r>
          </w:p>
        </w:tc>
        <w:tc>
          <w:tcPr>
            <w:tcW w:w="168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szCs w:val="22"/>
                <w:lang w:eastAsia="en-GB"/>
              </w:rPr>
            </w:pPr>
            <w:r w:rsidRPr="00710386">
              <w:rPr>
                <w:rFonts w:eastAsiaTheme="minorEastAsia" w:cstheme="minorBidi"/>
                <w:szCs w:val="22"/>
                <w:lang w:eastAsia="en-GB"/>
              </w:rPr>
              <w:t>0.7  (2011)</w:t>
            </w:r>
          </w:p>
        </w:tc>
      </w:tr>
      <w:tr w:rsidR="00710386" w:rsidRPr="00710386" w:rsidTr="00710386">
        <w:tc>
          <w:tcPr>
            <w:tcW w:w="2183"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szCs w:val="22"/>
                <w:lang w:eastAsia="en-GB"/>
              </w:rPr>
            </w:pPr>
            <w:proofErr w:type="spellStart"/>
            <w:r w:rsidRPr="00710386">
              <w:rPr>
                <w:rFonts w:eastAsiaTheme="minorEastAsia" w:cstheme="minorBidi"/>
                <w:szCs w:val="22"/>
                <w:lang w:eastAsia="en-GB"/>
              </w:rPr>
              <w:t>Cypermethrin</w:t>
            </w:r>
            <w:proofErr w:type="spellEnd"/>
          </w:p>
        </w:tc>
        <w:tc>
          <w:tcPr>
            <w:tcW w:w="170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szCs w:val="22"/>
                <w:lang w:eastAsia="en-GB"/>
              </w:rPr>
            </w:pPr>
            <w:r w:rsidRPr="00710386">
              <w:rPr>
                <w:rFonts w:eastAsiaTheme="minorEastAsia" w:cstheme="minorBidi"/>
                <w:szCs w:val="22"/>
                <w:lang w:eastAsia="en-GB"/>
              </w:rPr>
              <w:t>Yes</w:t>
            </w:r>
          </w:p>
        </w:tc>
        <w:tc>
          <w:tcPr>
            <w:tcW w:w="172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szCs w:val="22"/>
                <w:lang w:eastAsia="en-GB"/>
              </w:rPr>
            </w:pPr>
            <w:r w:rsidRPr="00710386">
              <w:rPr>
                <w:rFonts w:eastAsiaTheme="minorEastAsia" w:cstheme="minorBidi"/>
                <w:szCs w:val="22"/>
                <w:lang w:eastAsia="en-GB"/>
              </w:rPr>
              <w:t>2(Japan)</w:t>
            </w:r>
            <w:r w:rsidRPr="00710386">
              <w:rPr>
                <w:rFonts w:eastAsiaTheme="minorEastAsia" w:cstheme="minorBidi"/>
                <w:szCs w:val="22"/>
                <w:lang w:eastAsia="en-GB"/>
              </w:rPr>
              <w:br/>
              <w:t>4(India)</w:t>
            </w:r>
          </w:p>
        </w:tc>
        <w:tc>
          <w:tcPr>
            <w:tcW w:w="1939"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szCs w:val="22"/>
                <w:lang w:eastAsia="en-GB"/>
              </w:rPr>
            </w:pPr>
            <w:r w:rsidRPr="00710386">
              <w:rPr>
                <w:rFonts w:eastAsiaTheme="minorEastAsia" w:cstheme="minorBidi"/>
                <w:szCs w:val="22"/>
                <w:lang w:eastAsia="en-GB"/>
              </w:rPr>
              <w:t>20 (</w:t>
            </w:r>
            <w:proofErr w:type="spellStart"/>
            <w:r w:rsidRPr="00710386">
              <w:rPr>
                <w:rFonts w:eastAsiaTheme="minorEastAsia" w:cstheme="minorBidi"/>
                <w:szCs w:val="22"/>
                <w:lang w:eastAsia="en-GB"/>
              </w:rPr>
              <w:t>Jp</w:t>
            </w:r>
            <w:proofErr w:type="spellEnd"/>
            <w:r w:rsidRPr="00710386">
              <w:rPr>
                <w:rFonts w:eastAsiaTheme="minorEastAsia" w:cstheme="minorBidi"/>
                <w:szCs w:val="22"/>
                <w:lang w:eastAsia="en-GB"/>
              </w:rPr>
              <w:t>)</w:t>
            </w:r>
          </w:p>
        </w:tc>
        <w:tc>
          <w:tcPr>
            <w:tcW w:w="168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szCs w:val="22"/>
                <w:lang w:eastAsia="en-GB"/>
              </w:rPr>
            </w:pPr>
            <w:r w:rsidRPr="00710386">
              <w:rPr>
                <w:rFonts w:eastAsiaTheme="minorEastAsia" w:cstheme="minorBidi"/>
                <w:szCs w:val="22"/>
                <w:lang w:eastAsia="en-GB"/>
              </w:rPr>
              <w:t>15 (2012)</w:t>
            </w:r>
          </w:p>
        </w:tc>
      </w:tr>
      <w:tr w:rsidR="00710386" w:rsidRPr="00710386" w:rsidTr="00710386">
        <w:tc>
          <w:tcPr>
            <w:tcW w:w="2183"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szCs w:val="22"/>
                <w:lang w:eastAsia="en-GB"/>
              </w:rPr>
            </w:pPr>
            <w:proofErr w:type="spellStart"/>
            <w:r w:rsidRPr="00710386">
              <w:rPr>
                <w:rFonts w:eastAsiaTheme="minorEastAsia" w:cstheme="minorBidi"/>
                <w:szCs w:val="22"/>
                <w:lang w:eastAsia="en-GB"/>
              </w:rPr>
              <w:t>Dimethoate</w:t>
            </w:r>
            <w:proofErr w:type="spellEnd"/>
          </w:p>
        </w:tc>
        <w:tc>
          <w:tcPr>
            <w:tcW w:w="170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szCs w:val="22"/>
                <w:lang w:eastAsia="en-GB"/>
              </w:rPr>
            </w:pPr>
            <w:r w:rsidRPr="00710386">
              <w:rPr>
                <w:rFonts w:eastAsiaTheme="minorEastAsia" w:cstheme="minorBidi"/>
                <w:szCs w:val="22"/>
                <w:lang w:eastAsia="en-GB"/>
              </w:rPr>
              <w:t>Limited</w:t>
            </w:r>
          </w:p>
        </w:tc>
        <w:tc>
          <w:tcPr>
            <w:tcW w:w="172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szCs w:val="22"/>
                <w:lang w:eastAsia="en-GB"/>
              </w:rPr>
            </w:pPr>
            <w:r w:rsidRPr="00710386">
              <w:rPr>
                <w:rFonts w:eastAsiaTheme="minorEastAsia" w:cstheme="minorBidi"/>
                <w:szCs w:val="22"/>
                <w:lang w:eastAsia="en-GB"/>
              </w:rPr>
              <w:t>2 (India)</w:t>
            </w:r>
          </w:p>
        </w:tc>
        <w:tc>
          <w:tcPr>
            <w:tcW w:w="1939"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szCs w:val="22"/>
                <w:lang w:eastAsia="en-GB"/>
              </w:rPr>
            </w:pPr>
            <w:r w:rsidRPr="00710386">
              <w:rPr>
                <w:rFonts w:eastAsiaTheme="minorEastAsia" w:cstheme="minorBidi"/>
                <w:szCs w:val="22"/>
                <w:lang w:eastAsia="en-GB"/>
              </w:rPr>
              <w:t>1 (</w:t>
            </w:r>
            <w:proofErr w:type="spellStart"/>
            <w:r w:rsidRPr="00710386">
              <w:rPr>
                <w:rFonts w:eastAsiaTheme="minorEastAsia" w:cstheme="minorBidi"/>
                <w:szCs w:val="22"/>
                <w:lang w:eastAsia="en-GB"/>
              </w:rPr>
              <w:t>Jp</w:t>
            </w:r>
            <w:proofErr w:type="spellEnd"/>
            <w:r w:rsidRPr="00710386">
              <w:rPr>
                <w:rFonts w:eastAsiaTheme="minorEastAsia" w:cstheme="minorBidi"/>
                <w:szCs w:val="22"/>
                <w:lang w:eastAsia="en-GB"/>
              </w:rPr>
              <w:t>)</w:t>
            </w:r>
          </w:p>
        </w:tc>
        <w:tc>
          <w:tcPr>
            <w:tcW w:w="168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szCs w:val="22"/>
                <w:lang w:eastAsia="en-GB"/>
              </w:rPr>
            </w:pPr>
            <w:r w:rsidRPr="00710386">
              <w:rPr>
                <w:rFonts w:eastAsiaTheme="minorEastAsia" w:cstheme="minorBidi"/>
                <w:szCs w:val="22"/>
                <w:lang w:eastAsia="en-GB"/>
              </w:rPr>
              <w:t>India (2016)</w:t>
            </w:r>
          </w:p>
        </w:tc>
      </w:tr>
      <w:tr w:rsidR="00710386" w:rsidRPr="00710386" w:rsidTr="00710386">
        <w:tc>
          <w:tcPr>
            <w:tcW w:w="2183"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szCs w:val="22"/>
                <w:lang w:eastAsia="en-GB"/>
              </w:rPr>
            </w:pPr>
            <w:proofErr w:type="spellStart"/>
            <w:r w:rsidRPr="00710386">
              <w:rPr>
                <w:rFonts w:eastAsiaTheme="minorEastAsia" w:cstheme="minorBidi"/>
                <w:szCs w:val="22"/>
                <w:lang w:eastAsia="en-GB"/>
              </w:rPr>
              <w:t>Emamectin</w:t>
            </w:r>
            <w:proofErr w:type="spellEnd"/>
          </w:p>
          <w:p w:rsidR="00710386" w:rsidRPr="00710386" w:rsidRDefault="00710386" w:rsidP="00710386">
            <w:pPr>
              <w:spacing w:after="0"/>
              <w:rPr>
                <w:rFonts w:eastAsiaTheme="minorEastAsia" w:cstheme="minorBidi"/>
                <w:szCs w:val="22"/>
                <w:lang w:eastAsia="en-GB"/>
              </w:rPr>
            </w:pPr>
            <w:r w:rsidRPr="00710386">
              <w:rPr>
                <w:rFonts w:eastAsiaTheme="minorEastAsia" w:cstheme="minorBidi"/>
                <w:szCs w:val="22"/>
                <w:lang w:eastAsia="en-GB"/>
              </w:rPr>
              <w:t>Benzoate</w:t>
            </w:r>
          </w:p>
        </w:tc>
        <w:tc>
          <w:tcPr>
            <w:tcW w:w="170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szCs w:val="22"/>
                <w:lang w:eastAsia="en-GB"/>
              </w:rPr>
            </w:pPr>
            <w:r w:rsidRPr="00710386">
              <w:rPr>
                <w:rFonts w:eastAsiaTheme="minorEastAsia" w:cstheme="minorBidi"/>
                <w:szCs w:val="22"/>
                <w:lang w:eastAsia="en-GB"/>
              </w:rPr>
              <w:t>In progress</w:t>
            </w:r>
          </w:p>
        </w:tc>
        <w:tc>
          <w:tcPr>
            <w:tcW w:w="172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szCs w:val="22"/>
                <w:lang w:eastAsia="en-GB"/>
              </w:rPr>
            </w:pPr>
            <w:r w:rsidRPr="00710386">
              <w:rPr>
                <w:rFonts w:eastAsiaTheme="minorEastAsia" w:cstheme="minorBidi"/>
                <w:szCs w:val="22"/>
                <w:lang w:eastAsia="en-GB"/>
              </w:rPr>
              <w:t>2(Japan)</w:t>
            </w:r>
            <w:r w:rsidRPr="00710386">
              <w:rPr>
                <w:rFonts w:eastAsiaTheme="minorEastAsia" w:cstheme="minorBidi"/>
                <w:szCs w:val="22"/>
                <w:lang w:eastAsia="en-GB"/>
              </w:rPr>
              <w:br/>
              <w:t>2(India)</w:t>
            </w:r>
          </w:p>
        </w:tc>
        <w:tc>
          <w:tcPr>
            <w:tcW w:w="1939"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szCs w:val="22"/>
                <w:lang w:eastAsia="en-GB"/>
              </w:rPr>
            </w:pPr>
            <w:r w:rsidRPr="00710386">
              <w:rPr>
                <w:rFonts w:eastAsiaTheme="minorEastAsia" w:cstheme="minorBidi"/>
                <w:szCs w:val="22"/>
                <w:lang w:eastAsia="en-GB"/>
              </w:rPr>
              <w:t>0.5 (</w:t>
            </w:r>
            <w:proofErr w:type="spellStart"/>
            <w:r w:rsidRPr="00710386">
              <w:rPr>
                <w:rFonts w:eastAsiaTheme="minorEastAsia" w:cstheme="minorBidi"/>
                <w:szCs w:val="22"/>
                <w:lang w:eastAsia="en-GB"/>
              </w:rPr>
              <w:t>Jp</w:t>
            </w:r>
            <w:proofErr w:type="spellEnd"/>
            <w:r w:rsidRPr="00710386">
              <w:rPr>
                <w:rFonts w:eastAsiaTheme="minorEastAsia" w:cstheme="minorBidi"/>
                <w:szCs w:val="22"/>
                <w:lang w:eastAsia="en-GB"/>
              </w:rPr>
              <w:t>)</w:t>
            </w:r>
          </w:p>
        </w:tc>
        <w:tc>
          <w:tcPr>
            <w:tcW w:w="168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szCs w:val="22"/>
                <w:lang w:eastAsia="en-GB"/>
              </w:rPr>
            </w:pPr>
          </w:p>
        </w:tc>
      </w:tr>
      <w:tr w:rsidR="00710386" w:rsidRPr="00710386" w:rsidTr="00710386">
        <w:tc>
          <w:tcPr>
            <w:tcW w:w="2183"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szCs w:val="22"/>
                <w:lang w:eastAsia="en-GB"/>
              </w:rPr>
            </w:pPr>
            <w:proofErr w:type="spellStart"/>
            <w:r w:rsidRPr="00710386">
              <w:rPr>
                <w:rFonts w:eastAsiaTheme="minorEastAsia" w:cstheme="minorBidi"/>
                <w:szCs w:val="22"/>
                <w:lang w:eastAsia="en-GB"/>
              </w:rPr>
              <w:t>Fenpropathrin</w:t>
            </w:r>
            <w:proofErr w:type="spellEnd"/>
          </w:p>
        </w:tc>
        <w:tc>
          <w:tcPr>
            <w:tcW w:w="170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szCs w:val="22"/>
                <w:lang w:eastAsia="en-GB"/>
              </w:rPr>
            </w:pPr>
            <w:r w:rsidRPr="00710386">
              <w:rPr>
                <w:rFonts w:eastAsiaTheme="minorEastAsia" w:cstheme="minorBidi"/>
                <w:szCs w:val="22"/>
                <w:lang w:eastAsia="en-GB"/>
              </w:rPr>
              <w:t>Yes</w:t>
            </w:r>
          </w:p>
        </w:tc>
        <w:tc>
          <w:tcPr>
            <w:tcW w:w="172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szCs w:val="22"/>
                <w:lang w:eastAsia="en-GB"/>
              </w:rPr>
            </w:pPr>
            <w:r w:rsidRPr="00710386">
              <w:rPr>
                <w:rFonts w:eastAsiaTheme="minorEastAsia" w:cstheme="minorBidi"/>
                <w:szCs w:val="22"/>
                <w:lang w:eastAsia="en-GB"/>
              </w:rPr>
              <w:t>2(Japan)</w:t>
            </w:r>
            <w:r w:rsidRPr="00710386">
              <w:rPr>
                <w:rFonts w:eastAsiaTheme="minorEastAsia" w:cstheme="minorBidi"/>
                <w:szCs w:val="22"/>
                <w:lang w:eastAsia="en-GB"/>
              </w:rPr>
              <w:br/>
              <w:t>2 (India)</w:t>
            </w:r>
          </w:p>
        </w:tc>
        <w:tc>
          <w:tcPr>
            <w:tcW w:w="1939"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szCs w:val="22"/>
                <w:lang w:eastAsia="en-GB"/>
              </w:rPr>
            </w:pPr>
            <w:r w:rsidRPr="00710386">
              <w:rPr>
                <w:rFonts w:eastAsiaTheme="minorEastAsia" w:cstheme="minorBidi"/>
                <w:szCs w:val="22"/>
                <w:lang w:eastAsia="en-GB"/>
              </w:rPr>
              <w:t>25 (</w:t>
            </w:r>
            <w:proofErr w:type="spellStart"/>
            <w:r w:rsidRPr="00710386">
              <w:rPr>
                <w:rFonts w:eastAsiaTheme="minorEastAsia" w:cstheme="minorBidi"/>
                <w:szCs w:val="22"/>
                <w:lang w:eastAsia="en-GB"/>
              </w:rPr>
              <w:t>Jp</w:t>
            </w:r>
            <w:proofErr w:type="spellEnd"/>
            <w:r w:rsidRPr="00710386">
              <w:rPr>
                <w:rFonts w:eastAsiaTheme="minorEastAsia" w:cstheme="minorBidi"/>
                <w:szCs w:val="22"/>
                <w:lang w:eastAsia="en-GB"/>
              </w:rPr>
              <w:t>), 2 (US), 2(Canada)</w:t>
            </w:r>
          </w:p>
        </w:tc>
        <w:tc>
          <w:tcPr>
            <w:tcW w:w="168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szCs w:val="22"/>
                <w:lang w:eastAsia="en-GB"/>
              </w:rPr>
            </w:pPr>
            <w:r w:rsidRPr="00710386">
              <w:rPr>
                <w:rFonts w:eastAsiaTheme="minorEastAsia" w:cstheme="minorBidi"/>
                <w:szCs w:val="22"/>
                <w:lang w:eastAsia="en-GB"/>
              </w:rPr>
              <w:t>2 (2007)</w:t>
            </w:r>
          </w:p>
        </w:tc>
      </w:tr>
      <w:tr w:rsidR="00710386" w:rsidRPr="00710386" w:rsidTr="00710386">
        <w:tc>
          <w:tcPr>
            <w:tcW w:w="2183"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szCs w:val="22"/>
                <w:lang w:eastAsia="en-GB"/>
              </w:rPr>
            </w:pPr>
            <w:proofErr w:type="spellStart"/>
            <w:r w:rsidRPr="00710386">
              <w:rPr>
                <w:rFonts w:eastAsiaTheme="minorEastAsia" w:cstheme="minorBidi"/>
                <w:szCs w:val="22"/>
                <w:lang w:eastAsia="en-GB"/>
              </w:rPr>
              <w:t>Fenpyroximate</w:t>
            </w:r>
            <w:proofErr w:type="spellEnd"/>
          </w:p>
        </w:tc>
        <w:tc>
          <w:tcPr>
            <w:tcW w:w="170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szCs w:val="22"/>
                <w:lang w:eastAsia="en-GB"/>
              </w:rPr>
            </w:pPr>
            <w:r w:rsidRPr="00710386">
              <w:rPr>
                <w:rFonts w:eastAsiaTheme="minorEastAsia" w:cstheme="minorBidi"/>
                <w:szCs w:val="22"/>
                <w:lang w:eastAsia="en-GB"/>
              </w:rPr>
              <w:t>Yes</w:t>
            </w:r>
          </w:p>
        </w:tc>
        <w:tc>
          <w:tcPr>
            <w:tcW w:w="172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szCs w:val="22"/>
                <w:lang w:eastAsia="en-GB"/>
              </w:rPr>
            </w:pPr>
            <w:r w:rsidRPr="00710386">
              <w:rPr>
                <w:rFonts w:eastAsiaTheme="minorEastAsia" w:cstheme="minorBidi"/>
                <w:szCs w:val="22"/>
                <w:lang w:eastAsia="en-GB"/>
              </w:rPr>
              <w:t>2(Japan)</w:t>
            </w:r>
            <w:r w:rsidRPr="00710386">
              <w:rPr>
                <w:rFonts w:eastAsiaTheme="minorEastAsia" w:cstheme="minorBidi"/>
                <w:szCs w:val="22"/>
                <w:lang w:eastAsia="en-GB"/>
              </w:rPr>
              <w:br/>
              <w:t>2 (India)</w:t>
            </w:r>
          </w:p>
        </w:tc>
        <w:tc>
          <w:tcPr>
            <w:tcW w:w="1939"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szCs w:val="22"/>
                <w:lang w:eastAsia="en-GB"/>
              </w:rPr>
            </w:pPr>
            <w:r w:rsidRPr="00710386">
              <w:rPr>
                <w:rFonts w:eastAsiaTheme="minorEastAsia" w:cstheme="minorBidi"/>
                <w:szCs w:val="22"/>
                <w:lang w:eastAsia="en-GB"/>
              </w:rPr>
              <w:t>40 (</w:t>
            </w:r>
            <w:proofErr w:type="spellStart"/>
            <w:r w:rsidRPr="00710386">
              <w:rPr>
                <w:rFonts w:eastAsiaTheme="minorEastAsia" w:cstheme="minorBidi"/>
                <w:szCs w:val="22"/>
                <w:lang w:eastAsia="en-GB"/>
              </w:rPr>
              <w:t>Jp</w:t>
            </w:r>
            <w:proofErr w:type="spellEnd"/>
            <w:r w:rsidRPr="00710386">
              <w:rPr>
                <w:rFonts w:eastAsiaTheme="minorEastAsia" w:cstheme="minorBidi"/>
                <w:szCs w:val="22"/>
                <w:lang w:eastAsia="en-GB"/>
              </w:rPr>
              <w:t>), 20 (US), 0.1 (Argentina)</w:t>
            </w:r>
          </w:p>
        </w:tc>
        <w:tc>
          <w:tcPr>
            <w:tcW w:w="168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szCs w:val="22"/>
                <w:lang w:eastAsia="en-GB"/>
              </w:rPr>
            </w:pPr>
          </w:p>
        </w:tc>
      </w:tr>
      <w:tr w:rsidR="00710386" w:rsidRPr="00710386" w:rsidTr="00710386">
        <w:tc>
          <w:tcPr>
            <w:tcW w:w="2183"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szCs w:val="22"/>
                <w:lang w:eastAsia="en-GB"/>
              </w:rPr>
            </w:pPr>
            <w:proofErr w:type="spellStart"/>
            <w:r w:rsidRPr="00710386">
              <w:rPr>
                <w:rFonts w:eastAsiaTheme="minorEastAsia" w:cstheme="minorBidi"/>
                <w:szCs w:val="22"/>
                <w:lang w:eastAsia="en-GB"/>
              </w:rPr>
              <w:t>Fipronil</w:t>
            </w:r>
            <w:proofErr w:type="spellEnd"/>
            <w:r w:rsidRPr="00710386">
              <w:rPr>
                <w:rFonts w:eastAsiaTheme="minorEastAsia" w:cstheme="minorBidi"/>
                <w:szCs w:val="22"/>
                <w:lang w:eastAsia="en-GB"/>
              </w:rPr>
              <w:t xml:space="preserve"> </w:t>
            </w:r>
          </w:p>
        </w:tc>
        <w:tc>
          <w:tcPr>
            <w:tcW w:w="170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szCs w:val="22"/>
                <w:lang w:eastAsia="en-GB"/>
              </w:rPr>
            </w:pPr>
            <w:r w:rsidRPr="00710386">
              <w:rPr>
                <w:rFonts w:eastAsiaTheme="minorEastAsia" w:cstheme="minorBidi"/>
                <w:szCs w:val="22"/>
                <w:lang w:eastAsia="en-GB"/>
              </w:rPr>
              <w:t>Yes</w:t>
            </w:r>
          </w:p>
        </w:tc>
        <w:tc>
          <w:tcPr>
            <w:tcW w:w="172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szCs w:val="22"/>
                <w:lang w:eastAsia="en-GB"/>
              </w:rPr>
            </w:pPr>
            <w:r w:rsidRPr="00710386">
              <w:rPr>
                <w:rFonts w:eastAsiaTheme="minorEastAsia" w:cstheme="minorBidi"/>
                <w:szCs w:val="22"/>
                <w:lang w:eastAsia="en-GB"/>
              </w:rPr>
              <w:t>8 (Sri Lanka)</w:t>
            </w:r>
          </w:p>
        </w:tc>
        <w:tc>
          <w:tcPr>
            <w:tcW w:w="1939"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szCs w:val="22"/>
                <w:lang w:eastAsia="en-GB"/>
              </w:rPr>
            </w:pPr>
            <w:r w:rsidRPr="00710386">
              <w:rPr>
                <w:rFonts w:eastAsiaTheme="minorEastAsia" w:cstheme="minorBidi"/>
                <w:szCs w:val="22"/>
                <w:lang w:eastAsia="en-GB"/>
              </w:rPr>
              <w:t>0.002 (</w:t>
            </w:r>
            <w:proofErr w:type="spellStart"/>
            <w:r w:rsidRPr="00710386">
              <w:rPr>
                <w:rFonts w:eastAsiaTheme="minorEastAsia" w:cstheme="minorBidi"/>
                <w:szCs w:val="22"/>
                <w:lang w:eastAsia="en-GB"/>
              </w:rPr>
              <w:t>Jp</w:t>
            </w:r>
            <w:proofErr w:type="spellEnd"/>
            <w:r w:rsidRPr="00710386">
              <w:rPr>
                <w:rFonts w:eastAsiaTheme="minorEastAsia" w:cstheme="minorBidi"/>
                <w:szCs w:val="22"/>
                <w:lang w:eastAsia="en-GB"/>
              </w:rPr>
              <w:t>)</w:t>
            </w:r>
          </w:p>
        </w:tc>
        <w:tc>
          <w:tcPr>
            <w:tcW w:w="168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szCs w:val="22"/>
                <w:lang w:eastAsia="en-GB"/>
              </w:rPr>
            </w:pPr>
            <w:r w:rsidRPr="00710386">
              <w:rPr>
                <w:rFonts w:eastAsiaTheme="minorEastAsia" w:cstheme="minorBidi"/>
                <w:szCs w:val="22"/>
                <w:lang w:eastAsia="en-GB"/>
              </w:rPr>
              <w:t>Not submitted</w:t>
            </w:r>
          </w:p>
        </w:tc>
      </w:tr>
      <w:tr w:rsidR="00710386" w:rsidRPr="00710386" w:rsidTr="00710386">
        <w:tc>
          <w:tcPr>
            <w:tcW w:w="2183"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szCs w:val="22"/>
                <w:lang w:eastAsia="en-GB"/>
              </w:rPr>
            </w:pPr>
            <w:proofErr w:type="spellStart"/>
            <w:r w:rsidRPr="00710386">
              <w:rPr>
                <w:rFonts w:eastAsiaTheme="minorEastAsia" w:cstheme="minorBidi"/>
                <w:szCs w:val="22"/>
                <w:lang w:eastAsia="en-GB"/>
              </w:rPr>
              <w:t>Flubendiamide</w:t>
            </w:r>
            <w:proofErr w:type="spellEnd"/>
          </w:p>
        </w:tc>
        <w:tc>
          <w:tcPr>
            <w:tcW w:w="170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szCs w:val="22"/>
                <w:lang w:eastAsia="en-GB"/>
              </w:rPr>
            </w:pPr>
          </w:p>
          <w:p w:rsidR="00710386" w:rsidRPr="00710386" w:rsidRDefault="00710386" w:rsidP="00710386">
            <w:pPr>
              <w:spacing w:after="0"/>
              <w:rPr>
                <w:rFonts w:eastAsiaTheme="minorEastAsia" w:cstheme="minorBidi"/>
                <w:szCs w:val="22"/>
                <w:lang w:eastAsia="en-GB"/>
              </w:rPr>
            </w:pPr>
            <w:r w:rsidRPr="00710386">
              <w:rPr>
                <w:rFonts w:eastAsiaTheme="minorEastAsia" w:cstheme="minorBidi"/>
                <w:szCs w:val="22"/>
                <w:lang w:eastAsia="en-GB"/>
              </w:rPr>
              <w:t>Yes</w:t>
            </w:r>
          </w:p>
        </w:tc>
        <w:tc>
          <w:tcPr>
            <w:tcW w:w="172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szCs w:val="22"/>
                <w:lang w:eastAsia="en-GB"/>
              </w:rPr>
            </w:pPr>
            <w:r w:rsidRPr="00710386">
              <w:rPr>
                <w:rFonts w:eastAsiaTheme="minorEastAsia" w:cstheme="minorBidi"/>
                <w:szCs w:val="22"/>
                <w:lang w:eastAsia="en-GB"/>
              </w:rPr>
              <w:t>2(Japan)</w:t>
            </w:r>
            <w:r w:rsidRPr="00710386">
              <w:rPr>
                <w:rFonts w:eastAsiaTheme="minorEastAsia" w:cstheme="minorBidi"/>
                <w:szCs w:val="22"/>
                <w:lang w:eastAsia="en-GB"/>
              </w:rPr>
              <w:br/>
              <w:t>6 (India)</w:t>
            </w:r>
          </w:p>
        </w:tc>
        <w:tc>
          <w:tcPr>
            <w:tcW w:w="1939"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szCs w:val="22"/>
                <w:lang w:eastAsia="en-GB"/>
              </w:rPr>
            </w:pPr>
            <w:r w:rsidRPr="00710386">
              <w:rPr>
                <w:rFonts w:eastAsiaTheme="minorEastAsia" w:cstheme="minorBidi"/>
                <w:szCs w:val="22"/>
                <w:lang w:eastAsia="en-GB"/>
              </w:rPr>
              <w:t>50 (</w:t>
            </w:r>
            <w:proofErr w:type="spellStart"/>
            <w:r w:rsidRPr="00710386">
              <w:rPr>
                <w:rFonts w:eastAsiaTheme="minorEastAsia" w:cstheme="minorBidi"/>
                <w:szCs w:val="22"/>
                <w:lang w:eastAsia="en-GB"/>
              </w:rPr>
              <w:t>Jp</w:t>
            </w:r>
            <w:proofErr w:type="spellEnd"/>
            <w:r w:rsidRPr="00710386">
              <w:rPr>
                <w:rFonts w:eastAsiaTheme="minorEastAsia" w:cstheme="minorBidi"/>
                <w:szCs w:val="22"/>
                <w:lang w:eastAsia="en-GB"/>
              </w:rPr>
              <w:t>)</w:t>
            </w:r>
          </w:p>
        </w:tc>
        <w:tc>
          <w:tcPr>
            <w:tcW w:w="168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szCs w:val="22"/>
                <w:lang w:eastAsia="en-GB"/>
              </w:rPr>
            </w:pPr>
            <w:r w:rsidRPr="00710386">
              <w:rPr>
                <w:rFonts w:eastAsiaTheme="minorEastAsia" w:cstheme="minorBidi"/>
                <w:szCs w:val="22"/>
                <w:lang w:eastAsia="en-GB"/>
              </w:rPr>
              <w:t>50 (2011)</w:t>
            </w:r>
          </w:p>
        </w:tc>
      </w:tr>
      <w:tr w:rsidR="00710386" w:rsidRPr="00710386" w:rsidTr="00710386">
        <w:tc>
          <w:tcPr>
            <w:tcW w:w="2183"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szCs w:val="22"/>
                <w:lang w:eastAsia="en-GB"/>
              </w:rPr>
            </w:pPr>
            <w:r w:rsidRPr="00710386">
              <w:rPr>
                <w:rFonts w:eastAsiaTheme="minorEastAsia" w:cstheme="minorBidi"/>
                <w:szCs w:val="22"/>
                <w:lang w:eastAsia="en-GB"/>
              </w:rPr>
              <w:t>Flufenoxuron</w:t>
            </w:r>
          </w:p>
        </w:tc>
        <w:tc>
          <w:tcPr>
            <w:tcW w:w="170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szCs w:val="22"/>
                <w:lang w:eastAsia="en-GB"/>
              </w:rPr>
            </w:pPr>
            <w:r w:rsidRPr="00710386">
              <w:rPr>
                <w:rFonts w:eastAsiaTheme="minorEastAsia" w:cstheme="minorBidi"/>
                <w:szCs w:val="22"/>
                <w:lang w:eastAsia="en-GB"/>
              </w:rPr>
              <w:t>Yes</w:t>
            </w:r>
          </w:p>
        </w:tc>
        <w:tc>
          <w:tcPr>
            <w:tcW w:w="172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szCs w:val="22"/>
                <w:lang w:eastAsia="en-GB"/>
              </w:rPr>
            </w:pPr>
            <w:r w:rsidRPr="00710386">
              <w:rPr>
                <w:rFonts w:eastAsiaTheme="minorEastAsia" w:cstheme="minorBidi"/>
                <w:szCs w:val="22"/>
                <w:lang w:eastAsia="en-GB"/>
              </w:rPr>
              <w:t>2(Japan)</w:t>
            </w:r>
          </w:p>
        </w:tc>
        <w:tc>
          <w:tcPr>
            <w:tcW w:w="1939"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szCs w:val="22"/>
                <w:lang w:eastAsia="en-GB"/>
              </w:rPr>
            </w:pPr>
            <w:r w:rsidRPr="00710386">
              <w:rPr>
                <w:rFonts w:eastAsiaTheme="minorEastAsia" w:cstheme="minorBidi"/>
                <w:szCs w:val="22"/>
                <w:lang w:eastAsia="en-GB"/>
              </w:rPr>
              <w:t>15 (</w:t>
            </w:r>
            <w:proofErr w:type="spellStart"/>
            <w:r w:rsidRPr="00710386">
              <w:rPr>
                <w:rFonts w:eastAsiaTheme="minorEastAsia" w:cstheme="minorBidi"/>
                <w:szCs w:val="22"/>
                <w:lang w:eastAsia="en-GB"/>
              </w:rPr>
              <w:t>Jp</w:t>
            </w:r>
            <w:proofErr w:type="spellEnd"/>
            <w:r w:rsidRPr="00710386">
              <w:rPr>
                <w:rFonts w:eastAsiaTheme="minorEastAsia" w:cstheme="minorBidi"/>
                <w:szCs w:val="22"/>
                <w:lang w:eastAsia="en-GB"/>
              </w:rPr>
              <w:t>)</w:t>
            </w:r>
          </w:p>
        </w:tc>
        <w:tc>
          <w:tcPr>
            <w:tcW w:w="168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szCs w:val="22"/>
                <w:lang w:eastAsia="en-GB"/>
              </w:rPr>
            </w:pPr>
            <w:r w:rsidRPr="00710386">
              <w:rPr>
                <w:rFonts w:eastAsiaTheme="minorEastAsia" w:cstheme="minorBidi"/>
                <w:szCs w:val="22"/>
                <w:lang w:eastAsia="en-GB"/>
              </w:rPr>
              <w:t xml:space="preserve">(8trials, 2014)  </w:t>
            </w:r>
          </w:p>
        </w:tc>
      </w:tr>
      <w:tr w:rsidR="00710386" w:rsidRPr="00710386" w:rsidTr="00710386">
        <w:tc>
          <w:tcPr>
            <w:tcW w:w="2183"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asciiTheme="minorHAnsi" w:eastAsiaTheme="minorEastAsia" w:hAnsiTheme="minorHAnsi" w:cstheme="minorBidi"/>
                <w:szCs w:val="22"/>
                <w:lang w:eastAsia="en-GB"/>
              </w:rPr>
            </w:pPr>
            <w:proofErr w:type="spellStart"/>
            <w:r w:rsidRPr="00710386">
              <w:rPr>
                <w:rFonts w:asciiTheme="minorHAnsi" w:eastAsiaTheme="minorEastAsia" w:hAnsiTheme="minorHAnsi" w:cstheme="minorBidi"/>
                <w:szCs w:val="22"/>
                <w:lang w:eastAsia="en-GB"/>
              </w:rPr>
              <w:t>Imidacloprid</w:t>
            </w:r>
            <w:proofErr w:type="spellEnd"/>
          </w:p>
        </w:tc>
        <w:tc>
          <w:tcPr>
            <w:tcW w:w="170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 xml:space="preserve">Yes </w:t>
            </w:r>
          </w:p>
        </w:tc>
        <w:tc>
          <w:tcPr>
            <w:tcW w:w="172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2(Japan)</w:t>
            </w:r>
            <w:r w:rsidRPr="00710386">
              <w:rPr>
                <w:rFonts w:asciiTheme="minorHAnsi" w:eastAsiaTheme="minorEastAsia" w:hAnsiTheme="minorHAnsi" w:cstheme="minorBidi"/>
                <w:szCs w:val="22"/>
                <w:lang w:eastAsia="en-GB"/>
              </w:rPr>
              <w:br/>
              <w:t>8 (Sri Lanka)</w:t>
            </w:r>
            <w:r w:rsidRPr="00710386">
              <w:rPr>
                <w:rFonts w:asciiTheme="minorHAnsi" w:eastAsiaTheme="minorEastAsia" w:hAnsiTheme="minorHAnsi" w:cstheme="minorBidi"/>
                <w:szCs w:val="22"/>
                <w:lang w:eastAsia="en-GB"/>
              </w:rPr>
              <w:br/>
              <w:t>2 (India)</w:t>
            </w:r>
          </w:p>
        </w:tc>
        <w:tc>
          <w:tcPr>
            <w:tcW w:w="1939"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10 (</w:t>
            </w:r>
            <w:proofErr w:type="spellStart"/>
            <w:r w:rsidRPr="00710386">
              <w:rPr>
                <w:rFonts w:asciiTheme="minorHAnsi" w:eastAsiaTheme="minorEastAsia" w:hAnsiTheme="minorHAnsi" w:cstheme="minorBidi"/>
                <w:szCs w:val="22"/>
                <w:lang w:eastAsia="en-GB"/>
              </w:rPr>
              <w:t>Jp</w:t>
            </w:r>
            <w:proofErr w:type="spellEnd"/>
            <w:r w:rsidRPr="00710386">
              <w:rPr>
                <w:rFonts w:asciiTheme="minorHAnsi" w:eastAsiaTheme="minorEastAsia" w:hAnsiTheme="minorHAnsi" w:cstheme="minorBidi"/>
                <w:szCs w:val="22"/>
                <w:lang w:eastAsia="en-GB"/>
              </w:rPr>
              <w:t>)</w:t>
            </w:r>
          </w:p>
        </w:tc>
        <w:tc>
          <w:tcPr>
            <w:tcW w:w="168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Evaluation</w:t>
            </w:r>
            <w:r w:rsidRPr="00710386">
              <w:rPr>
                <w:rFonts w:asciiTheme="minorHAnsi" w:eastAsiaTheme="minorEastAsia" w:hAnsiTheme="minorHAnsi" w:cstheme="minorBidi"/>
                <w:szCs w:val="22"/>
                <w:lang w:eastAsia="en-GB"/>
              </w:rPr>
              <w:br/>
              <w:t>(8trials, 2015)</w:t>
            </w:r>
          </w:p>
          <w:p w:rsidR="00710386" w:rsidRPr="00710386" w:rsidRDefault="00710386" w:rsidP="00710386">
            <w:pPr>
              <w:spacing w:after="0"/>
              <w:rPr>
                <w:rFonts w:asciiTheme="minorHAnsi" w:eastAsiaTheme="minorEastAsia" w:hAnsiTheme="minorHAnsi" w:cstheme="minorBidi"/>
                <w:szCs w:val="22"/>
                <w:lang w:eastAsia="en-GB"/>
              </w:rPr>
            </w:pPr>
          </w:p>
        </w:tc>
      </w:tr>
      <w:tr w:rsidR="00710386" w:rsidRPr="00710386" w:rsidTr="00710386">
        <w:tc>
          <w:tcPr>
            <w:tcW w:w="2183"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Permethrin</w:t>
            </w:r>
          </w:p>
        </w:tc>
        <w:tc>
          <w:tcPr>
            <w:tcW w:w="170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 xml:space="preserve">Limited </w:t>
            </w:r>
          </w:p>
        </w:tc>
        <w:tc>
          <w:tcPr>
            <w:tcW w:w="172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2(Japan)</w:t>
            </w:r>
          </w:p>
        </w:tc>
        <w:tc>
          <w:tcPr>
            <w:tcW w:w="1939"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20 (</w:t>
            </w:r>
            <w:proofErr w:type="spellStart"/>
            <w:r w:rsidRPr="00710386">
              <w:rPr>
                <w:rFonts w:asciiTheme="minorHAnsi" w:eastAsiaTheme="minorEastAsia" w:hAnsiTheme="minorHAnsi" w:cstheme="minorBidi"/>
                <w:szCs w:val="22"/>
                <w:lang w:eastAsia="en-GB"/>
              </w:rPr>
              <w:t>Jp</w:t>
            </w:r>
            <w:proofErr w:type="spellEnd"/>
            <w:r w:rsidRPr="00710386">
              <w:rPr>
                <w:rFonts w:asciiTheme="minorHAnsi" w:eastAsiaTheme="minorEastAsia" w:hAnsiTheme="minorHAnsi" w:cstheme="minorBidi"/>
                <w:szCs w:val="22"/>
                <w:lang w:eastAsia="en-GB"/>
              </w:rPr>
              <w:t>)</w:t>
            </w:r>
          </w:p>
        </w:tc>
        <w:tc>
          <w:tcPr>
            <w:tcW w:w="168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asciiTheme="minorHAnsi" w:eastAsiaTheme="minorEastAsia" w:hAnsiTheme="minorHAnsi" w:cstheme="minorBidi"/>
                <w:szCs w:val="22"/>
                <w:lang w:eastAsia="en-GB"/>
              </w:rPr>
            </w:pPr>
          </w:p>
        </w:tc>
      </w:tr>
      <w:tr w:rsidR="00710386" w:rsidRPr="00710386" w:rsidTr="00710386">
        <w:tc>
          <w:tcPr>
            <w:tcW w:w="2183"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asciiTheme="minorHAnsi" w:eastAsiaTheme="minorEastAsia" w:hAnsiTheme="minorHAnsi" w:cstheme="minorBidi"/>
                <w:szCs w:val="22"/>
                <w:lang w:eastAsia="en-GB"/>
              </w:rPr>
            </w:pPr>
            <w:proofErr w:type="spellStart"/>
            <w:r w:rsidRPr="00710386">
              <w:rPr>
                <w:rFonts w:asciiTheme="minorHAnsi" w:eastAsiaTheme="minorEastAsia" w:hAnsiTheme="minorHAnsi" w:cstheme="minorBidi"/>
                <w:szCs w:val="22"/>
                <w:lang w:eastAsia="en-GB"/>
              </w:rPr>
              <w:t>Spiromesifen</w:t>
            </w:r>
            <w:proofErr w:type="spellEnd"/>
          </w:p>
        </w:tc>
        <w:tc>
          <w:tcPr>
            <w:tcW w:w="170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Yes</w:t>
            </w:r>
          </w:p>
        </w:tc>
        <w:tc>
          <w:tcPr>
            <w:tcW w:w="172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2(Japan)</w:t>
            </w:r>
          </w:p>
        </w:tc>
        <w:tc>
          <w:tcPr>
            <w:tcW w:w="1939"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30 (</w:t>
            </w:r>
            <w:proofErr w:type="spellStart"/>
            <w:r w:rsidRPr="00710386">
              <w:rPr>
                <w:rFonts w:asciiTheme="minorHAnsi" w:eastAsiaTheme="minorEastAsia" w:hAnsiTheme="minorHAnsi" w:cstheme="minorBidi"/>
                <w:szCs w:val="22"/>
                <w:lang w:eastAsia="en-GB"/>
              </w:rPr>
              <w:t>Jp</w:t>
            </w:r>
            <w:proofErr w:type="spellEnd"/>
            <w:r w:rsidRPr="00710386">
              <w:rPr>
                <w:rFonts w:asciiTheme="minorHAnsi" w:eastAsiaTheme="minorEastAsia" w:hAnsiTheme="minorHAnsi" w:cstheme="minorBidi"/>
                <w:szCs w:val="22"/>
                <w:lang w:eastAsia="en-GB"/>
              </w:rPr>
              <w:t>), 40 (US)</w:t>
            </w:r>
          </w:p>
        </w:tc>
        <w:tc>
          <w:tcPr>
            <w:tcW w:w="168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asciiTheme="minorHAnsi" w:eastAsiaTheme="minorEastAsia" w:hAnsiTheme="minorHAnsi" w:cstheme="minorBidi"/>
                <w:szCs w:val="22"/>
                <w:lang w:eastAsia="en-GB"/>
              </w:rPr>
            </w:pPr>
          </w:p>
        </w:tc>
      </w:tr>
      <w:tr w:rsidR="00710386" w:rsidRPr="00710386" w:rsidTr="00710386">
        <w:tc>
          <w:tcPr>
            <w:tcW w:w="2183"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asciiTheme="minorHAnsi" w:eastAsiaTheme="minorEastAsia" w:hAnsiTheme="minorHAnsi" w:cstheme="minorBidi"/>
                <w:szCs w:val="22"/>
                <w:lang w:eastAsia="en-GB"/>
              </w:rPr>
            </w:pPr>
            <w:proofErr w:type="spellStart"/>
            <w:r w:rsidRPr="00710386">
              <w:rPr>
                <w:rFonts w:asciiTheme="minorHAnsi" w:eastAsiaTheme="minorEastAsia" w:hAnsiTheme="minorHAnsi" w:cstheme="minorBidi"/>
                <w:szCs w:val="22"/>
                <w:lang w:eastAsia="en-GB"/>
              </w:rPr>
              <w:t>Thiacloprid</w:t>
            </w:r>
            <w:proofErr w:type="spellEnd"/>
          </w:p>
        </w:tc>
        <w:tc>
          <w:tcPr>
            <w:tcW w:w="170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Yes</w:t>
            </w:r>
          </w:p>
        </w:tc>
        <w:tc>
          <w:tcPr>
            <w:tcW w:w="172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4 (Japan)</w:t>
            </w:r>
            <w:r w:rsidRPr="00710386">
              <w:rPr>
                <w:rFonts w:asciiTheme="minorHAnsi" w:eastAsiaTheme="minorEastAsia" w:hAnsiTheme="minorHAnsi" w:cstheme="minorBidi"/>
                <w:szCs w:val="22"/>
                <w:lang w:eastAsia="en-GB"/>
              </w:rPr>
              <w:br/>
              <w:t>2 (India)</w:t>
            </w:r>
            <w:r w:rsidRPr="00710386">
              <w:rPr>
                <w:rFonts w:asciiTheme="minorHAnsi" w:eastAsiaTheme="minorEastAsia" w:hAnsiTheme="minorHAnsi" w:cstheme="minorBidi"/>
                <w:szCs w:val="22"/>
                <w:lang w:eastAsia="en-GB"/>
              </w:rPr>
              <w:br/>
              <w:t>8 (Registrant)</w:t>
            </w:r>
          </w:p>
        </w:tc>
        <w:tc>
          <w:tcPr>
            <w:tcW w:w="1939"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30 (</w:t>
            </w:r>
            <w:proofErr w:type="spellStart"/>
            <w:r w:rsidRPr="00710386">
              <w:rPr>
                <w:rFonts w:asciiTheme="minorHAnsi" w:eastAsiaTheme="minorEastAsia" w:hAnsiTheme="minorHAnsi" w:cstheme="minorBidi"/>
                <w:szCs w:val="22"/>
                <w:lang w:eastAsia="en-GB"/>
              </w:rPr>
              <w:t>Jp</w:t>
            </w:r>
            <w:proofErr w:type="spellEnd"/>
            <w:r w:rsidRPr="00710386">
              <w:rPr>
                <w:rFonts w:asciiTheme="minorHAnsi" w:eastAsiaTheme="minorEastAsia" w:hAnsiTheme="minorHAnsi" w:cstheme="minorBidi"/>
                <w:szCs w:val="22"/>
                <w:lang w:eastAsia="en-GB"/>
              </w:rPr>
              <w:t>)</w:t>
            </w:r>
          </w:p>
        </w:tc>
        <w:tc>
          <w:tcPr>
            <w:tcW w:w="168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asciiTheme="minorHAnsi" w:eastAsiaTheme="minorEastAsia" w:hAnsiTheme="minorHAnsi" w:cstheme="minorBidi"/>
                <w:szCs w:val="22"/>
                <w:lang w:eastAsia="en-GB"/>
              </w:rPr>
            </w:pPr>
          </w:p>
        </w:tc>
      </w:tr>
      <w:tr w:rsidR="00710386" w:rsidRPr="00710386" w:rsidTr="00710386">
        <w:tc>
          <w:tcPr>
            <w:tcW w:w="2183"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asciiTheme="minorHAnsi" w:eastAsiaTheme="minorEastAsia" w:hAnsiTheme="minorHAnsi" w:cstheme="minorBidi"/>
                <w:szCs w:val="22"/>
                <w:lang w:eastAsia="en-GB"/>
              </w:rPr>
            </w:pPr>
            <w:proofErr w:type="spellStart"/>
            <w:r w:rsidRPr="00710386">
              <w:rPr>
                <w:rFonts w:asciiTheme="minorHAnsi" w:eastAsiaTheme="minorEastAsia" w:hAnsiTheme="minorHAnsi" w:cstheme="minorBidi"/>
                <w:szCs w:val="22"/>
                <w:lang w:eastAsia="en-GB"/>
              </w:rPr>
              <w:t>Thiamethoxam</w:t>
            </w:r>
            <w:proofErr w:type="spellEnd"/>
          </w:p>
        </w:tc>
        <w:tc>
          <w:tcPr>
            <w:tcW w:w="170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 xml:space="preserve">Yes </w:t>
            </w:r>
          </w:p>
        </w:tc>
        <w:tc>
          <w:tcPr>
            <w:tcW w:w="172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4 (Japan)</w:t>
            </w:r>
            <w:r w:rsidRPr="00710386">
              <w:rPr>
                <w:rFonts w:asciiTheme="minorHAnsi" w:eastAsiaTheme="minorEastAsia" w:hAnsiTheme="minorHAnsi" w:cstheme="minorBidi"/>
                <w:szCs w:val="22"/>
                <w:lang w:eastAsia="en-GB"/>
              </w:rPr>
              <w:br/>
              <w:t>4 (India)</w:t>
            </w:r>
          </w:p>
        </w:tc>
        <w:tc>
          <w:tcPr>
            <w:tcW w:w="1939"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20 (</w:t>
            </w:r>
            <w:proofErr w:type="spellStart"/>
            <w:r w:rsidRPr="00710386">
              <w:rPr>
                <w:rFonts w:asciiTheme="minorHAnsi" w:eastAsiaTheme="minorEastAsia" w:hAnsiTheme="minorHAnsi" w:cstheme="minorBidi"/>
                <w:szCs w:val="22"/>
                <w:lang w:eastAsia="en-GB"/>
              </w:rPr>
              <w:t>Jp</w:t>
            </w:r>
            <w:proofErr w:type="spellEnd"/>
            <w:r w:rsidRPr="00710386">
              <w:rPr>
                <w:rFonts w:asciiTheme="minorHAnsi" w:eastAsiaTheme="minorEastAsia" w:hAnsiTheme="minorHAnsi" w:cstheme="minorBidi"/>
                <w:szCs w:val="22"/>
                <w:lang w:eastAsia="en-GB"/>
              </w:rPr>
              <w:t>), 20 (US)</w:t>
            </w:r>
          </w:p>
        </w:tc>
        <w:tc>
          <w:tcPr>
            <w:tcW w:w="168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20 (2011)</w:t>
            </w:r>
          </w:p>
        </w:tc>
      </w:tr>
      <w:tr w:rsidR="00710386" w:rsidRPr="00710386" w:rsidTr="00710386">
        <w:tc>
          <w:tcPr>
            <w:tcW w:w="2183"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λ-</w:t>
            </w:r>
            <w:proofErr w:type="spellStart"/>
            <w:r w:rsidRPr="00710386">
              <w:rPr>
                <w:rFonts w:asciiTheme="minorHAnsi" w:eastAsiaTheme="minorEastAsia" w:hAnsiTheme="minorHAnsi" w:cstheme="minorBidi"/>
                <w:szCs w:val="22"/>
                <w:lang w:eastAsia="en-GB"/>
              </w:rPr>
              <w:t>Cyhalothrin</w:t>
            </w:r>
            <w:proofErr w:type="spellEnd"/>
          </w:p>
        </w:tc>
        <w:tc>
          <w:tcPr>
            <w:tcW w:w="170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Yes</w:t>
            </w:r>
          </w:p>
        </w:tc>
        <w:tc>
          <w:tcPr>
            <w:tcW w:w="172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2(Japan)</w:t>
            </w:r>
            <w:r w:rsidRPr="00710386">
              <w:rPr>
                <w:rFonts w:asciiTheme="minorHAnsi" w:eastAsiaTheme="minorEastAsia" w:hAnsiTheme="minorHAnsi" w:cstheme="minorBidi"/>
                <w:szCs w:val="22"/>
                <w:lang w:eastAsia="en-GB"/>
              </w:rPr>
              <w:br/>
              <w:t>4 (India)</w:t>
            </w:r>
          </w:p>
        </w:tc>
        <w:tc>
          <w:tcPr>
            <w:tcW w:w="1939"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15 (</w:t>
            </w:r>
            <w:proofErr w:type="spellStart"/>
            <w:r w:rsidRPr="00710386">
              <w:rPr>
                <w:rFonts w:asciiTheme="minorHAnsi" w:eastAsiaTheme="minorEastAsia" w:hAnsiTheme="minorHAnsi" w:cstheme="minorBidi"/>
                <w:szCs w:val="22"/>
                <w:lang w:eastAsia="en-GB"/>
              </w:rPr>
              <w:t>Jp</w:t>
            </w:r>
            <w:proofErr w:type="spellEnd"/>
            <w:r w:rsidRPr="00710386">
              <w:rPr>
                <w:rFonts w:asciiTheme="minorHAnsi" w:eastAsiaTheme="minorEastAsia" w:hAnsiTheme="minorHAnsi" w:cstheme="minorBidi"/>
                <w:szCs w:val="22"/>
                <w:lang w:eastAsia="en-GB"/>
              </w:rPr>
              <w:t>)</w:t>
            </w:r>
          </w:p>
        </w:tc>
        <w:tc>
          <w:tcPr>
            <w:tcW w:w="168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India (2016)</w:t>
            </w:r>
          </w:p>
        </w:tc>
      </w:tr>
      <w:tr w:rsidR="00710386" w:rsidRPr="00710386" w:rsidTr="00710386">
        <w:tc>
          <w:tcPr>
            <w:tcW w:w="2183"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asciiTheme="minorHAnsi" w:eastAsiaTheme="minorEastAsia" w:hAnsiTheme="minorHAnsi" w:cstheme="minorBidi"/>
                <w:szCs w:val="22"/>
                <w:lang w:eastAsia="en-GB"/>
              </w:rPr>
            </w:pPr>
            <w:proofErr w:type="spellStart"/>
            <w:r w:rsidRPr="00710386">
              <w:rPr>
                <w:rFonts w:asciiTheme="minorHAnsi" w:eastAsiaTheme="minorEastAsia" w:hAnsiTheme="minorHAnsi" w:cstheme="minorBidi"/>
                <w:szCs w:val="22"/>
                <w:lang w:eastAsia="en-GB"/>
              </w:rPr>
              <w:t>Indoxycarb</w:t>
            </w:r>
            <w:proofErr w:type="spellEnd"/>
          </w:p>
        </w:tc>
        <w:tc>
          <w:tcPr>
            <w:tcW w:w="170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Yes</w:t>
            </w:r>
          </w:p>
        </w:tc>
        <w:tc>
          <w:tcPr>
            <w:tcW w:w="172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8(China)</w:t>
            </w:r>
          </w:p>
        </w:tc>
        <w:tc>
          <w:tcPr>
            <w:tcW w:w="1939"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asciiTheme="minorHAnsi" w:eastAsiaTheme="minorEastAsia" w:hAnsiTheme="minorHAnsi" w:cstheme="minorBidi"/>
                <w:szCs w:val="22"/>
                <w:lang w:eastAsia="en-GB"/>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Evaluation 2013 (8trials, China)</w:t>
            </w:r>
          </w:p>
        </w:tc>
      </w:tr>
      <w:tr w:rsidR="00710386" w:rsidRPr="00710386" w:rsidTr="00710386">
        <w:tc>
          <w:tcPr>
            <w:tcW w:w="2183"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asciiTheme="minorHAnsi" w:eastAsiaTheme="minorEastAsia" w:hAnsiTheme="minorHAnsi" w:cstheme="minorBidi"/>
                <w:szCs w:val="22"/>
                <w:lang w:eastAsia="en-GB"/>
              </w:rPr>
            </w:pPr>
            <w:proofErr w:type="spellStart"/>
            <w:r w:rsidRPr="00710386">
              <w:rPr>
                <w:rFonts w:asciiTheme="minorHAnsi" w:eastAsiaTheme="minorEastAsia" w:hAnsiTheme="minorHAnsi" w:cstheme="minorBidi"/>
                <w:szCs w:val="22"/>
                <w:lang w:eastAsia="en-GB"/>
              </w:rPr>
              <w:t>Dichorvos</w:t>
            </w:r>
            <w:proofErr w:type="spellEnd"/>
          </w:p>
        </w:tc>
        <w:tc>
          <w:tcPr>
            <w:tcW w:w="170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asciiTheme="minorHAnsi" w:eastAsiaTheme="minorEastAsia" w:hAnsiTheme="minorHAnsi" w:cstheme="minorBidi"/>
                <w:szCs w:val="22"/>
                <w:lang w:eastAsia="en-GB"/>
              </w:rPr>
            </w:pPr>
          </w:p>
        </w:tc>
        <w:tc>
          <w:tcPr>
            <w:tcW w:w="172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asciiTheme="minorHAnsi" w:eastAsiaTheme="minorEastAsia" w:hAnsiTheme="minorHAnsi" w:cstheme="minorBidi"/>
                <w:szCs w:val="22"/>
                <w:lang w:eastAsia="en-GB"/>
              </w:rPr>
            </w:pPr>
          </w:p>
        </w:tc>
        <w:tc>
          <w:tcPr>
            <w:tcW w:w="1939"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0.1 (</w:t>
            </w:r>
            <w:proofErr w:type="spellStart"/>
            <w:r w:rsidRPr="00710386">
              <w:rPr>
                <w:rFonts w:asciiTheme="minorHAnsi" w:eastAsiaTheme="minorEastAsia" w:hAnsiTheme="minorHAnsi" w:cstheme="minorBidi"/>
                <w:szCs w:val="22"/>
                <w:lang w:eastAsia="en-GB"/>
              </w:rPr>
              <w:t>Jp</w:t>
            </w:r>
            <w:proofErr w:type="spellEnd"/>
            <w:r w:rsidRPr="00710386">
              <w:rPr>
                <w:rFonts w:asciiTheme="minorHAnsi" w:eastAsiaTheme="minorEastAsia" w:hAnsiTheme="minorHAnsi" w:cstheme="minorBidi"/>
                <w:szCs w:val="22"/>
                <w:lang w:eastAsia="en-GB"/>
              </w:rPr>
              <w:t>)</w:t>
            </w:r>
          </w:p>
        </w:tc>
        <w:tc>
          <w:tcPr>
            <w:tcW w:w="168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asciiTheme="minorHAnsi" w:eastAsiaTheme="minorEastAsia" w:hAnsiTheme="minorHAnsi" w:cstheme="minorBidi"/>
                <w:szCs w:val="22"/>
                <w:lang w:eastAsia="en-GB"/>
              </w:rPr>
            </w:pPr>
          </w:p>
        </w:tc>
      </w:tr>
      <w:tr w:rsidR="00710386" w:rsidRPr="00710386" w:rsidTr="00710386">
        <w:tc>
          <w:tcPr>
            <w:tcW w:w="2183"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asciiTheme="minorHAnsi" w:eastAsiaTheme="minorEastAsia" w:hAnsiTheme="minorHAnsi" w:cstheme="minorBidi"/>
                <w:szCs w:val="22"/>
                <w:lang w:eastAsia="en-GB"/>
              </w:rPr>
            </w:pPr>
            <w:proofErr w:type="spellStart"/>
            <w:r w:rsidRPr="00710386">
              <w:rPr>
                <w:rFonts w:asciiTheme="minorHAnsi" w:eastAsiaTheme="minorEastAsia" w:hAnsiTheme="minorHAnsi" w:cstheme="minorBidi"/>
                <w:szCs w:val="22"/>
                <w:lang w:eastAsia="en-GB"/>
              </w:rPr>
              <w:t>Novaluron</w:t>
            </w:r>
            <w:proofErr w:type="spellEnd"/>
          </w:p>
        </w:tc>
        <w:tc>
          <w:tcPr>
            <w:tcW w:w="170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To be generated</w:t>
            </w:r>
          </w:p>
        </w:tc>
        <w:tc>
          <w:tcPr>
            <w:tcW w:w="172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asciiTheme="minorHAnsi" w:eastAsiaTheme="minorEastAsia" w:hAnsiTheme="minorHAnsi" w:cstheme="minorBidi"/>
                <w:szCs w:val="22"/>
                <w:lang w:eastAsia="en-GB"/>
              </w:rPr>
            </w:pPr>
          </w:p>
        </w:tc>
        <w:tc>
          <w:tcPr>
            <w:tcW w:w="1939"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asciiTheme="minorHAnsi" w:eastAsiaTheme="minorEastAsia" w:hAnsiTheme="minorHAnsi" w:cstheme="minorBidi"/>
                <w:szCs w:val="22"/>
                <w:lang w:eastAsia="en-GB"/>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asciiTheme="minorHAnsi" w:eastAsiaTheme="minorEastAsia" w:hAnsiTheme="minorHAnsi" w:cstheme="minorBidi"/>
                <w:szCs w:val="22"/>
                <w:lang w:eastAsia="en-GB"/>
              </w:rPr>
            </w:pPr>
          </w:p>
        </w:tc>
      </w:tr>
      <w:tr w:rsidR="00710386" w:rsidRPr="00710386" w:rsidTr="00710386">
        <w:tc>
          <w:tcPr>
            <w:tcW w:w="2183"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asciiTheme="minorHAnsi" w:eastAsiaTheme="minorEastAsia" w:hAnsiTheme="minorHAnsi" w:cstheme="minorBidi"/>
                <w:szCs w:val="22"/>
                <w:lang w:eastAsia="en-GB"/>
              </w:rPr>
            </w:pPr>
            <w:proofErr w:type="spellStart"/>
            <w:r w:rsidRPr="00710386">
              <w:rPr>
                <w:rFonts w:asciiTheme="minorHAnsi" w:eastAsiaTheme="minorEastAsia" w:hAnsiTheme="minorHAnsi" w:cstheme="minorBidi"/>
                <w:szCs w:val="22"/>
                <w:lang w:eastAsia="en-GB"/>
              </w:rPr>
              <w:t>Abamectin</w:t>
            </w:r>
            <w:proofErr w:type="spellEnd"/>
          </w:p>
        </w:tc>
        <w:tc>
          <w:tcPr>
            <w:tcW w:w="170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asciiTheme="minorHAnsi" w:eastAsiaTheme="minorEastAsia" w:hAnsiTheme="minorHAnsi" w:cstheme="minorBidi"/>
                <w:szCs w:val="22"/>
                <w:lang w:eastAsia="en-GB"/>
              </w:rPr>
            </w:pPr>
          </w:p>
        </w:tc>
        <w:tc>
          <w:tcPr>
            <w:tcW w:w="172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asciiTheme="minorHAnsi" w:eastAsiaTheme="minorEastAsia" w:hAnsiTheme="minorHAnsi" w:cstheme="minorBidi"/>
                <w:szCs w:val="22"/>
                <w:lang w:eastAsia="en-GB"/>
              </w:rPr>
            </w:pPr>
          </w:p>
        </w:tc>
        <w:tc>
          <w:tcPr>
            <w:tcW w:w="1939"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asciiTheme="minorHAnsi" w:eastAsiaTheme="minorEastAsia" w:hAnsiTheme="minorHAnsi" w:cstheme="minorBidi"/>
                <w:szCs w:val="22"/>
                <w:lang w:eastAsia="en-GB"/>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asciiTheme="minorHAnsi" w:eastAsiaTheme="minorEastAsia" w:hAnsiTheme="minorHAnsi" w:cstheme="minorBidi"/>
                <w:szCs w:val="22"/>
                <w:lang w:eastAsia="en-GB"/>
              </w:rPr>
            </w:pPr>
          </w:p>
        </w:tc>
      </w:tr>
      <w:tr w:rsidR="00710386" w:rsidRPr="00710386" w:rsidTr="00710386">
        <w:tc>
          <w:tcPr>
            <w:tcW w:w="2183"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asciiTheme="minorHAnsi" w:eastAsiaTheme="minorEastAsia" w:hAnsiTheme="minorHAnsi" w:cstheme="minorBidi"/>
                <w:szCs w:val="22"/>
                <w:lang w:eastAsia="en-GB"/>
              </w:rPr>
            </w:pPr>
            <w:proofErr w:type="spellStart"/>
            <w:r w:rsidRPr="00710386">
              <w:rPr>
                <w:rFonts w:asciiTheme="minorHAnsi" w:eastAsiaTheme="minorEastAsia" w:hAnsiTheme="minorHAnsi" w:cstheme="minorBidi"/>
                <w:szCs w:val="22"/>
                <w:lang w:eastAsia="en-GB"/>
              </w:rPr>
              <w:t>Acequinocyl</w:t>
            </w:r>
            <w:proofErr w:type="spellEnd"/>
          </w:p>
        </w:tc>
        <w:tc>
          <w:tcPr>
            <w:tcW w:w="170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In progress</w:t>
            </w:r>
          </w:p>
        </w:tc>
        <w:tc>
          <w:tcPr>
            <w:tcW w:w="172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4(Japan)</w:t>
            </w:r>
            <w:r w:rsidRPr="00710386">
              <w:rPr>
                <w:rFonts w:asciiTheme="minorHAnsi" w:eastAsiaTheme="minorEastAsia" w:hAnsiTheme="minorHAnsi" w:cstheme="minorBidi"/>
                <w:szCs w:val="22"/>
                <w:lang w:eastAsia="en-GB"/>
              </w:rPr>
              <w:br/>
              <w:t>0.5 (Argentina)</w:t>
            </w:r>
          </w:p>
        </w:tc>
        <w:tc>
          <w:tcPr>
            <w:tcW w:w="1939"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0.5 (Argentina)</w:t>
            </w:r>
            <w:r w:rsidRPr="00710386">
              <w:rPr>
                <w:rFonts w:asciiTheme="minorHAnsi" w:eastAsiaTheme="minorEastAsia" w:hAnsiTheme="minorHAnsi" w:cstheme="minorBidi"/>
                <w:szCs w:val="22"/>
                <w:lang w:eastAsia="en-GB"/>
              </w:rPr>
              <w:br/>
              <w:t>40 (</w:t>
            </w:r>
            <w:proofErr w:type="spellStart"/>
            <w:r w:rsidRPr="00710386">
              <w:rPr>
                <w:rFonts w:asciiTheme="minorHAnsi" w:eastAsiaTheme="minorEastAsia" w:hAnsiTheme="minorHAnsi" w:cstheme="minorBidi"/>
                <w:szCs w:val="22"/>
                <w:lang w:eastAsia="en-GB"/>
              </w:rPr>
              <w:t>Jp</w:t>
            </w:r>
            <w:proofErr w:type="spellEnd"/>
            <w:r w:rsidRPr="00710386">
              <w:rPr>
                <w:rFonts w:asciiTheme="minorHAnsi" w:eastAsiaTheme="minorEastAsia" w:hAnsiTheme="minorHAnsi" w:cstheme="minorBidi"/>
                <w:szCs w:val="22"/>
                <w:lang w:eastAsia="en-GB"/>
              </w:rPr>
              <w:t>),</w:t>
            </w:r>
          </w:p>
        </w:tc>
        <w:tc>
          <w:tcPr>
            <w:tcW w:w="168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asciiTheme="minorHAnsi" w:eastAsiaTheme="minorEastAsia" w:hAnsiTheme="minorHAnsi" w:cstheme="minorBidi"/>
                <w:szCs w:val="22"/>
                <w:lang w:eastAsia="en-GB"/>
              </w:rPr>
            </w:pPr>
          </w:p>
        </w:tc>
      </w:tr>
      <w:tr w:rsidR="00710386" w:rsidRPr="00710386" w:rsidTr="00710386">
        <w:tc>
          <w:tcPr>
            <w:tcW w:w="2183"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asciiTheme="minorHAnsi" w:eastAsiaTheme="minorEastAsia" w:hAnsiTheme="minorHAnsi" w:cstheme="minorBidi"/>
                <w:szCs w:val="22"/>
                <w:lang w:eastAsia="en-GB"/>
              </w:rPr>
            </w:pPr>
            <w:proofErr w:type="spellStart"/>
            <w:r w:rsidRPr="00710386">
              <w:rPr>
                <w:rFonts w:asciiTheme="minorHAnsi" w:eastAsiaTheme="minorEastAsia" w:hAnsiTheme="minorHAnsi" w:cstheme="minorBidi"/>
                <w:szCs w:val="22"/>
                <w:lang w:eastAsia="en-GB"/>
              </w:rPr>
              <w:t>Chlofentezine</w:t>
            </w:r>
            <w:proofErr w:type="spellEnd"/>
          </w:p>
        </w:tc>
        <w:tc>
          <w:tcPr>
            <w:tcW w:w="170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asciiTheme="minorHAnsi" w:eastAsiaTheme="minorEastAsia" w:hAnsiTheme="minorHAnsi" w:cstheme="minorBidi"/>
                <w:szCs w:val="22"/>
                <w:lang w:eastAsia="en-GB"/>
              </w:rPr>
            </w:pPr>
          </w:p>
        </w:tc>
        <w:tc>
          <w:tcPr>
            <w:tcW w:w="172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2(Japan)</w:t>
            </w:r>
          </w:p>
        </w:tc>
        <w:tc>
          <w:tcPr>
            <w:tcW w:w="1939"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20 (</w:t>
            </w:r>
            <w:proofErr w:type="spellStart"/>
            <w:r w:rsidRPr="00710386">
              <w:rPr>
                <w:rFonts w:asciiTheme="minorHAnsi" w:eastAsiaTheme="minorEastAsia" w:hAnsiTheme="minorHAnsi" w:cstheme="minorBidi"/>
                <w:szCs w:val="22"/>
                <w:lang w:eastAsia="en-GB"/>
              </w:rPr>
              <w:t>Jp</w:t>
            </w:r>
            <w:proofErr w:type="spellEnd"/>
            <w:r w:rsidRPr="00710386">
              <w:rPr>
                <w:rFonts w:asciiTheme="minorHAnsi" w:eastAsiaTheme="minorEastAsia" w:hAnsiTheme="minorHAnsi" w:cstheme="minorBidi"/>
                <w:szCs w:val="22"/>
                <w:lang w:eastAsia="en-GB"/>
              </w:rPr>
              <w:t>)</w:t>
            </w:r>
          </w:p>
        </w:tc>
        <w:tc>
          <w:tcPr>
            <w:tcW w:w="168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asciiTheme="minorHAnsi" w:eastAsiaTheme="minorEastAsia" w:hAnsiTheme="minorHAnsi" w:cstheme="minorBidi"/>
                <w:szCs w:val="22"/>
                <w:lang w:eastAsia="en-GB"/>
              </w:rPr>
            </w:pPr>
          </w:p>
        </w:tc>
      </w:tr>
      <w:tr w:rsidR="00710386" w:rsidRPr="00710386" w:rsidTr="00710386">
        <w:tc>
          <w:tcPr>
            <w:tcW w:w="2183"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asciiTheme="minorHAnsi" w:eastAsiaTheme="minorEastAsia" w:hAnsiTheme="minorHAnsi" w:cstheme="minorBidi"/>
                <w:szCs w:val="22"/>
                <w:lang w:eastAsia="en-GB"/>
              </w:rPr>
            </w:pPr>
            <w:proofErr w:type="spellStart"/>
            <w:r w:rsidRPr="00710386">
              <w:rPr>
                <w:rFonts w:asciiTheme="minorHAnsi" w:eastAsiaTheme="minorEastAsia" w:hAnsiTheme="minorHAnsi" w:cstheme="minorBidi"/>
                <w:szCs w:val="22"/>
                <w:lang w:eastAsia="en-GB"/>
              </w:rPr>
              <w:t>Dicofol</w:t>
            </w:r>
            <w:proofErr w:type="spellEnd"/>
          </w:p>
        </w:tc>
        <w:tc>
          <w:tcPr>
            <w:tcW w:w="170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Yes</w:t>
            </w:r>
          </w:p>
        </w:tc>
        <w:tc>
          <w:tcPr>
            <w:tcW w:w="172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8(India)</w:t>
            </w:r>
          </w:p>
        </w:tc>
        <w:tc>
          <w:tcPr>
            <w:tcW w:w="1939"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3(</w:t>
            </w:r>
            <w:proofErr w:type="spellStart"/>
            <w:r w:rsidRPr="00710386">
              <w:rPr>
                <w:rFonts w:asciiTheme="minorHAnsi" w:eastAsiaTheme="minorEastAsia" w:hAnsiTheme="minorHAnsi" w:cstheme="minorBidi"/>
                <w:szCs w:val="22"/>
                <w:lang w:eastAsia="en-GB"/>
              </w:rPr>
              <w:t>Jp</w:t>
            </w:r>
            <w:proofErr w:type="spellEnd"/>
            <w:r w:rsidRPr="00710386">
              <w:rPr>
                <w:rFonts w:asciiTheme="minorHAnsi" w:eastAsiaTheme="minorEastAsia" w:hAnsiTheme="minorHAnsi" w:cstheme="minorBidi"/>
                <w:szCs w:val="22"/>
                <w:lang w:eastAsia="en-GB"/>
              </w:rPr>
              <w:t>)</w:t>
            </w:r>
            <w:r w:rsidRPr="00710386">
              <w:rPr>
                <w:rFonts w:asciiTheme="minorHAnsi" w:eastAsiaTheme="minorEastAsia" w:hAnsiTheme="minorHAnsi" w:cstheme="minorBidi"/>
                <w:szCs w:val="22"/>
                <w:lang w:eastAsia="en-GB"/>
              </w:rPr>
              <w:br/>
              <w:t>5 (India)</w:t>
            </w:r>
            <w:r w:rsidRPr="00710386">
              <w:rPr>
                <w:rFonts w:asciiTheme="minorHAnsi" w:eastAsiaTheme="minorEastAsia" w:hAnsiTheme="minorHAnsi" w:cstheme="minorBidi"/>
                <w:szCs w:val="22"/>
                <w:lang w:eastAsia="en-GB"/>
              </w:rPr>
              <w:br/>
              <w:t>50(US)</w:t>
            </w:r>
          </w:p>
        </w:tc>
        <w:tc>
          <w:tcPr>
            <w:tcW w:w="168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50 (1997) Revoked</w:t>
            </w:r>
            <w:r w:rsidRPr="00710386">
              <w:rPr>
                <w:rFonts w:asciiTheme="minorHAnsi" w:eastAsiaTheme="minorEastAsia" w:hAnsiTheme="minorHAnsi" w:cstheme="minorBidi"/>
                <w:szCs w:val="22"/>
                <w:lang w:eastAsia="en-GB"/>
              </w:rPr>
              <w:br/>
              <w:t>40 (2011, 5/8)</w:t>
            </w:r>
          </w:p>
        </w:tc>
      </w:tr>
      <w:tr w:rsidR="00710386" w:rsidRPr="00710386" w:rsidTr="00710386">
        <w:tc>
          <w:tcPr>
            <w:tcW w:w="2183"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asciiTheme="minorHAnsi" w:eastAsiaTheme="minorEastAsia" w:hAnsiTheme="minorHAnsi" w:cstheme="minorBidi"/>
                <w:szCs w:val="22"/>
                <w:lang w:eastAsia="en-GB"/>
              </w:rPr>
            </w:pPr>
            <w:proofErr w:type="spellStart"/>
            <w:r w:rsidRPr="00710386">
              <w:rPr>
                <w:rFonts w:asciiTheme="minorHAnsi" w:eastAsiaTheme="minorEastAsia" w:hAnsiTheme="minorHAnsi" w:cstheme="minorBidi"/>
                <w:szCs w:val="22"/>
                <w:lang w:eastAsia="en-GB"/>
              </w:rPr>
              <w:t>Ethion</w:t>
            </w:r>
            <w:proofErr w:type="spellEnd"/>
          </w:p>
        </w:tc>
        <w:tc>
          <w:tcPr>
            <w:tcW w:w="170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Yes</w:t>
            </w:r>
          </w:p>
        </w:tc>
        <w:tc>
          <w:tcPr>
            <w:tcW w:w="172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12(India)</w:t>
            </w:r>
          </w:p>
        </w:tc>
        <w:tc>
          <w:tcPr>
            <w:tcW w:w="1939"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0.3(</w:t>
            </w:r>
            <w:proofErr w:type="spellStart"/>
            <w:r w:rsidRPr="00710386">
              <w:rPr>
                <w:rFonts w:asciiTheme="minorHAnsi" w:eastAsiaTheme="minorEastAsia" w:hAnsiTheme="minorHAnsi" w:cstheme="minorBidi"/>
                <w:szCs w:val="22"/>
                <w:lang w:eastAsia="en-GB"/>
              </w:rPr>
              <w:t>Jp</w:t>
            </w:r>
            <w:proofErr w:type="spellEnd"/>
            <w:r w:rsidRPr="00710386">
              <w:rPr>
                <w:rFonts w:asciiTheme="minorHAnsi" w:eastAsiaTheme="minorEastAsia" w:hAnsiTheme="minorHAnsi" w:cstheme="minorBidi"/>
                <w:szCs w:val="22"/>
                <w:lang w:eastAsia="en-GB"/>
              </w:rPr>
              <w:t>), 5 (India)</w:t>
            </w:r>
          </w:p>
        </w:tc>
        <w:tc>
          <w:tcPr>
            <w:tcW w:w="168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India (2016)</w:t>
            </w:r>
          </w:p>
        </w:tc>
      </w:tr>
      <w:tr w:rsidR="00710386" w:rsidRPr="00710386" w:rsidTr="00710386">
        <w:tc>
          <w:tcPr>
            <w:tcW w:w="2183"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asciiTheme="minorHAnsi" w:eastAsiaTheme="minorEastAsia" w:hAnsiTheme="minorHAnsi" w:cstheme="minorBidi"/>
                <w:szCs w:val="22"/>
                <w:lang w:eastAsia="en-GB"/>
              </w:rPr>
            </w:pPr>
            <w:proofErr w:type="spellStart"/>
            <w:r w:rsidRPr="00710386">
              <w:rPr>
                <w:rFonts w:asciiTheme="minorHAnsi" w:eastAsiaTheme="minorEastAsia" w:hAnsiTheme="minorHAnsi" w:cstheme="minorBidi"/>
                <w:szCs w:val="22"/>
                <w:lang w:eastAsia="en-GB"/>
              </w:rPr>
              <w:t>Etoxazole</w:t>
            </w:r>
            <w:proofErr w:type="spellEnd"/>
          </w:p>
        </w:tc>
        <w:tc>
          <w:tcPr>
            <w:tcW w:w="170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Yes</w:t>
            </w:r>
          </w:p>
        </w:tc>
        <w:tc>
          <w:tcPr>
            <w:tcW w:w="172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4(Japan)</w:t>
            </w:r>
          </w:p>
        </w:tc>
        <w:tc>
          <w:tcPr>
            <w:tcW w:w="1939"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15 (</w:t>
            </w:r>
            <w:proofErr w:type="spellStart"/>
            <w:r w:rsidRPr="00710386">
              <w:rPr>
                <w:rFonts w:asciiTheme="minorHAnsi" w:eastAsiaTheme="minorEastAsia" w:hAnsiTheme="minorHAnsi" w:cstheme="minorBidi"/>
                <w:szCs w:val="22"/>
                <w:lang w:eastAsia="en-GB"/>
              </w:rPr>
              <w:t>Jp</w:t>
            </w:r>
            <w:proofErr w:type="spellEnd"/>
            <w:r w:rsidRPr="00710386">
              <w:rPr>
                <w:rFonts w:asciiTheme="minorHAnsi" w:eastAsiaTheme="minorEastAsia" w:hAnsiTheme="minorHAnsi" w:cstheme="minorBidi"/>
                <w:szCs w:val="22"/>
                <w:lang w:eastAsia="en-GB"/>
              </w:rPr>
              <w:t xml:space="preserve">), 15 (US) </w:t>
            </w:r>
          </w:p>
        </w:tc>
        <w:tc>
          <w:tcPr>
            <w:tcW w:w="168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asciiTheme="minorHAnsi" w:eastAsiaTheme="minorEastAsia" w:hAnsiTheme="minorHAnsi" w:cstheme="minorBidi"/>
                <w:szCs w:val="22"/>
                <w:lang w:eastAsia="en-GB"/>
              </w:rPr>
            </w:pPr>
          </w:p>
        </w:tc>
      </w:tr>
    </w:tbl>
    <w:p w:rsidR="00710386" w:rsidRDefault="00710386">
      <w:r>
        <w:br w:type="page"/>
      </w:r>
    </w:p>
    <w:tbl>
      <w:tblPr>
        <w:tblpPr w:leftFromText="180" w:rightFromText="180" w:vertAnchor="text" w:horzAnchor="margin" w:tblpY="15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83"/>
        <w:gridCol w:w="1707"/>
        <w:gridCol w:w="1727"/>
        <w:gridCol w:w="1939"/>
        <w:gridCol w:w="1687"/>
      </w:tblGrid>
      <w:tr w:rsidR="00710386" w:rsidRPr="00710386" w:rsidTr="00710386">
        <w:tc>
          <w:tcPr>
            <w:tcW w:w="2183"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b/>
                <w:szCs w:val="22"/>
                <w:lang w:eastAsia="en-GB"/>
              </w:rPr>
            </w:pPr>
            <w:r w:rsidRPr="00710386">
              <w:rPr>
                <w:rFonts w:eastAsiaTheme="minorEastAsia" w:cstheme="minorBidi"/>
                <w:b/>
                <w:szCs w:val="22"/>
                <w:lang w:eastAsia="en-GB"/>
              </w:rPr>
              <w:lastRenderedPageBreak/>
              <w:t>Pesticides</w:t>
            </w:r>
          </w:p>
        </w:tc>
        <w:tc>
          <w:tcPr>
            <w:tcW w:w="170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b/>
                <w:szCs w:val="22"/>
                <w:lang w:eastAsia="en-GB"/>
              </w:rPr>
            </w:pPr>
            <w:r w:rsidRPr="00710386">
              <w:rPr>
                <w:rFonts w:eastAsiaTheme="minorEastAsia" w:cstheme="minorBidi"/>
                <w:b/>
                <w:szCs w:val="22"/>
                <w:lang w:eastAsia="en-GB"/>
              </w:rPr>
              <w:t xml:space="preserve">Data Availability </w:t>
            </w:r>
          </w:p>
        </w:tc>
        <w:tc>
          <w:tcPr>
            <w:tcW w:w="172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b/>
                <w:szCs w:val="22"/>
                <w:lang w:eastAsia="en-GB"/>
              </w:rPr>
            </w:pPr>
            <w:r w:rsidRPr="00710386">
              <w:rPr>
                <w:rFonts w:eastAsiaTheme="minorEastAsia" w:cstheme="minorBidi"/>
                <w:b/>
                <w:szCs w:val="22"/>
                <w:lang w:eastAsia="en-GB"/>
              </w:rPr>
              <w:t>No of trials &amp; Country</w:t>
            </w:r>
          </w:p>
        </w:tc>
        <w:tc>
          <w:tcPr>
            <w:tcW w:w="1939"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b/>
                <w:szCs w:val="22"/>
                <w:lang w:eastAsia="en-GB"/>
              </w:rPr>
            </w:pPr>
            <w:r w:rsidRPr="00710386">
              <w:rPr>
                <w:rFonts w:eastAsiaTheme="minorEastAsia" w:cstheme="minorBidi"/>
                <w:b/>
                <w:szCs w:val="22"/>
                <w:lang w:eastAsia="en-GB"/>
              </w:rPr>
              <w:t>National MRLs</w:t>
            </w:r>
          </w:p>
          <w:p w:rsidR="00710386" w:rsidRPr="00710386" w:rsidRDefault="00710386" w:rsidP="00710386">
            <w:pPr>
              <w:spacing w:after="0"/>
              <w:rPr>
                <w:rFonts w:eastAsiaTheme="minorEastAsia" w:cstheme="minorBidi"/>
                <w:b/>
                <w:szCs w:val="22"/>
                <w:lang w:eastAsia="en-GB"/>
              </w:rPr>
            </w:pPr>
            <w:r w:rsidRPr="00710386">
              <w:rPr>
                <w:rFonts w:eastAsiaTheme="minorEastAsia" w:cstheme="minorBidi"/>
                <w:b/>
                <w:szCs w:val="22"/>
                <w:lang w:eastAsia="en-GB"/>
              </w:rPr>
              <w:t>[MRL (Country)]</w:t>
            </w:r>
          </w:p>
        </w:tc>
        <w:tc>
          <w:tcPr>
            <w:tcW w:w="168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b/>
                <w:szCs w:val="22"/>
                <w:lang w:eastAsia="en-GB"/>
              </w:rPr>
            </w:pPr>
            <w:r w:rsidRPr="00710386">
              <w:rPr>
                <w:rFonts w:eastAsiaTheme="minorEastAsia" w:cstheme="minorBidi"/>
                <w:b/>
                <w:szCs w:val="22"/>
                <w:lang w:eastAsia="en-GB"/>
              </w:rPr>
              <w:t>Data submitted to Codex &amp; date</w:t>
            </w:r>
          </w:p>
        </w:tc>
      </w:tr>
      <w:tr w:rsidR="00710386" w:rsidRPr="00710386" w:rsidTr="00710386">
        <w:tc>
          <w:tcPr>
            <w:tcW w:w="2183"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jc w:val="center"/>
              <w:rPr>
                <w:rFonts w:eastAsiaTheme="minorEastAsia" w:cstheme="minorBidi"/>
                <w:szCs w:val="22"/>
                <w:lang w:eastAsia="en-GB"/>
              </w:rPr>
            </w:pPr>
            <w:r w:rsidRPr="00710386">
              <w:rPr>
                <w:rFonts w:eastAsiaTheme="minorEastAsia" w:cstheme="minorBidi"/>
                <w:szCs w:val="22"/>
                <w:lang w:eastAsia="en-GB"/>
              </w:rPr>
              <w:t>1</w:t>
            </w:r>
          </w:p>
        </w:tc>
        <w:tc>
          <w:tcPr>
            <w:tcW w:w="170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jc w:val="center"/>
              <w:rPr>
                <w:rFonts w:eastAsiaTheme="minorEastAsia" w:cstheme="minorBidi"/>
                <w:szCs w:val="22"/>
                <w:lang w:eastAsia="en-GB"/>
              </w:rPr>
            </w:pPr>
            <w:r w:rsidRPr="00710386">
              <w:rPr>
                <w:rFonts w:eastAsiaTheme="minorEastAsia" w:cstheme="minorBidi"/>
                <w:szCs w:val="22"/>
                <w:lang w:eastAsia="en-GB"/>
              </w:rPr>
              <w:t>2</w:t>
            </w:r>
          </w:p>
        </w:tc>
        <w:tc>
          <w:tcPr>
            <w:tcW w:w="172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jc w:val="center"/>
              <w:rPr>
                <w:rFonts w:eastAsiaTheme="minorEastAsia" w:cstheme="minorBidi"/>
                <w:szCs w:val="22"/>
                <w:lang w:eastAsia="en-GB"/>
              </w:rPr>
            </w:pPr>
            <w:r w:rsidRPr="00710386">
              <w:rPr>
                <w:rFonts w:eastAsiaTheme="minorEastAsia" w:cstheme="minorBidi"/>
                <w:szCs w:val="22"/>
                <w:lang w:eastAsia="en-GB"/>
              </w:rPr>
              <w:t>3</w:t>
            </w:r>
          </w:p>
        </w:tc>
        <w:tc>
          <w:tcPr>
            <w:tcW w:w="1939"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jc w:val="center"/>
              <w:rPr>
                <w:rFonts w:eastAsiaTheme="minorEastAsia" w:cstheme="minorBidi"/>
                <w:szCs w:val="22"/>
                <w:lang w:eastAsia="en-GB"/>
              </w:rPr>
            </w:pPr>
            <w:r w:rsidRPr="00710386">
              <w:rPr>
                <w:rFonts w:eastAsiaTheme="minorEastAsia" w:cstheme="minorBidi"/>
                <w:szCs w:val="22"/>
                <w:lang w:eastAsia="en-GB"/>
              </w:rPr>
              <w:t>4</w:t>
            </w:r>
          </w:p>
        </w:tc>
        <w:tc>
          <w:tcPr>
            <w:tcW w:w="168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jc w:val="center"/>
              <w:rPr>
                <w:rFonts w:eastAsiaTheme="minorEastAsia" w:cstheme="minorBidi"/>
                <w:szCs w:val="22"/>
                <w:lang w:eastAsia="en-GB"/>
              </w:rPr>
            </w:pPr>
            <w:r w:rsidRPr="00710386">
              <w:rPr>
                <w:rFonts w:eastAsiaTheme="minorEastAsia" w:cstheme="minorBidi"/>
                <w:szCs w:val="22"/>
                <w:lang w:eastAsia="en-GB"/>
              </w:rPr>
              <w:t>5</w:t>
            </w:r>
          </w:p>
        </w:tc>
      </w:tr>
      <w:tr w:rsidR="00710386" w:rsidRPr="00710386" w:rsidTr="00710386">
        <w:tc>
          <w:tcPr>
            <w:tcW w:w="2183"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proofErr w:type="spellStart"/>
            <w:r w:rsidRPr="00710386">
              <w:rPr>
                <w:rFonts w:asciiTheme="minorHAnsi" w:eastAsiaTheme="minorEastAsia" w:hAnsiTheme="minorHAnsi" w:cstheme="minorBidi"/>
                <w:szCs w:val="22"/>
                <w:lang w:eastAsia="en-GB"/>
              </w:rPr>
              <w:t>Hexythiazox</w:t>
            </w:r>
            <w:proofErr w:type="spellEnd"/>
          </w:p>
        </w:tc>
        <w:tc>
          <w:tcPr>
            <w:tcW w:w="1707"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In progress</w:t>
            </w:r>
          </w:p>
        </w:tc>
        <w:tc>
          <w:tcPr>
            <w:tcW w:w="1727"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Registration for tea deleted (</w:t>
            </w:r>
            <w:proofErr w:type="spellStart"/>
            <w:r w:rsidRPr="00710386">
              <w:rPr>
                <w:rFonts w:asciiTheme="minorHAnsi" w:eastAsiaTheme="minorEastAsia" w:hAnsiTheme="minorHAnsi" w:cstheme="minorBidi"/>
                <w:szCs w:val="22"/>
                <w:lang w:eastAsia="en-GB"/>
              </w:rPr>
              <w:t>Jp</w:t>
            </w:r>
            <w:proofErr w:type="spellEnd"/>
            <w:r w:rsidRPr="00710386">
              <w:rPr>
                <w:rFonts w:asciiTheme="minorHAnsi" w:eastAsiaTheme="minorEastAsia" w:hAnsiTheme="minorHAnsi" w:cstheme="minorBidi"/>
                <w:szCs w:val="22"/>
                <w:lang w:eastAsia="en-GB"/>
              </w:rPr>
              <w:t>)</w:t>
            </w:r>
          </w:p>
        </w:tc>
        <w:tc>
          <w:tcPr>
            <w:tcW w:w="1939"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35 (</w:t>
            </w:r>
            <w:proofErr w:type="spellStart"/>
            <w:r w:rsidRPr="00710386">
              <w:rPr>
                <w:rFonts w:asciiTheme="minorHAnsi" w:eastAsiaTheme="minorEastAsia" w:hAnsiTheme="minorHAnsi" w:cstheme="minorBidi"/>
                <w:szCs w:val="22"/>
                <w:lang w:eastAsia="en-GB"/>
              </w:rPr>
              <w:t>Jp</w:t>
            </w:r>
            <w:proofErr w:type="spellEnd"/>
            <w:r w:rsidRPr="00710386">
              <w:rPr>
                <w:rFonts w:asciiTheme="minorHAnsi" w:eastAsiaTheme="minorEastAsia" w:hAnsiTheme="minorHAnsi" w:cstheme="minorBidi"/>
                <w:szCs w:val="22"/>
                <w:lang w:eastAsia="en-GB"/>
              </w:rPr>
              <w:t>)</w:t>
            </w:r>
            <w:r w:rsidRPr="00710386">
              <w:rPr>
                <w:rFonts w:asciiTheme="minorHAnsi" w:eastAsiaTheme="minorEastAsia" w:hAnsiTheme="minorHAnsi" w:cstheme="minorBidi"/>
                <w:szCs w:val="22"/>
                <w:lang w:eastAsia="en-GB"/>
              </w:rPr>
              <w:br/>
              <w:t>4 (Argentina)</w:t>
            </w:r>
          </w:p>
        </w:tc>
        <w:tc>
          <w:tcPr>
            <w:tcW w:w="1687"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15 (2012)</w:t>
            </w:r>
          </w:p>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Codex MRL is established with the 8 field trials conducted in India.</w:t>
            </w:r>
          </w:p>
        </w:tc>
      </w:tr>
      <w:tr w:rsidR="00710386" w:rsidRPr="00710386" w:rsidTr="00710386">
        <w:tc>
          <w:tcPr>
            <w:tcW w:w="2183"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proofErr w:type="spellStart"/>
            <w:r w:rsidRPr="00710386">
              <w:rPr>
                <w:rFonts w:asciiTheme="minorHAnsi" w:eastAsiaTheme="minorEastAsia" w:hAnsiTheme="minorHAnsi" w:cstheme="minorBidi"/>
                <w:szCs w:val="22"/>
                <w:lang w:eastAsia="en-GB"/>
              </w:rPr>
              <w:t>Milbemectin</w:t>
            </w:r>
            <w:proofErr w:type="spellEnd"/>
          </w:p>
        </w:tc>
        <w:tc>
          <w:tcPr>
            <w:tcW w:w="1707"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No</w:t>
            </w:r>
          </w:p>
        </w:tc>
        <w:tc>
          <w:tcPr>
            <w:tcW w:w="1727"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2(Japan)</w:t>
            </w:r>
          </w:p>
        </w:tc>
        <w:tc>
          <w:tcPr>
            <w:tcW w:w="1939"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0.7 (</w:t>
            </w:r>
            <w:proofErr w:type="spellStart"/>
            <w:r w:rsidRPr="00710386">
              <w:rPr>
                <w:rFonts w:asciiTheme="minorHAnsi" w:eastAsiaTheme="minorEastAsia" w:hAnsiTheme="minorHAnsi" w:cstheme="minorBidi"/>
                <w:szCs w:val="22"/>
                <w:lang w:eastAsia="en-GB"/>
              </w:rPr>
              <w:t>Jp</w:t>
            </w:r>
            <w:proofErr w:type="spellEnd"/>
            <w:r w:rsidRPr="00710386">
              <w:rPr>
                <w:rFonts w:asciiTheme="minorHAnsi" w:eastAsiaTheme="minorEastAsia" w:hAnsiTheme="minorHAnsi" w:cstheme="minorBidi"/>
                <w:szCs w:val="22"/>
                <w:lang w:eastAsia="en-GB"/>
              </w:rPr>
              <w:t>)</w:t>
            </w:r>
          </w:p>
        </w:tc>
        <w:tc>
          <w:tcPr>
            <w:tcW w:w="1687"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p>
        </w:tc>
      </w:tr>
      <w:tr w:rsidR="00710386" w:rsidRPr="00710386" w:rsidTr="00710386">
        <w:tc>
          <w:tcPr>
            <w:tcW w:w="2183"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Permethrin</w:t>
            </w:r>
          </w:p>
        </w:tc>
        <w:tc>
          <w:tcPr>
            <w:tcW w:w="1707"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Limited</w:t>
            </w:r>
          </w:p>
        </w:tc>
        <w:tc>
          <w:tcPr>
            <w:tcW w:w="1727"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2(Japan)</w:t>
            </w:r>
          </w:p>
        </w:tc>
        <w:tc>
          <w:tcPr>
            <w:tcW w:w="1939"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20 (</w:t>
            </w:r>
            <w:proofErr w:type="spellStart"/>
            <w:r w:rsidRPr="00710386">
              <w:rPr>
                <w:rFonts w:asciiTheme="minorHAnsi" w:eastAsiaTheme="minorEastAsia" w:hAnsiTheme="minorHAnsi" w:cstheme="minorBidi"/>
                <w:szCs w:val="22"/>
                <w:lang w:eastAsia="en-GB"/>
              </w:rPr>
              <w:t>Jp</w:t>
            </w:r>
            <w:proofErr w:type="spellEnd"/>
            <w:r w:rsidRPr="00710386">
              <w:rPr>
                <w:rFonts w:asciiTheme="minorHAnsi" w:eastAsiaTheme="minorEastAsia" w:hAnsiTheme="minorHAnsi" w:cstheme="minorBidi"/>
                <w:szCs w:val="22"/>
                <w:lang w:eastAsia="en-GB"/>
              </w:rPr>
              <w:t>)</w:t>
            </w:r>
          </w:p>
        </w:tc>
        <w:tc>
          <w:tcPr>
            <w:tcW w:w="1687"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p>
        </w:tc>
      </w:tr>
      <w:tr w:rsidR="00710386" w:rsidRPr="00710386" w:rsidTr="00710386">
        <w:tc>
          <w:tcPr>
            <w:tcW w:w="2183"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Polysulphide sulphur</w:t>
            </w:r>
          </w:p>
        </w:tc>
        <w:tc>
          <w:tcPr>
            <w:tcW w:w="1707"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Exempted</w:t>
            </w:r>
          </w:p>
        </w:tc>
        <w:tc>
          <w:tcPr>
            <w:tcW w:w="1727"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p>
        </w:tc>
        <w:tc>
          <w:tcPr>
            <w:tcW w:w="1939"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p>
        </w:tc>
        <w:tc>
          <w:tcPr>
            <w:tcW w:w="1687"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p>
        </w:tc>
      </w:tr>
      <w:tr w:rsidR="00710386" w:rsidRPr="00710386" w:rsidTr="00710386">
        <w:tc>
          <w:tcPr>
            <w:tcW w:w="2183"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proofErr w:type="spellStart"/>
            <w:r w:rsidRPr="00710386">
              <w:rPr>
                <w:rFonts w:asciiTheme="minorHAnsi" w:eastAsiaTheme="minorEastAsia" w:hAnsiTheme="minorHAnsi" w:cstheme="minorBidi"/>
                <w:szCs w:val="22"/>
                <w:lang w:eastAsia="en-GB"/>
              </w:rPr>
              <w:t>Propargite</w:t>
            </w:r>
            <w:proofErr w:type="spellEnd"/>
          </w:p>
        </w:tc>
        <w:tc>
          <w:tcPr>
            <w:tcW w:w="1707"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Yes</w:t>
            </w:r>
          </w:p>
        </w:tc>
        <w:tc>
          <w:tcPr>
            <w:tcW w:w="1727"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2(Japan)</w:t>
            </w:r>
            <w:r w:rsidRPr="00710386">
              <w:rPr>
                <w:rFonts w:asciiTheme="minorHAnsi" w:eastAsiaTheme="minorEastAsia" w:hAnsiTheme="minorHAnsi" w:cstheme="minorBidi"/>
                <w:szCs w:val="22"/>
                <w:lang w:eastAsia="en-GB"/>
              </w:rPr>
              <w:br/>
              <w:t>4(India)</w:t>
            </w:r>
          </w:p>
        </w:tc>
        <w:tc>
          <w:tcPr>
            <w:tcW w:w="1939"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5 (</w:t>
            </w:r>
            <w:proofErr w:type="spellStart"/>
            <w:r w:rsidRPr="00710386">
              <w:rPr>
                <w:rFonts w:asciiTheme="minorHAnsi" w:eastAsiaTheme="minorEastAsia" w:hAnsiTheme="minorHAnsi" w:cstheme="minorBidi"/>
                <w:szCs w:val="22"/>
                <w:lang w:eastAsia="en-GB"/>
              </w:rPr>
              <w:t>Jp</w:t>
            </w:r>
            <w:proofErr w:type="spellEnd"/>
            <w:r w:rsidRPr="00710386">
              <w:rPr>
                <w:rFonts w:asciiTheme="minorHAnsi" w:eastAsiaTheme="minorEastAsia" w:hAnsiTheme="minorHAnsi" w:cstheme="minorBidi"/>
                <w:szCs w:val="22"/>
                <w:lang w:eastAsia="en-GB"/>
              </w:rPr>
              <w:t>), 10 (US),10 (India), 1 (Argentina)</w:t>
            </w:r>
          </w:p>
        </w:tc>
        <w:tc>
          <w:tcPr>
            <w:tcW w:w="1687"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5 (2004)</w:t>
            </w:r>
          </w:p>
        </w:tc>
      </w:tr>
      <w:tr w:rsidR="00710386" w:rsidRPr="00710386" w:rsidTr="00710386">
        <w:tc>
          <w:tcPr>
            <w:tcW w:w="2183"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proofErr w:type="spellStart"/>
            <w:r w:rsidRPr="00710386">
              <w:rPr>
                <w:rFonts w:asciiTheme="minorHAnsi" w:eastAsiaTheme="minorEastAsia" w:hAnsiTheme="minorHAnsi" w:cstheme="minorBidi"/>
                <w:szCs w:val="22"/>
                <w:lang w:eastAsia="en-GB"/>
              </w:rPr>
              <w:t>Spiromesifen</w:t>
            </w:r>
            <w:proofErr w:type="spellEnd"/>
            <w:r w:rsidRPr="00710386">
              <w:rPr>
                <w:rFonts w:asciiTheme="minorHAnsi" w:eastAsiaTheme="minorEastAsia" w:hAnsiTheme="minorHAnsi" w:cstheme="minorBidi"/>
                <w:szCs w:val="22"/>
                <w:lang w:eastAsia="en-GB"/>
              </w:rPr>
              <w:t xml:space="preserve"> </w:t>
            </w:r>
          </w:p>
        </w:tc>
        <w:tc>
          <w:tcPr>
            <w:tcW w:w="1707"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Yes</w:t>
            </w:r>
          </w:p>
        </w:tc>
        <w:tc>
          <w:tcPr>
            <w:tcW w:w="1727"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2(Japan)</w:t>
            </w:r>
          </w:p>
        </w:tc>
        <w:tc>
          <w:tcPr>
            <w:tcW w:w="1939"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30 (</w:t>
            </w:r>
            <w:proofErr w:type="spellStart"/>
            <w:r w:rsidRPr="00710386">
              <w:rPr>
                <w:rFonts w:asciiTheme="minorHAnsi" w:eastAsiaTheme="minorEastAsia" w:hAnsiTheme="minorHAnsi" w:cstheme="minorBidi"/>
                <w:szCs w:val="22"/>
                <w:lang w:eastAsia="en-GB"/>
              </w:rPr>
              <w:t>Jp</w:t>
            </w:r>
            <w:proofErr w:type="spellEnd"/>
            <w:r w:rsidRPr="00710386">
              <w:rPr>
                <w:rFonts w:asciiTheme="minorHAnsi" w:eastAsiaTheme="minorEastAsia" w:hAnsiTheme="minorHAnsi" w:cstheme="minorBidi"/>
                <w:szCs w:val="22"/>
                <w:lang w:eastAsia="en-GB"/>
              </w:rPr>
              <w:t>), 40 (US), 60 (Canada)</w:t>
            </w:r>
          </w:p>
        </w:tc>
        <w:tc>
          <w:tcPr>
            <w:tcW w:w="1687"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p>
        </w:tc>
      </w:tr>
      <w:tr w:rsidR="00710386" w:rsidRPr="00710386" w:rsidTr="00710386">
        <w:tc>
          <w:tcPr>
            <w:tcW w:w="2183"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2,4-D</w:t>
            </w:r>
          </w:p>
        </w:tc>
        <w:tc>
          <w:tcPr>
            <w:tcW w:w="1707"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Limited</w:t>
            </w:r>
          </w:p>
        </w:tc>
        <w:tc>
          <w:tcPr>
            <w:tcW w:w="1727"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1 (India)</w:t>
            </w:r>
          </w:p>
        </w:tc>
        <w:tc>
          <w:tcPr>
            <w:tcW w:w="1939"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p>
        </w:tc>
        <w:tc>
          <w:tcPr>
            <w:tcW w:w="1687"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India (2016)</w:t>
            </w:r>
          </w:p>
        </w:tc>
      </w:tr>
      <w:tr w:rsidR="00710386" w:rsidRPr="00710386" w:rsidTr="00710386">
        <w:tc>
          <w:tcPr>
            <w:tcW w:w="2183"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proofErr w:type="spellStart"/>
            <w:r w:rsidRPr="00710386">
              <w:rPr>
                <w:rFonts w:asciiTheme="minorHAnsi" w:eastAsiaTheme="minorEastAsia" w:hAnsiTheme="minorHAnsi" w:cstheme="minorBidi"/>
                <w:szCs w:val="22"/>
                <w:lang w:eastAsia="en-GB"/>
              </w:rPr>
              <w:t>Diuron</w:t>
            </w:r>
            <w:proofErr w:type="spellEnd"/>
          </w:p>
        </w:tc>
        <w:tc>
          <w:tcPr>
            <w:tcW w:w="1707"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In progress</w:t>
            </w:r>
          </w:p>
        </w:tc>
        <w:tc>
          <w:tcPr>
            <w:tcW w:w="1727"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Not registered in Japan</w:t>
            </w:r>
          </w:p>
        </w:tc>
        <w:tc>
          <w:tcPr>
            <w:tcW w:w="1939"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1 (</w:t>
            </w:r>
            <w:proofErr w:type="spellStart"/>
            <w:r w:rsidRPr="00710386">
              <w:rPr>
                <w:rFonts w:asciiTheme="minorHAnsi" w:eastAsiaTheme="minorEastAsia" w:hAnsiTheme="minorHAnsi" w:cstheme="minorBidi"/>
                <w:szCs w:val="22"/>
                <w:lang w:eastAsia="en-GB"/>
              </w:rPr>
              <w:t>Jp</w:t>
            </w:r>
            <w:proofErr w:type="spellEnd"/>
            <w:r w:rsidRPr="00710386">
              <w:rPr>
                <w:rFonts w:asciiTheme="minorHAnsi" w:eastAsiaTheme="minorEastAsia" w:hAnsiTheme="minorHAnsi" w:cstheme="minorBidi"/>
                <w:szCs w:val="22"/>
                <w:lang w:eastAsia="en-GB"/>
              </w:rPr>
              <w:t>)</w:t>
            </w:r>
          </w:p>
        </w:tc>
        <w:tc>
          <w:tcPr>
            <w:tcW w:w="1687"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p>
        </w:tc>
      </w:tr>
      <w:tr w:rsidR="00710386" w:rsidRPr="00710386" w:rsidTr="00710386">
        <w:tc>
          <w:tcPr>
            <w:tcW w:w="2183"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proofErr w:type="spellStart"/>
            <w:r w:rsidRPr="00710386">
              <w:rPr>
                <w:rFonts w:asciiTheme="minorHAnsi" w:eastAsiaTheme="minorEastAsia" w:hAnsiTheme="minorHAnsi" w:cstheme="minorBidi"/>
                <w:szCs w:val="22"/>
                <w:lang w:eastAsia="en-GB"/>
              </w:rPr>
              <w:t>Glufosinate</w:t>
            </w:r>
            <w:proofErr w:type="spellEnd"/>
            <w:r w:rsidRPr="00710386">
              <w:rPr>
                <w:rFonts w:asciiTheme="minorHAnsi" w:eastAsiaTheme="minorEastAsia" w:hAnsiTheme="minorHAnsi" w:cstheme="minorBidi"/>
                <w:szCs w:val="22"/>
                <w:lang w:eastAsia="en-GB"/>
              </w:rPr>
              <w:t>-ammonium</w:t>
            </w:r>
          </w:p>
        </w:tc>
        <w:tc>
          <w:tcPr>
            <w:tcW w:w="1707"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Limited</w:t>
            </w:r>
          </w:p>
        </w:tc>
        <w:tc>
          <w:tcPr>
            <w:tcW w:w="1727"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Not registered in Japan</w:t>
            </w:r>
          </w:p>
        </w:tc>
        <w:tc>
          <w:tcPr>
            <w:tcW w:w="1939"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0.01 (India)</w:t>
            </w:r>
            <w:r w:rsidRPr="00710386">
              <w:rPr>
                <w:rFonts w:asciiTheme="minorHAnsi" w:eastAsiaTheme="minorEastAsia" w:hAnsiTheme="minorHAnsi" w:cstheme="minorBidi"/>
                <w:szCs w:val="22"/>
                <w:lang w:eastAsia="en-GB"/>
              </w:rPr>
              <w:br/>
              <w:t>0.3 (</w:t>
            </w:r>
            <w:proofErr w:type="spellStart"/>
            <w:r w:rsidRPr="00710386">
              <w:rPr>
                <w:rFonts w:asciiTheme="minorHAnsi" w:eastAsiaTheme="minorEastAsia" w:hAnsiTheme="minorHAnsi" w:cstheme="minorBidi"/>
                <w:szCs w:val="22"/>
                <w:lang w:eastAsia="en-GB"/>
              </w:rPr>
              <w:t>Jp</w:t>
            </w:r>
            <w:proofErr w:type="spellEnd"/>
            <w:r w:rsidRPr="00710386">
              <w:rPr>
                <w:rFonts w:asciiTheme="minorHAnsi" w:eastAsiaTheme="minorEastAsia" w:hAnsiTheme="minorHAnsi" w:cstheme="minorBidi"/>
                <w:szCs w:val="22"/>
                <w:lang w:eastAsia="en-GB"/>
              </w:rPr>
              <w:t>)</w:t>
            </w:r>
          </w:p>
        </w:tc>
        <w:tc>
          <w:tcPr>
            <w:tcW w:w="1687"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p>
        </w:tc>
      </w:tr>
      <w:tr w:rsidR="00710386" w:rsidRPr="00710386" w:rsidTr="00710386">
        <w:tc>
          <w:tcPr>
            <w:tcW w:w="2183"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Glyphosate</w:t>
            </w:r>
          </w:p>
        </w:tc>
        <w:tc>
          <w:tcPr>
            <w:tcW w:w="1707"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Yes</w:t>
            </w:r>
          </w:p>
        </w:tc>
        <w:tc>
          <w:tcPr>
            <w:tcW w:w="1727"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2 (Japan)</w:t>
            </w:r>
          </w:p>
        </w:tc>
        <w:tc>
          <w:tcPr>
            <w:tcW w:w="1939"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0.5 (Argentina)</w:t>
            </w:r>
            <w:r w:rsidRPr="00710386">
              <w:rPr>
                <w:rFonts w:asciiTheme="minorHAnsi" w:eastAsiaTheme="minorEastAsia" w:hAnsiTheme="minorHAnsi" w:cstheme="minorBidi"/>
                <w:szCs w:val="22"/>
                <w:lang w:eastAsia="en-GB"/>
              </w:rPr>
              <w:br/>
              <w:t xml:space="preserve">1 (US) -- Leaf      </w:t>
            </w:r>
          </w:p>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 xml:space="preserve">  7 (US) – Powder</w:t>
            </w:r>
            <w:r w:rsidRPr="00710386">
              <w:rPr>
                <w:rFonts w:asciiTheme="minorHAnsi" w:eastAsiaTheme="minorEastAsia" w:hAnsiTheme="minorHAnsi" w:cstheme="minorBidi"/>
                <w:szCs w:val="22"/>
                <w:lang w:eastAsia="en-GB"/>
              </w:rPr>
              <w:br/>
              <w:t>1 (</w:t>
            </w:r>
            <w:proofErr w:type="spellStart"/>
            <w:r w:rsidRPr="00710386">
              <w:rPr>
                <w:rFonts w:asciiTheme="minorHAnsi" w:eastAsiaTheme="minorEastAsia" w:hAnsiTheme="minorHAnsi" w:cstheme="minorBidi"/>
                <w:szCs w:val="22"/>
                <w:lang w:eastAsia="en-GB"/>
              </w:rPr>
              <w:t>Jp</w:t>
            </w:r>
            <w:proofErr w:type="spellEnd"/>
            <w:r w:rsidRPr="00710386">
              <w:rPr>
                <w:rFonts w:asciiTheme="minorHAnsi" w:eastAsiaTheme="minorEastAsia" w:hAnsiTheme="minorHAnsi" w:cstheme="minorBidi"/>
                <w:szCs w:val="22"/>
                <w:lang w:eastAsia="en-GB"/>
              </w:rPr>
              <w:t>)</w:t>
            </w:r>
          </w:p>
        </w:tc>
        <w:tc>
          <w:tcPr>
            <w:tcW w:w="1687"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jc w:val="center"/>
              <w:rPr>
                <w:rFonts w:asciiTheme="minorHAnsi" w:eastAsiaTheme="minorEastAsia" w:hAnsiTheme="minorHAnsi" w:cstheme="minorBidi"/>
                <w:szCs w:val="22"/>
                <w:lang w:eastAsia="en-GB"/>
              </w:rPr>
            </w:pPr>
          </w:p>
        </w:tc>
      </w:tr>
      <w:tr w:rsidR="00710386" w:rsidRPr="00710386" w:rsidTr="00710386">
        <w:tc>
          <w:tcPr>
            <w:tcW w:w="2183"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MCPA</w:t>
            </w:r>
          </w:p>
        </w:tc>
        <w:tc>
          <w:tcPr>
            <w:tcW w:w="1707"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Yes</w:t>
            </w:r>
          </w:p>
        </w:tc>
        <w:tc>
          <w:tcPr>
            <w:tcW w:w="1727"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8 (Sri Lanka)</w:t>
            </w:r>
          </w:p>
          <w:p w:rsidR="00710386" w:rsidRPr="00710386" w:rsidRDefault="00710386" w:rsidP="00710386">
            <w:pPr>
              <w:spacing w:after="0"/>
              <w:rPr>
                <w:rFonts w:asciiTheme="minorHAnsi" w:eastAsiaTheme="minorEastAsia" w:hAnsiTheme="minorHAnsi" w:cstheme="minorBidi"/>
                <w:szCs w:val="22"/>
                <w:lang w:eastAsia="en-GB"/>
              </w:rPr>
            </w:pPr>
          </w:p>
        </w:tc>
        <w:tc>
          <w:tcPr>
            <w:tcW w:w="1939"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p>
        </w:tc>
        <w:tc>
          <w:tcPr>
            <w:tcW w:w="1687"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Not submitted</w:t>
            </w:r>
          </w:p>
        </w:tc>
      </w:tr>
      <w:tr w:rsidR="00710386" w:rsidRPr="00710386" w:rsidTr="00710386">
        <w:tc>
          <w:tcPr>
            <w:tcW w:w="2183"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proofErr w:type="spellStart"/>
            <w:r w:rsidRPr="00710386">
              <w:rPr>
                <w:rFonts w:asciiTheme="minorHAnsi" w:eastAsiaTheme="minorEastAsia" w:hAnsiTheme="minorHAnsi" w:cstheme="minorBidi"/>
                <w:szCs w:val="22"/>
                <w:lang w:eastAsia="en-GB"/>
              </w:rPr>
              <w:t>Metolachlor</w:t>
            </w:r>
            <w:proofErr w:type="spellEnd"/>
          </w:p>
        </w:tc>
        <w:tc>
          <w:tcPr>
            <w:tcW w:w="1707"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p>
        </w:tc>
        <w:tc>
          <w:tcPr>
            <w:tcW w:w="1727"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p>
        </w:tc>
        <w:tc>
          <w:tcPr>
            <w:tcW w:w="1939"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p>
        </w:tc>
        <w:tc>
          <w:tcPr>
            <w:tcW w:w="1687"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p>
        </w:tc>
      </w:tr>
      <w:tr w:rsidR="00710386" w:rsidRPr="00710386" w:rsidTr="00710386">
        <w:tc>
          <w:tcPr>
            <w:tcW w:w="2183"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proofErr w:type="spellStart"/>
            <w:r w:rsidRPr="00710386">
              <w:rPr>
                <w:rFonts w:asciiTheme="minorHAnsi" w:eastAsiaTheme="minorEastAsia" w:hAnsiTheme="minorHAnsi" w:cstheme="minorBidi"/>
                <w:szCs w:val="22"/>
                <w:lang w:eastAsia="en-GB"/>
              </w:rPr>
              <w:t>Oxyfluorfen</w:t>
            </w:r>
            <w:proofErr w:type="spellEnd"/>
          </w:p>
        </w:tc>
        <w:tc>
          <w:tcPr>
            <w:tcW w:w="1707"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In progress</w:t>
            </w:r>
          </w:p>
        </w:tc>
        <w:tc>
          <w:tcPr>
            <w:tcW w:w="1727"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1 (India)</w:t>
            </w:r>
          </w:p>
        </w:tc>
        <w:tc>
          <w:tcPr>
            <w:tcW w:w="1939"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p>
        </w:tc>
        <w:tc>
          <w:tcPr>
            <w:tcW w:w="1687"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p>
        </w:tc>
      </w:tr>
      <w:tr w:rsidR="00710386" w:rsidRPr="00710386" w:rsidTr="00710386">
        <w:tc>
          <w:tcPr>
            <w:tcW w:w="2183"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proofErr w:type="spellStart"/>
            <w:r w:rsidRPr="00710386">
              <w:rPr>
                <w:rFonts w:asciiTheme="minorHAnsi" w:eastAsiaTheme="minorEastAsia" w:hAnsiTheme="minorHAnsi" w:cstheme="minorBidi"/>
                <w:szCs w:val="22"/>
                <w:lang w:eastAsia="en-GB"/>
              </w:rPr>
              <w:t>Paraquat</w:t>
            </w:r>
            <w:proofErr w:type="spellEnd"/>
          </w:p>
        </w:tc>
        <w:tc>
          <w:tcPr>
            <w:tcW w:w="1707"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Yes</w:t>
            </w:r>
          </w:p>
        </w:tc>
        <w:tc>
          <w:tcPr>
            <w:tcW w:w="1727"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8 (Japan)</w:t>
            </w:r>
          </w:p>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2 (India)</w:t>
            </w:r>
          </w:p>
        </w:tc>
        <w:tc>
          <w:tcPr>
            <w:tcW w:w="1939"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0.3 (</w:t>
            </w:r>
            <w:proofErr w:type="spellStart"/>
            <w:r w:rsidRPr="00710386">
              <w:rPr>
                <w:rFonts w:asciiTheme="minorHAnsi" w:eastAsiaTheme="minorEastAsia" w:hAnsiTheme="minorHAnsi" w:cstheme="minorBidi"/>
                <w:szCs w:val="22"/>
                <w:lang w:eastAsia="en-GB"/>
              </w:rPr>
              <w:t>Jp</w:t>
            </w:r>
            <w:proofErr w:type="spellEnd"/>
            <w:r w:rsidRPr="00710386">
              <w:rPr>
                <w:rFonts w:asciiTheme="minorHAnsi" w:eastAsiaTheme="minorEastAsia" w:hAnsiTheme="minorHAnsi" w:cstheme="minorBidi"/>
                <w:szCs w:val="22"/>
                <w:lang w:eastAsia="en-GB"/>
              </w:rPr>
              <w:t>)</w:t>
            </w:r>
          </w:p>
        </w:tc>
        <w:tc>
          <w:tcPr>
            <w:tcW w:w="1687"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0.2 (2006)</w:t>
            </w:r>
          </w:p>
        </w:tc>
      </w:tr>
      <w:tr w:rsidR="00710386" w:rsidRPr="00710386" w:rsidTr="00710386">
        <w:tc>
          <w:tcPr>
            <w:tcW w:w="2183"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asciiTheme="minorHAnsi" w:eastAsiaTheme="minorEastAsia" w:hAnsiTheme="minorHAnsi" w:cstheme="minorBidi"/>
                <w:szCs w:val="22"/>
                <w:lang w:eastAsia="en-GB"/>
              </w:rPr>
            </w:pPr>
            <w:proofErr w:type="spellStart"/>
            <w:r w:rsidRPr="00710386">
              <w:rPr>
                <w:rFonts w:asciiTheme="minorHAnsi" w:eastAsiaTheme="minorEastAsia" w:hAnsiTheme="minorHAnsi" w:cstheme="minorBidi"/>
                <w:szCs w:val="22"/>
                <w:lang w:eastAsia="en-GB"/>
              </w:rPr>
              <w:t>Azoxystrobin</w:t>
            </w:r>
            <w:proofErr w:type="spellEnd"/>
          </w:p>
        </w:tc>
        <w:tc>
          <w:tcPr>
            <w:tcW w:w="170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Yes</w:t>
            </w:r>
          </w:p>
        </w:tc>
        <w:tc>
          <w:tcPr>
            <w:tcW w:w="1727"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4 (Japan)</w:t>
            </w:r>
          </w:p>
        </w:tc>
        <w:tc>
          <w:tcPr>
            <w:tcW w:w="1939"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10 (</w:t>
            </w:r>
            <w:proofErr w:type="spellStart"/>
            <w:r w:rsidRPr="00710386">
              <w:rPr>
                <w:rFonts w:asciiTheme="minorHAnsi" w:eastAsiaTheme="minorEastAsia" w:hAnsiTheme="minorHAnsi" w:cstheme="minorBidi"/>
                <w:szCs w:val="22"/>
                <w:lang w:eastAsia="en-GB"/>
              </w:rPr>
              <w:t>Jp</w:t>
            </w:r>
            <w:proofErr w:type="spellEnd"/>
            <w:r w:rsidRPr="00710386">
              <w:rPr>
                <w:rFonts w:asciiTheme="minorHAnsi" w:eastAsiaTheme="minorEastAsia" w:hAnsiTheme="minorHAnsi" w:cstheme="minorBidi"/>
                <w:szCs w:val="22"/>
                <w:lang w:eastAsia="en-GB"/>
              </w:rPr>
              <w:t>), 20 (US)</w:t>
            </w:r>
          </w:p>
        </w:tc>
        <w:tc>
          <w:tcPr>
            <w:tcW w:w="1687"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p>
        </w:tc>
      </w:tr>
      <w:tr w:rsidR="00710386" w:rsidRPr="00710386" w:rsidTr="00710386">
        <w:tc>
          <w:tcPr>
            <w:tcW w:w="2183"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asciiTheme="minorHAnsi" w:eastAsiaTheme="minorEastAsia" w:hAnsiTheme="minorHAnsi" w:cstheme="minorBidi"/>
                <w:szCs w:val="22"/>
                <w:lang w:eastAsia="en-GB"/>
              </w:rPr>
            </w:pPr>
            <w:proofErr w:type="spellStart"/>
            <w:r w:rsidRPr="00710386">
              <w:rPr>
                <w:rFonts w:asciiTheme="minorHAnsi" w:eastAsiaTheme="minorEastAsia" w:hAnsiTheme="minorHAnsi" w:cstheme="minorBidi"/>
                <w:szCs w:val="22"/>
                <w:lang w:eastAsia="en-GB"/>
              </w:rPr>
              <w:t>Bitertanol</w:t>
            </w:r>
            <w:proofErr w:type="spellEnd"/>
            <w:r w:rsidRPr="00710386">
              <w:rPr>
                <w:rFonts w:asciiTheme="minorHAnsi" w:eastAsiaTheme="minorEastAsia" w:hAnsiTheme="minorHAnsi" w:cstheme="minorBidi"/>
                <w:szCs w:val="22"/>
                <w:lang w:eastAsia="en-GB"/>
              </w:rPr>
              <w:t xml:space="preserve"> </w:t>
            </w:r>
          </w:p>
        </w:tc>
        <w:tc>
          <w:tcPr>
            <w:tcW w:w="170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Yes</w:t>
            </w:r>
          </w:p>
        </w:tc>
        <w:tc>
          <w:tcPr>
            <w:tcW w:w="1727"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8 (Sri Lanka)</w:t>
            </w:r>
          </w:p>
        </w:tc>
        <w:tc>
          <w:tcPr>
            <w:tcW w:w="1939"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0.1 (</w:t>
            </w:r>
            <w:proofErr w:type="spellStart"/>
            <w:r w:rsidRPr="00710386">
              <w:rPr>
                <w:rFonts w:asciiTheme="minorHAnsi" w:eastAsiaTheme="minorEastAsia" w:hAnsiTheme="minorHAnsi" w:cstheme="minorBidi"/>
                <w:szCs w:val="22"/>
                <w:lang w:eastAsia="en-GB"/>
              </w:rPr>
              <w:t>Jp</w:t>
            </w:r>
            <w:proofErr w:type="spellEnd"/>
            <w:r w:rsidRPr="00710386">
              <w:rPr>
                <w:rFonts w:asciiTheme="minorHAnsi" w:eastAsiaTheme="minorEastAsia" w:hAnsiTheme="minorHAnsi" w:cstheme="minorBidi"/>
                <w:szCs w:val="22"/>
                <w:lang w:eastAsia="en-GB"/>
              </w:rPr>
              <w:t>)</w:t>
            </w:r>
          </w:p>
        </w:tc>
        <w:tc>
          <w:tcPr>
            <w:tcW w:w="1687"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Not submitted</w:t>
            </w:r>
          </w:p>
        </w:tc>
      </w:tr>
      <w:tr w:rsidR="00710386" w:rsidRPr="00710386" w:rsidTr="00710386">
        <w:tc>
          <w:tcPr>
            <w:tcW w:w="2183"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asciiTheme="minorHAnsi" w:eastAsiaTheme="minorEastAsia" w:hAnsiTheme="minorHAnsi" w:cstheme="minorBidi"/>
                <w:szCs w:val="22"/>
                <w:lang w:eastAsia="en-GB"/>
              </w:rPr>
            </w:pPr>
            <w:proofErr w:type="spellStart"/>
            <w:r w:rsidRPr="00710386">
              <w:rPr>
                <w:rFonts w:asciiTheme="minorHAnsi" w:eastAsiaTheme="minorEastAsia" w:hAnsiTheme="minorHAnsi" w:cstheme="minorBidi"/>
                <w:szCs w:val="22"/>
                <w:lang w:eastAsia="en-GB"/>
              </w:rPr>
              <w:t>Chlorothalonil</w:t>
            </w:r>
            <w:proofErr w:type="spellEnd"/>
          </w:p>
        </w:tc>
        <w:tc>
          <w:tcPr>
            <w:tcW w:w="170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asciiTheme="minorHAnsi" w:eastAsiaTheme="minorEastAsia" w:hAnsiTheme="minorHAnsi" w:cstheme="minorBidi"/>
                <w:szCs w:val="22"/>
                <w:lang w:eastAsia="en-GB"/>
              </w:rPr>
            </w:pPr>
          </w:p>
        </w:tc>
        <w:tc>
          <w:tcPr>
            <w:tcW w:w="1727"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2 (Japan)</w:t>
            </w:r>
          </w:p>
        </w:tc>
        <w:tc>
          <w:tcPr>
            <w:tcW w:w="1939"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10 (</w:t>
            </w:r>
            <w:proofErr w:type="spellStart"/>
            <w:r w:rsidRPr="00710386">
              <w:rPr>
                <w:rFonts w:asciiTheme="minorHAnsi" w:eastAsiaTheme="minorEastAsia" w:hAnsiTheme="minorHAnsi" w:cstheme="minorBidi"/>
                <w:szCs w:val="22"/>
                <w:lang w:eastAsia="en-GB"/>
              </w:rPr>
              <w:t>Jp</w:t>
            </w:r>
            <w:proofErr w:type="spellEnd"/>
            <w:r w:rsidRPr="00710386">
              <w:rPr>
                <w:rFonts w:asciiTheme="minorHAnsi" w:eastAsiaTheme="minorEastAsia" w:hAnsiTheme="minorHAnsi" w:cstheme="minorBidi"/>
                <w:szCs w:val="22"/>
                <w:lang w:eastAsia="en-GB"/>
              </w:rPr>
              <w:t>)</w:t>
            </w:r>
          </w:p>
        </w:tc>
        <w:tc>
          <w:tcPr>
            <w:tcW w:w="1687"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p>
        </w:tc>
      </w:tr>
      <w:tr w:rsidR="00710386" w:rsidRPr="00710386" w:rsidTr="00710386">
        <w:tc>
          <w:tcPr>
            <w:tcW w:w="2183"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Copper hydroxide</w:t>
            </w:r>
          </w:p>
        </w:tc>
        <w:tc>
          <w:tcPr>
            <w:tcW w:w="170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Yes</w:t>
            </w:r>
          </w:p>
        </w:tc>
        <w:tc>
          <w:tcPr>
            <w:tcW w:w="1727"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2 (India), Not Required in Japan</w:t>
            </w:r>
          </w:p>
        </w:tc>
        <w:tc>
          <w:tcPr>
            <w:tcW w:w="1939"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150 (India) as copper,  Exempted (Japan, US)</w:t>
            </w:r>
          </w:p>
        </w:tc>
        <w:tc>
          <w:tcPr>
            <w:tcW w:w="1687"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p>
        </w:tc>
      </w:tr>
      <w:tr w:rsidR="00710386" w:rsidRPr="00710386" w:rsidTr="00710386">
        <w:tc>
          <w:tcPr>
            <w:tcW w:w="2183"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Copper Oxychloride</w:t>
            </w:r>
          </w:p>
        </w:tc>
        <w:tc>
          <w:tcPr>
            <w:tcW w:w="170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Yes</w:t>
            </w:r>
          </w:p>
        </w:tc>
        <w:tc>
          <w:tcPr>
            <w:tcW w:w="1727"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8 (Sri Lanka)</w:t>
            </w:r>
            <w:r w:rsidRPr="00710386">
              <w:rPr>
                <w:rFonts w:asciiTheme="minorHAnsi" w:eastAsiaTheme="minorEastAsia" w:hAnsiTheme="minorHAnsi" w:cstheme="minorBidi"/>
                <w:szCs w:val="22"/>
                <w:lang w:eastAsia="en-GB"/>
              </w:rPr>
              <w:br/>
              <w:t>4 (Japan)</w:t>
            </w:r>
            <w:r w:rsidRPr="00710386">
              <w:rPr>
                <w:rFonts w:asciiTheme="minorHAnsi" w:eastAsiaTheme="minorEastAsia" w:hAnsiTheme="minorHAnsi" w:cstheme="minorBidi"/>
                <w:szCs w:val="22"/>
                <w:lang w:eastAsia="en-GB"/>
              </w:rPr>
              <w:br/>
              <w:t>2 (India)</w:t>
            </w:r>
          </w:p>
        </w:tc>
        <w:tc>
          <w:tcPr>
            <w:tcW w:w="1939"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150 (India) as copper, Exempted (US, Japan)</w:t>
            </w:r>
          </w:p>
        </w:tc>
        <w:tc>
          <w:tcPr>
            <w:tcW w:w="1687"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Joint Application with India</w:t>
            </w:r>
          </w:p>
        </w:tc>
      </w:tr>
      <w:tr w:rsidR="00710386" w:rsidRPr="00710386" w:rsidTr="00710386">
        <w:tc>
          <w:tcPr>
            <w:tcW w:w="2183"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Copper oxide</w:t>
            </w:r>
          </w:p>
        </w:tc>
        <w:tc>
          <w:tcPr>
            <w:tcW w:w="170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No</w:t>
            </w:r>
          </w:p>
        </w:tc>
        <w:tc>
          <w:tcPr>
            <w:tcW w:w="1727"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p>
        </w:tc>
        <w:tc>
          <w:tcPr>
            <w:tcW w:w="1939"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Exempted (US, Japan)</w:t>
            </w:r>
          </w:p>
        </w:tc>
        <w:tc>
          <w:tcPr>
            <w:tcW w:w="1687"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p>
        </w:tc>
      </w:tr>
      <w:tr w:rsidR="00710386" w:rsidRPr="00710386" w:rsidTr="00710386">
        <w:tc>
          <w:tcPr>
            <w:tcW w:w="2183"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asciiTheme="minorHAnsi" w:eastAsiaTheme="minorEastAsia" w:hAnsiTheme="minorHAnsi" w:cstheme="minorBidi"/>
                <w:szCs w:val="22"/>
                <w:lang w:eastAsia="en-GB"/>
              </w:rPr>
            </w:pPr>
            <w:proofErr w:type="spellStart"/>
            <w:r w:rsidRPr="00710386">
              <w:rPr>
                <w:rFonts w:asciiTheme="minorHAnsi" w:eastAsiaTheme="minorEastAsia" w:hAnsiTheme="minorHAnsi" w:cstheme="minorBidi"/>
                <w:szCs w:val="22"/>
                <w:lang w:eastAsia="en-GB"/>
              </w:rPr>
              <w:t>Difenoconazol</w:t>
            </w:r>
            <w:proofErr w:type="spellEnd"/>
          </w:p>
        </w:tc>
        <w:tc>
          <w:tcPr>
            <w:tcW w:w="170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Limited</w:t>
            </w:r>
          </w:p>
        </w:tc>
        <w:tc>
          <w:tcPr>
            <w:tcW w:w="1727"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2 (Japan)</w:t>
            </w:r>
          </w:p>
        </w:tc>
        <w:tc>
          <w:tcPr>
            <w:tcW w:w="1939"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10 (</w:t>
            </w:r>
            <w:proofErr w:type="spellStart"/>
            <w:r w:rsidRPr="00710386">
              <w:rPr>
                <w:rFonts w:asciiTheme="minorHAnsi" w:eastAsiaTheme="minorEastAsia" w:hAnsiTheme="minorHAnsi" w:cstheme="minorBidi"/>
                <w:szCs w:val="22"/>
                <w:lang w:eastAsia="en-GB"/>
              </w:rPr>
              <w:t>Jp</w:t>
            </w:r>
            <w:proofErr w:type="spellEnd"/>
            <w:r w:rsidRPr="00710386">
              <w:rPr>
                <w:rFonts w:asciiTheme="minorHAnsi" w:eastAsiaTheme="minorEastAsia" w:hAnsiTheme="minorHAnsi" w:cstheme="minorBidi"/>
                <w:szCs w:val="22"/>
                <w:lang w:eastAsia="en-GB"/>
              </w:rPr>
              <w:t>)</w:t>
            </w:r>
          </w:p>
        </w:tc>
        <w:tc>
          <w:tcPr>
            <w:tcW w:w="1687"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p>
        </w:tc>
      </w:tr>
      <w:tr w:rsidR="00710386" w:rsidRPr="00710386" w:rsidTr="00710386">
        <w:tc>
          <w:tcPr>
            <w:tcW w:w="2183"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proofErr w:type="spellStart"/>
            <w:r w:rsidRPr="00710386">
              <w:rPr>
                <w:rFonts w:asciiTheme="minorHAnsi" w:eastAsiaTheme="minorEastAsia" w:hAnsiTheme="minorHAnsi" w:cstheme="minorBidi"/>
                <w:szCs w:val="22"/>
                <w:lang w:eastAsia="en-GB"/>
              </w:rPr>
              <w:t>Hexaconazole</w:t>
            </w:r>
            <w:proofErr w:type="spellEnd"/>
          </w:p>
        </w:tc>
        <w:tc>
          <w:tcPr>
            <w:tcW w:w="1707"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Yes</w:t>
            </w:r>
          </w:p>
        </w:tc>
        <w:tc>
          <w:tcPr>
            <w:tcW w:w="1727"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8 (Sri Lanka)</w:t>
            </w:r>
            <w:r w:rsidRPr="00710386">
              <w:rPr>
                <w:rFonts w:asciiTheme="minorHAnsi" w:eastAsiaTheme="minorEastAsia" w:hAnsiTheme="minorHAnsi" w:cstheme="minorBidi"/>
                <w:szCs w:val="22"/>
                <w:lang w:eastAsia="en-GB"/>
              </w:rPr>
              <w:br/>
              <w:t>3 (India)</w:t>
            </w:r>
          </w:p>
          <w:p w:rsidR="00710386" w:rsidRPr="00710386" w:rsidRDefault="00710386" w:rsidP="00710386">
            <w:pPr>
              <w:spacing w:after="0"/>
              <w:rPr>
                <w:rFonts w:asciiTheme="minorHAnsi" w:eastAsiaTheme="minorEastAsia" w:hAnsiTheme="minorHAnsi" w:cstheme="minorBidi"/>
                <w:szCs w:val="22"/>
                <w:lang w:eastAsia="en-GB"/>
              </w:rPr>
            </w:pPr>
          </w:p>
        </w:tc>
        <w:tc>
          <w:tcPr>
            <w:tcW w:w="1939"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0.05 (</w:t>
            </w:r>
            <w:proofErr w:type="spellStart"/>
            <w:r w:rsidRPr="00710386">
              <w:rPr>
                <w:rFonts w:asciiTheme="minorHAnsi" w:eastAsiaTheme="minorEastAsia" w:hAnsiTheme="minorHAnsi" w:cstheme="minorBidi"/>
                <w:szCs w:val="22"/>
                <w:lang w:eastAsia="en-GB"/>
              </w:rPr>
              <w:t>Jp</w:t>
            </w:r>
            <w:proofErr w:type="spellEnd"/>
            <w:r w:rsidRPr="00710386">
              <w:rPr>
                <w:rFonts w:asciiTheme="minorHAnsi" w:eastAsiaTheme="minorEastAsia" w:hAnsiTheme="minorHAnsi" w:cstheme="minorBidi"/>
                <w:szCs w:val="22"/>
                <w:lang w:eastAsia="en-GB"/>
              </w:rPr>
              <w:t>)</w:t>
            </w:r>
          </w:p>
        </w:tc>
        <w:tc>
          <w:tcPr>
            <w:tcW w:w="1687"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India (2016)</w:t>
            </w:r>
          </w:p>
        </w:tc>
      </w:tr>
      <w:tr w:rsidR="00710386" w:rsidRPr="00710386" w:rsidTr="00710386">
        <w:tc>
          <w:tcPr>
            <w:tcW w:w="2183"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proofErr w:type="spellStart"/>
            <w:r w:rsidRPr="00710386">
              <w:rPr>
                <w:rFonts w:asciiTheme="minorHAnsi" w:eastAsiaTheme="minorEastAsia" w:hAnsiTheme="minorHAnsi" w:cstheme="minorBidi"/>
                <w:szCs w:val="22"/>
                <w:lang w:eastAsia="en-GB"/>
              </w:rPr>
              <w:t>Propiconazole</w:t>
            </w:r>
            <w:proofErr w:type="spellEnd"/>
          </w:p>
        </w:tc>
        <w:tc>
          <w:tcPr>
            <w:tcW w:w="1707"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Yes</w:t>
            </w:r>
          </w:p>
        </w:tc>
        <w:tc>
          <w:tcPr>
            <w:tcW w:w="1727"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8 (Sri Lanka)</w:t>
            </w:r>
            <w:r w:rsidRPr="00710386">
              <w:rPr>
                <w:rFonts w:asciiTheme="minorHAnsi" w:eastAsiaTheme="minorEastAsia" w:hAnsiTheme="minorHAnsi" w:cstheme="minorBidi"/>
                <w:szCs w:val="22"/>
                <w:lang w:eastAsia="en-GB"/>
              </w:rPr>
              <w:br/>
              <w:t>3 (India)</w:t>
            </w:r>
          </w:p>
        </w:tc>
        <w:tc>
          <w:tcPr>
            <w:tcW w:w="1939"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0.1 (</w:t>
            </w:r>
            <w:proofErr w:type="spellStart"/>
            <w:r w:rsidRPr="00710386">
              <w:rPr>
                <w:rFonts w:asciiTheme="minorHAnsi" w:eastAsiaTheme="minorEastAsia" w:hAnsiTheme="minorHAnsi" w:cstheme="minorBidi"/>
                <w:szCs w:val="22"/>
                <w:lang w:eastAsia="en-GB"/>
              </w:rPr>
              <w:t>Jp</w:t>
            </w:r>
            <w:proofErr w:type="spellEnd"/>
            <w:r w:rsidRPr="00710386">
              <w:rPr>
                <w:rFonts w:asciiTheme="minorHAnsi" w:eastAsiaTheme="minorEastAsia" w:hAnsiTheme="minorHAnsi" w:cstheme="minorBidi"/>
                <w:szCs w:val="22"/>
                <w:lang w:eastAsia="en-GB"/>
              </w:rPr>
              <w:t xml:space="preserve">), </w:t>
            </w:r>
          </w:p>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4 (Canada)</w:t>
            </w:r>
          </w:p>
        </w:tc>
        <w:tc>
          <w:tcPr>
            <w:tcW w:w="1687"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India (2016)</w:t>
            </w:r>
          </w:p>
        </w:tc>
      </w:tr>
      <w:tr w:rsidR="00710386" w:rsidRPr="00710386" w:rsidTr="00710386">
        <w:tc>
          <w:tcPr>
            <w:tcW w:w="2183"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b/>
                <w:szCs w:val="22"/>
                <w:lang w:eastAsia="en-GB"/>
              </w:rPr>
            </w:pPr>
            <w:r w:rsidRPr="00710386">
              <w:rPr>
                <w:rFonts w:eastAsiaTheme="minorEastAsia" w:cstheme="minorBidi"/>
                <w:b/>
                <w:szCs w:val="22"/>
                <w:lang w:eastAsia="en-GB"/>
              </w:rPr>
              <w:lastRenderedPageBreak/>
              <w:t>Pesticides</w:t>
            </w:r>
          </w:p>
        </w:tc>
        <w:tc>
          <w:tcPr>
            <w:tcW w:w="170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b/>
                <w:szCs w:val="22"/>
                <w:lang w:eastAsia="en-GB"/>
              </w:rPr>
            </w:pPr>
            <w:r w:rsidRPr="00710386">
              <w:rPr>
                <w:rFonts w:eastAsiaTheme="minorEastAsia" w:cstheme="minorBidi"/>
                <w:b/>
                <w:szCs w:val="22"/>
                <w:lang w:eastAsia="en-GB"/>
              </w:rPr>
              <w:t xml:space="preserve">Data Availability </w:t>
            </w:r>
          </w:p>
        </w:tc>
        <w:tc>
          <w:tcPr>
            <w:tcW w:w="172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b/>
                <w:szCs w:val="22"/>
                <w:lang w:eastAsia="en-GB"/>
              </w:rPr>
            </w:pPr>
            <w:r w:rsidRPr="00710386">
              <w:rPr>
                <w:rFonts w:eastAsiaTheme="minorEastAsia" w:cstheme="minorBidi"/>
                <w:b/>
                <w:szCs w:val="22"/>
                <w:lang w:eastAsia="en-GB"/>
              </w:rPr>
              <w:t>No of trials &amp; Country</w:t>
            </w:r>
          </w:p>
        </w:tc>
        <w:tc>
          <w:tcPr>
            <w:tcW w:w="1939"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b/>
                <w:szCs w:val="22"/>
                <w:lang w:eastAsia="en-GB"/>
              </w:rPr>
            </w:pPr>
            <w:r w:rsidRPr="00710386">
              <w:rPr>
                <w:rFonts w:eastAsiaTheme="minorEastAsia" w:cstheme="minorBidi"/>
                <w:b/>
                <w:szCs w:val="22"/>
                <w:lang w:eastAsia="en-GB"/>
              </w:rPr>
              <w:t>National MRLs</w:t>
            </w:r>
          </w:p>
          <w:p w:rsidR="00710386" w:rsidRPr="00710386" w:rsidRDefault="00710386" w:rsidP="00710386">
            <w:pPr>
              <w:spacing w:after="0"/>
              <w:rPr>
                <w:rFonts w:eastAsiaTheme="minorEastAsia" w:cstheme="minorBidi"/>
                <w:b/>
                <w:szCs w:val="22"/>
                <w:lang w:eastAsia="en-GB"/>
              </w:rPr>
            </w:pPr>
            <w:r w:rsidRPr="00710386">
              <w:rPr>
                <w:rFonts w:eastAsiaTheme="minorEastAsia" w:cstheme="minorBidi"/>
                <w:b/>
                <w:szCs w:val="22"/>
                <w:lang w:eastAsia="en-GB"/>
              </w:rPr>
              <w:t>[MRL (Country)]</w:t>
            </w:r>
          </w:p>
        </w:tc>
        <w:tc>
          <w:tcPr>
            <w:tcW w:w="168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rPr>
                <w:rFonts w:eastAsiaTheme="minorEastAsia" w:cstheme="minorBidi"/>
                <w:b/>
                <w:szCs w:val="22"/>
                <w:lang w:eastAsia="en-GB"/>
              </w:rPr>
            </w:pPr>
            <w:r w:rsidRPr="00710386">
              <w:rPr>
                <w:rFonts w:eastAsiaTheme="minorEastAsia" w:cstheme="minorBidi"/>
                <w:b/>
                <w:szCs w:val="22"/>
                <w:lang w:eastAsia="en-GB"/>
              </w:rPr>
              <w:t>Data submitted to Codex &amp; date</w:t>
            </w:r>
          </w:p>
        </w:tc>
      </w:tr>
      <w:tr w:rsidR="00710386" w:rsidRPr="00710386" w:rsidTr="00710386">
        <w:tc>
          <w:tcPr>
            <w:tcW w:w="2183"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jc w:val="center"/>
              <w:rPr>
                <w:rFonts w:eastAsiaTheme="minorEastAsia" w:cstheme="minorBidi"/>
                <w:szCs w:val="22"/>
                <w:lang w:eastAsia="en-GB"/>
              </w:rPr>
            </w:pPr>
            <w:r w:rsidRPr="00710386">
              <w:rPr>
                <w:rFonts w:eastAsiaTheme="minorEastAsia" w:cstheme="minorBidi"/>
                <w:szCs w:val="22"/>
                <w:lang w:eastAsia="en-GB"/>
              </w:rPr>
              <w:t>1</w:t>
            </w:r>
          </w:p>
        </w:tc>
        <w:tc>
          <w:tcPr>
            <w:tcW w:w="170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jc w:val="center"/>
              <w:rPr>
                <w:rFonts w:eastAsiaTheme="minorEastAsia" w:cstheme="minorBidi"/>
                <w:szCs w:val="22"/>
                <w:lang w:eastAsia="en-GB"/>
              </w:rPr>
            </w:pPr>
            <w:r w:rsidRPr="00710386">
              <w:rPr>
                <w:rFonts w:eastAsiaTheme="minorEastAsia" w:cstheme="minorBidi"/>
                <w:szCs w:val="22"/>
                <w:lang w:eastAsia="en-GB"/>
              </w:rPr>
              <w:t>2</w:t>
            </w:r>
          </w:p>
        </w:tc>
        <w:tc>
          <w:tcPr>
            <w:tcW w:w="172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jc w:val="center"/>
              <w:rPr>
                <w:rFonts w:eastAsiaTheme="minorEastAsia" w:cstheme="minorBidi"/>
                <w:szCs w:val="22"/>
                <w:lang w:eastAsia="en-GB"/>
              </w:rPr>
            </w:pPr>
            <w:r w:rsidRPr="00710386">
              <w:rPr>
                <w:rFonts w:eastAsiaTheme="minorEastAsia" w:cstheme="minorBidi"/>
                <w:szCs w:val="22"/>
                <w:lang w:eastAsia="en-GB"/>
              </w:rPr>
              <w:t>3</w:t>
            </w:r>
          </w:p>
        </w:tc>
        <w:tc>
          <w:tcPr>
            <w:tcW w:w="1939"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jc w:val="center"/>
              <w:rPr>
                <w:rFonts w:eastAsiaTheme="minorEastAsia" w:cstheme="minorBidi"/>
                <w:szCs w:val="22"/>
                <w:lang w:eastAsia="en-GB"/>
              </w:rPr>
            </w:pPr>
            <w:r w:rsidRPr="00710386">
              <w:rPr>
                <w:rFonts w:eastAsiaTheme="minorEastAsia" w:cstheme="minorBidi"/>
                <w:szCs w:val="22"/>
                <w:lang w:eastAsia="en-GB"/>
              </w:rPr>
              <w:t>4</w:t>
            </w:r>
          </w:p>
        </w:tc>
        <w:tc>
          <w:tcPr>
            <w:tcW w:w="1687" w:type="dxa"/>
            <w:tcBorders>
              <w:top w:val="single" w:sz="4" w:space="0" w:color="000000"/>
              <w:left w:val="single" w:sz="4" w:space="0" w:color="000000"/>
              <w:bottom w:val="single" w:sz="4" w:space="0" w:color="000000"/>
              <w:right w:val="single" w:sz="4" w:space="0" w:color="000000"/>
            </w:tcBorders>
            <w:vAlign w:val="center"/>
          </w:tcPr>
          <w:p w:rsidR="00710386" w:rsidRPr="00710386" w:rsidRDefault="00710386" w:rsidP="00710386">
            <w:pPr>
              <w:spacing w:after="0"/>
              <w:jc w:val="center"/>
              <w:rPr>
                <w:rFonts w:eastAsiaTheme="minorEastAsia" w:cstheme="minorBidi"/>
                <w:szCs w:val="22"/>
                <w:lang w:eastAsia="en-GB"/>
              </w:rPr>
            </w:pPr>
            <w:r w:rsidRPr="00710386">
              <w:rPr>
                <w:rFonts w:eastAsiaTheme="minorEastAsia" w:cstheme="minorBidi"/>
                <w:szCs w:val="22"/>
                <w:lang w:eastAsia="en-GB"/>
              </w:rPr>
              <w:t>5</w:t>
            </w:r>
          </w:p>
        </w:tc>
      </w:tr>
      <w:tr w:rsidR="00710386" w:rsidRPr="00710386" w:rsidTr="00710386">
        <w:tc>
          <w:tcPr>
            <w:tcW w:w="2183"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proofErr w:type="spellStart"/>
            <w:r w:rsidRPr="00710386">
              <w:rPr>
                <w:rFonts w:asciiTheme="minorHAnsi" w:eastAsiaTheme="minorEastAsia" w:hAnsiTheme="minorHAnsi" w:cstheme="minorBidi"/>
                <w:szCs w:val="22"/>
                <w:lang w:eastAsia="en-GB"/>
              </w:rPr>
              <w:t>Pyraclostrobin</w:t>
            </w:r>
            <w:proofErr w:type="spellEnd"/>
          </w:p>
        </w:tc>
        <w:tc>
          <w:tcPr>
            <w:tcW w:w="1707"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p>
        </w:tc>
        <w:tc>
          <w:tcPr>
            <w:tcW w:w="1727"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8 (Sri Lanka)</w:t>
            </w:r>
            <w:r w:rsidRPr="00710386">
              <w:rPr>
                <w:rFonts w:asciiTheme="minorHAnsi" w:eastAsiaTheme="minorEastAsia" w:hAnsiTheme="minorHAnsi" w:cstheme="minorBidi"/>
                <w:szCs w:val="22"/>
                <w:lang w:eastAsia="en-GB"/>
              </w:rPr>
              <w:br/>
              <w:t>2 (Japan)</w:t>
            </w:r>
          </w:p>
          <w:p w:rsidR="00710386" w:rsidRPr="00710386" w:rsidRDefault="00710386" w:rsidP="00710386">
            <w:pPr>
              <w:spacing w:after="0"/>
              <w:rPr>
                <w:rFonts w:asciiTheme="minorHAnsi" w:eastAsiaTheme="minorEastAsia" w:hAnsiTheme="minorHAnsi" w:cstheme="minorBidi"/>
                <w:szCs w:val="22"/>
                <w:lang w:eastAsia="en-GB"/>
              </w:rPr>
            </w:pPr>
          </w:p>
        </w:tc>
        <w:tc>
          <w:tcPr>
            <w:tcW w:w="1939"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5 (</w:t>
            </w:r>
            <w:proofErr w:type="spellStart"/>
            <w:r w:rsidRPr="00710386">
              <w:rPr>
                <w:rFonts w:asciiTheme="minorHAnsi" w:eastAsiaTheme="minorEastAsia" w:hAnsiTheme="minorHAnsi" w:cstheme="minorBidi"/>
                <w:szCs w:val="22"/>
                <w:lang w:eastAsia="en-GB"/>
              </w:rPr>
              <w:t>Jp</w:t>
            </w:r>
            <w:proofErr w:type="spellEnd"/>
            <w:r w:rsidRPr="00710386">
              <w:rPr>
                <w:rFonts w:asciiTheme="minorHAnsi" w:eastAsiaTheme="minorEastAsia" w:hAnsiTheme="minorHAnsi" w:cstheme="minorBidi"/>
                <w:szCs w:val="22"/>
                <w:lang w:eastAsia="en-GB"/>
              </w:rPr>
              <w:t>)</w:t>
            </w:r>
          </w:p>
        </w:tc>
        <w:tc>
          <w:tcPr>
            <w:tcW w:w="1687"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Not submitted</w:t>
            </w:r>
          </w:p>
        </w:tc>
      </w:tr>
      <w:tr w:rsidR="00710386" w:rsidRPr="00710386" w:rsidTr="00710386">
        <w:tc>
          <w:tcPr>
            <w:tcW w:w="2183"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proofErr w:type="spellStart"/>
            <w:r w:rsidRPr="00710386">
              <w:rPr>
                <w:rFonts w:asciiTheme="minorHAnsi" w:eastAsiaTheme="minorEastAsia" w:hAnsiTheme="minorHAnsi" w:cstheme="minorBidi"/>
                <w:szCs w:val="22"/>
                <w:lang w:eastAsia="en-GB"/>
              </w:rPr>
              <w:t>Tebuconazole</w:t>
            </w:r>
            <w:proofErr w:type="spellEnd"/>
          </w:p>
        </w:tc>
        <w:tc>
          <w:tcPr>
            <w:tcW w:w="1707"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Yes</w:t>
            </w:r>
          </w:p>
        </w:tc>
        <w:tc>
          <w:tcPr>
            <w:tcW w:w="1727"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4 (Sri Lanka)</w:t>
            </w:r>
            <w:r w:rsidRPr="00710386">
              <w:rPr>
                <w:rFonts w:asciiTheme="minorHAnsi" w:eastAsiaTheme="minorEastAsia" w:hAnsiTheme="minorHAnsi" w:cstheme="minorBidi"/>
                <w:szCs w:val="22"/>
                <w:lang w:eastAsia="en-GB"/>
              </w:rPr>
              <w:br/>
              <w:t>2 (Japan)</w:t>
            </w:r>
          </w:p>
          <w:p w:rsidR="00710386" w:rsidRPr="00710386" w:rsidRDefault="00710386" w:rsidP="00710386">
            <w:pPr>
              <w:spacing w:after="0"/>
              <w:rPr>
                <w:rFonts w:asciiTheme="minorHAnsi" w:eastAsiaTheme="minorEastAsia" w:hAnsiTheme="minorHAnsi" w:cstheme="minorBidi"/>
                <w:szCs w:val="22"/>
                <w:lang w:eastAsia="en-GB"/>
              </w:rPr>
            </w:pPr>
          </w:p>
        </w:tc>
        <w:tc>
          <w:tcPr>
            <w:tcW w:w="1939"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50 (</w:t>
            </w:r>
            <w:proofErr w:type="spellStart"/>
            <w:r w:rsidRPr="00710386">
              <w:rPr>
                <w:rFonts w:asciiTheme="minorHAnsi" w:eastAsiaTheme="minorEastAsia" w:hAnsiTheme="minorHAnsi" w:cstheme="minorBidi"/>
                <w:szCs w:val="22"/>
                <w:lang w:eastAsia="en-GB"/>
              </w:rPr>
              <w:t>Jp</w:t>
            </w:r>
            <w:proofErr w:type="spellEnd"/>
            <w:r w:rsidRPr="00710386">
              <w:rPr>
                <w:rFonts w:asciiTheme="minorHAnsi" w:eastAsiaTheme="minorEastAsia" w:hAnsiTheme="minorHAnsi" w:cstheme="minorBidi"/>
                <w:szCs w:val="22"/>
                <w:lang w:eastAsia="en-GB"/>
              </w:rPr>
              <w:t>)</w:t>
            </w:r>
          </w:p>
        </w:tc>
        <w:tc>
          <w:tcPr>
            <w:tcW w:w="1687"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India (2016)</w:t>
            </w:r>
          </w:p>
        </w:tc>
      </w:tr>
      <w:tr w:rsidR="00710386" w:rsidRPr="00710386" w:rsidTr="00710386">
        <w:tc>
          <w:tcPr>
            <w:tcW w:w="2183"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proofErr w:type="spellStart"/>
            <w:r w:rsidRPr="00710386">
              <w:rPr>
                <w:rFonts w:asciiTheme="minorHAnsi" w:eastAsiaTheme="minorEastAsia" w:hAnsiTheme="minorHAnsi" w:cstheme="minorBidi"/>
                <w:szCs w:val="22"/>
                <w:lang w:eastAsia="en-GB"/>
              </w:rPr>
              <w:t>Thiophanate</w:t>
            </w:r>
            <w:proofErr w:type="spellEnd"/>
            <w:r w:rsidRPr="00710386">
              <w:rPr>
                <w:rFonts w:asciiTheme="minorHAnsi" w:eastAsiaTheme="minorEastAsia" w:hAnsiTheme="minorHAnsi" w:cstheme="minorBidi"/>
                <w:szCs w:val="22"/>
                <w:lang w:eastAsia="en-GB"/>
              </w:rPr>
              <w:t>-methyl</w:t>
            </w:r>
          </w:p>
        </w:tc>
        <w:tc>
          <w:tcPr>
            <w:tcW w:w="1707"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To be done</w:t>
            </w:r>
          </w:p>
        </w:tc>
        <w:tc>
          <w:tcPr>
            <w:tcW w:w="1727"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2 (Japan)</w:t>
            </w:r>
          </w:p>
        </w:tc>
        <w:tc>
          <w:tcPr>
            <w:tcW w:w="1939"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7 (</w:t>
            </w:r>
            <w:proofErr w:type="spellStart"/>
            <w:r w:rsidRPr="00710386">
              <w:rPr>
                <w:rFonts w:asciiTheme="minorHAnsi" w:eastAsiaTheme="minorEastAsia" w:hAnsiTheme="minorHAnsi" w:cstheme="minorBidi"/>
                <w:szCs w:val="22"/>
                <w:lang w:eastAsia="en-GB"/>
              </w:rPr>
              <w:t>Jp</w:t>
            </w:r>
            <w:proofErr w:type="spellEnd"/>
            <w:r w:rsidRPr="00710386">
              <w:rPr>
                <w:rFonts w:asciiTheme="minorHAnsi" w:eastAsiaTheme="minorEastAsia" w:hAnsiTheme="minorHAnsi" w:cstheme="minorBidi"/>
                <w:szCs w:val="22"/>
                <w:lang w:eastAsia="en-GB"/>
              </w:rPr>
              <w:t>)</w:t>
            </w:r>
          </w:p>
        </w:tc>
        <w:tc>
          <w:tcPr>
            <w:tcW w:w="1687"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p>
        </w:tc>
      </w:tr>
      <w:tr w:rsidR="00710386" w:rsidRPr="00710386" w:rsidTr="00710386">
        <w:tc>
          <w:tcPr>
            <w:tcW w:w="2183"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proofErr w:type="spellStart"/>
            <w:r w:rsidRPr="00710386">
              <w:rPr>
                <w:rFonts w:asciiTheme="minorHAnsi" w:eastAsiaTheme="minorEastAsia" w:hAnsiTheme="minorHAnsi" w:cstheme="minorBidi"/>
                <w:szCs w:val="22"/>
                <w:lang w:eastAsia="en-GB"/>
              </w:rPr>
              <w:t>Trifloxystrobin</w:t>
            </w:r>
            <w:proofErr w:type="spellEnd"/>
          </w:p>
        </w:tc>
        <w:tc>
          <w:tcPr>
            <w:tcW w:w="1707"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To be done</w:t>
            </w:r>
          </w:p>
        </w:tc>
        <w:tc>
          <w:tcPr>
            <w:tcW w:w="1727"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3 (Japan)</w:t>
            </w:r>
          </w:p>
        </w:tc>
        <w:tc>
          <w:tcPr>
            <w:tcW w:w="1939"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5 (</w:t>
            </w:r>
            <w:proofErr w:type="spellStart"/>
            <w:r w:rsidRPr="00710386">
              <w:rPr>
                <w:rFonts w:asciiTheme="minorHAnsi" w:eastAsiaTheme="minorEastAsia" w:hAnsiTheme="minorHAnsi" w:cstheme="minorBidi"/>
                <w:szCs w:val="22"/>
                <w:lang w:eastAsia="en-GB"/>
              </w:rPr>
              <w:t>Jp</w:t>
            </w:r>
            <w:proofErr w:type="spellEnd"/>
            <w:r w:rsidRPr="00710386">
              <w:rPr>
                <w:rFonts w:asciiTheme="minorHAnsi" w:eastAsiaTheme="minorEastAsia" w:hAnsiTheme="minorHAnsi" w:cstheme="minorBidi"/>
                <w:szCs w:val="22"/>
                <w:lang w:eastAsia="en-GB"/>
              </w:rPr>
              <w:t>)</w:t>
            </w:r>
          </w:p>
        </w:tc>
        <w:tc>
          <w:tcPr>
            <w:tcW w:w="1687"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p>
        </w:tc>
      </w:tr>
      <w:tr w:rsidR="00710386" w:rsidRPr="00710386" w:rsidTr="00710386">
        <w:tc>
          <w:tcPr>
            <w:tcW w:w="2183"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proofErr w:type="spellStart"/>
            <w:r w:rsidRPr="00710386">
              <w:rPr>
                <w:rFonts w:asciiTheme="minorHAnsi" w:eastAsiaTheme="minorEastAsia" w:hAnsiTheme="minorHAnsi" w:cstheme="minorBidi"/>
                <w:szCs w:val="22"/>
                <w:lang w:eastAsia="en-GB"/>
              </w:rPr>
              <w:t>Carboxim</w:t>
            </w:r>
            <w:proofErr w:type="spellEnd"/>
          </w:p>
        </w:tc>
        <w:tc>
          <w:tcPr>
            <w:tcW w:w="1707"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To be done</w:t>
            </w:r>
          </w:p>
        </w:tc>
        <w:tc>
          <w:tcPr>
            <w:tcW w:w="1727"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p>
        </w:tc>
        <w:tc>
          <w:tcPr>
            <w:tcW w:w="1939"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p>
        </w:tc>
        <w:tc>
          <w:tcPr>
            <w:tcW w:w="1687"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p>
        </w:tc>
      </w:tr>
      <w:tr w:rsidR="00710386" w:rsidRPr="00710386" w:rsidTr="00710386">
        <w:tc>
          <w:tcPr>
            <w:tcW w:w="2183"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proofErr w:type="spellStart"/>
            <w:r w:rsidRPr="00710386">
              <w:rPr>
                <w:rFonts w:asciiTheme="minorHAnsi" w:eastAsiaTheme="minorEastAsia" w:hAnsiTheme="minorHAnsi" w:cstheme="minorBidi"/>
                <w:szCs w:val="22"/>
                <w:lang w:eastAsia="en-GB"/>
              </w:rPr>
              <w:t>Tolfenpyrad</w:t>
            </w:r>
            <w:proofErr w:type="spellEnd"/>
          </w:p>
        </w:tc>
        <w:tc>
          <w:tcPr>
            <w:tcW w:w="1707"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Available</w:t>
            </w:r>
          </w:p>
        </w:tc>
        <w:tc>
          <w:tcPr>
            <w:tcW w:w="1727"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8(China)</w:t>
            </w:r>
          </w:p>
        </w:tc>
        <w:tc>
          <w:tcPr>
            <w:tcW w:w="1939"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20 (</w:t>
            </w:r>
            <w:proofErr w:type="spellStart"/>
            <w:r w:rsidRPr="00710386">
              <w:rPr>
                <w:rFonts w:asciiTheme="minorHAnsi" w:eastAsiaTheme="minorEastAsia" w:hAnsiTheme="minorHAnsi" w:cstheme="minorBidi"/>
                <w:szCs w:val="22"/>
                <w:lang w:eastAsia="en-GB"/>
              </w:rPr>
              <w:t>Jp</w:t>
            </w:r>
            <w:proofErr w:type="spellEnd"/>
            <w:r w:rsidRPr="00710386">
              <w:rPr>
                <w:rFonts w:asciiTheme="minorHAnsi" w:eastAsiaTheme="minorEastAsia" w:hAnsiTheme="minorHAnsi" w:cstheme="minorBidi"/>
                <w:szCs w:val="22"/>
                <w:lang w:eastAsia="en-GB"/>
              </w:rPr>
              <w:t>), 30 (US)</w:t>
            </w:r>
          </w:p>
        </w:tc>
        <w:tc>
          <w:tcPr>
            <w:tcW w:w="1687" w:type="dxa"/>
            <w:tcBorders>
              <w:top w:val="single" w:sz="4" w:space="0" w:color="000000"/>
              <w:left w:val="single" w:sz="4" w:space="0" w:color="000000"/>
              <w:bottom w:val="single" w:sz="4" w:space="0" w:color="000000"/>
              <w:right w:val="single" w:sz="4" w:space="0" w:color="000000"/>
            </w:tcBorders>
          </w:tcPr>
          <w:p w:rsidR="00710386" w:rsidRPr="00710386" w:rsidRDefault="00710386" w:rsidP="00710386">
            <w:pPr>
              <w:spacing w:after="0"/>
              <w:rPr>
                <w:rFonts w:asciiTheme="minorHAnsi" w:eastAsiaTheme="minorEastAsia" w:hAnsiTheme="minorHAnsi" w:cstheme="minorBidi"/>
                <w:szCs w:val="22"/>
                <w:lang w:eastAsia="en-GB"/>
              </w:rPr>
            </w:pPr>
            <w:r w:rsidRPr="00710386">
              <w:rPr>
                <w:rFonts w:asciiTheme="minorHAnsi" w:eastAsiaTheme="minorEastAsia" w:hAnsiTheme="minorHAnsi" w:cstheme="minorBidi"/>
                <w:szCs w:val="22"/>
                <w:lang w:eastAsia="en-GB"/>
              </w:rPr>
              <w:t>30 (Codex, Green Tea)</w:t>
            </w:r>
          </w:p>
        </w:tc>
      </w:tr>
    </w:tbl>
    <w:p w:rsidR="00710386" w:rsidRPr="00710386" w:rsidRDefault="00710386" w:rsidP="00710386">
      <w:pPr>
        <w:spacing w:line="276" w:lineRule="auto"/>
        <w:rPr>
          <w:rFonts w:ascii="Calibri" w:eastAsia="Calibri" w:hAnsi="Calibri" w:cs="Times New Roman"/>
          <w:sz w:val="18"/>
          <w:szCs w:val="18"/>
        </w:rPr>
      </w:pPr>
      <w:r w:rsidRPr="00710386">
        <w:rPr>
          <w:rFonts w:ascii="Calibri" w:eastAsia="Calibri" w:hAnsi="Calibri" w:cs="Times New Roman"/>
          <w:sz w:val="18"/>
          <w:szCs w:val="18"/>
        </w:rPr>
        <w:t xml:space="preserve">Note:  Information on whether sufficient field trial data available are to be provided </w:t>
      </w:r>
      <w:r>
        <w:rPr>
          <w:rFonts w:ascii="Calibri" w:eastAsia="Calibri" w:hAnsi="Calibri" w:cs="Times New Roman"/>
          <w:sz w:val="18"/>
          <w:szCs w:val="18"/>
        </w:rPr>
        <w:t>to the WG.</w:t>
      </w:r>
    </w:p>
    <w:p w:rsidR="00710386" w:rsidRPr="000C311A" w:rsidRDefault="00710386" w:rsidP="009B03BD">
      <w:pPr>
        <w:pStyle w:val="NewPara"/>
        <w:numPr>
          <w:ilvl w:val="0"/>
          <w:numId w:val="0"/>
        </w:numPr>
        <w:ind w:left="270"/>
      </w:pPr>
      <w:r>
        <w:t>Requests were sent to member countries seeking information on the status of field trials/data generation/data submission for the compounds in the priority list in order to prepare a</w:t>
      </w:r>
      <w:r w:rsidRPr="000C311A">
        <w:t xml:space="preserve"> list and a timetable for those chemicals that are planned for submission to Codex. The feedback received from members would be discussed in the </w:t>
      </w:r>
      <w:r>
        <w:t>Inters</w:t>
      </w:r>
      <w:r w:rsidRPr="000C311A">
        <w:t>ession</w:t>
      </w:r>
      <w:r>
        <w:t xml:space="preserve">al meeting </w:t>
      </w:r>
      <w:r w:rsidRPr="000C311A">
        <w:t xml:space="preserve">at </w:t>
      </w:r>
      <w:r>
        <w:t>Milan</w:t>
      </w:r>
      <w:r w:rsidRPr="000C311A">
        <w:t xml:space="preserve"> </w:t>
      </w:r>
      <w:r>
        <w:t xml:space="preserve">(14-15 Oct 2016) </w:t>
      </w:r>
      <w:r w:rsidRPr="000C311A">
        <w:t>and based on which a time table for data submission would be provided to the IGG/Tea Secretariat for advance notice to Codex. As there are a number of trial data already available in different member countries, there is scope of pooling the data to obtain the required number of trials for MRL fixation in tea by simultaneous submissions for at least some compounds as evident from the feedback received from a few members as given below:</w:t>
      </w:r>
    </w:p>
    <w:p w:rsidR="00710386" w:rsidRPr="00FF30D0" w:rsidRDefault="00710386" w:rsidP="009B03BD">
      <w:pPr>
        <w:spacing w:after="0"/>
        <w:ind w:left="806"/>
        <w:rPr>
          <w:rFonts w:cs="Times New Roman"/>
        </w:rPr>
      </w:pPr>
      <w:proofErr w:type="spellStart"/>
      <w:r w:rsidRPr="00FF30D0">
        <w:rPr>
          <w:rFonts w:cs="Times New Roman"/>
        </w:rPr>
        <w:t>Acetamiprid</w:t>
      </w:r>
      <w:proofErr w:type="spellEnd"/>
      <w:r w:rsidRPr="00FF30D0">
        <w:rPr>
          <w:rFonts w:cs="Times New Roman"/>
        </w:rPr>
        <w:t xml:space="preserve">:  8 trials data [Scope for submission by Japan, India &amp; China] </w:t>
      </w:r>
      <w:r w:rsidRPr="00FF30D0">
        <w:rPr>
          <w:rFonts w:cs="Times New Roman"/>
        </w:rPr>
        <w:br/>
      </w:r>
      <w:proofErr w:type="spellStart"/>
      <w:r w:rsidRPr="00FF30D0">
        <w:rPr>
          <w:rFonts w:cs="Times New Roman"/>
        </w:rPr>
        <w:t>Hexaconazole</w:t>
      </w:r>
      <w:proofErr w:type="spellEnd"/>
      <w:r w:rsidRPr="00FF30D0">
        <w:rPr>
          <w:rFonts w:cs="Times New Roman"/>
        </w:rPr>
        <w:t>: 11 trials data [Scope for submission by Sri Lanka &amp; India]</w:t>
      </w:r>
      <w:r w:rsidRPr="00FF30D0">
        <w:rPr>
          <w:rFonts w:cs="Times New Roman"/>
        </w:rPr>
        <w:br/>
      </w:r>
      <w:proofErr w:type="spellStart"/>
      <w:r w:rsidRPr="00FF30D0">
        <w:rPr>
          <w:rFonts w:cs="Times New Roman"/>
        </w:rPr>
        <w:t>Propiconazole</w:t>
      </w:r>
      <w:proofErr w:type="spellEnd"/>
      <w:r w:rsidRPr="00FF30D0">
        <w:rPr>
          <w:rFonts w:cs="Times New Roman"/>
        </w:rPr>
        <w:t>: 11 trials data [Scope for submission by Sri Lanka &amp; India]</w:t>
      </w:r>
      <w:r w:rsidRPr="00FF30D0">
        <w:rPr>
          <w:rFonts w:cs="Times New Roman"/>
        </w:rPr>
        <w:br/>
        <w:t>Chlorfluazuron: 10 trials data [Scope for submission by Sri Lanka &amp; Japan]</w:t>
      </w:r>
      <w:r w:rsidRPr="00FF30D0">
        <w:rPr>
          <w:rFonts w:cs="Times New Roman"/>
        </w:rPr>
        <w:br/>
      </w:r>
      <w:proofErr w:type="spellStart"/>
      <w:r w:rsidRPr="00FF30D0">
        <w:rPr>
          <w:rFonts w:cs="Times New Roman"/>
        </w:rPr>
        <w:t>Fipronil</w:t>
      </w:r>
      <w:proofErr w:type="spellEnd"/>
      <w:r w:rsidRPr="00FF30D0">
        <w:rPr>
          <w:rFonts w:cs="Times New Roman"/>
        </w:rPr>
        <w:t xml:space="preserve"> : 8 trials data [Scope for submission by Sri Lanka]</w:t>
      </w:r>
      <w:r w:rsidRPr="00FF30D0">
        <w:rPr>
          <w:rFonts w:cs="Times New Roman"/>
        </w:rPr>
        <w:br/>
      </w:r>
      <w:r w:rsidRPr="00FF30D0">
        <w:rPr>
          <w:rFonts w:cs="Times New Roman"/>
        </w:rPr>
        <w:br/>
        <w:t>MCPA: 8 trials data [Scope for submission by Sri Lanka]</w:t>
      </w:r>
      <w:r w:rsidRPr="00FF30D0">
        <w:rPr>
          <w:rFonts w:cs="Times New Roman"/>
        </w:rPr>
        <w:br/>
      </w:r>
      <w:proofErr w:type="spellStart"/>
      <w:r w:rsidRPr="00FF30D0">
        <w:rPr>
          <w:rFonts w:cs="Times New Roman"/>
        </w:rPr>
        <w:t>Ethion</w:t>
      </w:r>
      <w:proofErr w:type="spellEnd"/>
      <w:r w:rsidRPr="00FF30D0">
        <w:rPr>
          <w:rFonts w:cs="Times New Roman"/>
        </w:rPr>
        <w:t>: 12 trials data [Scope for submission by India]</w:t>
      </w:r>
      <w:r w:rsidRPr="00FF30D0">
        <w:rPr>
          <w:rFonts w:cs="Times New Roman"/>
        </w:rPr>
        <w:br/>
        <w:t>λ-</w:t>
      </w:r>
      <w:proofErr w:type="spellStart"/>
      <w:r w:rsidRPr="00FF30D0">
        <w:rPr>
          <w:rFonts w:cs="Times New Roman"/>
        </w:rPr>
        <w:t>Cyhalothrin</w:t>
      </w:r>
      <w:proofErr w:type="spellEnd"/>
      <w:r w:rsidRPr="00FF30D0">
        <w:rPr>
          <w:rFonts w:cs="Times New Roman"/>
        </w:rPr>
        <w:t xml:space="preserve">: 6 trials data available. </w:t>
      </w:r>
      <w:proofErr w:type="gramStart"/>
      <w:r w:rsidRPr="00FF30D0">
        <w:rPr>
          <w:rFonts w:cs="Times New Roman"/>
        </w:rPr>
        <w:t>Needs 2 more.</w:t>
      </w:r>
      <w:proofErr w:type="gramEnd"/>
      <w:r w:rsidRPr="00FF30D0">
        <w:rPr>
          <w:rFonts w:cs="Times New Roman"/>
        </w:rPr>
        <w:br/>
      </w:r>
      <w:proofErr w:type="spellStart"/>
      <w:r w:rsidRPr="00FF30D0">
        <w:rPr>
          <w:rFonts w:cs="Times New Roman"/>
        </w:rPr>
        <w:t>Buprofezin</w:t>
      </w:r>
      <w:proofErr w:type="spellEnd"/>
      <w:r w:rsidRPr="00FF30D0">
        <w:rPr>
          <w:rFonts w:cs="Times New Roman"/>
        </w:rPr>
        <w:t xml:space="preserve">: 6 trials data available. </w:t>
      </w:r>
      <w:proofErr w:type="gramStart"/>
      <w:r w:rsidRPr="00FF30D0">
        <w:rPr>
          <w:rFonts w:cs="Times New Roman"/>
        </w:rPr>
        <w:t>Needs 2 more.</w:t>
      </w:r>
      <w:proofErr w:type="gramEnd"/>
      <w:r w:rsidRPr="00FF30D0">
        <w:rPr>
          <w:rFonts w:cs="Times New Roman"/>
        </w:rPr>
        <w:t xml:space="preserve"> The data package submitted to the EU did not meet the data requirements for Europe.</w:t>
      </w:r>
      <w:r w:rsidRPr="00FF30D0">
        <w:rPr>
          <w:rFonts w:cs="Times New Roman"/>
        </w:rPr>
        <w:br/>
      </w:r>
      <w:proofErr w:type="spellStart"/>
      <w:r w:rsidRPr="00FF30D0">
        <w:rPr>
          <w:rFonts w:cs="Times New Roman"/>
        </w:rPr>
        <w:t>Fenpyroximate</w:t>
      </w:r>
      <w:proofErr w:type="spellEnd"/>
      <w:r w:rsidRPr="00FF30D0">
        <w:rPr>
          <w:rFonts w:cs="Times New Roman"/>
        </w:rPr>
        <w:t>: 4 trials data available, Needs 4 more.</w:t>
      </w:r>
    </w:p>
    <w:p w:rsidR="00710386" w:rsidRDefault="00710386" w:rsidP="009B03BD">
      <w:pPr>
        <w:pStyle w:val="NewPara"/>
        <w:numPr>
          <w:ilvl w:val="0"/>
          <w:numId w:val="0"/>
        </w:numPr>
        <w:rPr>
          <w:b/>
          <w:color w:val="000000" w:themeColor="text1"/>
        </w:rPr>
      </w:pPr>
    </w:p>
    <w:p w:rsidR="00710386" w:rsidRPr="0067314B" w:rsidRDefault="00710386" w:rsidP="009B03BD">
      <w:pPr>
        <w:pStyle w:val="NewPara"/>
        <w:numPr>
          <w:ilvl w:val="0"/>
          <w:numId w:val="0"/>
        </w:numPr>
        <w:ind w:firstLine="720"/>
        <w:rPr>
          <w:color w:val="000000" w:themeColor="text1"/>
        </w:rPr>
      </w:pPr>
      <w:r w:rsidRPr="0067314B">
        <w:rPr>
          <w:color w:val="000000" w:themeColor="text1"/>
        </w:rPr>
        <w:t xml:space="preserve">Feedback was </w:t>
      </w:r>
      <w:proofErr w:type="gramStart"/>
      <w:r w:rsidRPr="0067314B">
        <w:rPr>
          <w:color w:val="000000" w:themeColor="text1"/>
        </w:rPr>
        <w:t>sought  seeking</w:t>
      </w:r>
      <w:proofErr w:type="gramEnd"/>
      <w:r w:rsidRPr="0067314B">
        <w:rPr>
          <w:color w:val="000000" w:themeColor="text1"/>
        </w:rPr>
        <w:t xml:space="preserve"> updates on the priority list through IGG Forum on 8 May 2016.</w:t>
      </w:r>
    </w:p>
    <w:p w:rsidR="00710386" w:rsidRPr="00F320F3" w:rsidRDefault="00710386" w:rsidP="009B03BD">
      <w:pPr>
        <w:rPr>
          <w:rFonts w:cs="Times New Roman"/>
        </w:rPr>
      </w:pPr>
      <w:r w:rsidRPr="00F320F3">
        <w:rPr>
          <w:rFonts w:cs="Times New Roman"/>
        </w:rPr>
        <w:t>(3) To share information on consuming countries on MRL restrictions.</w:t>
      </w:r>
    </w:p>
    <w:p w:rsidR="00710386" w:rsidRDefault="00710386" w:rsidP="009B03BD">
      <w:pPr>
        <w:spacing w:after="0"/>
        <w:ind w:left="360"/>
        <w:rPr>
          <w:rFonts w:cs="Times New Roman"/>
        </w:rPr>
      </w:pPr>
      <w:r w:rsidRPr="003176C5">
        <w:rPr>
          <w:rFonts w:cs="Times New Roman"/>
        </w:rPr>
        <w:t>Consuming countr</w:t>
      </w:r>
      <w:r>
        <w:rPr>
          <w:rFonts w:cs="Times New Roman"/>
        </w:rPr>
        <w:t>y</w:t>
      </w:r>
      <w:r w:rsidRPr="003176C5">
        <w:rPr>
          <w:rFonts w:cs="Times New Roman"/>
        </w:rPr>
        <w:t xml:space="preserve"> US has restriction for </w:t>
      </w:r>
      <w:proofErr w:type="spellStart"/>
      <w:r w:rsidRPr="003176C5">
        <w:rPr>
          <w:rFonts w:cs="Times New Roman"/>
        </w:rPr>
        <w:t>Ethion</w:t>
      </w:r>
      <w:proofErr w:type="spellEnd"/>
      <w:r w:rsidRPr="003176C5">
        <w:rPr>
          <w:rFonts w:cs="Times New Roman"/>
        </w:rPr>
        <w:t xml:space="preserve">, </w:t>
      </w:r>
      <w:proofErr w:type="spellStart"/>
      <w:r w:rsidRPr="003176C5">
        <w:rPr>
          <w:rFonts w:cs="Times New Roman"/>
        </w:rPr>
        <w:t>Chlorpyriphos</w:t>
      </w:r>
      <w:proofErr w:type="spellEnd"/>
      <w:r w:rsidRPr="003176C5">
        <w:rPr>
          <w:rFonts w:cs="Times New Roman"/>
        </w:rPr>
        <w:t xml:space="preserve">, </w:t>
      </w:r>
      <w:proofErr w:type="spellStart"/>
      <w:r w:rsidRPr="003176C5">
        <w:rPr>
          <w:rFonts w:cs="Times New Roman"/>
        </w:rPr>
        <w:t>Fenvalerate</w:t>
      </w:r>
      <w:proofErr w:type="spellEnd"/>
      <w:r w:rsidRPr="003176C5">
        <w:rPr>
          <w:rFonts w:cs="Times New Roman"/>
        </w:rPr>
        <w:t xml:space="preserve"> </w:t>
      </w:r>
      <w:proofErr w:type="spellStart"/>
      <w:r w:rsidRPr="003176C5">
        <w:rPr>
          <w:rFonts w:cs="Times New Roman"/>
        </w:rPr>
        <w:t>Profenofos</w:t>
      </w:r>
      <w:proofErr w:type="spellEnd"/>
      <w:r w:rsidRPr="003176C5">
        <w:rPr>
          <w:rFonts w:cs="Times New Roman"/>
        </w:rPr>
        <w:t>, DDT</w:t>
      </w:r>
      <w:proofErr w:type="gramStart"/>
      <w:r w:rsidRPr="003176C5">
        <w:rPr>
          <w:rFonts w:cs="Times New Roman"/>
        </w:rPr>
        <w:t xml:space="preserve">,  </w:t>
      </w:r>
      <w:proofErr w:type="spellStart"/>
      <w:r w:rsidRPr="003176C5">
        <w:rPr>
          <w:rFonts w:cs="Times New Roman"/>
        </w:rPr>
        <w:t>Methidathion</w:t>
      </w:r>
      <w:proofErr w:type="spellEnd"/>
      <w:proofErr w:type="gramEnd"/>
      <w:r w:rsidRPr="003176C5">
        <w:rPr>
          <w:rFonts w:cs="Times New Roman"/>
        </w:rPr>
        <w:t xml:space="preserve">,  </w:t>
      </w:r>
      <w:proofErr w:type="spellStart"/>
      <w:r w:rsidRPr="003176C5">
        <w:rPr>
          <w:rFonts w:cs="Times New Roman"/>
        </w:rPr>
        <w:t>Triazophos</w:t>
      </w:r>
      <w:proofErr w:type="spellEnd"/>
      <w:r w:rsidRPr="003176C5">
        <w:rPr>
          <w:rFonts w:cs="Times New Roman"/>
        </w:rPr>
        <w:t xml:space="preserve">, </w:t>
      </w:r>
      <w:proofErr w:type="spellStart"/>
      <w:r w:rsidRPr="003176C5">
        <w:rPr>
          <w:rFonts w:cs="Times New Roman"/>
        </w:rPr>
        <w:t>Lindane</w:t>
      </w:r>
      <w:proofErr w:type="spellEnd"/>
      <w:r w:rsidRPr="003176C5">
        <w:rPr>
          <w:rFonts w:cs="Times New Roman"/>
        </w:rPr>
        <w:t xml:space="preserve">, </w:t>
      </w:r>
      <w:proofErr w:type="spellStart"/>
      <w:r w:rsidRPr="003176C5">
        <w:rPr>
          <w:rFonts w:cs="Times New Roman"/>
        </w:rPr>
        <w:t>Tetradifon</w:t>
      </w:r>
      <w:proofErr w:type="spellEnd"/>
      <w:r>
        <w:rPr>
          <w:rFonts w:cs="Times New Roman"/>
        </w:rPr>
        <w:t xml:space="preserve"> and</w:t>
      </w:r>
      <w:r w:rsidRPr="003176C5">
        <w:rPr>
          <w:rFonts w:cs="Times New Roman"/>
        </w:rPr>
        <w:t xml:space="preserve"> </w:t>
      </w:r>
      <w:proofErr w:type="spellStart"/>
      <w:r w:rsidRPr="003176C5">
        <w:rPr>
          <w:rFonts w:cs="Times New Roman"/>
        </w:rPr>
        <w:t>Triadimethon</w:t>
      </w:r>
      <w:proofErr w:type="spellEnd"/>
      <w:r w:rsidRPr="003176C5">
        <w:rPr>
          <w:rFonts w:cs="Times New Roman"/>
        </w:rPr>
        <w:t xml:space="preserve"> in their Do Not Use list.</w:t>
      </w:r>
    </w:p>
    <w:p w:rsidR="00710386" w:rsidRPr="003176C5" w:rsidRDefault="00710386" w:rsidP="009B03BD">
      <w:pPr>
        <w:spacing w:after="0"/>
        <w:ind w:left="360"/>
        <w:rPr>
          <w:rFonts w:cs="Times New Roman"/>
        </w:rPr>
      </w:pPr>
    </w:p>
    <w:p w:rsidR="00710386" w:rsidRPr="003176C5" w:rsidRDefault="00710386" w:rsidP="009B03BD">
      <w:pPr>
        <w:spacing w:after="0"/>
        <w:ind w:left="360"/>
        <w:rPr>
          <w:rFonts w:cs="Times New Roman"/>
        </w:rPr>
      </w:pPr>
      <w:r w:rsidRPr="003176C5">
        <w:rPr>
          <w:rFonts w:cs="Times New Roman"/>
        </w:rPr>
        <w:t xml:space="preserve">Canada has consulted with PMRA on the US Tea Association's Do Not Use list and the PMRA has taken a very pragmatic approach indicating that any of the compounds could have import MRLs established provided sufficient data were submitted for review.  Practically though, it is highly unlikely that some of the compounds listed would be profitable enough to warrant the generation of additional data.  Consequently it is unlikely that some of the compounds on the US list would obtain import MRLs in Canada.  Please see the </w:t>
      </w:r>
      <w:proofErr w:type="spellStart"/>
      <w:r w:rsidRPr="003176C5">
        <w:rPr>
          <w:rFonts w:cs="Times New Roman"/>
        </w:rPr>
        <w:t>attahced</w:t>
      </w:r>
      <w:proofErr w:type="spellEnd"/>
      <w:r w:rsidRPr="003176C5">
        <w:rPr>
          <w:rFonts w:cs="Times New Roman"/>
        </w:rPr>
        <w:t xml:space="preserve"> summary document for a full explanation of the situation in Canada.</w:t>
      </w:r>
    </w:p>
    <w:p w:rsidR="00710386" w:rsidRDefault="00710386" w:rsidP="009B03BD">
      <w:pPr>
        <w:pStyle w:val="NoSpacing1"/>
        <w:spacing w:after="200"/>
        <w:ind w:left="357"/>
        <w:jc w:val="left"/>
        <w:rPr>
          <w:rStyle w:val="apple-converted-space"/>
          <w:rFonts w:ascii="Times New Roman" w:hAnsi="Times New Roman" w:cs="Times New Roman"/>
          <w:color w:val="000000"/>
          <w:szCs w:val="17"/>
          <w:shd w:val="clear" w:color="auto" w:fill="FFFFFF"/>
        </w:rPr>
      </w:pPr>
      <w:r w:rsidRPr="00A91BF7">
        <w:rPr>
          <w:rFonts w:ascii="Times New Roman" w:hAnsi="Times New Roman" w:cs="Times New Roman"/>
          <w:sz w:val="22"/>
          <w:szCs w:val="24"/>
        </w:rPr>
        <w:lastRenderedPageBreak/>
        <w:t>Restrictions in the</w:t>
      </w:r>
      <w:r w:rsidRPr="00A91BF7">
        <w:rPr>
          <w:rFonts w:ascii="Times New Roman" w:hAnsi="Times New Roman" w:cs="Times New Roman" w:hint="eastAsia"/>
          <w:sz w:val="22"/>
          <w:szCs w:val="24"/>
        </w:rPr>
        <w:t xml:space="preserve"> application of </w:t>
      </w:r>
      <w:proofErr w:type="spellStart"/>
      <w:r w:rsidRPr="00A91BF7">
        <w:rPr>
          <w:rFonts w:ascii="Times New Roman" w:hAnsi="Times New Roman" w:cs="Times New Roman" w:hint="eastAsia"/>
          <w:sz w:val="22"/>
          <w:szCs w:val="24"/>
        </w:rPr>
        <w:t>i</w:t>
      </w:r>
      <w:r w:rsidRPr="00A91BF7">
        <w:rPr>
          <w:rFonts w:ascii="Times New Roman" w:hAnsi="Times New Roman" w:cs="Times New Roman"/>
          <w:sz w:val="22"/>
          <w:szCs w:val="24"/>
        </w:rPr>
        <w:t>midacloprid</w:t>
      </w:r>
      <w:proofErr w:type="spellEnd"/>
      <w:r w:rsidRPr="00A91BF7">
        <w:rPr>
          <w:rFonts w:ascii="Times New Roman" w:hAnsi="Times New Roman" w:cs="Times New Roman" w:hint="eastAsia"/>
          <w:sz w:val="22"/>
          <w:szCs w:val="24"/>
        </w:rPr>
        <w:t xml:space="preserve"> and </w:t>
      </w:r>
      <w:proofErr w:type="spellStart"/>
      <w:r w:rsidRPr="00A91BF7">
        <w:rPr>
          <w:rFonts w:ascii="Times New Roman" w:hAnsi="Times New Roman" w:cs="Times New Roman" w:hint="eastAsia"/>
          <w:sz w:val="22"/>
          <w:szCs w:val="24"/>
        </w:rPr>
        <w:t>acetamiprid</w:t>
      </w:r>
      <w:proofErr w:type="spellEnd"/>
      <w:r w:rsidRPr="00A91BF7">
        <w:rPr>
          <w:rFonts w:ascii="Times New Roman" w:hAnsi="Times New Roman" w:cs="Times New Roman" w:hint="eastAsia"/>
          <w:sz w:val="22"/>
          <w:szCs w:val="24"/>
        </w:rPr>
        <w:t xml:space="preserve"> in China</w:t>
      </w:r>
      <w:r w:rsidRPr="00A91BF7">
        <w:rPr>
          <w:rFonts w:ascii="Times New Roman" w:hAnsi="Times New Roman" w:cs="Times New Roman"/>
          <w:sz w:val="22"/>
          <w:szCs w:val="24"/>
        </w:rPr>
        <w:t xml:space="preserve"> has also been a major shift in pesticide use in tea.  </w:t>
      </w:r>
      <w:proofErr w:type="spellStart"/>
      <w:r w:rsidRPr="00A91BF7">
        <w:rPr>
          <w:rFonts w:ascii="Times New Roman" w:hAnsi="Times New Roman" w:cs="Times New Roman"/>
          <w:sz w:val="22"/>
          <w:szCs w:val="24"/>
        </w:rPr>
        <w:t>Imidacloprid</w:t>
      </w:r>
      <w:proofErr w:type="spellEnd"/>
      <w:r w:rsidRPr="00A91BF7">
        <w:rPr>
          <w:rFonts w:ascii="Times New Roman" w:hAnsi="Times New Roman" w:cs="Times New Roman" w:hint="eastAsia"/>
          <w:sz w:val="22"/>
          <w:szCs w:val="24"/>
        </w:rPr>
        <w:t xml:space="preserve"> and </w:t>
      </w:r>
      <w:proofErr w:type="spellStart"/>
      <w:r w:rsidRPr="00A91BF7">
        <w:rPr>
          <w:rFonts w:ascii="Times New Roman" w:hAnsi="Times New Roman" w:cs="Times New Roman" w:hint="eastAsia"/>
          <w:sz w:val="22"/>
          <w:szCs w:val="24"/>
        </w:rPr>
        <w:t>acetamiprid</w:t>
      </w:r>
      <w:proofErr w:type="spellEnd"/>
      <w:r w:rsidRPr="00A91BF7">
        <w:rPr>
          <w:rFonts w:ascii="Times New Roman" w:hAnsi="Times New Roman" w:cs="Times New Roman" w:hint="eastAsia"/>
          <w:sz w:val="22"/>
          <w:szCs w:val="24"/>
        </w:rPr>
        <w:t xml:space="preserve"> were advised not to </w:t>
      </w:r>
      <w:r w:rsidRPr="00A91BF7">
        <w:rPr>
          <w:rFonts w:ascii="Times New Roman" w:hAnsi="Times New Roman" w:cs="Times New Roman"/>
          <w:sz w:val="22"/>
          <w:szCs w:val="24"/>
        </w:rPr>
        <w:t xml:space="preserve">be </w:t>
      </w:r>
      <w:r w:rsidRPr="00A91BF7">
        <w:rPr>
          <w:rFonts w:ascii="Times New Roman" w:hAnsi="Times New Roman" w:cs="Times New Roman" w:hint="eastAsia"/>
          <w:sz w:val="22"/>
          <w:szCs w:val="24"/>
        </w:rPr>
        <w:t>use</w:t>
      </w:r>
      <w:r w:rsidRPr="00A91BF7">
        <w:rPr>
          <w:rFonts w:ascii="Times New Roman" w:hAnsi="Times New Roman" w:cs="Times New Roman"/>
          <w:sz w:val="22"/>
          <w:szCs w:val="24"/>
        </w:rPr>
        <w:t>d</w:t>
      </w:r>
      <w:r w:rsidRPr="00A91BF7">
        <w:rPr>
          <w:rFonts w:ascii="Times New Roman" w:hAnsi="Times New Roman" w:cs="Times New Roman" w:hint="eastAsia"/>
          <w:sz w:val="22"/>
          <w:szCs w:val="24"/>
        </w:rPr>
        <w:t xml:space="preserve"> in tea plantation in China</w:t>
      </w:r>
      <w:r w:rsidRPr="00A91BF7">
        <w:rPr>
          <w:rFonts w:ascii="Times New Roman" w:hAnsi="Times New Roman" w:cs="Times New Roman"/>
          <w:sz w:val="22"/>
          <w:szCs w:val="24"/>
        </w:rPr>
        <w:t xml:space="preserve"> due to high water solubility</w:t>
      </w:r>
      <w:r w:rsidRPr="00A91BF7">
        <w:rPr>
          <w:rFonts w:ascii="Times New Roman" w:hAnsi="Times New Roman" w:cs="Times New Roman" w:hint="eastAsia"/>
          <w:sz w:val="22"/>
          <w:szCs w:val="24"/>
        </w:rPr>
        <w:t xml:space="preserve">. In the following years, measures to decrease the amount of </w:t>
      </w:r>
      <w:proofErr w:type="spellStart"/>
      <w:r w:rsidRPr="00A91BF7">
        <w:rPr>
          <w:rFonts w:ascii="Times New Roman" w:hAnsi="Times New Roman" w:cs="Times New Roman" w:hint="eastAsia"/>
          <w:sz w:val="22"/>
          <w:szCs w:val="24"/>
        </w:rPr>
        <w:t>i</w:t>
      </w:r>
      <w:r w:rsidRPr="00A91BF7">
        <w:rPr>
          <w:rFonts w:ascii="Times New Roman" w:hAnsi="Times New Roman" w:cs="Times New Roman"/>
          <w:sz w:val="22"/>
          <w:szCs w:val="24"/>
        </w:rPr>
        <w:t>midacloprid</w:t>
      </w:r>
      <w:proofErr w:type="spellEnd"/>
      <w:r w:rsidRPr="00A91BF7">
        <w:rPr>
          <w:rFonts w:ascii="Times New Roman" w:hAnsi="Times New Roman" w:cs="Times New Roman" w:hint="eastAsia"/>
          <w:sz w:val="22"/>
          <w:szCs w:val="24"/>
        </w:rPr>
        <w:t xml:space="preserve"> and </w:t>
      </w:r>
      <w:proofErr w:type="spellStart"/>
      <w:r w:rsidRPr="00A91BF7">
        <w:rPr>
          <w:rFonts w:ascii="Times New Roman" w:hAnsi="Times New Roman" w:cs="Times New Roman" w:hint="eastAsia"/>
          <w:sz w:val="22"/>
          <w:szCs w:val="24"/>
        </w:rPr>
        <w:t>acetamiprid</w:t>
      </w:r>
      <w:proofErr w:type="spellEnd"/>
      <w:r w:rsidRPr="00A91BF7">
        <w:rPr>
          <w:rFonts w:ascii="Times New Roman" w:hAnsi="Times New Roman" w:cs="Times New Roman" w:hint="eastAsia"/>
          <w:sz w:val="22"/>
          <w:szCs w:val="24"/>
        </w:rPr>
        <w:t xml:space="preserve"> applied in tea plantation </w:t>
      </w:r>
      <w:r w:rsidRPr="00A91BF7">
        <w:rPr>
          <w:rFonts w:ascii="Times New Roman" w:hAnsi="Times New Roman" w:cs="Times New Roman"/>
          <w:sz w:val="22"/>
          <w:szCs w:val="24"/>
        </w:rPr>
        <w:t xml:space="preserve">would increase </w:t>
      </w:r>
      <w:r w:rsidRPr="00A91BF7">
        <w:rPr>
          <w:rFonts w:ascii="Times New Roman" w:hAnsi="Times New Roman" w:cs="Times New Roman" w:hint="eastAsia"/>
          <w:sz w:val="22"/>
          <w:szCs w:val="24"/>
        </w:rPr>
        <w:t>until zero application.</w:t>
      </w:r>
      <w:r w:rsidRPr="00A91BF7">
        <w:rPr>
          <w:rFonts w:ascii="Times New Roman" w:hAnsi="Times New Roman" w:cs="Times New Roman"/>
          <w:sz w:val="22"/>
          <w:szCs w:val="24"/>
        </w:rPr>
        <w:t xml:space="preserve"> </w:t>
      </w:r>
      <w:r w:rsidRPr="00A91BF7">
        <w:rPr>
          <w:rFonts w:ascii="Times New Roman" w:hAnsi="Times New Roman"/>
          <w:sz w:val="22"/>
          <w:szCs w:val="24"/>
        </w:rPr>
        <w:t>Recently,</w:t>
      </w:r>
      <w:r w:rsidRPr="00A91BF7">
        <w:rPr>
          <w:rFonts w:ascii="Times New Roman" w:hAnsi="Times New Roman" w:hint="eastAsia"/>
          <w:sz w:val="22"/>
          <w:szCs w:val="24"/>
        </w:rPr>
        <w:t xml:space="preserve"> </w:t>
      </w:r>
      <w:proofErr w:type="spellStart"/>
      <w:r w:rsidRPr="00A91BF7">
        <w:rPr>
          <w:rFonts w:ascii="Times New Roman" w:hAnsi="Times New Roman"/>
          <w:sz w:val="22"/>
          <w:szCs w:val="24"/>
        </w:rPr>
        <w:t>indoxacarb</w:t>
      </w:r>
      <w:proofErr w:type="spellEnd"/>
      <w:r w:rsidRPr="00A91BF7">
        <w:rPr>
          <w:rFonts w:ascii="Times New Roman" w:hAnsi="Times New Roman"/>
          <w:sz w:val="22"/>
          <w:szCs w:val="24"/>
        </w:rPr>
        <w:t xml:space="preserve"> </w:t>
      </w:r>
      <w:r w:rsidRPr="00A91BF7">
        <w:rPr>
          <w:rFonts w:ascii="Times New Roman" w:hAnsi="Times New Roman" w:hint="eastAsia"/>
          <w:sz w:val="22"/>
          <w:szCs w:val="24"/>
        </w:rPr>
        <w:t xml:space="preserve">was selected to substitute </w:t>
      </w:r>
      <w:r w:rsidRPr="00A91BF7">
        <w:rPr>
          <w:rFonts w:ascii="Times New Roman" w:hAnsi="Times New Roman"/>
          <w:sz w:val="22"/>
          <w:szCs w:val="24"/>
        </w:rPr>
        <w:t>neonicotinoids</w:t>
      </w:r>
      <w:r w:rsidRPr="00A91BF7">
        <w:rPr>
          <w:rFonts w:ascii="Times New Roman" w:hAnsi="Times New Roman" w:hint="eastAsia"/>
          <w:sz w:val="22"/>
          <w:szCs w:val="24"/>
        </w:rPr>
        <w:t xml:space="preserve"> in tea in China</w:t>
      </w:r>
      <w:r w:rsidRPr="00A91BF7">
        <w:rPr>
          <w:rFonts w:ascii="Times New Roman" w:hAnsi="Times New Roman"/>
          <w:sz w:val="22"/>
          <w:szCs w:val="24"/>
        </w:rPr>
        <w:t xml:space="preserve"> and the pesticide was registered in 2016.</w:t>
      </w:r>
    </w:p>
    <w:p w:rsidR="00710386" w:rsidRDefault="00710386" w:rsidP="009B03BD">
      <w:pPr>
        <w:rPr>
          <w:rStyle w:val="apple-converted-space"/>
          <w:rFonts w:cs="Times New Roman"/>
          <w:color w:val="000000"/>
          <w:szCs w:val="17"/>
          <w:shd w:val="clear" w:color="auto" w:fill="FFFFFF"/>
        </w:rPr>
      </w:pPr>
      <w:r w:rsidRPr="00F320F3">
        <w:rPr>
          <w:rFonts w:cs="Times New Roman"/>
        </w:rPr>
        <w:t xml:space="preserve">(4) To assess status &amp; development of required infrastructure &amp; new methods to cope with </w:t>
      </w:r>
      <w:proofErr w:type="gramStart"/>
      <w:r w:rsidRPr="00F320F3">
        <w:rPr>
          <w:rFonts w:cs="Times New Roman"/>
        </w:rPr>
        <w:t>changing  situations</w:t>
      </w:r>
      <w:proofErr w:type="gramEnd"/>
      <w:r w:rsidRPr="00F320F3">
        <w:rPr>
          <w:rFonts w:cs="Times New Roman"/>
        </w:rPr>
        <w:t xml:space="preserve"> &amp; cost.</w:t>
      </w:r>
    </w:p>
    <w:p w:rsidR="00710386" w:rsidRPr="0020097F" w:rsidRDefault="00710386" w:rsidP="009B03BD">
      <w:pPr>
        <w:ind w:left="360"/>
        <w:rPr>
          <w:rStyle w:val="apple-converted-space"/>
          <w:rFonts w:cs="Times New Roman"/>
          <w:color w:val="000000"/>
          <w:szCs w:val="17"/>
          <w:shd w:val="clear" w:color="auto" w:fill="FFFFFF"/>
        </w:rPr>
      </w:pPr>
      <w:r>
        <w:rPr>
          <w:rStyle w:val="apple-converted-space"/>
          <w:rFonts w:cs="Times New Roman"/>
          <w:color w:val="000000"/>
          <w:szCs w:val="17"/>
          <w:shd w:val="clear" w:color="auto" w:fill="FFFFFF"/>
        </w:rPr>
        <w:t xml:space="preserve">Most of the pesticides in the priority list are amenable to analysis by LC or GC_MS/MS and the conventional techniques are of little use.  Therefore, </w:t>
      </w:r>
      <w:r>
        <w:rPr>
          <w:rFonts w:cs="Times New Roman"/>
          <w:color w:val="000000"/>
          <w:szCs w:val="17"/>
          <w:shd w:val="clear" w:color="auto" w:fill="FFFFFF"/>
        </w:rPr>
        <w:t>r</w:t>
      </w:r>
      <w:r w:rsidRPr="008C4493">
        <w:rPr>
          <w:rFonts w:cs="Times New Roman"/>
          <w:color w:val="000000"/>
          <w:szCs w:val="17"/>
          <w:shd w:val="clear" w:color="auto" w:fill="FFFFFF"/>
        </w:rPr>
        <w:t xml:space="preserve">equired infrastructure for data generation with </w:t>
      </w:r>
      <w:r>
        <w:rPr>
          <w:rFonts w:cs="Times New Roman"/>
          <w:color w:val="000000"/>
          <w:szCs w:val="17"/>
          <w:shd w:val="clear" w:color="auto" w:fill="FFFFFF"/>
        </w:rPr>
        <w:t>t</w:t>
      </w:r>
      <w:r w:rsidRPr="008C4493">
        <w:rPr>
          <w:rFonts w:cs="Times New Roman"/>
          <w:color w:val="000000"/>
          <w:szCs w:val="17"/>
          <w:shd w:val="clear" w:color="auto" w:fill="FFFFFF"/>
        </w:rPr>
        <w:t xml:space="preserve">riple quad LC-MS/MS and GC-MS/MS </w:t>
      </w:r>
      <w:r>
        <w:rPr>
          <w:rFonts w:cs="Times New Roman"/>
          <w:color w:val="000000"/>
          <w:szCs w:val="17"/>
          <w:shd w:val="clear" w:color="auto" w:fill="FFFFFF"/>
        </w:rPr>
        <w:t xml:space="preserve">based methods </w:t>
      </w:r>
      <w:r w:rsidRPr="008C4493">
        <w:rPr>
          <w:rFonts w:cs="Times New Roman"/>
          <w:color w:val="000000"/>
          <w:szCs w:val="17"/>
          <w:shd w:val="clear" w:color="auto" w:fill="FFFFFF"/>
        </w:rPr>
        <w:t xml:space="preserve">needs to be established. </w:t>
      </w:r>
      <w:r>
        <w:rPr>
          <w:rFonts w:cs="Times New Roman"/>
          <w:color w:val="000000"/>
          <w:szCs w:val="17"/>
          <w:shd w:val="clear" w:color="auto" w:fill="FFFFFF"/>
        </w:rPr>
        <w:t xml:space="preserve"> Source of funding needs to be explored as these equipment are very expensive. </w:t>
      </w:r>
    </w:p>
    <w:p w:rsidR="00710386" w:rsidRDefault="00710386" w:rsidP="009B03BD">
      <w:pPr>
        <w:rPr>
          <w:rStyle w:val="apple-converted-space"/>
          <w:color w:val="000000"/>
          <w:szCs w:val="17"/>
          <w:shd w:val="clear" w:color="auto" w:fill="FFFFFF"/>
        </w:rPr>
      </w:pPr>
      <w:r>
        <w:rPr>
          <w:rFonts w:cs="Times New Roman"/>
        </w:rPr>
        <w:t>(</w:t>
      </w:r>
      <w:r w:rsidRPr="00F320F3">
        <w:rPr>
          <w:rFonts w:cs="Times New Roman"/>
        </w:rPr>
        <w:t xml:space="preserve">5) Communication plan for quick information exchange and advance notification for simultaneous data submission by </w:t>
      </w:r>
      <w:proofErr w:type="gramStart"/>
      <w:r w:rsidRPr="00F320F3">
        <w:rPr>
          <w:rFonts w:cs="Times New Roman"/>
        </w:rPr>
        <w:t>members  &amp;</w:t>
      </w:r>
      <w:proofErr w:type="gramEnd"/>
      <w:r w:rsidRPr="00F320F3">
        <w:rPr>
          <w:rFonts w:cs="Times New Roman"/>
        </w:rPr>
        <w:t xml:space="preserve">  seeking manufacturers support and  to negate adverse publicity.</w:t>
      </w:r>
    </w:p>
    <w:p w:rsidR="00710386" w:rsidRDefault="00710386" w:rsidP="009B03BD">
      <w:pPr>
        <w:ind w:left="360"/>
        <w:rPr>
          <w:rStyle w:val="apple-converted-space"/>
          <w:rFonts w:cs="Times New Roman"/>
          <w:color w:val="000000"/>
          <w:szCs w:val="17"/>
          <w:shd w:val="clear" w:color="auto" w:fill="FFFFFF"/>
        </w:rPr>
      </w:pPr>
      <w:r w:rsidRPr="00534AF1">
        <w:rPr>
          <w:rStyle w:val="apple-converted-space"/>
          <w:rFonts w:cs="Times New Roman"/>
          <w:color w:val="000000"/>
          <w:szCs w:val="17"/>
          <w:shd w:val="clear" w:color="auto" w:fill="FFFFFF"/>
        </w:rPr>
        <w:t xml:space="preserve">The IGG forum provides a scope for use by members for quick information exchange as required for </w:t>
      </w:r>
      <w:proofErr w:type="spellStart"/>
      <w:r w:rsidRPr="00534AF1">
        <w:rPr>
          <w:rStyle w:val="apple-converted-space"/>
          <w:rFonts w:cs="Times New Roman"/>
          <w:color w:val="000000"/>
          <w:szCs w:val="17"/>
          <w:shd w:val="clear" w:color="auto" w:fill="FFFFFF"/>
        </w:rPr>
        <w:t>updation</w:t>
      </w:r>
      <w:proofErr w:type="spellEnd"/>
      <w:r w:rsidRPr="00534AF1">
        <w:rPr>
          <w:rStyle w:val="apple-converted-space"/>
          <w:rFonts w:cs="Times New Roman"/>
          <w:color w:val="000000"/>
          <w:szCs w:val="17"/>
          <w:shd w:val="clear" w:color="auto" w:fill="FFFFFF"/>
        </w:rPr>
        <w:t xml:space="preserve"> of priority list, advance notification by members for data submission and for seeking specific support from stakeholders </w:t>
      </w:r>
      <w:r w:rsidRPr="00534AF1">
        <w:rPr>
          <w:rFonts w:cs="Times New Roman"/>
        </w:rPr>
        <w:t>and  to negate adverse publicity</w:t>
      </w:r>
      <w:r w:rsidRPr="00534AF1">
        <w:rPr>
          <w:rStyle w:val="apple-converted-space"/>
          <w:rFonts w:cs="Times New Roman"/>
          <w:color w:val="000000"/>
          <w:szCs w:val="17"/>
          <w:shd w:val="clear" w:color="auto" w:fill="FFFFFF"/>
        </w:rPr>
        <w:t xml:space="preserve">.  </w:t>
      </w:r>
    </w:p>
    <w:p w:rsidR="00710386" w:rsidRPr="00F320F3" w:rsidRDefault="00710386" w:rsidP="009B03BD">
      <w:pPr>
        <w:rPr>
          <w:rFonts w:cs="Times New Roman"/>
        </w:rPr>
      </w:pPr>
      <w:r w:rsidRPr="00F320F3">
        <w:rPr>
          <w:rFonts w:cs="Times New Roman"/>
        </w:rPr>
        <w:t xml:space="preserve">(6) Data submission to include brew factor based risk assessment for all teas traded globally except </w:t>
      </w:r>
      <w:proofErr w:type="spellStart"/>
      <w:r w:rsidRPr="00F320F3">
        <w:rPr>
          <w:rFonts w:cs="Times New Roman"/>
        </w:rPr>
        <w:t>Matcha</w:t>
      </w:r>
      <w:proofErr w:type="spellEnd"/>
      <w:r w:rsidRPr="00F320F3">
        <w:rPr>
          <w:rFonts w:cs="Times New Roman"/>
        </w:rPr>
        <w:t xml:space="preserve"> Tea.</w:t>
      </w:r>
    </w:p>
    <w:p w:rsidR="00710386" w:rsidRDefault="00710386" w:rsidP="009B03BD">
      <w:pPr>
        <w:ind w:left="270"/>
        <w:rPr>
          <w:rStyle w:val="apple-converted-space"/>
          <w:rFonts w:cs="Times New Roman"/>
          <w:color w:val="000000"/>
          <w:szCs w:val="17"/>
        </w:rPr>
      </w:pPr>
      <w:r w:rsidRPr="007305AF">
        <w:rPr>
          <w:rStyle w:val="apple-converted-space"/>
          <w:rFonts w:cs="Times New Roman"/>
          <w:color w:val="000000"/>
          <w:szCs w:val="17"/>
        </w:rPr>
        <w:t>Data submitted by India</w:t>
      </w:r>
      <w:r>
        <w:rPr>
          <w:rStyle w:val="apple-converted-space"/>
          <w:rFonts w:cs="Times New Roman"/>
          <w:color w:val="000000"/>
          <w:szCs w:val="17"/>
        </w:rPr>
        <w:t xml:space="preserve"> </w:t>
      </w:r>
      <w:r w:rsidRPr="007305AF">
        <w:rPr>
          <w:rStyle w:val="apple-converted-space"/>
          <w:rFonts w:cs="Times New Roman"/>
          <w:color w:val="000000"/>
          <w:szCs w:val="17"/>
        </w:rPr>
        <w:t>in Dec 2016</w:t>
      </w:r>
      <w:r>
        <w:rPr>
          <w:rStyle w:val="apple-converted-space"/>
          <w:rFonts w:cs="Times New Roman"/>
          <w:color w:val="000000"/>
          <w:szCs w:val="17"/>
        </w:rPr>
        <w:t xml:space="preserve"> on</w:t>
      </w:r>
      <w:r w:rsidRPr="007305AF">
        <w:rPr>
          <w:rStyle w:val="apple-converted-space"/>
          <w:rFonts w:cs="Times New Roman"/>
          <w:color w:val="000000"/>
          <w:szCs w:val="17"/>
        </w:rPr>
        <w:t xml:space="preserve"> </w:t>
      </w:r>
      <w:proofErr w:type="spellStart"/>
      <w:r w:rsidRPr="007305AF">
        <w:rPr>
          <w:rStyle w:val="apple-converted-space"/>
          <w:rFonts w:cs="Times New Roman"/>
          <w:color w:val="000000"/>
          <w:szCs w:val="17"/>
        </w:rPr>
        <w:t>Acetamiprid</w:t>
      </w:r>
      <w:proofErr w:type="spellEnd"/>
      <w:r w:rsidRPr="007305AF">
        <w:rPr>
          <w:rStyle w:val="apple-converted-space"/>
          <w:rFonts w:cs="Times New Roman"/>
          <w:color w:val="000000"/>
          <w:szCs w:val="17"/>
        </w:rPr>
        <w:t xml:space="preserve">, </w:t>
      </w:r>
      <w:proofErr w:type="spellStart"/>
      <w:r w:rsidRPr="007305AF">
        <w:rPr>
          <w:rStyle w:val="apple-converted-space"/>
          <w:rFonts w:cs="Times New Roman"/>
          <w:color w:val="000000"/>
          <w:szCs w:val="17"/>
        </w:rPr>
        <w:t>Ethion</w:t>
      </w:r>
      <w:proofErr w:type="spellEnd"/>
      <w:r w:rsidRPr="007305AF">
        <w:rPr>
          <w:rStyle w:val="apple-converted-space"/>
          <w:rFonts w:cs="Times New Roman"/>
          <w:color w:val="000000"/>
          <w:szCs w:val="17"/>
        </w:rPr>
        <w:t xml:space="preserve">, </w:t>
      </w:r>
      <w:proofErr w:type="spellStart"/>
      <w:r w:rsidRPr="007305AF">
        <w:rPr>
          <w:rStyle w:val="apple-converted-space"/>
          <w:rFonts w:cs="Times New Roman"/>
          <w:color w:val="000000"/>
          <w:szCs w:val="17"/>
        </w:rPr>
        <w:t>Fenazaquin</w:t>
      </w:r>
      <w:proofErr w:type="spellEnd"/>
      <w:r w:rsidRPr="007305AF">
        <w:rPr>
          <w:rStyle w:val="apple-converted-space"/>
          <w:rFonts w:cs="Times New Roman"/>
          <w:color w:val="000000"/>
          <w:szCs w:val="17"/>
        </w:rPr>
        <w:t xml:space="preserve">, </w:t>
      </w:r>
      <w:proofErr w:type="spellStart"/>
      <w:r w:rsidRPr="007305AF">
        <w:rPr>
          <w:rStyle w:val="apple-converted-space"/>
          <w:rFonts w:cs="Times New Roman"/>
          <w:color w:val="000000"/>
          <w:szCs w:val="17"/>
        </w:rPr>
        <w:t>Dimethoate</w:t>
      </w:r>
      <w:proofErr w:type="spellEnd"/>
      <w:r w:rsidRPr="007305AF">
        <w:rPr>
          <w:rStyle w:val="apple-converted-space"/>
          <w:rFonts w:cs="Times New Roman"/>
          <w:color w:val="000000"/>
          <w:szCs w:val="17"/>
        </w:rPr>
        <w:t xml:space="preserve">, </w:t>
      </w:r>
      <w:proofErr w:type="spellStart"/>
      <w:r w:rsidRPr="007305AF">
        <w:rPr>
          <w:rStyle w:val="apple-converted-space"/>
          <w:rFonts w:cs="Times New Roman"/>
          <w:color w:val="000000"/>
          <w:szCs w:val="17"/>
        </w:rPr>
        <w:t>Imidacloprid</w:t>
      </w:r>
      <w:proofErr w:type="spellEnd"/>
      <w:r w:rsidRPr="007305AF">
        <w:rPr>
          <w:rStyle w:val="apple-converted-space"/>
          <w:rFonts w:cs="Times New Roman"/>
          <w:color w:val="000000"/>
          <w:szCs w:val="17"/>
        </w:rPr>
        <w:t xml:space="preserve">, </w:t>
      </w:r>
      <w:proofErr w:type="spellStart"/>
      <w:r w:rsidRPr="007305AF">
        <w:rPr>
          <w:rStyle w:val="apple-converted-space"/>
          <w:rFonts w:cs="Times New Roman"/>
          <w:color w:val="000000"/>
          <w:szCs w:val="17"/>
        </w:rPr>
        <w:t>Profenofos</w:t>
      </w:r>
      <w:proofErr w:type="spellEnd"/>
      <w:r w:rsidRPr="007305AF">
        <w:rPr>
          <w:rStyle w:val="apple-converted-space"/>
          <w:rFonts w:cs="Times New Roman"/>
          <w:color w:val="000000"/>
          <w:szCs w:val="17"/>
        </w:rPr>
        <w:t>, Quinalphos, L-</w:t>
      </w:r>
      <w:proofErr w:type="spellStart"/>
      <w:r w:rsidRPr="007305AF">
        <w:rPr>
          <w:rStyle w:val="apple-converted-space"/>
          <w:rFonts w:cs="Times New Roman"/>
          <w:color w:val="000000"/>
          <w:szCs w:val="17"/>
        </w:rPr>
        <w:t>Cyhalothrin</w:t>
      </w:r>
      <w:proofErr w:type="spellEnd"/>
      <w:r w:rsidRPr="007305AF">
        <w:rPr>
          <w:rStyle w:val="apple-converted-space"/>
          <w:rFonts w:cs="Times New Roman"/>
          <w:color w:val="000000"/>
          <w:szCs w:val="17"/>
        </w:rPr>
        <w:t xml:space="preserve">, 2-4-D, </w:t>
      </w:r>
      <w:proofErr w:type="spellStart"/>
      <w:r w:rsidRPr="007305AF">
        <w:rPr>
          <w:rStyle w:val="apple-converted-space"/>
          <w:rFonts w:cs="Times New Roman"/>
          <w:color w:val="000000"/>
          <w:szCs w:val="17"/>
        </w:rPr>
        <w:t>Propiconazole</w:t>
      </w:r>
      <w:proofErr w:type="spellEnd"/>
      <w:r w:rsidRPr="007305AF">
        <w:rPr>
          <w:rStyle w:val="apple-converted-space"/>
          <w:rFonts w:cs="Times New Roman"/>
          <w:color w:val="000000"/>
          <w:szCs w:val="17"/>
        </w:rPr>
        <w:t xml:space="preserve">, </w:t>
      </w:r>
      <w:proofErr w:type="spellStart"/>
      <w:r w:rsidRPr="007305AF">
        <w:rPr>
          <w:rStyle w:val="apple-converted-space"/>
          <w:rFonts w:cs="Times New Roman"/>
          <w:color w:val="000000"/>
          <w:szCs w:val="17"/>
        </w:rPr>
        <w:t>Hexaconazole</w:t>
      </w:r>
      <w:proofErr w:type="spellEnd"/>
      <w:r w:rsidRPr="007305AF">
        <w:rPr>
          <w:rStyle w:val="apple-converted-space"/>
          <w:rFonts w:cs="Times New Roman"/>
          <w:color w:val="000000"/>
          <w:szCs w:val="17"/>
        </w:rPr>
        <w:t xml:space="preserve">, </w:t>
      </w:r>
      <w:proofErr w:type="spellStart"/>
      <w:r w:rsidRPr="007305AF">
        <w:rPr>
          <w:rStyle w:val="apple-converted-space"/>
          <w:rFonts w:cs="Times New Roman"/>
          <w:color w:val="000000"/>
          <w:szCs w:val="17"/>
        </w:rPr>
        <w:t>Tebuconazole</w:t>
      </w:r>
      <w:proofErr w:type="spellEnd"/>
      <w:r>
        <w:rPr>
          <w:rStyle w:val="apple-converted-space"/>
          <w:rFonts w:cs="Times New Roman"/>
          <w:color w:val="000000"/>
          <w:szCs w:val="17"/>
        </w:rPr>
        <w:t xml:space="preserve"> in tea for JMPR evaluation were </w:t>
      </w:r>
      <w:r w:rsidRPr="007305AF">
        <w:rPr>
          <w:rStyle w:val="apple-converted-space"/>
          <w:rFonts w:cs="Times New Roman"/>
          <w:color w:val="000000"/>
          <w:szCs w:val="17"/>
        </w:rPr>
        <w:t>with brew factor based risk assessment.</w:t>
      </w:r>
      <w:r>
        <w:rPr>
          <w:rStyle w:val="apple-converted-space"/>
          <w:rFonts w:cs="Times New Roman"/>
          <w:color w:val="000000"/>
          <w:szCs w:val="17"/>
        </w:rPr>
        <w:t xml:space="preserve">  </w:t>
      </w:r>
    </w:p>
    <w:p w:rsidR="00710386" w:rsidRDefault="00710386" w:rsidP="009B03BD">
      <w:pPr>
        <w:pStyle w:val="NewPara"/>
        <w:numPr>
          <w:ilvl w:val="0"/>
          <w:numId w:val="0"/>
        </w:numPr>
        <w:rPr>
          <w:rFonts w:cs="Times New Roman"/>
        </w:rPr>
      </w:pPr>
      <w:r>
        <w:rPr>
          <w:rStyle w:val="apple-converted-space"/>
          <w:rFonts w:cs="Times New Roman"/>
          <w:color w:val="000000"/>
          <w:szCs w:val="17"/>
        </w:rPr>
        <w:t xml:space="preserve">Data submitted by </w:t>
      </w:r>
      <w:proofErr w:type="gramStart"/>
      <w:r>
        <w:rPr>
          <w:rStyle w:val="apple-converted-space"/>
          <w:rFonts w:cs="Times New Roman"/>
          <w:color w:val="000000"/>
          <w:szCs w:val="17"/>
        </w:rPr>
        <w:t>China  also</w:t>
      </w:r>
      <w:proofErr w:type="gramEnd"/>
      <w:r>
        <w:rPr>
          <w:rStyle w:val="apple-converted-space"/>
          <w:rFonts w:cs="Times New Roman"/>
          <w:color w:val="000000"/>
          <w:szCs w:val="17"/>
        </w:rPr>
        <w:t xml:space="preserve"> used this approach of risk assessment for </w:t>
      </w:r>
      <w:proofErr w:type="spellStart"/>
      <w:r>
        <w:rPr>
          <w:rFonts w:cs="Times New Roman"/>
        </w:rPr>
        <w:t>Chlorfenapyr</w:t>
      </w:r>
      <w:proofErr w:type="spellEnd"/>
      <w:r>
        <w:rPr>
          <w:rFonts w:cs="Times New Roman"/>
        </w:rPr>
        <w:t xml:space="preserve">, </w:t>
      </w:r>
      <w:proofErr w:type="spellStart"/>
      <w:r>
        <w:rPr>
          <w:rFonts w:cs="Times New Roman"/>
        </w:rPr>
        <w:t>Indoxacarb</w:t>
      </w:r>
      <w:proofErr w:type="spellEnd"/>
      <w:r>
        <w:rPr>
          <w:rFonts w:cs="Times New Roman"/>
        </w:rPr>
        <w:t xml:space="preserve"> and </w:t>
      </w:r>
      <w:proofErr w:type="spellStart"/>
      <w:r>
        <w:rPr>
          <w:rFonts w:cs="Times New Roman"/>
        </w:rPr>
        <w:t>Tolfenpyrad</w:t>
      </w:r>
      <w:proofErr w:type="spellEnd"/>
      <w:r>
        <w:rPr>
          <w:rFonts w:cs="Times New Roman"/>
        </w:rPr>
        <w:t xml:space="preserve"> as shown below:</w:t>
      </w:r>
    </w:p>
    <w:p w:rsidR="00710386" w:rsidRPr="00710386" w:rsidRDefault="00710386" w:rsidP="00710386">
      <w:pPr>
        <w:widowControl w:val="0"/>
        <w:spacing w:after="0"/>
        <w:ind w:firstLine="270"/>
        <w:jc w:val="both"/>
        <w:rPr>
          <w:rFonts w:eastAsia="SimSun" w:cs="Times New Roman"/>
          <w:kern w:val="2"/>
          <w:szCs w:val="24"/>
          <w:lang w:eastAsia="zh-CN"/>
        </w:rPr>
      </w:pPr>
      <w:r w:rsidRPr="00710386">
        <w:rPr>
          <w:rFonts w:eastAsia="SimSun" w:cs="Times New Roman"/>
          <w:kern w:val="2"/>
          <w:szCs w:val="24"/>
          <w:lang w:eastAsia="zh-CN"/>
        </w:rPr>
        <w:t xml:space="preserve">Results of the </w:t>
      </w:r>
      <w:proofErr w:type="spellStart"/>
      <w:r w:rsidRPr="00710386">
        <w:rPr>
          <w:rFonts w:eastAsia="SimSun" w:cs="Times New Roman"/>
          <w:kern w:val="2"/>
          <w:szCs w:val="24"/>
          <w:lang w:eastAsia="zh-CN"/>
        </w:rPr>
        <w:t>chlorfenapyr</w:t>
      </w:r>
      <w:proofErr w:type="spellEnd"/>
      <w:r w:rsidRPr="00710386">
        <w:rPr>
          <w:rFonts w:eastAsia="SimSun" w:cs="Times New Roman"/>
          <w:kern w:val="2"/>
          <w:szCs w:val="24"/>
          <w:lang w:eastAsia="zh-CN"/>
        </w:rPr>
        <w:t xml:space="preserve">, </w:t>
      </w:r>
      <w:proofErr w:type="spellStart"/>
      <w:r w:rsidRPr="00710386">
        <w:rPr>
          <w:rFonts w:eastAsia="SimSun" w:cs="Times New Roman"/>
          <w:kern w:val="2"/>
          <w:szCs w:val="24"/>
          <w:lang w:eastAsia="zh-CN"/>
        </w:rPr>
        <w:t>indoxacarb</w:t>
      </w:r>
      <w:proofErr w:type="spellEnd"/>
      <w:r w:rsidRPr="00710386">
        <w:rPr>
          <w:rFonts w:eastAsia="SimSun" w:cs="Times New Roman"/>
          <w:kern w:val="2"/>
          <w:szCs w:val="24"/>
          <w:lang w:eastAsia="zh-CN"/>
        </w:rPr>
        <w:t xml:space="preserve"> and </w:t>
      </w:r>
      <w:proofErr w:type="spellStart"/>
      <w:r w:rsidRPr="00710386">
        <w:rPr>
          <w:rFonts w:eastAsia="SimSun" w:cs="Times New Roman"/>
          <w:kern w:val="2"/>
          <w:szCs w:val="24"/>
          <w:lang w:eastAsia="zh-CN"/>
        </w:rPr>
        <w:t>tolfenpyrad</w:t>
      </w:r>
      <w:proofErr w:type="spellEnd"/>
      <w:r w:rsidRPr="00710386">
        <w:rPr>
          <w:rFonts w:eastAsia="SimSun" w:cs="Times New Roman"/>
          <w:kern w:val="2"/>
          <w:szCs w:val="24"/>
          <w:lang w:eastAsia="zh-CN"/>
        </w:rPr>
        <w:t xml:space="preserve"> from field trials </w:t>
      </w:r>
      <w:r w:rsidRPr="00710386">
        <w:rPr>
          <w:rFonts w:eastAsia="SimSun" w:cs="Times New Roman" w:hint="eastAsia"/>
          <w:kern w:val="2"/>
          <w:szCs w:val="24"/>
          <w:lang w:eastAsia="zh-CN"/>
        </w:rPr>
        <w:t>in China</w:t>
      </w:r>
    </w:p>
    <w:tbl>
      <w:tblPr>
        <w:tblpPr w:leftFromText="180" w:rightFromText="180" w:vertAnchor="text" w:horzAnchor="margin" w:tblpY="119"/>
        <w:tblW w:w="0" w:type="auto"/>
        <w:tblBorders>
          <w:top w:val="single" w:sz="4" w:space="0" w:color="000000"/>
          <w:bottom w:val="single" w:sz="4" w:space="0" w:color="000000"/>
        </w:tblBorders>
        <w:tblLayout w:type="fixed"/>
        <w:tblLook w:val="0000" w:firstRow="0" w:lastRow="0" w:firstColumn="0" w:lastColumn="0" w:noHBand="0" w:noVBand="0"/>
      </w:tblPr>
      <w:tblGrid>
        <w:gridCol w:w="1384"/>
        <w:gridCol w:w="1559"/>
        <w:gridCol w:w="1134"/>
        <w:gridCol w:w="1134"/>
        <w:gridCol w:w="1560"/>
        <w:gridCol w:w="1842"/>
        <w:gridCol w:w="709"/>
      </w:tblGrid>
      <w:tr w:rsidR="00710386" w:rsidRPr="00710386" w:rsidTr="00710386">
        <w:trPr>
          <w:trHeight w:val="515"/>
        </w:trPr>
        <w:tc>
          <w:tcPr>
            <w:tcW w:w="1384" w:type="dxa"/>
            <w:tcBorders>
              <w:top w:val="single" w:sz="4" w:space="0" w:color="000000"/>
              <w:bottom w:val="single" w:sz="4" w:space="0" w:color="000000"/>
            </w:tcBorders>
          </w:tcPr>
          <w:p w:rsidR="00710386" w:rsidRPr="00710386" w:rsidRDefault="00710386" w:rsidP="00710386">
            <w:pPr>
              <w:widowControl w:val="0"/>
              <w:spacing w:after="0"/>
              <w:jc w:val="both"/>
              <w:rPr>
                <w:rFonts w:eastAsia="SimSun" w:cs="Times New Roman"/>
                <w:kern w:val="2"/>
                <w:sz w:val="21"/>
                <w:szCs w:val="21"/>
                <w:lang w:eastAsia="zh-CN"/>
              </w:rPr>
            </w:pPr>
            <w:r w:rsidRPr="00710386">
              <w:rPr>
                <w:rFonts w:eastAsia="SimSun" w:cs="Times New Roman"/>
                <w:kern w:val="2"/>
                <w:sz w:val="21"/>
                <w:szCs w:val="21"/>
                <w:lang w:eastAsia="zh-CN"/>
              </w:rPr>
              <w:t>Pesticides</w:t>
            </w:r>
          </w:p>
        </w:tc>
        <w:tc>
          <w:tcPr>
            <w:tcW w:w="1559" w:type="dxa"/>
            <w:tcBorders>
              <w:top w:val="single" w:sz="4" w:space="0" w:color="000000"/>
              <w:bottom w:val="single" w:sz="4" w:space="0" w:color="000000"/>
            </w:tcBorders>
          </w:tcPr>
          <w:p w:rsidR="00710386" w:rsidRPr="00710386" w:rsidRDefault="00710386" w:rsidP="00710386">
            <w:pPr>
              <w:widowControl w:val="0"/>
              <w:spacing w:after="0"/>
              <w:jc w:val="both"/>
              <w:rPr>
                <w:rFonts w:eastAsia="SimSun" w:cs="Times New Roman"/>
                <w:kern w:val="2"/>
                <w:sz w:val="21"/>
                <w:szCs w:val="21"/>
                <w:lang w:eastAsia="zh-CN"/>
              </w:rPr>
            </w:pPr>
            <w:r w:rsidRPr="00710386">
              <w:rPr>
                <w:rFonts w:eastAsia="SimSun" w:cs="Times New Roman"/>
                <w:kern w:val="2"/>
                <w:sz w:val="21"/>
                <w:szCs w:val="21"/>
                <w:lang w:eastAsia="zh-CN"/>
              </w:rPr>
              <w:t>HL</w:t>
            </w:r>
            <w:r w:rsidRPr="00710386">
              <w:rPr>
                <w:rFonts w:eastAsia="SimSun" w:cs="Times New Roman"/>
                <w:kern w:val="2"/>
                <w:sz w:val="21"/>
                <w:szCs w:val="21"/>
                <w:vertAlign w:val="subscript"/>
                <w:lang w:eastAsia="zh-CN"/>
              </w:rPr>
              <w:t>50</w:t>
            </w:r>
            <w:r w:rsidRPr="00710386">
              <w:rPr>
                <w:rFonts w:eastAsia="SimSun" w:cs="Times New Roman"/>
                <w:kern w:val="2"/>
                <w:sz w:val="21"/>
                <w:szCs w:val="21"/>
                <w:lang w:eastAsia="zh-CN"/>
              </w:rPr>
              <w:t xml:space="preserve"> on fresh </w:t>
            </w:r>
          </w:p>
          <w:p w:rsidR="00710386" w:rsidRPr="00710386" w:rsidRDefault="00710386" w:rsidP="00710386">
            <w:pPr>
              <w:widowControl w:val="0"/>
              <w:spacing w:after="0"/>
              <w:jc w:val="both"/>
              <w:rPr>
                <w:rFonts w:eastAsia="SimSun" w:cs="Times New Roman"/>
                <w:kern w:val="2"/>
                <w:sz w:val="21"/>
                <w:szCs w:val="21"/>
                <w:lang w:eastAsia="zh-CN"/>
              </w:rPr>
            </w:pPr>
            <w:r w:rsidRPr="00710386">
              <w:rPr>
                <w:rFonts w:eastAsia="SimSun" w:cs="Times New Roman"/>
                <w:kern w:val="2"/>
                <w:sz w:val="21"/>
                <w:szCs w:val="21"/>
                <w:lang w:eastAsia="zh-CN"/>
              </w:rPr>
              <w:t xml:space="preserve">tea leaves (day) </w:t>
            </w:r>
          </w:p>
        </w:tc>
        <w:tc>
          <w:tcPr>
            <w:tcW w:w="1134" w:type="dxa"/>
            <w:tcBorders>
              <w:top w:val="single" w:sz="4" w:space="0" w:color="000000"/>
              <w:bottom w:val="single" w:sz="4" w:space="0" w:color="000000"/>
            </w:tcBorders>
          </w:tcPr>
          <w:p w:rsidR="00710386" w:rsidRPr="00710386" w:rsidRDefault="00710386" w:rsidP="00710386">
            <w:pPr>
              <w:widowControl w:val="0"/>
              <w:spacing w:after="0"/>
              <w:jc w:val="both"/>
              <w:rPr>
                <w:rFonts w:eastAsia="SimSun" w:cs="Times New Roman"/>
                <w:kern w:val="2"/>
                <w:sz w:val="21"/>
                <w:szCs w:val="21"/>
                <w:lang w:eastAsia="zh-CN"/>
              </w:rPr>
            </w:pPr>
            <w:r w:rsidRPr="00710386">
              <w:rPr>
                <w:rFonts w:eastAsia="SimSun" w:cs="Times New Roman"/>
                <w:kern w:val="2"/>
                <w:sz w:val="21"/>
                <w:szCs w:val="21"/>
                <w:lang w:eastAsia="zh-CN"/>
              </w:rPr>
              <w:t>Processing factor (%)</w:t>
            </w:r>
          </w:p>
        </w:tc>
        <w:tc>
          <w:tcPr>
            <w:tcW w:w="1134" w:type="dxa"/>
            <w:tcBorders>
              <w:top w:val="single" w:sz="4" w:space="0" w:color="000000"/>
              <w:bottom w:val="single" w:sz="4" w:space="0" w:color="000000"/>
            </w:tcBorders>
          </w:tcPr>
          <w:p w:rsidR="00710386" w:rsidRPr="00710386" w:rsidRDefault="00710386" w:rsidP="00710386">
            <w:pPr>
              <w:widowControl w:val="0"/>
              <w:spacing w:after="0"/>
              <w:jc w:val="both"/>
              <w:rPr>
                <w:rFonts w:eastAsia="SimSun" w:cs="Times New Roman"/>
                <w:kern w:val="2"/>
                <w:sz w:val="21"/>
                <w:szCs w:val="21"/>
                <w:lang w:eastAsia="zh-CN"/>
              </w:rPr>
            </w:pPr>
            <w:r w:rsidRPr="00710386">
              <w:rPr>
                <w:rFonts w:eastAsia="SimSun" w:cs="Times New Roman"/>
                <w:kern w:val="2"/>
                <w:sz w:val="21"/>
                <w:szCs w:val="21"/>
                <w:lang w:eastAsia="zh-CN"/>
              </w:rPr>
              <w:t xml:space="preserve">Brew factor </w:t>
            </w:r>
          </w:p>
        </w:tc>
        <w:tc>
          <w:tcPr>
            <w:tcW w:w="1560" w:type="dxa"/>
            <w:tcBorders>
              <w:top w:val="single" w:sz="4" w:space="0" w:color="000000"/>
              <w:bottom w:val="single" w:sz="4" w:space="0" w:color="000000"/>
            </w:tcBorders>
          </w:tcPr>
          <w:p w:rsidR="00710386" w:rsidRPr="00710386" w:rsidRDefault="00710386" w:rsidP="00710386">
            <w:pPr>
              <w:widowControl w:val="0"/>
              <w:spacing w:after="0"/>
              <w:jc w:val="both"/>
              <w:rPr>
                <w:rFonts w:eastAsia="SimSun" w:cs="Times New Roman"/>
                <w:kern w:val="2"/>
                <w:sz w:val="21"/>
                <w:szCs w:val="21"/>
                <w:lang w:eastAsia="zh-CN"/>
              </w:rPr>
            </w:pPr>
            <w:r w:rsidRPr="00710386">
              <w:rPr>
                <w:rFonts w:eastAsia="SimSun" w:cs="Times New Roman"/>
                <w:kern w:val="2"/>
                <w:sz w:val="21"/>
                <w:szCs w:val="21"/>
                <w:lang w:eastAsia="zh-CN"/>
              </w:rPr>
              <w:t>Water solubility</w:t>
            </w:r>
          </w:p>
          <w:p w:rsidR="00710386" w:rsidRPr="00710386" w:rsidRDefault="00710386" w:rsidP="00710386">
            <w:pPr>
              <w:widowControl w:val="0"/>
              <w:spacing w:after="0"/>
              <w:jc w:val="both"/>
              <w:rPr>
                <w:rFonts w:eastAsia="SimSun" w:cs="Times New Roman"/>
                <w:kern w:val="2"/>
                <w:sz w:val="21"/>
                <w:szCs w:val="21"/>
                <w:lang w:eastAsia="zh-CN"/>
              </w:rPr>
            </w:pPr>
            <w:r w:rsidRPr="00710386">
              <w:rPr>
                <w:rFonts w:eastAsia="SimSun" w:cs="Times New Roman"/>
                <w:kern w:val="2"/>
                <w:sz w:val="21"/>
                <w:szCs w:val="21"/>
                <w:lang w:eastAsia="zh-CN"/>
              </w:rPr>
              <w:t>(mg/L)</w:t>
            </w:r>
          </w:p>
        </w:tc>
        <w:tc>
          <w:tcPr>
            <w:tcW w:w="1842" w:type="dxa"/>
            <w:tcBorders>
              <w:top w:val="single" w:sz="4" w:space="0" w:color="000000"/>
              <w:bottom w:val="single" w:sz="4" w:space="0" w:color="000000"/>
            </w:tcBorders>
          </w:tcPr>
          <w:p w:rsidR="00710386" w:rsidRPr="00710386" w:rsidRDefault="00710386" w:rsidP="00710386">
            <w:pPr>
              <w:widowControl w:val="0"/>
              <w:spacing w:after="0"/>
              <w:jc w:val="both"/>
              <w:rPr>
                <w:rFonts w:eastAsia="SimSun" w:cs="Times New Roman"/>
                <w:kern w:val="2"/>
                <w:sz w:val="21"/>
                <w:szCs w:val="21"/>
                <w:lang w:eastAsia="zh-CN"/>
              </w:rPr>
            </w:pPr>
            <w:r w:rsidRPr="00710386">
              <w:rPr>
                <w:rFonts w:eastAsia="SimSun" w:cs="Times New Roman"/>
                <w:kern w:val="2"/>
                <w:sz w:val="21"/>
                <w:szCs w:val="21"/>
                <w:lang w:eastAsia="zh-CN"/>
              </w:rPr>
              <w:t>Recommended MRL(mg/kg)</w:t>
            </w:r>
          </w:p>
        </w:tc>
        <w:tc>
          <w:tcPr>
            <w:tcW w:w="709" w:type="dxa"/>
            <w:tcBorders>
              <w:top w:val="single" w:sz="4" w:space="0" w:color="000000"/>
              <w:bottom w:val="single" w:sz="4" w:space="0" w:color="000000"/>
            </w:tcBorders>
          </w:tcPr>
          <w:p w:rsidR="00710386" w:rsidRPr="00710386" w:rsidRDefault="00710386" w:rsidP="00710386">
            <w:pPr>
              <w:widowControl w:val="0"/>
              <w:spacing w:after="0"/>
              <w:jc w:val="both"/>
              <w:rPr>
                <w:rFonts w:eastAsia="SimSun" w:cs="Times New Roman"/>
                <w:kern w:val="2"/>
                <w:sz w:val="21"/>
                <w:szCs w:val="21"/>
                <w:lang w:eastAsia="zh-CN"/>
              </w:rPr>
            </w:pPr>
            <w:r w:rsidRPr="00710386">
              <w:rPr>
                <w:rFonts w:eastAsia="SimSun" w:cs="Times New Roman"/>
                <w:kern w:val="2"/>
                <w:sz w:val="21"/>
                <w:szCs w:val="21"/>
                <w:lang w:eastAsia="zh-CN"/>
              </w:rPr>
              <w:t>PHI</w:t>
            </w:r>
          </w:p>
          <w:p w:rsidR="00710386" w:rsidRPr="00710386" w:rsidRDefault="00710386" w:rsidP="00710386">
            <w:pPr>
              <w:widowControl w:val="0"/>
              <w:spacing w:after="0"/>
              <w:jc w:val="both"/>
              <w:rPr>
                <w:rFonts w:eastAsia="SimSun" w:cs="Times New Roman"/>
                <w:kern w:val="2"/>
                <w:sz w:val="21"/>
                <w:szCs w:val="21"/>
                <w:lang w:eastAsia="zh-CN"/>
              </w:rPr>
            </w:pPr>
            <w:r w:rsidRPr="00710386">
              <w:rPr>
                <w:rFonts w:eastAsia="SimSun" w:cs="Times New Roman"/>
                <w:kern w:val="2"/>
                <w:sz w:val="21"/>
                <w:szCs w:val="21"/>
                <w:lang w:eastAsia="zh-CN"/>
              </w:rPr>
              <w:t>(day)</w:t>
            </w:r>
          </w:p>
        </w:tc>
      </w:tr>
      <w:tr w:rsidR="00710386" w:rsidRPr="00710386" w:rsidTr="00710386">
        <w:tc>
          <w:tcPr>
            <w:tcW w:w="1384" w:type="dxa"/>
            <w:tcBorders>
              <w:top w:val="single" w:sz="4" w:space="0" w:color="000000"/>
            </w:tcBorders>
          </w:tcPr>
          <w:p w:rsidR="00710386" w:rsidRPr="00710386" w:rsidRDefault="00710386" w:rsidP="00710386">
            <w:pPr>
              <w:widowControl w:val="0"/>
              <w:spacing w:after="0"/>
              <w:jc w:val="both"/>
              <w:rPr>
                <w:rFonts w:eastAsia="SimSun" w:cs="Times New Roman"/>
                <w:kern w:val="2"/>
                <w:sz w:val="21"/>
                <w:szCs w:val="21"/>
                <w:lang w:eastAsia="zh-CN"/>
              </w:rPr>
            </w:pPr>
            <w:proofErr w:type="spellStart"/>
            <w:r w:rsidRPr="00710386">
              <w:rPr>
                <w:rFonts w:eastAsia="SimSun" w:cs="Times New Roman"/>
                <w:kern w:val="2"/>
                <w:sz w:val="21"/>
                <w:szCs w:val="21"/>
                <w:lang w:eastAsia="zh-CN"/>
              </w:rPr>
              <w:t>Chlorfenapyr</w:t>
            </w:r>
            <w:proofErr w:type="spellEnd"/>
          </w:p>
        </w:tc>
        <w:tc>
          <w:tcPr>
            <w:tcW w:w="1559" w:type="dxa"/>
            <w:tcBorders>
              <w:top w:val="single" w:sz="4" w:space="0" w:color="000000"/>
            </w:tcBorders>
          </w:tcPr>
          <w:p w:rsidR="00710386" w:rsidRPr="00710386" w:rsidRDefault="00710386" w:rsidP="00710386">
            <w:pPr>
              <w:widowControl w:val="0"/>
              <w:spacing w:after="0"/>
              <w:jc w:val="both"/>
              <w:rPr>
                <w:rFonts w:eastAsia="SimSun" w:cs="Times New Roman"/>
                <w:kern w:val="2"/>
                <w:sz w:val="21"/>
                <w:szCs w:val="21"/>
                <w:lang w:eastAsia="zh-CN"/>
              </w:rPr>
            </w:pPr>
            <w:r w:rsidRPr="00710386">
              <w:rPr>
                <w:rFonts w:eastAsia="SimSun" w:cs="Times New Roman"/>
                <w:kern w:val="2"/>
                <w:sz w:val="21"/>
                <w:szCs w:val="21"/>
                <w:lang w:eastAsia="zh-CN"/>
              </w:rPr>
              <w:t>5.6</w:t>
            </w:r>
          </w:p>
        </w:tc>
        <w:tc>
          <w:tcPr>
            <w:tcW w:w="1134" w:type="dxa"/>
            <w:tcBorders>
              <w:top w:val="single" w:sz="4" w:space="0" w:color="000000"/>
            </w:tcBorders>
          </w:tcPr>
          <w:p w:rsidR="00710386" w:rsidRPr="00710386" w:rsidRDefault="00710386" w:rsidP="00710386">
            <w:pPr>
              <w:widowControl w:val="0"/>
              <w:spacing w:after="0"/>
              <w:jc w:val="both"/>
              <w:rPr>
                <w:rFonts w:eastAsia="SimSun" w:cs="Times New Roman"/>
                <w:kern w:val="2"/>
                <w:sz w:val="21"/>
                <w:szCs w:val="21"/>
                <w:lang w:eastAsia="zh-CN"/>
              </w:rPr>
            </w:pPr>
            <w:r w:rsidRPr="00710386">
              <w:rPr>
                <w:rFonts w:eastAsia="SimSun" w:cs="Times New Roman"/>
                <w:kern w:val="2"/>
                <w:sz w:val="21"/>
                <w:szCs w:val="21"/>
                <w:lang w:eastAsia="zh-CN"/>
              </w:rPr>
              <w:t>54.0</w:t>
            </w:r>
          </w:p>
        </w:tc>
        <w:tc>
          <w:tcPr>
            <w:tcW w:w="1134" w:type="dxa"/>
            <w:tcBorders>
              <w:top w:val="single" w:sz="4" w:space="0" w:color="000000"/>
            </w:tcBorders>
          </w:tcPr>
          <w:p w:rsidR="00710386" w:rsidRPr="00710386" w:rsidRDefault="00710386" w:rsidP="00710386">
            <w:pPr>
              <w:widowControl w:val="0"/>
              <w:spacing w:after="0"/>
              <w:jc w:val="both"/>
              <w:rPr>
                <w:rFonts w:eastAsia="SimSun" w:cs="Times New Roman"/>
                <w:kern w:val="2"/>
                <w:sz w:val="21"/>
                <w:szCs w:val="21"/>
                <w:lang w:eastAsia="zh-CN"/>
              </w:rPr>
            </w:pPr>
            <w:r w:rsidRPr="00710386">
              <w:rPr>
                <w:rFonts w:eastAsia="SimSun" w:cs="Times New Roman"/>
                <w:kern w:val="2"/>
                <w:sz w:val="21"/>
                <w:szCs w:val="21"/>
                <w:lang w:eastAsia="zh-CN"/>
              </w:rPr>
              <w:t>0.15</w:t>
            </w:r>
          </w:p>
        </w:tc>
        <w:tc>
          <w:tcPr>
            <w:tcW w:w="1560" w:type="dxa"/>
            <w:tcBorders>
              <w:top w:val="single" w:sz="4" w:space="0" w:color="000000"/>
            </w:tcBorders>
          </w:tcPr>
          <w:p w:rsidR="00710386" w:rsidRPr="00710386" w:rsidRDefault="00710386" w:rsidP="00710386">
            <w:pPr>
              <w:widowControl w:val="0"/>
              <w:spacing w:after="0"/>
              <w:jc w:val="both"/>
              <w:rPr>
                <w:rFonts w:eastAsia="SimSun" w:cs="Times New Roman"/>
                <w:kern w:val="2"/>
                <w:sz w:val="21"/>
                <w:szCs w:val="21"/>
                <w:lang w:eastAsia="zh-CN"/>
              </w:rPr>
            </w:pPr>
            <w:r w:rsidRPr="00710386">
              <w:rPr>
                <w:rFonts w:eastAsia="SimSun" w:cs="Times New Roman"/>
                <w:kern w:val="2"/>
                <w:sz w:val="21"/>
                <w:szCs w:val="21"/>
                <w:lang w:eastAsia="zh-CN"/>
              </w:rPr>
              <w:t>0.12</w:t>
            </w:r>
          </w:p>
        </w:tc>
        <w:tc>
          <w:tcPr>
            <w:tcW w:w="1842" w:type="dxa"/>
            <w:tcBorders>
              <w:top w:val="single" w:sz="4" w:space="0" w:color="000000"/>
            </w:tcBorders>
          </w:tcPr>
          <w:p w:rsidR="00710386" w:rsidRPr="00710386" w:rsidRDefault="00710386" w:rsidP="00710386">
            <w:pPr>
              <w:widowControl w:val="0"/>
              <w:spacing w:after="0"/>
              <w:jc w:val="both"/>
              <w:rPr>
                <w:rFonts w:eastAsia="SimSun" w:cs="Times New Roman"/>
                <w:kern w:val="2"/>
                <w:sz w:val="21"/>
                <w:szCs w:val="21"/>
                <w:lang w:eastAsia="zh-CN"/>
              </w:rPr>
            </w:pPr>
            <w:r w:rsidRPr="00710386">
              <w:rPr>
                <w:rFonts w:eastAsia="SimSun" w:cs="Times New Roman"/>
                <w:kern w:val="2"/>
                <w:sz w:val="21"/>
                <w:szCs w:val="21"/>
                <w:lang w:eastAsia="zh-CN"/>
              </w:rPr>
              <w:t>20</w:t>
            </w:r>
          </w:p>
        </w:tc>
        <w:tc>
          <w:tcPr>
            <w:tcW w:w="709" w:type="dxa"/>
            <w:tcBorders>
              <w:top w:val="single" w:sz="4" w:space="0" w:color="000000"/>
            </w:tcBorders>
          </w:tcPr>
          <w:p w:rsidR="00710386" w:rsidRPr="00710386" w:rsidRDefault="00710386" w:rsidP="00710386">
            <w:pPr>
              <w:widowControl w:val="0"/>
              <w:spacing w:after="0"/>
              <w:jc w:val="both"/>
              <w:rPr>
                <w:rFonts w:eastAsia="SimSun" w:cs="Times New Roman"/>
                <w:kern w:val="2"/>
                <w:sz w:val="21"/>
                <w:szCs w:val="21"/>
                <w:lang w:eastAsia="zh-CN"/>
              </w:rPr>
            </w:pPr>
            <w:r w:rsidRPr="00710386">
              <w:rPr>
                <w:rFonts w:eastAsia="SimSun" w:cs="Times New Roman"/>
                <w:kern w:val="2"/>
                <w:sz w:val="21"/>
                <w:szCs w:val="21"/>
                <w:lang w:eastAsia="zh-CN"/>
              </w:rPr>
              <w:t>7</w:t>
            </w:r>
          </w:p>
        </w:tc>
      </w:tr>
      <w:tr w:rsidR="00710386" w:rsidRPr="00710386" w:rsidTr="00710386">
        <w:tc>
          <w:tcPr>
            <w:tcW w:w="1384" w:type="dxa"/>
          </w:tcPr>
          <w:p w:rsidR="00710386" w:rsidRPr="00710386" w:rsidRDefault="00710386" w:rsidP="00710386">
            <w:pPr>
              <w:widowControl w:val="0"/>
              <w:spacing w:after="0"/>
              <w:jc w:val="both"/>
              <w:rPr>
                <w:rFonts w:eastAsia="SimSun" w:cs="Times New Roman"/>
                <w:kern w:val="2"/>
                <w:sz w:val="21"/>
                <w:szCs w:val="21"/>
                <w:lang w:eastAsia="zh-CN"/>
              </w:rPr>
            </w:pPr>
            <w:proofErr w:type="spellStart"/>
            <w:r w:rsidRPr="00710386">
              <w:rPr>
                <w:rFonts w:eastAsia="SimSun" w:cs="Times New Roman"/>
                <w:kern w:val="2"/>
                <w:sz w:val="21"/>
                <w:szCs w:val="21"/>
                <w:lang w:eastAsia="zh-CN"/>
              </w:rPr>
              <w:t>Indoxacarb</w:t>
            </w:r>
            <w:proofErr w:type="spellEnd"/>
          </w:p>
        </w:tc>
        <w:tc>
          <w:tcPr>
            <w:tcW w:w="1559" w:type="dxa"/>
          </w:tcPr>
          <w:p w:rsidR="00710386" w:rsidRPr="00710386" w:rsidRDefault="00710386" w:rsidP="00710386">
            <w:pPr>
              <w:widowControl w:val="0"/>
              <w:spacing w:after="0"/>
              <w:jc w:val="both"/>
              <w:rPr>
                <w:rFonts w:eastAsia="SimSun" w:cs="Times New Roman"/>
                <w:kern w:val="2"/>
                <w:sz w:val="21"/>
                <w:szCs w:val="21"/>
                <w:lang w:eastAsia="zh-CN"/>
              </w:rPr>
            </w:pPr>
            <w:r w:rsidRPr="00710386">
              <w:rPr>
                <w:rFonts w:eastAsia="SimSun" w:cs="Times New Roman"/>
                <w:kern w:val="2"/>
                <w:sz w:val="21"/>
                <w:szCs w:val="21"/>
                <w:lang w:eastAsia="zh-CN"/>
              </w:rPr>
              <w:t>2.3</w:t>
            </w:r>
          </w:p>
        </w:tc>
        <w:tc>
          <w:tcPr>
            <w:tcW w:w="1134" w:type="dxa"/>
          </w:tcPr>
          <w:p w:rsidR="00710386" w:rsidRPr="00710386" w:rsidRDefault="00710386" w:rsidP="00710386">
            <w:pPr>
              <w:widowControl w:val="0"/>
              <w:spacing w:after="0"/>
              <w:jc w:val="both"/>
              <w:rPr>
                <w:rFonts w:eastAsia="SimSun" w:cs="Times New Roman"/>
                <w:kern w:val="2"/>
                <w:sz w:val="21"/>
                <w:szCs w:val="21"/>
                <w:lang w:eastAsia="zh-CN"/>
              </w:rPr>
            </w:pPr>
            <w:r w:rsidRPr="00710386">
              <w:rPr>
                <w:rFonts w:eastAsia="SimSun" w:cs="Times New Roman"/>
                <w:kern w:val="2"/>
                <w:sz w:val="21"/>
                <w:szCs w:val="21"/>
                <w:lang w:eastAsia="zh-CN"/>
              </w:rPr>
              <w:t>34.5</w:t>
            </w:r>
          </w:p>
        </w:tc>
        <w:tc>
          <w:tcPr>
            <w:tcW w:w="1134" w:type="dxa"/>
          </w:tcPr>
          <w:p w:rsidR="00710386" w:rsidRPr="00710386" w:rsidRDefault="00710386" w:rsidP="00710386">
            <w:pPr>
              <w:widowControl w:val="0"/>
              <w:spacing w:after="0"/>
              <w:jc w:val="both"/>
              <w:rPr>
                <w:rFonts w:eastAsia="SimSun" w:cs="Times New Roman"/>
                <w:kern w:val="2"/>
                <w:sz w:val="21"/>
                <w:szCs w:val="21"/>
                <w:lang w:eastAsia="zh-CN"/>
              </w:rPr>
            </w:pPr>
            <w:r w:rsidRPr="00710386">
              <w:rPr>
                <w:rFonts w:eastAsia="SimSun" w:cs="Times New Roman"/>
                <w:kern w:val="2"/>
                <w:sz w:val="21"/>
                <w:szCs w:val="21"/>
                <w:lang w:eastAsia="zh-CN"/>
              </w:rPr>
              <w:t>6.20</w:t>
            </w:r>
          </w:p>
        </w:tc>
        <w:tc>
          <w:tcPr>
            <w:tcW w:w="1560" w:type="dxa"/>
          </w:tcPr>
          <w:p w:rsidR="00710386" w:rsidRPr="00710386" w:rsidRDefault="00710386" w:rsidP="00710386">
            <w:pPr>
              <w:widowControl w:val="0"/>
              <w:spacing w:after="0"/>
              <w:jc w:val="both"/>
              <w:rPr>
                <w:rFonts w:eastAsia="SimSun" w:cs="Times New Roman"/>
                <w:kern w:val="2"/>
                <w:sz w:val="21"/>
                <w:szCs w:val="21"/>
                <w:lang w:eastAsia="zh-CN"/>
              </w:rPr>
            </w:pPr>
            <w:r w:rsidRPr="00710386">
              <w:rPr>
                <w:rFonts w:eastAsia="SimSun" w:cs="Times New Roman"/>
                <w:kern w:val="2"/>
                <w:sz w:val="21"/>
                <w:szCs w:val="21"/>
                <w:lang w:eastAsia="zh-CN"/>
              </w:rPr>
              <w:t xml:space="preserve">0.02 </w:t>
            </w:r>
          </w:p>
        </w:tc>
        <w:tc>
          <w:tcPr>
            <w:tcW w:w="1842" w:type="dxa"/>
          </w:tcPr>
          <w:p w:rsidR="00710386" w:rsidRPr="00710386" w:rsidRDefault="00710386" w:rsidP="00710386">
            <w:pPr>
              <w:widowControl w:val="0"/>
              <w:spacing w:after="0"/>
              <w:jc w:val="both"/>
              <w:rPr>
                <w:rFonts w:eastAsia="SimSun" w:cs="Times New Roman"/>
                <w:kern w:val="2"/>
                <w:sz w:val="21"/>
                <w:szCs w:val="21"/>
                <w:lang w:eastAsia="zh-CN"/>
              </w:rPr>
            </w:pPr>
            <w:r w:rsidRPr="00710386">
              <w:rPr>
                <w:rFonts w:eastAsia="SimSun" w:cs="Times New Roman" w:hint="eastAsia"/>
                <w:kern w:val="2"/>
                <w:sz w:val="21"/>
                <w:szCs w:val="21"/>
                <w:lang w:eastAsia="zh-CN"/>
              </w:rPr>
              <w:t>5(</w:t>
            </w:r>
            <w:proofErr w:type="spellStart"/>
            <w:r w:rsidRPr="00710386">
              <w:rPr>
                <w:rFonts w:eastAsia="SimSun" w:cs="Times New Roman" w:hint="eastAsia"/>
                <w:kern w:val="2"/>
                <w:sz w:val="21"/>
                <w:szCs w:val="21"/>
                <w:lang w:eastAsia="zh-CN"/>
              </w:rPr>
              <w:t>China,CAC,EU</w:t>
            </w:r>
            <w:proofErr w:type="spellEnd"/>
            <w:r w:rsidRPr="00710386">
              <w:rPr>
                <w:rFonts w:eastAsia="SimSun" w:cs="Times New Roman" w:hint="eastAsia"/>
                <w:kern w:val="2"/>
                <w:sz w:val="21"/>
                <w:szCs w:val="21"/>
                <w:lang w:eastAsia="zh-CN"/>
              </w:rPr>
              <w:t>)</w:t>
            </w:r>
          </w:p>
        </w:tc>
        <w:tc>
          <w:tcPr>
            <w:tcW w:w="709" w:type="dxa"/>
          </w:tcPr>
          <w:p w:rsidR="00710386" w:rsidRPr="00710386" w:rsidRDefault="00710386" w:rsidP="00710386">
            <w:pPr>
              <w:widowControl w:val="0"/>
              <w:spacing w:after="0"/>
              <w:jc w:val="both"/>
              <w:rPr>
                <w:rFonts w:eastAsia="SimSun" w:cs="Times New Roman"/>
                <w:kern w:val="2"/>
                <w:sz w:val="21"/>
                <w:szCs w:val="21"/>
                <w:lang w:eastAsia="zh-CN"/>
              </w:rPr>
            </w:pPr>
            <w:r w:rsidRPr="00710386">
              <w:rPr>
                <w:rFonts w:eastAsia="SimSun" w:cs="Times New Roman"/>
                <w:kern w:val="2"/>
                <w:sz w:val="21"/>
                <w:szCs w:val="21"/>
                <w:lang w:eastAsia="zh-CN"/>
              </w:rPr>
              <w:t>10</w:t>
            </w:r>
          </w:p>
        </w:tc>
      </w:tr>
      <w:tr w:rsidR="00710386" w:rsidRPr="00710386" w:rsidTr="00710386">
        <w:tc>
          <w:tcPr>
            <w:tcW w:w="1384" w:type="dxa"/>
            <w:tcBorders>
              <w:bottom w:val="single" w:sz="4" w:space="0" w:color="000000"/>
            </w:tcBorders>
          </w:tcPr>
          <w:p w:rsidR="00710386" w:rsidRPr="00710386" w:rsidRDefault="00710386" w:rsidP="00710386">
            <w:pPr>
              <w:widowControl w:val="0"/>
              <w:spacing w:after="0"/>
              <w:jc w:val="both"/>
              <w:rPr>
                <w:rFonts w:eastAsia="SimSun" w:cs="Times New Roman"/>
                <w:kern w:val="2"/>
                <w:sz w:val="21"/>
                <w:szCs w:val="21"/>
                <w:lang w:eastAsia="zh-CN"/>
              </w:rPr>
            </w:pPr>
            <w:proofErr w:type="spellStart"/>
            <w:r w:rsidRPr="00710386">
              <w:rPr>
                <w:rFonts w:eastAsia="SimSun" w:cs="Times New Roman"/>
                <w:kern w:val="2"/>
                <w:sz w:val="21"/>
                <w:szCs w:val="21"/>
                <w:lang w:eastAsia="zh-CN"/>
              </w:rPr>
              <w:t>Tolfenpyrad</w:t>
            </w:r>
            <w:proofErr w:type="spellEnd"/>
          </w:p>
        </w:tc>
        <w:tc>
          <w:tcPr>
            <w:tcW w:w="1559" w:type="dxa"/>
            <w:tcBorders>
              <w:bottom w:val="single" w:sz="4" w:space="0" w:color="000000"/>
            </w:tcBorders>
          </w:tcPr>
          <w:p w:rsidR="00710386" w:rsidRPr="00710386" w:rsidRDefault="00710386" w:rsidP="00710386">
            <w:pPr>
              <w:widowControl w:val="0"/>
              <w:spacing w:after="0"/>
              <w:jc w:val="both"/>
              <w:rPr>
                <w:rFonts w:eastAsia="SimSun" w:cs="Times New Roman"/>
                <w:kern w:val="2"/>
                <w:sz w:val="21"/>
                <w:szCs w:val="21"/>
                <w:lang w:eastAsia="zh-CN"/>
              </w:rPr>
            </w:pPr>
            <w:r w:rsidRPr="00710386">
              <w:rPr>
                <w:rFonts w:eastAsia="SimSun" w:cs="Times New Roman"/>
                <w:kern w:val="2"/>
                <w:sz w:val="21"/>
                <w:szCs w:val="21"/>
                <w:lang w:eastAsia="zh-CN"/>
              </w:rPr>
              <w:t>3.6</w:t>
            </w:r>
          </w:p>
        </w:tc>
        <w:tc>
          <w:tcPr>
            <w:tcW w:w="1134" w:type="dxa"/>
            <w:tcBorders>
              <w:bottom w:val="single" w:sz="4" w:space="0" w:color="000000"/>
            </w:tcBorders>
          </w:tcPr>
          <w:p w:rsidR="00710386" w:rsidRPr="00710386" w:rsidRDefault="00710386" w:rsidP="00710386">
            <w:pPr>
              <w:widowControl w:val="0"/>
              <w:spacing w:after="0"/>
              <w:jc w:val="both"/>
              <w:rPr>
                <w:rFonts w:eastAsia="SimSun" w:cs="Times New Roman"/>
                <w:kern w:val="2"/>
                <w:sz w:val="21"/>
                <w:szCs w:val="21"/>
                <w:lang w:eastAsia="zh-CN"/>
              </w:rPr>
            </w:pPr>
            <w:r w:rsidRPr="00710386">
              <w:rPr>
                <w:rFonts w:eastAsia="SimSun" w:cs="Times New Roman"/>
                <w:kern w:val="2"/>
                <w:sz w:val="21"/>
                <w:szCs w:val="21"/>
                <w:lang w:eastAsia="zh-CN"/>
              </w:rPr>
              <w:t>41.6</w:t>
            </w:r>
          </w:p>
        </w:tc>
        <w:tc>
          <w:tcPr>
            <w:tcW w:w="1134" w:type="dxa"/>
            <w:tcBorders>
              <w:bottom w:val="single" w:sz="4" w:space="0" w:color="000000"/>
            </w:tcBorders>
          </w:tcPr>
          <w:p w:rsidR="00710386" w:rsidRPr="00710386" w:rsidRDefault="00710386" w:rsidP="00710386">
            <w:pPr>
              <w:widowControl w:val="0"/>
              <w:spacing w:after="0"/>
              <w:jc w:val="both"/>
              <w:rPr>
                <w:rFonts w:eastAsia="SimSun" w:cs="Times New Roman"/>
                <w:kern w:val="2"/>
                <w:sz w:val="21"/>
                <w:szCs w:val="21"/>
                <w:lang w:eastAsia="zh-CN"/>
              </w:rPr>
            </w:pPr>
            <w:r w:rsidRPr="00710386">
              <w:rPr>
                <w:rFonts w:eastAsia="SimSun" w:cs="Times New Roman"/>
                <w:kern w:val="2"/>
                <w:sz w:val="21"/>
                <w:szCs w:val="21"/>
                <w:lang w:eastAsia="zh-CN"/>
              </w:rPr>
              <w:t>0.20</w:t>
            </w:r>
          </w:p>
        </w:tc>
        <w:tc>
          <w:tcPr>
            <w:tcW w:w="1560" w:type="dxa"/>
            <w:tcBorders>
              <w:bottom w:val="single" w:sz="4" w:space="0" w:color="000000"/>
            </w:tcBorders>
          </w:tcPr>
          <w:p w:rsidR="00710386" w:rsidRPr="00710386" w:rsidRDefault="00710386" w:rsidP="00710386">
            <w:pPr>
              <w:widowControl w:val="0"/>
              <w:spacing w:after="0"/>
              <w:jc w:val="both"/>
              <w:rPr>
                <w:rFonts w:eastAsia="SimSun" w:cs="Times New Roman"/>
                <w:kern w:val="2"/>
                <w:sz w:val="21"/>
                <w:szCs w:val="21"/>
                <w:lang w:eastAsia="zh-CN"/>
              </w:rPr>
            </w:pPr>
            <w:r w:rsidRPr="00710386">
              <w:rPr>
                <w:rFonts w:eastAsia="SimSun" w:cs="Times New Roman"/>
                <w:kern w:val="2"/>
                <w:sz w:val="21"/>
                <w:szCs w:val="21"/>
                <w:lang w:eastAsia="zh-CN"/>
              </w:rPr>
              <w:t>0.09</w:t>
            </w:r>
          </w:p>
        </w:tc>
        <w:tc>
          <w:tcPr>
            <w:tcW w:w="1842" w:type="dxa"/>
            <w:tcBorders>
              <w:bottom w:val="single" w:sz="4" w:space="0" w:color="000000"/>
            </w:tcBorders>
          </w:tcPr>
          <w:p w:rsidR="00710386" w:rsidRPr="00710386" w:rsidRDefault="00710386" w:rsidP="00710386">
            <w:pPr>
              <w:widowControl w:val="0"/>
              <w:spacing w:after="0"/>
              <w:jc w:val="both"/>
              <w:rPr>
                <w:rFonts w:eastAsia="SimSun" w:cs="Times New Roman"/>
                <w:kern w:val="2"/>
                <w:sz w:val="21"/>
                <w:szCs w:val="21"/>
                <w:lang w:eastAsia="zh-CN"/>
              </w:rPr>
            </w:pPr>
            <w:r w:rsidRPr="00710386">
              <w:rPr>
                <w:rFonts w:eastAsia="SimSun" w:cs="Times New Roman"/>
                <w:kern w:val="2"/>
                <w:sz w:val="21"/>
                <w:szCs w:val="21"/>
                <w:lang w:eastAsia="zh-CN"/>
              </w:rPr>
              <w:t>20</w:t>
            </w:r>
          </w:p>
        </w:tc>
        <w:tc>
          <w:tcPr>
            <w:tcW w:w="709" w:type="dxa"/>
            <w:tcBorders>
              <w:bottom w:val="single" w:sz="4" w:space="0" w:color="000000"/>
            </w:tcBorders>
          </w:tcPr>
          <w:p w:rsidR="00710386" w:rsidRPr="00710386" w:rsidRDefault="00710386" w:rsidP="00710386">
            <w:pPr>
              <w:widowControl w:val="0"/>
              <w:spacing w:after="0"/>
              <w:jc w:val="both"/>
              <w:rPr>
                <w:rFonts w:eastAsia="SimSun" w:cs="Times New Roman"/>
                <w:kern w:val="2"/>
                <w:sz w:val="21"/>
                <w:szCs w:val="21"/>
                <w:lang w:eastAsia="zh-CN"/>
              </w:rPr>
            </w:pPr>
            <w:r w:rsidRPr="00710386">
              <w:rPr>
                <w:rFonts w:eastAsia="SimSun" w:cs="Times New Roman"/>
                <w:kern w:val="2"/>
                <w:sz w:val="21"/>
                <w:szCs w:val="21"/>
                <w:lang w:eastAsia="zh-CN"/>
              </w:rPr>
              <w:t>5</w:t>
            </w:r>
          </w:p>
        </w:tc>
      </w:tr>
    </w:tbl>
    <w:p w:rsidR="00710386" w:rsidRPr="00710386" w:rsidRDefault="00710386" w:rsidP="00710386">
      <w:pPr>
        <w:widowControl w:val="0"/>
        <w:spacing w:after="0"/>
        <w:jc w:val="both"/>
        <w:rPr>
          <w:rFonts w:eastAsia="SimSun" w:cs="Times New Roman"/>
          <w:kern w:val="2"/>
          <w:sz w:val="21"/>
          <w:szCs w:val="21"/>
          <w:lang w:eastAsia="zh-CN"/>
        </w:rPr>
      </w:pPr>
    </w:p>
    <w:p w:rsidR="00710386" w:rsidRPr="00F320F3" w:rsidRDefault="00710386" w:rsidP="009B03BD">
      <w:pPr>
        <w:rPr>
          <w:rFonts w:cs="Times New Roman"/>
        </w:rPr>
      </w:pPr>
      <w:r w:rsidRPr="00F320F3">
        <w:rPr>
          <w:rFonts w:cs="Times New Roman"/>
        </w:rPr>
        <w:t xml:space="preserve">(7) To share available information on </w:t>
      </w:r>
      <w:proofErr w:type="spellStart"/>
      <w:r w:rsidRPr="00F320F3">
        <w:rPr>
          <w:rFonts w:cs="Times New Roman"/>
        </w:rPr>
        <w:t>anthraquinone</w:t>
      </w:r>
      <w:proofErr w:type="spellEnd"/>
      <w:r w:rsidRPr="00F320F3">
        <w:rPr>
          <w:rFonts w:cs="Times New Roman"/>
        </w:rPr>
        <w:t xml:space="preserve">, </w:t>
      </w:r>
      <w:proofErr w:type="gramStart"/>
      <w:r w:rsidRPr="00F320F3">
        <w:rPr>
          <w:rFonts w:cs="Times New Roman"/>
        </w:rPr>
        <w:t>nicotine  and</w:t>
      </w:r>
      <w:proofErr w:type="gramEnd"/>
      <w:r w:rsidRPr="00F320F3">
        <w:rPr>
          <w:rFonts w:cs="Times New Roman"/>
        </w:rPr>
        <w:t xml:space="preserve">  other contaminants and to </w:t>
      </w:r>
      <w:proofErr w:type="spellStart"/>
      <w:r w:rsidRPr="00F320F3">
        <w:rPr>
          <w:rFonts w:cs="Times New Roman"/>
        </w:rPr>
        <w:t>carryout</w:t>
      </w:r>
      <w:proofErr w:type="spellEnd"/>
      <w:r w:rsidRPr="00F320F3">
        <w:rPr>
          <w:rFonts w:cs="Times New Roman"/>
        </w:rPr>
        <w:t xml:space="preserve"> a global study to generate data on occurrence in tea. India, Sri Lanka, China, Kenya, Japan, UK and Germany agreed to participate in this collaborative study.</w:t>
      </w:r>
    </w:p>
    <w:p w:rsidR="00710386" w:rsidRDefault="00710386" w:rsidP="009B03BD">
      <w:pPr>
        <w:ind w:left="270"/>
        <w:rPr>
          <w:rFonts w:cs="Times New Roman"/>
          <w:color w:val="000000"/>
          <w:szCs w:val="17"/>
          <w:shd w:val="clear" w:color="auto" w:fill="FFFFFF"/>
        </w:rPr>
      </w:pPr>
      <w:r>
        <w:rPr>
          <w:rFonts w:cs="Times New Roman"/>
          <w:color w:val="000000"/>
          <w:szCs w:val="17"/>
        </w:rPr>
        <w:t xml:space="preserve">In the last meeting it was decided to share </w:t>
      </w:r>
      <w:r w:rsidRPr="009B2455">
        <w:rPr>
          <w:rFonts w:cs="Times New Roman"/>
          <w:color w:val="000000"/>
          <w:szCs w:val="17"/>
          <w:shd w:val="clear" w:color="auto" w:fill="FFFFFF"/>
        </w:rPr>
        <w:t xml:space="preserve">information on </w:t>
      </w:r>
      <w:proofErr w:type="spellStart"/>
      <w:r w:rsidRPr="009B2455">
        <w:rPr>
          <w:rFonts w:cs="Times New Roman"/>
          <w:color w:val="000000"/>
          <w:szCs w:val="17"/>
          <w:shd w:val="clear" w:color="auto" w:fill="FFFFFF"/>
        </w:rPr>
        <w:t>anthraquinone</w:t>
      </w:r>
      <w:proofErr w:type="spellEnd"/>
      <w:r>
        <w:rPr>
          <w:rFonts w:cs="Times New Roman"/>
          <w:color w:val="000000"/>
          <w:szCs w:val="17"/>
          <w:shd w:val="clear" w:color="auto" w:fill="FFFFFF"/>
        </w:rPr>
        <w:t xml:space="preserve"> as it was detected in many tea samples from a number of countries. A UKTIA (UK-Tea and Infusion Association) and TRA (Tea Research Association, </w:t>
      </w:r>
      <w:proofErr w:type="spellStart"/>
      <w:r>
        <w:rPr>
          <w:rFonts w:cs="Times New Roman"/>
          <w:color w:val="000000"/>
          <w:szCs w:val="17"/>
          <w:shd w:val="clear" w:color="auto" w:fill="FFFFFF"/>
        </w:rPr>
        <w:t>Tocklai</w:t>
      </w:r>
      <w:proofErr w:type="spellEnd"/>
      <w:r>
        <w:rPr>
          <w:rFonts w:cs="Times New Roman"/>
          <w:color w:val="000000"/>
          <w:szCs w:val="17"/>
          <w:shd w:val="clear" w:color="auto" w:fill="FFFFFF"/>
        </w:rPr>
        <w:t xml:space="preserve">, India) joint study has been completed in Dec 2015. A GC-MS/MS based suitable test method for determination of </w:t>
      </w:r>
      <w:proofErr w:type="spellStart"/>
      <w:r>
        <w:rPr>
          <w:rFonts w:cs="Times New Roman"/>
          <w:color w:val="000000"/>
          <w:szCs w:val="17"/>
          <w:shd w:val="clear" w:color="auto" w:fill="FFFFFF"/>
        </w:rPr>
        <w:t>anthraquinone</w:t>
      </w:r>
      <w:proofErr w:type="spellEnd"/>
      <w:r>
        <w:rPr>
          <w:rFonts w:cs="Times New Roman"/>
          <w:color w:val="000000"/>
          <w:szCs w:val="17"/>
          <w:shd w:val="clear" w:color="auto" w:fill="FFFFFF"/>
        </w:rPr>
        <w:t xml:space="preserve"> in tea was developed at </w:t>
      </w:r>
      <w:proofErr w:type="spellStart"/>
      <w:r>
        <w:rPr>
          <w:rFonts w:cs="Times New Roman"/>
          <w:color w:val="000000"/>
          <w:szCs w:val="17"/>
          <w:shd w:val="clear" w:color="auto" w:fill="FFFFFF"/>
        </w:rPr>
        <w:t>TLabs</w:t>
      </w:r>
      <w:proofErr w:type="spellEnd"/>
      <w:r>
        <w:rPr>
          <w:rFonts w:cs="Times New Roman"/>
          <w:color w:val="000000"/>
          <w:szCs w:val="17"/>
          <w:shd w:val="clear" w:color="auto" w:fill="FFFFFF"/>
        </w:rPr>
        <w:t xml:space="preserve"> TRA, India in March 2015 with an LOQ of 0.02 mg/kg. The method was validated with an EU PT sample provided by THIE (erstwhile ETC) Chair Dr Thomas Henn. Simultaneous work on literature search showed ubiquitous presence of </w:t>
      </w:r>
      <w:proofErr w:type="spellStart"/>
      <w:r>
        <w:rPr>
          <w:rFonts w:cs="Times New Roman"/>
          <w:color w:val="000000"/>
          <w:szCs w:val="17"/>
          <w:shd w:val="clear" w:color="auto" w:fill="FFFFFF"/>
        </w:rPr>
        <w:t>anthraquinone</w:t>
      </w:r>
      <w:proofErr w:type="spellEnd"/>
      <w:r>
        <w:rPr>
          <w:rFonts w:cs="Times New Roman"/>
          <w:color w:val="000000"/>
          <w:szCs w:val="17"/>
          <w:shd w:val="clear" w:color="auto" w:fill="FFFFFF"/>
        </w:rPr>
        <w:t xml:space="preserve"> in the environment. The results of this joint study have been disseminated through the Tea Boards. A second UKTIA sponsored study is planned for 2016 with the willing participation of producing countries.</w:t>
      </w:r>
    </w:p>
    <w:p w:rsidR="00710386" w:rsidRDefault="00710386" w:rsidP="009B03BD">
      <w:pPr>
        <w:ind w:left="270"/>
        <w:rPr>
          <w:rFonts w:cs="Times New Roman"/>
        </w:rPr>
      </w:pPr>
      <w:r>
        <w:rPr>
          <w:rFonts w:cs="Times New Roman"/>
        </w:rPr>
        <w:t xml:space="preserve">The issue of </w:t>
      </w:r>
      <w:proofErr w:type="spellStart"/>
      <w:r>
        <w:rPr>
          <w:rFonts w:cs="Times New Roman"/>
        </w:rPr>
        <w:t>anthraquinone</w:t>
      </w:r>
      <w:proofErr w:type="spellEnd"/>
      <w:r>
        <w:rPr>
          <w:rFonts w:cs="Times New Roman"/>
        </w:rPr>
        <w:t xml:space="preserve"> also re-emphasized the WGs identified action plan to a</w:t>
      </w:r>
      <w:r w:rsidRPr="00ED6CCA">
        <w:rPr>
          <w:rFonts w:cs="Times New Roman"/>
        </w:rPr>
        <w:t xml:space="preserve">ssess </w:t>
      </w:r>
      <w:r>
        <w:rPr>
          <w:rFonts w:cs="Times New Roman"/>
        </w:rPr>
        <w:t xml:space="preserve">the </w:t>
      </w:r>
      <w:r w:rsidRPr="00ED6CCA">
        <w:rPr>
          <w:rFonts w:cs="Times New Roman"/>
        </w:rPr>
        <w:t xml:space="preserve">status </w:t>
      </w:r>
      <w:r>
        <w:rPr>
          <w:rFonts w:cs="Times New Roman"/>
        </w:rPr>
        <w:t>and</w:t>
      </w:r>
      <w:r w:rsidRPr="00ED6CCA">
        <w:rPr>
          <w:rFonts w:cs="Times New Roman"/>
        </w:rPr>
        <w:t xml:space="preserve"> development of required infrastructure </w:t>
      </w:r>
      <w:r>
        <w:rPr>
          <w:rFonts w:cs="Times New Roman"/>
        </w:rPr>
        <w:t>and</w:t>
      </w:r>
      <w:r w:rsidRPr="00ED6CCA">
        <w:rPr>
          <w:rFonts w:cs="Times New Roman"/>
        </w:rPr>
        <w:t xml:space="preserve"> new methods to cope with changing situations </w:t>
      </w:r>
      <w:r>
        <w:rPr>
          <w:rFonts w:cs="Times New Roman"/>
        </w:rPr>
        <w:t>and the associated</w:t>
      </w:r>
      <w:r w:rsidRPr="00ED6CCA">
        <w:rPr>
          <w:rFonts w:cs="Times New Roman"/>
        </w:rPr>
        <w:t xml:space="preserve"> cost</w:t>
      </w:r>
      <w:r>
        <w:rPr>
          <w:rFonts w:cs="Times New Roman"/>
        </w:rPr>
        <w:t xml:space="preserve"> particularly in the producing countries</w:t>
      </w:r>
      <w:r w:rsidRPr="00ED6CCA">
        <w:rPr>
          <w:rFonts w:cs="Times New Roman"/>
        </w:rPr>
        <w:t>.</w:t>
      </w:r>
    </w:p>
    <w:p w:rsidR="00710386" w:rsidRDefault="00710386" w:rsidP="009B03BD">
      <w:pPr>
        <w:rPr>
          <w:rFonts w:cs="Times New Roman"/>
        </w:rPr>
      </w:pPr>
      <w:r w:rsidRPr="00233B6D">
        <w:rPr>
          <w:rFonts w:cs="Times New Roman"/>
        </w:rPr>
        <w:lastRenderedPageBreak/>
        <w:t xml:space="preserve">(8) </w:t>
      </w:r>
      <w:proofErr w:type="gramStart"/>
      <w:r w:rsidRPr="00233B6D">
        <w:rPr>
          <w:rFonts w:cs="Times New Roman"/>
        </w:rPr>
        <w:t>Explore  a</w:t>
      </w:r>
      <w:proofErr w:type="gramEnd"/>
      <w:r w:rsidRPr="00233B6D">
        <w:rPr>
          <w:rFonts w:cs="Times New Roman"/>
        </w:rPr>
        <w:t xml:space="preserve"> potential representation in CODEX for tea to give agreed position a voice. </w:t>
      </w:r>
    </w:p>
    <w:p w:rsidR="00710386" w:rsidRPr="00FA7FC3" w:rsidRDefault="00710386" w:rsidP="009B03BD">
      <w:pPr>
        <w:ind w:left="284"/>
        <w:rPr>
          <w:rFonts w:cs="Times New Roman"/>
        </w:rPr>
      </w:pPr>
      <w:r w:rsidRPr="00FA7FC3">
        <w:rPr>
          <w:rFonts w:cs="Times New Roman"/>
        </w:rPr>
        <w:t xml:space="preserve">Members may consider participation of the WG-on MRLs in CCPR meetings. </w:t>
      </w:r>
      <w:proofErr w:type="gramStart"/>
      <w:r w:rsidRPr="00FA7FC3">
        <w:rPr>
          <w:rFonts w:cs="Times New Roman"/>
        </w:rPr>
        <w:t>Needs discussion</w:t>
      </w:r>
      <w:r>
        <w:rPr>
          <w:rFonts w:cs="Times New Roman"/>
        </w:rPr>
        <w:t xml:space="preserve"> </w:t>
      </w:r>
      <w:r w:rsidRPr="00FA7FC3">
        <w:rPr>
          <w:rFonts w:cs="Times New Roman"/>
          <w:color w:val="222222"/>
          <w:shd w:val="clear" w:color="auto" w:fill="FFFFFF"/>
        </w:rPr>
        <w:t>on the benefits</w:t>
      </w:r>
      <w:r>
        <w:rPr>
          <w:rFonts w:cs="Times New Roman"/>
          <w:color w:val="222222"/>
          <w:shd w:val="clear" w:color="auto" w:fill="FFFFFF"/>
        </w:rPr>
        <w:t xml:space="preserve"> from the inputs provided by Canada.</w:t>
      </w:r>
      <w:proofErr w:type="gramEnd"/>
    </w:p>
    <w:p w:rsidR="00710386" w:rsidRPr="00FA69D0" w:rsidRDefault="00710386" w:rsidP="009B03BD">
      <w:pPr>
        <w:rPr>
          <w:rFonts w:cs="Times New Roman"/>
          <w:lang w:val="en-US"/>
        </w:rPr>
      </w:pPr>
      <w:r w:rsidRPr="00FA69D0">
        <w:rPr>
          <w:rFonts w:cs="Times New Roman"/>
        </w:rPr>
        <w:t>(9) Share information on development of pest resistance.</w:t>
      </w:r>
    </w:p>
    <w:p w:rsidR="00710386" w:rsidRDefault="00710386" w:rsidP="009B03BD">
      <w:pPr>
        <w:ind w:left="270"/>
        <w:rPr>
          <w:rFonts w:cs="Times New Roman"/>
        </w:rPr>
      </w:pPr>
      <w:r w:rsidRPr="00FA69D0">
        <w:rPr>
          <w:rFonts w:cs="Times New Roman"/>
        </w:rPr>
        <w:t>Information on development pest resistance in tea would help in better management of pest in the producing countries and will also help in revising the priority list. The members may share such information preferably through the FAO-IGG on Tea Forum.</w:t>
      </w:r>
    </w:p>
    <w:p w:rsidR="00710386" w:rsidRDefault="00710386" w:rsidP="009B03BD">
      <w:pPr>
        <w:rPr>
          <w:rFonts w:cs="Times New Roman"/>
        </w:rPr>
      </w:pPr>
    </w:p>
    <w:p w:rsidR="00710386" w:rsidRPr="00FA69D0" w:rsidRDefault="00710386" w:rsidP="009B03BD">
      <w:pPr>
        <w:rPr>
          <w:rFonts w:cs="Times New Roman"/>
        </w:rPr>
      </w:pPr>
      <w:r w:rsidRPr="00FA69D0">
        <w:rPr>
          <w:rFonts w:cs="Times New Roman"/>
        </w:rPr>
        <w:t xml:space="preserve">(10) The policy document entitled “Guidance Document on Risk Assessment Using Brew Factor </w:t>
      </w:r>
      <w:proofErr w:type="gramStart"/>
      <w:r w:rsidRPr="00FA69D0">
        <w:rPr>
          <w:rFonts w:cs="Times New Roman"/>
        </w:rPr>
        <w:t>For</w:t>
      </w:r>
      <w:proofErr w:type="gramEnd"/>
      <w:r w:rsidRPr="00FA69D0">
        <w:rPr>
          <w:rFonts w:cs="Times New Roman"/>
        </w:rPr>
        <w:t xml:space="preserve"> Fixation of MRLs of Pesticides in Tea” will be submitted to the CCPR and JMPR for reference.</w:t>
      </w:r>
    </w:p>
    <w:p w:rsidR="00710386" w:rsidRPr="00FA69D0" w:rsidRDefault="00710386" w:rsidP="009B03BD">
      <w:pPr>
        <w:ind w:left="270"/>
        <w:rPr>
          <w:rFonts w:cs="Times New Roman"/>
        </w:rPr>
      </w:pPr>
      <w:r w:rsidRPr="00FA69D0">
        <w:rPr>
          <w:rFonts w:cs="Times New Roman"/>
        </w:rPr>
        <w:t xml:space="preserve">The policy document entitled “Guidance Document on Risk Assessment Using Brew Factor </w:t>
      </w:r>
      <w:proofErr w:type="gramStart"/>
      <w:r w:rsidRPr="00FA69D0">
        <w:rPr>
          <w:rFonts w:cs="Times New Roman"/>
        </w:rPr>
        <w:t>For</w:t>
      </w:r>
      <w:proofErr w:type="gramEnd"/>
      <w:r w:rsidRPr="00FA69D0">
        <w:rPr>
          <w:rFonts w:cs="Times New Roman"/>
        </w:rPr>
        <w:t xml:space="preserve"> Fixation of MRLs of Pesticides in Tea” was submitted and presented in the 48 session of the CCPR at China held on 25-30 April, 2016. </w:t>
      </w:r>
      <w:r>
        <w:rPr>
          <w:rFonts w:cs="Times New Roman"/>
        </w:rPr>
        <w:t xml:space="preserve"> </w:t>
      </w:r>
      <w:r w:rsidRPr="00FA69D0">
        <w:rPr>
          <w:rFonts w:cs="Times New Roman"/>
        </w:rPr>
        <w:t>[</w:t>
      </w:r>
      <w:hyperlink r:id="rId11" w:history="1">
        <w:r w:rsidRPr="00FA69D0">
          <w:rPr>
            <w:rFonts w:cs="Times New Roman"/>
          </w:rPr>
          <w:t>http://www.fao.org/fao-who-codexalimentarius/sh-proxy/en/?lnk=1&amp;url=https%253A%252F%252Fworkspace.fao.org%252Fsites%252Fcodex%252FMeetings%252FCX-718-48%252FCRD%252Fpr48_crd21x.pdf</w:t>
        </w:r>
      </w:hyperlink>
      <w:r w:rsidRPr="00FA69D0">
        <w:rPr>
          <w:rFonts w:cs="Times New Roman"/>
        </w:rPr>
        <w:t>]</w:t>
      </w:r>
    </w:p>
    <w:p w:rsidR="00710386" w:rsidRPr="00B31AC4" w:rsidRDefault="00710386" w:rsidP="009B03BD">
      <w:pPr>
        <w:pStyle w:val="ListParagraph"/>
        <w:ind w:left="0"/>
        <w:rPr>
          <w:rFonts w:cs="Times New Roman"/>
          <w:b/>
          <w:sz w:val="28"/>
        </w:rPr>
      </w:pPr>
      <w:r w:rsidRPr="005802C4">
        <w:rPr>
          <w:rFonts w:cs="Times New Roman"/>
          <w:b/>
          <w:sz w:val="28"/>
        </w:rPr>
        <w:t>Progress report of FAO-IGG</w:t>
      </w:r>
      <w:r w:rsidR="009B03BD">
        <w:rPr>
          <w:rFonts w:cs="Times New Roman"/>
          <w:b/>
          <w:sz w:val="28"/>
        </w:rPr>
        <w:t>/Tea</w:t>
      </w:r>
      <w:r w:rsidRPr="005802C4">
        <w:rPr>
          <w:rFonts w:cs="Times New Roman"/>
          <w:b/>
          <w:sz w:val="28"/>
        </w:rPr>
        <w:t xml:space="preserve"> Working </w:t>
      </w:r>
      <w:r w:rsidRPr="00B31AC4">
        <w:rPr>
          <w:rFonts w:cs="Times New Roman"/>
          <w:b/>
          <w:sz w:val="28"/>
        </w:rPr>
        <w:t>G</w:t>
      </w:r>
      <w:r>
        <w:rPr>
          <w:rFonts w:cs="Times New Roman"/>
          <w:b/>
          <w:sz w:val="28"/>
        </w:rPr>
        <w:t>roup</w:t>
      </w:r>
      <w:r w:rsidRPr="00B31AC4">
        <w:rPr>
          <w:rFonts w:cs="Times New Roman"/>
          <w:b/>
          <w:sz w:val="28"/>
        </w:rPr>
        <w:t xml:space="preserve"> on MRL in Tea Brew</w:t>
      </w:r>
    </w:p>
    <w:p w:rsidR="00710386" w:rsidRDefault="00710386" w:rsidP="009B03BD">
      <w:pPr>
        <w:rPr>
          <w:rFonts w:cs="Times New Roman"/>
          <w:color w:val="000000"/>
          <w:szCs w:val="17"/>
          <w:shd w:val="clear" w:color="auto" w:fill="FFFFFF"/>
        </w:rPr>
      </w:pPr>
      <w:r w:rsidRPr="00481D3D">
        <w:rPr>
          <w:rFonts w:cs="Times New Roman"/>
          <w:color w:val="000000"/>
          <w:szCs w:val="17"/>
          <w:shd w:val="clear" w:color="auto" w:fill="FFFFFF"/>
        </w:rPr>
        <w:t>In the objectives and development of the provisional agenda sent from the IGG secretariat one point included was as follows:</w:t>
      </w:r>
      <w:r>
        <w:rPr>
          <w:rFonts w:cs="Times New Roman"/>
          <w:color w:val="000000"/>
          <w:szCs w:val="17"/>
          <w:shd w:val="clear" w:color="auto" w:fill="FFFFFF"/>
        </w:rPr>
        <w:t xml:space="preserve"> </w:t>
      </w:r>
      <w:r w:rsidRPr="00481D3D">
        <w:rPr>
          <w:rFonts w:cs="Times New Roman"/>
          <w:color w:val="000000"/>
          <w:szCs w:val="17"/>
          <w:shd w:val="clear" w:color="auto" w:fill="FFFFFF"/>
        </w:rPr>
        <w:t xml:space="preserve">The Working Group on MRLs in the Brew </w:t>
      </w:r>
      <w:proofErr w:type="gramStart"/>
      <w:r w:rsidRPr="00481D3D">
        <w:rPr>
          <w:rFonts w:cs="Times New Roman"/>
          <w:color w:val="000000"/>
          <w:szCs w:val="17"/>
          <w:shd w:val="clear" w:color="auto" w:fill="FFFFFF"/>
        </w:rPr>
        <w:t>be</w:t>
      </w:r>
      <w:proofErr w:type="gramEnd"/>
      <w:r w:rsidRPr="00481D3D">
        <w:rPr>
          <w:rFonts w:cs="Times New Roman"/>
          <w:color w:val="000000"/>
          <w:szCs w:val="17"/>
          <w:shd w:val="clear" w:color="auto" w:fill="FFFFFF"/>
        </w:rPr>
        <w:t xml:space="preserve"> dissolved after the submission and endorsement of the policy document by CCPR. </w:t>
      </w:r>
    </w:p>
    <w:p w:rsidR="00710386" w:rsidRPr="00481D3D" w:rsidRDefault="00710386" w:rsidP="009B03BD">
      <w:pPr>
        <w:rPr>
          <w:rFonts w:cs="Times New Roman"/>
          <w:color w:val="000000"/>
          <w:szCs w:val="17"/>
          <w:shd w:val="clear" w:color="auto" w:fill="FFFFFF"/>
        </w:rPr>
      </w:pPr>
      <w:r w:rsidRPr="00481D3D">
        <w:rPr>
          <w:rFonts w:cs="Times New Roman"/>
          <w:color w:val="000000"/>
          <w:szCs w:val="17"/>
          <w:shd w:val="clear" w:color="auto" w:fill="FFFFFF"/>
        </w:rPr>
        <w:t>Hence, the WG need to prepare a policy document outlining the methodology and other technical requirements to enable regulators of the CCPR to accept residues in the brew as the basis for risk assessment. This document would need to be discussed and endorsed for submission to the CCPR</w:t>
      </w:r>
      <w:r>
        <w:rPr>
          <w:rFonts w:cs="Times New Roman"/>
          <w:color w:val="000000"/>
          <w:szCs w:val="17"/>
          <w:shd w:val="clear" w:color="auto" w:fill="FFFFFF"/>
        </w:rPr>
        <w:t>.</w:t>
      </w:r>
    </w:p>
    <w:p w:rsidR="009B03BD" w:rsidRDefault="00710386" w:rsidP="009B03BD">
      <w:pPr>
        <w:pStyle w:val="ListParagraph"/>
        <w:numPr>
          <w:ilvl w:val="0"/>
          <w:numId w:val="22"/>
        </w:numPr>
        <w:spacing w:line="276" w:lineRule="auto"/>
        <w:ind w:left="360"/>
        <w:rPr>
          <w:rFonts w:cs="Times New Roman"/>
          <w:b/>
          <w:color w:val="000000"/>
          <w:szCs w:val="17"/>
          <w:shd w:val="clear" w:color="auto" w:fill="FFFFFF"/>
        </w:rPr>
      </w:pPr>
      <w:r w:rsidRPr="002A7BD8">
        <w:rPr>
          <w:rFonts w:cs="Times New Roman"/>
          <w:b/>
          <w:color w:val="000000"/>
          <w:szCs w:val="17"/>
          <w:shd w:val="clear" w:color="auto" w:fill="FFFFFF"/>
        </w:rPr>
        <w:t>Policy document:</w:t>
      </w:r>
    </w:p>
    <w:p w:rsidR="009B03BD" w:rsidRDefault="009B03BD" w:rsidP="009B03BD">
      <w:pPr>
        <w:pStyle w:val="ListParagraph"/>
        <w:spacing w:line="276" w:lineRule="auto"/>
        <w:ind w:left="360"/>
        <w:rPr>
          <w:rFonts w:cs="Times New Roman"/>
          <w:b/>
          <w:color w:val="000000"/>
          <w:szCs w:val="17"/>
          <w:shd w:val="clear" w:color="auto" w:fill="FFFFFF"/>
        </w:rPr>
      </w:pPr>
    </w:p>
    <w:p w:rsidR="009B03BD" w:rsidRDefault="00710386" w:rsidP="009B03BD">
      <w:pPr>
        <w:pStyle w:val="ListParagraph"/>
        <w:spacing w:line="276" w:lineRule="auto"/>
        <w:ind w:left="360"/>
        <w:rPr>
          <w:rFonts w:cs="Times New Roman"/>
          <w:color w:val="000000"/>
          <w:szCs w:val="17"/>
          <w:shd w:val="clear" w:color="auto" w:fill="FFFFFF"/>
        </w:rPr>
      </w:pPr>
      <w:r w:rsidRPr="009B03BD">
        <w:rPr>
          <w:rFonts w:cs="Times New Roman"/>
          <w:color w:val="000000"/>
          <w:szCs w:val="17"/>
          <w:shd w:val="clear" w:color="auto" w:fill="FFFFFF"/>
        </w:rPr>
        <w:t xml:space="preserve">The </w:t>
      </w:r>
      <w:r w:rsidR="009B03BD" w:rsidRPr="009B03BD">
        <w:rPr>
          <w:rFonts w:cs="Times New Roman"/>
          <w:color w:val="000000"/>
          <w:szCs w:val="17"/>
          <w:shd w:val="clear" w:color="auto" w:fill="FFFFFF"/>
        </w:rPr>
        <w:t xml:space="preserve">policy document entitled </w:t>
      </w:r>
      <w:proofErr w:type="gramStart"/>
      <w:r w:rsidR="009B03BD" w:rsidRPr="009B03BD">
        <w:rPr>
          <w:rFonts w:cs="Times New Roman"/>
          <w:color w:val="000000"/>
          <w:szCs w:val="17"/>
          <w:shd w:val="clear" w:color="auto" w:fill="FFFFFF"/>
        </w:rPr>
        <w:t>“ Guidance</w:t>
      </w:r>
      <w:proofErr w:type="gramEnd"/>
      <w:r w:rsidR="009B03BD" w:rsidRPr="009B03BD">
        <w:rPr>
          <w:rFonts w:cs="Times New Roman"/>
          <w:color w:val="000000"/>
          <w:szCs w:val="17"/>
          <w:shd w:val="clear" w:color="auto" w:fill="FFFFFF"/>
        </w:rPr>
        <w:t xml:space="preserve"> document on risk assessment using brew factor for fixation of MRLs of pesticides in Tea”  was prepared by Indian and Chinese delegations, WG on MRL and Tea Brew of FAO-IGG on Tea with comments from USA , Japan and Sri Lanka. The document was circulated to members and regulators for comment.  It was discussed at the Inter-sessional meeting at Milan </w:t>
      </w:r>
      <w:r w:rsidR="009B03BD">
        <w:rPr>
          <w:rFonts w:cs="Times New Roman"/>
          <w:color w:val="000000"/>
          <w:szCs w:val="17"/>
          <w:shd w:val="clear" w:color="auto" w:fill="FFFFFF"/>
        </w:rPr>
        <w:t xml:space="preserve">held on Oct 2015 and finalised </w:t>
      </w:r>
      <w:r w:rsidR="009B03BD" w:rsidRPr="009B03BD">
        <w:rPr>
          <w:rFonts w:cs="Times New Roman"/>
          <w:color w:val="000000"/>
          <w:szCs w:val="17"/>
          <w:shd w:val="clear" w:color="auto" w:fill="FFFFFF"/>
        </w:rPr>
        <w:t>in Dec</w:t>
      </w:r>
      <w:r w:rsidR="009B03BD">
        <w:rPr>
          <w:rFonts w:cs="Times New Roman"/>
          <w:color w:val="000000"/>
          <w:szCs w:val="17"/>
          <w:shd w:val="clear" w:color="auto" w:fill="FFFFFF"/>
        </w:rPr>
        <w:t>ember</w:t>
      </w:r>
      <w:r w:rsidR="009B03BD" w:rsidRPr="009B03BD">
        <w:rPr>
          <w:rFonts w:cs="Times New Roman"/>
          <w:color w:val="000000"/>
          <w:szCs w:val="17"/>
          <w:shd w:val="clear" w:color="auto" w:fill="FFFFFF"/>
        </w:rPr>
        <w:t xml:space="preserve"> </w:t>
      </w:r>
      <w:r w:rsidRPr="009B03BD">
        <w:rPr>
          <w:rFonts w:cs="Times New Roman"/>
          <w:color w:val="000000"/>
          <w:szCs w:val="17"/>
          <w:shd w:val="clear" w:color="auto" w:fill="FFFFFF"/>
        </w:rPr>
        <w:t>2015</w:t>
      </w:r>
      <w:r w:rsidR="009B03BD">
        <w:rPr>
          <w:rFonts w:cs="Times New Roman"/>
          <w:color w:val="000000"/>
          <w:szCs w:val="17"/>
          <w:shd w:val="clear" w:color="auto" w:fill="FFFFFF"/>
        </w:rPr>
        <w:t>.</w:t>
      </w:r>
    </w:p>
    <w:p w:rsidR="009B03BD" w:rsidRDefault="009B03BD" w:rsidP="009B03BD">
      <w:pPr>
        <w:pStyle w:val="ListParagraph"/>
        <w:spacing w:line="276" w:lineRule="auto"/>
        <w:ind w:left="360"/>
        <w:rPr>
          <w:rFonts w:cs="Times New Roman"/>
          <w:color w:val="000000"/>
          <w:szCs w:val="17"/>
          <w:shd w:val="clear" w:color="auto" w:fill="FFFFFF"/>
        </w:rPr>
      </w:pPr>
    </w:p>
    <w:p w:rsidR="009B03BD" w:rsidRDefault="00710386" w:rsidP="009B03BD">
      <w:pPr>
        <w:pStyle w:val="ListParagraph"/>
        <w:spacing w:line="276" w:lineRule="auto"/>
        <w:ind w:left="360"/>
        <w:rPr>
          <w:rFonts w:cs="Times New Roman"/>
          <w:color w:val="000000"/>
          <w:szCs w:val="17"/>
          <w:shd w:val="clear" w:color="auto" w:fill="FFFFFF"/>
        </w:rPr>
      </w:pPr>
      <w:r>
        <w:rPr>
          <w:rFonts w:cs="Times New Roman"/>
          <w:color w:val="000000"/>
          <w:szCs w:val="17"/>
          <w:shd w:val="clear" w:color="auto" w:fill="FFFFFF"/>
        </w:rPr>
        <w:t>The policy document was submitted to Codex and was presented at the 48</w:t>
      </w:r>
      <w:r w:rsidRPr="006C5082">
        <w:rPr>
          <w:rFonts w:cs="Times New Roman"/>
          <w:color w:val="000000"/>
          <w:szCs w:val="17"/>
          <w:shd w:val="clear" w:color="auto" w:fill="FFFFFF"/>
          <w:vertAlign w:val="superscript"/>
        </w:rPr>
        <w:t>th</w:t>
      </w:r>
      <w:r>
        <w:rPr>
          <w:rFonts w:cs="Times New Roman"/>
          <w:color w:val="000000"/>
          <w:szCs w:val="17"/>
          <w:shd w:val="clear" w:color="auto" w:fill="FFFFFF"/>
        </w:rPr>
        <w:t xml:space="preserve"> CCPR meeting held in Chongqing, China on 25-30 </w:t>
      </w:r>
      <w:r w:rsidR="009B03BD">
        <w:rPr>
          <w:rFonts w:cs="Times New Roman"/>
          <w:color w:val="000000"/>
          <w:szCs w:val="17"/>
          <w:shd w:val="clear" w:color="auto" w:fill="FFFFFF"/>
        </w:rPr>
        <w:t xml:space="preserve">April 2016.  Excerpts from the </w:t>
      </w:r>
      <w:r>
        <w:rPr>
          <w:rFonts w:cs="Times New Roman"/>
          <w:color w:val="000000"/>
          <w:szCs w:val="17"/>
          <w:shd w:val="clear" w:color="auto" w:fill="FFFFFF"/>
        </w:rPr>
        <w:t>report of the CCPR 48</w:t>
      </w:r>
      <w:r w:rsidRPr="006C5082">
        <w:rPr>
          <w:rFonts w:cs="Times New Roman"/>
          <w:color w:val="000000"/>
          <w:szCs w:val="17"/>
          <w:shd w:val="clear" w:color="auto" w:fill="FFFFFF"/>
          <w:vertAlign w:val="superscript"/>
        </w:rPr>
        <w:t>th</w:t>
      </w:r>
      <w:r>
        <w:rPr>
          <w:rFonts w:cs="Times New Roman"/>
          <w:color w:val="000000"/>
          <w:szCs w:val="17"/>
          <w:shd w:val="clear" w:color="auto" w:fill="FFFFFF"/>
        </w:rPr>
        <w:t xml:space="preserve"> session presented below:</w:t>
      </w:r>
    </w:p>
    <w:p w:rsidR="009B03BD" w:rsidRDefault="00710386" w:rsidP="009B03BD">
      <w:pPr>
        <w:pStyle w:val="ListParagraph"/>
        <w:spacing w:line="276" w:lineRule="auto"/>
        <w:ind w:left="567"/>
        <w:rPr>
          <w:rFonts w:cs="Times New Roman"/>
          <w:color w:val="000000"/>
          <w:szCs w:val="17"/>
          <w:shd w:val="clear" w:color="auto" w:fill="FFFFFF"/>
        </w:rPr>
      </w:pPr>
      <w:r>
        <w:rPr>
          <w:rFonts w:cs="Times New Roman"/>
          <w:color w:val="000000"/>
          <w:szCs w:val="17"/>
          <w:shd w:val="clear" w:color="auto" w:fill="FFFFFF"/>
        </w:rPr>
        <w:t xml:space="preserve">“196. The Delegation of India recalled that CCPR44 (2012) has encouraged </w:t>
      </w:r>
      <w:proofErr w:type="spellStart"/>
      <w:r>
        <w:rPr>
          <w:rFonts w:cs="Times New Roman"/>
          <w:color w:val="000000"/>
          <w:szCs w:val="17"/>
          <w:shd w:val="clear" w:color="auto" w:fill="FFFFFF"/>
        </w:rPr>
        <w:t>coutries</w:t>
      </w:r>
      <w:proofErr w:type="spellEnd"/>
      <w:r>
        <w:rPr>
          <w:rFonts w:cs="Times New Roman"/>
          <w:color w:val="000000"/>
          <w:szCs w:val="17"/>
          <w:shd w:val="clear" w:color="auto" w:fill="FFFFFF"/>
        </w:rPr>
        <w:t xml:space="preserve"> to submit relevant data/information on brewing factors and standard method to JMPR for consideration in estimation of MRLs for pesticides in tea</w:t>
      </w:r>
      <w:r w:rsidRPr="006C5082">
        <w:rPr>
          <w:rFonts w:cs="Times New Roman"/>
          <w:color w:val="000000"/>
          <w:szCs w:val="17"/>
          <w:shd w:val="clear" w:color="auto" w:fill="FFFFFF"/>
          <w:vertAlign w:val="superscript"/>
        </w:rPr>
        <w:t>23</w:t>
      </w:r>
      <w:r>
        <w:rPr>
          <w:rFonts w:cs="Times New Roman"/>
          <w:color w:val="000000"/>
          <w:szCs w:val="17"/>
          <w:shd w:val="clear" w:color="auto" w:fill="FFFFFF"/>
        </w:rPr>
        <w:t xml:space="preserve">. </w:t>
      </w:r>
      <w:proofErr w:type="spellStart"/>
      <w:r>
        <w:rPr>
          <w:rFonts w:cs="Times New Roman"/>
          <w:color w:val="000000"/>
          <w:szCs w:val="17"/>
          <w:shd w:val="clear" w:color="auto" w:fill="FFFFFF"/>
        </w:rPr>
        <w:t>Inida</w:t>
      </w:r>
      <w:proofErr w:type="spellEnd"/>
      <w:r>
        <w:rPr>
          <w:rFonts w:cs="Times New Roman"/>
          <w:color w:val="000000"/>
          <w:szCs w:val="17"/>
          <w:shd w:val="clear" w:color="auto" w:fill="FFFFFF"/>
        </w:rPr>
        <w:t>, explained that following the CCPR’s decision, the IGG in 2015 had endorsed a guidance document (CRD21), jointly prepared by India and China, which aimed at providing guidance on the establishment of MRLs for pesticides in dry tea leaves using brew factors for risk assessment.</w:t>
      </w:r>
    </w:p>
    <w:p w:rsidR="009B03BD" w:rsidRDefault="009B03BD" w:rsidP="009B03BD">
      <w:pPr>
        <w:pStyle w:val="ListParagraph"/>
        <w:spacing w:line="276" w:lineRule="auto"/>
        <w:ind w:left="567"/>
        <w:rPr>
          <w:rFonts w:cs="Times New Roman"/>
          <w:color w:val="000000"/>
          <w:szCs w:val="17"/>
          <w:shd w:val="clear" w:color="auto" w:fill="FFFFFF"/>
        </w:rPr>
      </w:pPr>
    </w:p>
    <w:p w:rsidR="009B03BD" w:rsidRDefault="00710386" w:rsidP="009B03BD">
      <w:pPr>
        <w:pStyle w:val="ListParagraph"/>
        <w:spacing w:line="276" w:lineRule="auto"/>
        <w:ind w:left="567"/>
        <w:rPr>
          <w:rFonts w:cs="Times New Roman"/>
          <w:color w:val="000000"/>
          <w:szCs w:val="17"/>
          <w:shd w:val="clear" w:color="auto" w:fill="FFFFFF"/>
        </w:rPr>
      </w:pPr>
      <w:r>
        <w:rPr>
          <w:rFonts w:cs="Times New Roman"/>
          <w:color w:val="000000"/>
          <w:szCs w:val="17"/>
          <w:shd w:val="clear" w:color="auto" w:fill="FFFFFF"/>
        </w:rPr>
        <w:t>197. The JMPR Secretariat informed the Committee that the use of available tea brew studies to estimate processing factors was part of the current JMPR procedures for the establishment of MRLs for dry tea leaves and encouraged countries when submitting their trials to also include tea brew studies.”</w:t>
      </w:r>
    </w:p>
    <w:p w:rsidR="009B03BD" w:rsidRDefault="009B03BD" w:rsidP="009B03BD">
      <w:pPr>
        <w:pStyle w:val="ListParagraph"/>
        <w:spacing w:line="276" w:lineRule="auto"/>
        <w:ind w:left="567"/>
        <w:rPr>
          <w:rFonts w:cs="Times New Roman"/>
          <w:color w:val="000000"/>
          <w:szCs w:val="17"/>
          <w:shd w:val="clear" w:color="auto" w:fill="FFFFFF"/>
        </w:rPr>
      </w:pPr>
    </w:p>
    <w:p w:rsidR="00710386" w:rsidRPr="009B03BD" w:rsidRDefault="00710386" w:rsidP="009B03BD">
      <w:pPr>
        <w:pStyle w:val="ListParagraph"/>
        <w:spacing w:line="276" w:lineRule="auto"/>
        <w:ind w:left="426"/>
        <w:rPr>
          <w:rFonts w:cs="Times New Roman"/>
          <w:b/>
          <w:color w:val="000000"/>
          <w:szCs w:val="17"/>
          <w:shd w:val="clear" w:color="auto" w:fill="FFFFFF"/>
        </w:rPr>
      </w:pPr>
      <w:r>
        <w:rPr>
          <w:rFonts w:cs="Times New Roman"/>
          <w:color w:val="000000"/>
          <w:szCs w:val="17"/>
          <w:shd w:val="clear" w:color="auto" w:fill="FFFFFF"/>
        </w:rPr>
        <w:t>The working group on MRLs in the Tea Brew has thus completed its commitment.</w:t>
      </w:r>
    </w:p>
    <w:p w:rsidR="00710386" w:rsidRPr="00FA69D0" w:rsidRDefault="00710386" w:rsidP="009B03BD">
      <w:pPr>
        <w:rPr>
          <w:rFonts w:cs="Times New Roman"/>
          <w:b/>
        </w:rPr>
      </w:pPr>
      <w:r w:rsidRPr="00FA69D0">
        <w:rPr>
          <w:rFonts w:cs="Times New Roman"/>
          <w:b/>
          <w:u w:val="single"/>
        </w:rPr>
        <w:t>Future Plan</w:t>
      </w:r>
    </w:p>
    <w:p w:rsidR="00710386" w:rsidRPr="00FA69D0" w:rsidRDefault="00710386" w:rsidP="009B03BD">
      <w:pPr>
        <w:spacing w:after="0"/>
        <w:rPr>
          <w:rFonts w:cs="Times New Roman"/>
        </w:rPr>
      </w:pPr>
      <w:r w:rsidRPr="00FA69D0">
        <w:rPr>
          <w:rFonts w:cs="Times New Roman"/>
        </w:rPr>
        <w:t>1. Continue data generation and submission through National Codex points for MRL fixation.</w:t>
      </w:r>
    </w:p>
    <w:p w:rsidR="00710386" w:rsidRPr="00FA69D0" w:rsidRDefault="00710386" w:rsidP="009B03BD">
      <w:pPr>
        <w:spacing w:after="0"/>
        <w:rPr>
          <w:rFonts w:cs="Times New Roman"/>
        </w:rPr>
      </w:pPr>
      <w:r w:rsidRPr="00FA69D0">
        <w:rPr>
          <w:rFonts w:cs="Times New Roman"/>
        </w:rPr>
        <w:t>2. Submit data on brew studies for brew factor based risk assessment.</w:t>
      </w:r>
    </w:p>
    <w:p w:rsidR="00710386" w:rsidRPr="00FA69D0" w:rsidRDefault="00710386" w:rsidP="009B03BD">
      <w:pPr>
        <w:spacing w:after="0"/>
        <w:rPr>
          <w:rFonts w:cs="Times New Roman"/>
        </w:rPr>
      </w:pPr>
      <w:r w:rsidRPr="00FA69D0">
        <w:rPr>
          <w:rFonts w:cs="Times New Roman"/>
        </w:rPr>
        <w:t>3. Communication plan for quick information dissemination.</w:t>
      </w:r>
    </w:p>
    <w:p w:rsidR="00710386" w:rsidRPr="00FA69D0" w:rsidRDefault="00710386" w:rsidP="009B03BD">
      <w:pPr>
        <w:spacing w:after="0"/>
        <w:rPr>
          <w:rFonts w:cs="Times New Roman"/>
        </w:rPr>
      </w:pPr>
      <w:r w:rsidRPr="00FA69D0">
        <w:rPr>
          <w:rFonts w:cs="Times New Roman"/>
        </w:rPr>
        <w:t>4. Update priority list as necessary.</w:t>
      </w:r>
    </w:p>
    <w:p w:rsidR="00710386" w:rsidRPr="00FA69D0" w:rsidRDefault="00710386" w:rsidP="009B03BD">
      <w:pPr>
        <w:spacing w:after="0"/>
        <w:rPr>
          <w:rFonts w:cs="Times New Roman"/>
        </w:rPr>
      </w:pPr>
      <w:r w:rsidRPr="00FA69D0">
        <w:rPr>
          <w:rFonts w:cs="Times New Roman"/>
        </w:rPr>
        <w:t>5. Assess required infrastructure for data generation &amp; conformance monitoring. Explore funding.</w:t>
      </w:r>
    </w:p>
    <w:p w:rsidR="00710386" w:rsidRPr="00FA69D0" w:rsidRDefault="00710386" w:rsidP="009B03BD">
      <w:pPr>
        <w:spacing w:after="0"/>
        <w:ind w:left="180" w:hanging="180"/>
        <w:rPr>
          <w:rFonts w:cs="Times New Roman"/>
        </w:rPr>
      </w:pPr>
      <w:r w:rsidRPr="00FA69D0">
        <w:rPr>
          <w:rFonts w:cs="Times New Roman"/>
        </w:rPr>
        <w:t xml:space="preserve">6. </w:t>
      </w:r>
      <w:r w:rsidRPr="00FA69D0">
        <w:rPr>
          <w:rFonts w:cs="Times New Roman"/>
          <w:lang w:val="en-US"/>
        </w:rPr>
        <w:t xml:space="preserve">To share available information on </w:t>
      </w:r>
      <w:proofErr w:type="spellStart"/>
      <w:r w:rsidRPr="00FA69D0">
        <w:rPr>
          <w:rFonts w:cs="Times New Roman"/>
          <w:lang w:val="en-US"/>
        </w:rPr>
        <w:t>anthraquinone</w:t>
      </w:r>
      <w:proofErr w:type="spellEnd"/>
      <w:r w:rsidRPr="00FA69D0">
        <w:rPr>
          <w:rFonts w:cs="Times New Roman"/>
          <w:lang w:val="en-US"/>
        </w:rPr>
        <w:t xml:space="preserve"> and other contaminants and carry out </w:t>
      </w:r>
      <w:r>
        <w:rPr>
          <w:rFonts w:cs="Times New Roman"/>
          <w:lang w:val="en-US"/>
        </w:rPr>
        <w:t>a</w:t>
      </w:r>
      <w:r w:rsidRPr="00FA69D0">
        <w:rPr>
          <w:rFonts w:cs="Times New Roman"/>
          <w:lang w:val="en-US"/>
        </w:rPr>
        <w:t xml:space="preserve"> global study on </w:t>
      </w:r>
      <w:proofErr w:type="spellStart"/>
      <w:r w:rsidRPr="00FA69D0">
        <w:rPr>
          <w:rFonts w:cs="Times New Roman"/>
          <w:lang w:val="en-US"/>
        </w:rPr>
        <w:t>anthraquinone</w:t>
      </w:r>
      <w:proofErr w:type="spellEnd"/>
      <w:r>
        <w:rPr>
          <w:rFonts w:cs="Times New Roman"/>
          <w:lang w:val="en-US"/>
        </w:rPr>
        <w:t>.</w:t>
      </w:r>
      <w:r w:rsidRPr="00FA69D0">
        <w:rPr>
          <w:rFonts w:cs="Times New Roman"/>
          <w:lang w:val="en-US"/>
        </w:rPr>
        <w:t xml:space="preserve"> </w:t>
      </w:r>
      <w:r w:rsidRPr="00FA69D0">
        <w:rPr>
          <w:rFonts w:cs="Times New Roman"/>
        </w:rPr>
        <w:t xml:space="preserve"> </w:t>
      </w:r>
    </w:p>
    <w:p w:rsidR="00710386" w:rsidRPr="00FA69D0" w:rsidRDefault="00710386" w:rsidP="009B03BD">
      <w:pPr>
        <w:spacing w:after="0"/>
        <w:rPr>
          <w:rFonts w:cs="Times New Roman"/>
        </w:rPr>
      </w:pPr>
      <w:r w:rsidRPr="00FA69D0">
        <w:rPr>
          <w:rFonts w:cs="Times New Roman"/>
        </w:rPr>
        <w:t>7.</w:t>
      </w:r>
      <w:r w:rsidR="009B03BD">
        <w:rPr>
          <w:rFonts w:cs="Times New Roman"/>
          <w:lang w:val="en-US"/>
        </w:rPr>
        <w:t xml:space="preserve"> Explore </w:t>
      </w:r>
      <w:r w:rsidRPr="00FA69D0">
        <w:rPr>
          <w:rFonts w:cs="Times New Roman"/>
          <w:lang w:val="en-US"/>
        </w:rPr>
        <w:t xml:space="preserve">a potential representation in CODEX for tea to give agreed </w:t>
      </w:r>
      <w:r w:rsidRPr="00FA69D0">
        <w:rPr>
          <w:rFonts w:cs="Times New Roman"/>
        </w:rPr>
        <w:t>position a voice.  Consider participation of FAO-IGG on Tea WG-on MRLs in CCPR meetings.</w:t>
      </w:r>
    </w:p>
    <w:p w:rsidR="00710386" w:rsidRPr="00FA69D0" w:rsidRDefault="00710386" w:rsidP="009B03BD">
      <w:pPr>
        <w:spacing w:after="0"/>
        <w:rPr>
          <w:rFonts w:cs="Times New Roman"/>
        </w:rPr>
      </w:pPr>
      <w:r w:rsidRPr="00FA69D0">
        <w:rPr>
          <w:rFonts w:cs="Times New Roman"/>
        </w:rPr>
        <w:t>8. Share information on development of pest resistance.</w:t>
      </w:r>
    </w:p>
    <w:p w:rsidR="00710386" w:rsidRDefault="00710386" w:rsidP="009B03BD">
      <w:pPr>
        <w:rPr>
          <w:rFonts w:cs="Times New Roman"/>
          <w:color w:val="000000"/>
          <w:szCs w:val="17"/>
          <w:shd w:val="clear" w:color="auto" w:fill="FFFFFF"/>
        </w:rPr>
      </w:pPr>
    </w:p>
    <w:sectPr w:rsidR="00710386" w:rsidSect="00140F94">
      <w:headerReference w:type="even" r:id="rId12"/>
      <w:headerReference w:type="default" r:id="rId13"/>
      <w:headerReference w:type="first" r:id="rId14"/>
      <w:footerReference w:type="first" r:id="rId15"/>
      <w:type w:val="continuous"/>
      <w:pgSz w:w="11907" w:h="16840" w:code="9"/>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386" w:rsidRDefault="00710386">
      <w:pPr>
        <w:spacing w:after="0"/>
      </w:pPr>
      <w:r>
        <w:separator/>
      </w:r>
    </w:p>
  </w:endnote>
  <w:endnote w:type="continuationSeparator" w:id="0">
    <w:p w:rsidR="00710386" w:rsidRDefault="007103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khbar MT">
    <w:altName w:val="Times New Roman"/>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386" w:rsidRPr="009C0B0C" w:rsidRDefault="00710386" w:rsidP="003E6ECD">
    <w:pPr>
      <w:rPr>
        <w:lang w:val="en-US"/>
      </w:rPr>
    </w:pPr>
    <w:bookmarkStart w:id="8" w:name="FooterInformationBookmark"/>
    <w:r>
      <w:rPr>
        <w:lang w:val="en-US"/>
      </w:rPr>
      <w:t xml:space="preserve"> </w:t>
    </w:r>
    <w:bookmarkEnd w:id="8"/>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386" w:rsidRDefault="00710386">
      <w:pPr>
        <w:spacing w:after="0"/>
      </w:pPr>
      <w:r>
        <w:separator/>
      </w:r>
    </w:p>
  </w:footnote>
  <w:footnote w:type="continuationSeparator" w:id="0">
    <w:p w:rsidR="00710386" w:rsidRDefault="0071038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386" w:rsidRPr="001A0BFF" w:rsidRDefault="00710386" w:rsidP="003E6ECD">
    <w:pPr>
      <w:pStyle w:val="Underlined"/>
    </w:pPr>
    <w:r>
      <w:fldChar w:fldCharType="begin"/>
    </w:r>
    <w:r>
      <w:instrText xml:space="preserve"> PAGE  \* Arabic  \* MERGEFORMAT </w:instrText>
    </w:r>
    <w:r>
      <w:fldChar w:fldCharType="separate"/>
    </w:r>
    <w:r w:rsidR="009B03BD">
      <w:rPr>
        <w:noProof/>
      </w:rPr>
      <w:t>2</w:t>
    </w:r>
    <w:r>
      <w:rPr>
        <w:noProof/>
      </w:rPr>
      <w:fldChar w:fldCharType="end"/>
    </w:r>
    <w:r>
      <w:ptab w:relativeTo="margin" w:alignment="right" w:leader="none"/>
    </w:r>
    <w:r w:rsidRPr="00172E88">
      <w:t xml:space="preserve"> </w:t>
    </w:r>
    <w:bookmarkStart w:id="3" w:name="EvenIdentificationBookmark"/>
    <w:r>
      <w:t>CCP</w:t>
    </w:r>
    <w:proofErr w:type="gramStart"/>
    <w:r>
      <w:t>:TE</w:t>
    </w:r>
    <w:proofErr w:type="gramEnd"/>
    <w:r>
      <w:t xml:space="preserve"> 16/</w:t>
    </w:r>
    <w:bookmarkEnd w:id="3"/>
    <w:r>
      <w:t>CRS1</w:t>
    </w:r>
    <w:r w:rsidR="009B03BD">
      <w:t>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386" w:rsidRDefault="00710386" w:rsidP="004C1A29">
    <w:pPr>
      <w:pStyle w:val="Underlined"/>
    </w:pPr>
    <w:bookmarkStart w:id="4" w:name="OddIdentificationBookmark"/>
    <w:r>
      <w:t>CCP</w:t>
    </w:r>
    <w:proofErr w:type="gramStart"/>
    <w:r>
      <w:t>:TE</w:t>
    </w:r>
    <w:proofErr w:type="gramEnd"/>
    <w:r>
      <w:t xml:space="preserve"> 16/</w:t>
    </w:r>
    <w:bookmarkEnd w:id="4"/>
    <w:r>
      <w:t>CRS</w:t>
    </w:r>
    <w:r w:rsidR="009B03BD">
      <w:t>15</w:t>
    </w:r>
    <w:r>
      <w:ptab w:relativeTo="margin" w:alignment="right" w:leader="none"/>
    </w:r>
    <w:r>
      <w:fldChar w:fldCharType="begin"/>
    </w:r>
    <w:r>
      <w:instrText xml:space="preserve"> PAGE  \* Arabic  \* MERGEFORMAT </w:instrText>
    </w:r>
    <w:r>
      <w:fldChar w:fldCharType="separate"/>
    </w:r>
    <w:r w:rsidR="009B03BD">
      <w:rPr>
        <w:noProof/>
      </w:rPr>
      <w:t>3</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386" w:rsidRPr="00734C44" w:rsidRDefault="00710386" w:rsidP="003E6ECD">
    <w:pPr>
      <w:pStyle w:val="LanguageSymbol"/>
      <w:framePr w:wrap="around"/>
    </w:pPr>
    <w:bookmarkStart w:id="5" w:name="LanguageSymbolBookmark"/>
    <w:r>
      <w:t>E</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5"/>
      <w:gridCol w:w="4536"/>
    </w:tblGrid>
    <w:tr w:rsidR="00710386" w:rsidTr="003E6ECD">
      <w:trPr>
        <w:jc w:val="center"/>
      </w:trPr>
      <w:tc>
        <w:tcPr>
          <w:tcW w:w="2500" w:type="pct"/>
          <w:noWrap/>
          <w:tcMar>
            <w:left w:w="0" w:type="dxa"/>
          </w:tcMar>
        </w:tcPr>
        <w:bookmarkEnd w:id="5"/>
        <w:p w:rsidR="00710386" w:rsidRDefault="00710386" w:rsidP="003E6ECD">
          <w:r>
            <w:t>May 2016</w:t>
          </w:r>
        </w:p>
      </w:tc>
      <w:tc>
        <w:tcPr>
          <w:tcW w:w="2500" w:type="pct"/>
          <w:noWrap/>
          <w:tcMar>
            <w:right w:w="0" w:type="dxa"/>
          </w:tcMar>
        </w:tcPr>
        <w:p w:rsidR="00710386" w:rsidRDefault="00710386" w:rsidP="00710386">
          <w:pPr>
            <w:jc w:val="right"/>
          </w:pPr>
          <w:bookmarkStart w:id="6" w:name="FirstCoverIdentificationBookmark"/>
          <w:r>
            <w:t>CCP:TE 16/</w:t>
          </w:r>
          <w:bookmarkEnd w:id="6"/>
          <w:r>
            <w:t>CRS15</w:t>
          </w:r>
        </w:p>
      </w:tc>
    </w:tr>
  </w:tbl>
  <w:p w:rsidR="00710386" w:rsidRPr="008E01CD" w:rsidRDefault="00710386" w:rsidP="003E6ECD">
    <w:pPr>
      <w:pBdr>
        <w:bottom w:val="single" w:sz="12" w:space="0" w:color="auto"/>
      </w:pBdr>
      <w:contextualSpacing/>
      <w:rPr>
        <w:sz w:val="4"/>
      </w:rPr>
    </w:pPr>
  </w:p>
  <w:p w:rsidR="00710386" w:rsidRDefault="00710386" w:rsidP="003E6ECD">
    <w:pPr>
      <w:jc w:val="center"/>
    </w:pPr>
    <w:bookmarkStart w:id="7" w:name="LogoBookmark"/>
    <w:r>
      <w:rPr>
        <w:noProof/>
        <w:lang w:eastAsia="en-GB"/>
      </w:rPr>
      <w:drawing>
        <wp:inline distT="0" distB="0" distL="0" distR="0" wp14:anchorId="5048FFE1" wp14:editId="1B8D44FD">
          <wp:extent cx="5760085" cy="794385"/>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760085" cy="794385"/>
                  </a:xfrm>
                  <a:prstGeom prst="rect">
                    <a:avLst/>
                  </a:prstGeom>
                </pic:spPr>
              </pic:pic>
            </a:graphicData>
          </a:graphic>
        </wp:inline>
      </w:drawing>
    </w:r>
    <w:r>
      <w:t xml:space="preserve">  </w:t>
    </w:r>
    <w:bookmarkEnd w:id="7"/>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86F4C482"/>
    <w:lvl w:ilvl="0">
      <w:start w:val="1"/>
      <w:numFmt w:val="upperRoman"/>
      <w:pStyle w:val="Heading1"/>
      <w:lvlText w:val="%1."/>
      <w:legacy w:legacy="1" w:legacySpace="0" w:legacyIndent="708"/>
      <w:lvlJc w:val="left"/>
      <w:pPr>
        <w:ind w:left="709" w:hanging="708"/>
      </w:pPr>
    </w:lvl>
    <w:lvl w:ilvl="1">
      <w:start w:val="1"/>
      <w:numFmt w:val="upperLetter"/>
      <w:pStyle w:val="Heading2"/>
      <w:lvlText w:val="%2."/>
      <w:legacy w:legacy="1" w:legacySpace="0" w:legacyIndent="708"/>
      <w:lvlJc w:val="left"/>
      <w:pPr>
        <w:ind w:left="709" w:hanging="708"/>
      </w:pPr>
    </w:lvl>
    <w:lvl w:ilvl="2">
      <w:start w:val="1"/>
      <w:numFmt w:val="none"/>
      <w:suff w:val="nothing"/>
      <w:lvlText w:val=""/>
      <w:lvlJc w:val="left"/>
    </w:lvl>
    <w:lvl w:ilvl="3">
      <w:start w:val="1"/>
      <w:numFmt w:val="lowerLetter"/>
      <w:lvlText w:val="%4)"/>
      <w:legacy w:legacy="1" w:legacySpace="0" w:legacyIndent="708"/>
      <w:lvlJc w:val="left"/>
      <w:pPr>
        <w:ind w:left="0" w:hanging="708"/>
      </w:pPr>
    </w:lvl>
    <w:lvl w:ilvl="4">
      <w:start w:val="1"/>
      <w:numFmt w:val="decimal"/>
      <w:lvlText w:val="(%5)"/>
      <w:legacy w:legacy="1" w:legacySpace="0" w:legacyIndent="708"/>
      <w:lvlJc w:val="left"/>
      <w:pPr>
        <w:ind w:left="0" w:hanging="708"/>
      </w:pPr>
    </w:lvl>
    <w:lvl w:ilvl="5">
      <w:start w:val="1"/>
      <w:numFmt w:val="lowerLetter"/>
      <w:lvlText w:val="(%6)"/>
      <w:legacy w:legacy="1" w:legacySpace="0" w:legacyIndent="708"/>
      <w:lvlJc w:val="left"/>
      <w:pPr>
        <w:ind w:left="0" w:hanging="708"/>
      </w:pPr>
    </w:lvl>
    <w:lvl w:ilvl="6">
      <w:start w:val="1"/>
      <w:numFmt w:val="lowerRoman"/>
      <w:lvlText w:val="(%7)"/>
      <w:legacy w:legacy="1" w:legacySpace="0" w:legacyIndent="708"/>
      <w:lvlJc w:val="left"/>
      <w:pPr>
        <w:ind w:left="0" w:hanging="708"/>
      </w:pPr>
    </w:lvl>
    <w:lvl w:ilvl="7">
      <w:start w:val="1"/>
      <w:numFmt w:val="lowerLetter"/>
      <w:lvlText w:val="(%8)"/>
      <w:legacy w:legacy="1" w:legacySpace="0" w:legacyIndent="708"/>
      <w:lvlJc w:val="left"/>
      <w:pPr>
        <w:ind w:left="0" w:hanging="708"/>
      </w:pPr>
    </w:lvl>
    <w:lvl w:ilvl="8">
      <w:start w:val="1"/>
      <w:numFmt w:val="lowerRoman"/>
      <w:lvlText w:val="(%9)"/>
      <w:legacy w:legacy="1" w:legacySpace="0" w:legacyIndent="708"/>
      <w:lvlJc w:val="left"/>
      <w:pPr>
        <w:ind w:left="0" w:hanging="708"/>
      </w:pPr>
    </w:lvl>
  </w:abstractNum>
  <w:abstractNum w:abstractNumId="1">
    <w:nsid w:val="011A001A"/>
    <w:multiLevelType w:val="multilevel"/>
    <w:tmpl w:val="7C1EFED8"/>
    <w:lvl w:ilvl="0">
      <w:start w:val="1"/>
      <w:numFmt w:val="decimal"/>
      <w:lvlText w:val="%1."/>
      <w:lvlJc w:val="left"/>
      <w:pPr>
        <w:ind w:left="720" w:hanging="360"/>
      </w:pPr>
      <w:rPr>
        <w:rFonts w:hint="default"/>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nsid w:val="0608224A"/>
    <w:multiLevelType w:val="multilevel"/>
    <w:tmpl w:val="04090025"/>
    <w:styleLink w:val="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09DB4B70"/>
    <w:multiLevelType w:val="hybridMultilevel"/>
    <w:tmpl w:val="B42449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F293E5A"/>
    <w:multiLevelType w:val="hybridMultilevel"/>
    <w:tmpl w:val="7B4CAA3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nsid w:val="227F21F7"/>
    <w:multiLevelType w:val="hybridMultilevel"/>
    <w:tmpl w:val="972A9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ED97ED5"/>
    <w:multiLevelType w:val="hybridMultilevel"/>
    <w:tmpl w:val="11868DF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nsid w:val="36A068B8"/>
    <w:multiLevelType w:val="multilevel"/>
    <w:tmpl w:val="6D720936"/>
    <w:lvl w:ilvl="0">
      <w:start w:val="1"/>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nsid w:val="3EDE0E91"/>
    <w:multiLevelType w:val="hybridMultilevel"/>
    <w:tmpl w:val="2970F94E"/>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9">
    <w:nsid w:val="40C16C4E"/>
    <w:multiLevelType w:val="hybridMultilevel"/>
    <w:tmpl w:val="B750EC1C"/>
    <w:lvl w:ilvl="0" w:tplc="90BE5F78">
      <w:start w:val="1"/>
      <w:numFmt w:val="bullet"/>
      <w:pStyle w:val="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FE6260"/>
    <w:multiLevelType w:val="hybridMultilevel"/>
    <w:tmpl w:val="24BCBDDC"/>
    <w:lvl w:ilvl="0" w:tplc="0409000F">
      <w:start w:val="1"/>
      <w:numFmt w:val="decimal"/>
      <w:lvlText w:val="%1."/>
      <w:lvlJc w:val="left"/>
      <w:pPr>
        <w:ind w:left="1080" w:hanging="360"/>
      </w:pPr>
    </w:lvl>
    <w:lvl w:ilvl="1" w:tplc="4D2612E0">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D340D8B"/>
    <w:multiLevelType w:val="hybridMultilevel"/>
    <w:tmpl w:val="A0AA0F0E"/>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2">
    <w:nsid w:val="53287DFA"/>
    <w:multiLevelType w:val="hybridMultilevel"/>
    <w:tmpl w:val="6EB0DC7C"/>
    <w:lvl w:ilvl="0" w:tplc="F2740B8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563E51E7"/>
    <w:multiLevelType w:val="multilevel"/>
    <w:tmpl w:val="6D720936"/>
    <w:lvl w:ilvl="0">
      <w:start w:val="1"/>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nsid w:val="5A292D75"/>
    <w:multiLevelType w:val="multilevel"/>
    <w:tmpl w:val="466E69B2"/>
    <w:lvl w:ilvl="0">
      <w:start w:val="1"/>
      <w:numFmt w:val="upperRoman"/>
      <w:pStyle w:val="NumberedHeading"/>
      <w:lvlText w:val="%1."/>
      <w:legacy w:legacy="1" w:legacySpace="0" w:legacyIndent="708"/>
      <w:lvlJc w:val="left"/>
      <w:pPr>
        <w:ind w:left="709" w:hanging="708"/>
      </w:pPr>
    </w:lvl>
    <w:lvl w:ilvl="1">
      <w:start w:val="1"/>
      <w:numFmt w:val="upperLetter"/>
      <w:lvlText w:val="%2."/>
      <w:legacy w:legacy="1" w:legacySpace="0" w:legacyIndent="708"/>
      <w:lvlJc w:val="left"/>
      <w:pPr>
        <w:ind w:left="709" w:hanging="708"/>
      </w:pPr>
    </w:lvl>
    <w:lvl w:ilvl="2">
      <w:start w:val="1"/>
      <w:numFmt w:val="none"/>
      <w:suff w:val="nothing"/>
      <w:lvlText w:val=""/>
      <w:lvlJc w:val="left"/>
      <w:pPr>
        <w:ind w:left="0" w:firstLine="0"/>
      </w:pPr>
    </w:lvl>
    <w:lvl w:ilvl="3">
      <w:start w:val="1"/>
      <w:numFmt w:val="lowerLetter"/>
      <w:lvlText w:val="%4)"/>
      <w:legacy w:legacy="1" w:legacySpace="0" w:legacyIndent="708"/>
      <w:lvlJc w:val="left"/>
      <w:pPr>
        <w:ind w:left="0" w:hanging="708"/>
      </w:pPr>
    </w:lvl>
    <w:lvl w:ilvl="4">
      <w:start w:val="1"/>
      <w:numFmt w:val="decimal"/>
      <w:lvlText w:val="(%5)"/>
      <w:legacy w:legacy="1" w:legacySpace="0" w:legacyIndent="708"/>
      <w:lvlJc w:val="left"/>
      <w:pPr>
        <w:ind w:left="0" w:hanging="708"/>
      </w:pPr>
    </w:lvl>
    <w:lvl w:ilvl="5">
      <w:start w:val="1"/>
      <w:numFmt w:val="lowerLetter"/>
      <w:lvlText w:val="(%6)"/>
      <w:legacy w:legacy="1" w:legacySpace="0" w:legacyIndent="708"/>
      <w:lvlJc w:val="left"/>
      <w:pPr>
        <w:ind w:left="0" w:hanging="708"/>
      </w:pPr>
    </w:lvl>
    <w:lvl w:ilvl="6">
      <w:start w:val="1"/>
      <w:numFmt w:val="lowerRoman"/>
      <w:lvlText w:val="(%7)"/>
      <w:legacy w:legacy="1" w:legacySpace="0" w:legacyIndent="708"/>
      <w:lvlJc w:val="left"/>
      <w:pPr>
        <w:ind w:left="0" w:hanging="708"/>
      </w:pPr>
    </w:lvl>
    <w:lvl w:ilvl="7">
      <w:start w:val="1"/>
      <w:numFmt w:val="lowerLetter"/>
      <w:lvlText w:val="(%8)"/>
      <w:legacy w:legacy="1" w:legacySpace="0" w:legacyIndent="708"/>
      <w:lvlJc w:val="left"/>
      <w:pPr>
        <w:ind w:left="0" w:hanging="708"/>
      </w:pPr>
    </w:lvl>
    <w:lvl w:ilvl="8">
      <w:start w:val="1"/>
      <w:numFmt w:val="lowerRoman"/>
      <w:lvlText w:val="(%9)"/>
      <w:legacy w:legacy="1" w:legacySpace="0" w:legacyIndent="708"/>
      <w:lvlJc w:val="left"/>
      <w:pPr>
        <w:ind w:left="0" w:hanging="708"/>
      </w:pPr>
    </w:lvl>
  </w:abstractNum>
  <w:abstractNum w:abstractNumId="15">
    <w:nsid w:val="5F4E7168"/>
    <w:multiLevelType w:val="multilevel"/>
    <w:tmpl w:val="68867E3A"/>
    <w:lvl w:ilvl="0">
      <w:start w:val="1"/>
      <w:numFmt w:val="decimal"/>
      <w:pStyle w:val="BoxNewPara"/>
      <w:lvlText w:val="%1."/>
      <w:lvlJc w:val="left"/>
      <w:pPr>
        <w:ind w:left="720" w:hanging="72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5FFA4880"/>
    <w:multiLevelType w:val="multilevel"/>
    <w:tmpl w:val="9F1218F8"/>
    <w:lvl w:ilvl="0">
      <w:start w:val="1"/>
      <w:numFmt w:val="decimal"/>
      <w:pStyle w:val="NewPara"/>
      <w:lvlText w:val="%1."/>
      <w:lvlJc w:val="left"/>
      <w:pPr>
        <w:ind w:left="0" w:firstLine="0"/>
      </w:pPr>
      <w:rPr>
        <w:rFonts w:ascii="Times New Roman" w:hAnsi="Times New Roman" w:cs="Akhbar MT" w:hint="default"/>
        <w:b w:val="0"/>
        <w:bCs w:val="0"/>
        <w:i w:val="0"/>
        <w:iCs w:val="0"/>
        <w:sz w:val="22"/>
        <w:szCs w:val="22"/>
      </w:rPr>
    </w:lvl>
    <w:lvl w:ilvl="1">
      <w:start w:val="1"/>
      <w:numFmt w:val="lowerLetter"/>
      <w:lvlText w:val="%2."/>
      <w:lvlJc w:val="left"/>
      <w:pPr>
        <w:ind w:left="720" w:firstLine="0"/>
      </w:pPr>
    </w:lvl>
    <w:lvl w:ilvl="2">
      <w:start w:val="1"/>
      <w:numFmt w:val="lowerRoman"/>
      <w:lvlText w:val="%3."/>
      <w:lvlJc w:val="right"/>
      <w:pPr>
        <w:ind w:left="1620" w:firstLine="0"/>
      </w:pPr>
    </w:lvl>
    <w:lvl w:ilvl="3">
      <w:start w:val="1"/>
      <w:numFmt w:val="decimal"/>
      <w:lvlText w:val="%4."/>
      <w:lvlJc w:val="left"/>
      <w:pPr>
        <w:ind w:left="2160" w:firstLine="0"/>
      </w:pPr>
    </w:lvl>
    <w:lvl w:ilvl="4">
      <w:start w:val="1"/>
      <w:numFmt w:val="lowerLetter"/>
      <w:lvlText w:val="%5."/>
      <w:lvlJc w:val="left"/>
      <w:pPr>
        <w:ind w:left="2880" w:firstLine="0"/>
      </w:pPr>
    </w:lvl>
    <w:lvl w:ilvl="5">
      <w:start w:val="1"/>
      <w:numFmt w:val="lowerRoman"/>
      <w:lvlText w:val="%6."/>
      <w:lvlJc w:val="right"/>
      <w:pPr>
        <w:ind w:left="3780" w:firstLine="0"/>
      </w:pPr>
    </w:lvl>
    <w:lvl w:ilvl="6" w:tentative="1">
      <w:start w:val="1"/>
      <w:numFmt w:val="decimal"/>
      <w:lvlText w:val="%7."/>
      <w:lvlJc w:val="left"/>
      <w:pPr>
        <w:ind w:left="4320" w:firstLine="0"/>
      </w:pPr>
    </w:lvl>
    <w:lvl w:ilvl="7" w:tentative="1">
      <w:start w:val="1"/>
      <w:numFmt w:val="lowerLetter"/>
      <w:lvlText w:val="%8."/>
      <w:lvlJc w:val="left"/>
      <w:pPr>
        <w:ind w:left="5040" w:firstLine="0"/>
      </w:pPr>
    </w:lvl>
    <w:lvl w:ilvl="8" w:tentative="1">
      <w:start w:val="1"/>
      <w:numFmt w:val="lowerRoman"/>
      <w:lvlText w:val="%9."/>
      <w:lvlJc w:val="right"/>
      <w:pPr>
        <w:ind w:left="5940" w:firstLine="0"/>
      </w:pPr>
    </w:lvl>
  </w:abstractNum>
  <w:abstractNum w:abstractNumId="17">
    <w:nsid w:val="624416EE"/>
    <w:multiLevelType w:val="hybridMultilevel"/>
    <w:tmpl w:val="E696C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586BEB"/>
    <w:multiLevelType w:val="hybridMultilevel"/>
    <w:tmpl w:val="FCB8E370"/>
    <w:lvl w:ilvl="0" w:tplc="40090003">
      <w:start w:val="1"/>
      <w:numFmt w:val="bullet"/>
      <w:lvlText w:val="o"/>
      <w:lvlJc w:val="left"/>
      <w:pPr>
        <w:ind w:left="2520" w:hanging="360"/>
      </w:pPr>
      <w:rPr>
        <w:rFonts w:ascii="Courier New" w:hAnsi="Courier New" w:cs="Courier New" w:hint="default"/>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19">
    <w:nsid w:val="6BD939F8"/>
    <w:multiLevelType w:val="hybridMultilevel"/>
    <w:tmpl w:val="51EC555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nsid w:val="717A374B"/>
    <w:multiLevelType w:val="hybridMultilevel"/>
    <w:tmpl w:val="E72AD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5"/>
  </w:num>
  <w:num w:numId="4">
    <w:abstractNumId w:val="16"/>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20"/>
  </w:num>
  <w:num w:numId="9">
    <w:abstractNumId w:val="10"/>
  </w:num>
  <w:num w:numId="10">
    <w:abstractNumId w:val="12"/>
  </w:num>
  <w:num w:numId="11">
    <w:abstractNumId w:val="19"/>
  </w:num>
  <w:num w:numId="12">
    <w:abstractNumId w:val="8"/>
  </w:num>
  <w:num w:numId="13">
    <w:abstractNumId w:val="3"/>
  </w:num>
  <w:num w:numId="14">
    <w:abstractNumId w:val="11"/>
  </w:num>
  <w:num w:numId="15">
    <w:abstractNumId w:val="18"/>
  </w:num>
  <w:num w:numId="16">
    <w:abstractNumId w:val="6"/>
  </w:num>
  <w:num w:numId="17">
    <w:abstractNumId w:val="4"/>
  </w:num>
  <w:num w:numId="18">
    <w:abstractNumId w:val="16"/>
  </w:num>
  <w:num w:numId="19">
    <w:abstractNumId w:val="1"/>
  </w:num>
  <w:num w:numId="20">
    <w:abstractNumId w:val="7"/>
  </w:num>
  <w:num w:numId="21">
    <w:abstractNumId w:val="13"/>
  </w:num>
  <w:num w:numId="22">
    <w:abstractNumId w:val="17"/>
  </w:num>
  <w:num w:numId="23">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evenAndOddHeaders/>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386"/>
    <w:rsid w:val="000019B1"/>
    <w:rsid w:val="00012386"/>
    <w:rsid w:val="00017069"/>
    <w:rsid w:val="00082DE1"/>
    <w:rsid w:val="000907F2"/>
    <w:rsid w:val="000B2AB9"/>
    <w:rsid w:val="000C0883"/>
    <w:rsid w:val="000C09D9"/>
    <w:rsid w:val="000E0955"/>
    <w:rsid w:val="000F3449"/>
    <w:rsid w:val="00112F80"/>
    <w:rsid w:val="001327A5"/>
    <w:rsid w:val="00140F94"/>
    <w:rsid w:val="00165759"/>
    <w:rsid w:val="001746A8"/>
    <w:rsid w:val="0017701B"/>
    <w:rsid w:val="00180F2F"/>
    <w:rsid w:val="00193844"/>
    <w:rsid w:val="001A5FFE"/>
    <w:rsid w:val="001B44C3"/>
    <w:rsid w:val="001C2281"/>
    <w:rsid w:val="001E1402"/>
    <w:rsid w:val="001F7559"/>
    <w:rsid w:val="002116A8"/>
    <w:rsid w:val="002144A5"/>
    <w:rsid w:val="00240A29"/>
    <w:rsid w:val="00270AAC"/>
    <w:rsid w:val="002A192E"/>
    <w:rsid w:val="002C4A02"/>
    <w:rsid w:val="002F38B1"/>
    <w:rsid w:val="002F7BCB"/>
    <w:rsid w:val="0036490B"/>
    <w:rsid w:val="00374FD5"/>
    <w:rsid w:val="00380DEA"/>
    <w:rsid w:val="003C00DB"/>
    <w:rsid w:val="003D610A"/>
    <w:rsid w:val="003D7A58"/>
    <w:rsid w:val="003E6ECD"/>
    <w:rsid w:val="003E78C6"/>
    <w:rsid w:val="00422991"/>
    <w:rsid w:val="004337E1"/>
    <w:rsid w:val="004859DD"/>
    <w:rsid w:val="004A028E"/>
    <w:rsid w:val="004A2478"/>
    <w:rsid w:val="004B710E"/>
    <w:rsid w:val="004C1A29"/>
    <w:rsid w:val="004C5CAF"/>
    <w:rsid w:val="00500932"/>
    <w:rsid w:val="005167AC"/>
    <w:rsid w:val="00530067"/>
    <w:rsid w:val="00550E3C"/>
    <w:rsid w:val="005640C0"/>
    <w:rsid w:val="0057792E"/>
    <w:rsid w:val="00587B7E"/>
    <w:rsid w:val="0059329E"/>
    <w:rsid w:val="005B4535"/>
    <w:rsid w:val="005D12FF"/>
    <w:rsid w:val="005D48F2"/>
    <w:rsid w:val="005E58CB"/>
    <w:rsid w:val="005E5E43"/>
    <w:rsid w:val="00642FFA"/>
    <w:rsid w:val="00645246"/>
    <w:rsid w:val="0065200C"/>
    <w:rsid w:val="00656A3E"/>
    <w:rsid w:val="00665EC2"/>
    <w:rsid w:val="00681ED9"/>
    <w:rsid w:val="00687F71"/>
    <w:rsid w:val="006A1985"/>
    <w:rsid w:val="006E2227"/>
    <w:rsid w:val="006E2712"/>
    <w:rsid w:val="006F4AC9"/>
    <w:rsid w:val="00701D7D"/>
    <w:rsid w:val="00710386"/>
    <w:rsid w:val="00732938"/>
    <w:rsid w:val="007571D8"/>
    <w:rsid w:val="00780964"/>
    <w:rsid w:val="0078197B"/>
    <w:rsid w:val="0079532D"/>
    <w:rsid w:val="007A13C4"/>
    <w:rsid w:val="007E5CE6"/>
    <w:rsid w:val="00813207"/>
    <w:rsid w:val="0083552C"/>
    <w:rsid w:val="00850A80"/>
    <w:rsid w:val="00857D15"/>
    <w:rsid w:val="00876E75"/>
    <w:rsid w:val="00880F56"/>
    <w:rsid w:val="00886CEF"/>
    <w:rsid w:val="008A383E"/>
    <w:rsid w:val="008C0C72"/>
    <w:rsid w:val="008D1415"/>
    <w:rsid w:val="00910C38"/>
    <w:rsid w:val="00935080"/>
    <w:rsid w:val="00935B4C"/>
    <w:rsid w:val="00946CD6"/>
    <w:rsid w:val="00946DAA"/>
    <w:rsid w:val="00970A4A"/>
    <w:rsid w:val="009B03BD"/>
    <w:rsid w:val="009D0364"/>
    <w:rsid w:val="009D3260"/>
    <w:rsid w:val="009D47F1"/>
    <w:rsid w:val="00A00718"/>
    <w:rsid w:val="00A22CDD"/>
    <w:rsid w:val="00A57966"/>
    <w:rsid w:val="00A62EF4"/>
    <w:rsid w:val="00A71F71"/>
    <w:rsid w:val="00AA0610"/>
    <w:rsid w:val="00AA1601"/>
    <w:rsid w:val="00AF07E1"/>
    <w:rsid w:val="00B36DC2"/>
    <w:rsid w:val="00B83AF6"/>
    <w:rsid w:val="00BA7B21"/>
    <w:rsid w:val="00BE2F48"/>
    <w:rsid w:val="00BF1A76"/>
    <w:rsid w:val="00C14AF9"/>
    <w:rsid w:val="00C80879"/>
    <w:rsid w:val="00C867A0"/>
    <w:rsid w:val="00CB6143"/>
    <w:rsid w:val="00CE7E2C"/>
    <w:rsid w:val="00CF04F2"/>
    <w:rsid w:val="00D11858"/>
    <w:rsid w:val="00D12DB4"/>
    <w:rsid w:val="00D320BC"/>
    <w:rsid w:val="00D5308B"/>
    <w:rsid w:val="00DA2951"/>
    <w:rsid w:val="00DA454E"/>
    <w:rsid w:val="00DA47DD"/>
    <w:rsid w:val="00DC60D2"/>
    <w:rsid w:val="00DE1B33"/>
    <w:rsid w:val="00E1379E"/>
    <w:rsid w:val="00E54538"/>
    <w:rsid w:val="00E7018D"/>
    <w:rsid w:val="00E965BB"/>
    <w:rsid w:val="00EB00DA"/>
    <w:rsid w:val="00EE1F0C"/>
    <w:rsid w:val="00EE5E8C"/>
    <w:rsid w:val="00F2197C"/>
    <w:rsid w:val="00F33270"/>
    <w:rsid w:val="00F612D2"/>
    <w:rsid w:val="00F63B0E"/>
    <w:rsid w:val="00F86BC7"/>
    <w:rsid w:val="00FD058A"/>
    <w:rsid w:val="00FD1C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12386"/>
    <w:pPr>
      <w:spacing w:line="240" w:lineRule="auto"/>
    </w:pPr>
    <w:rPr>
      <w:rFonts w:ascii="Times New Roman" w:hAnsi="Times New Roman" w:cs="Akhbar MT"/>
      <w:szCs w:val="30"/>
      <w:lang w:val="en-GB"/>
    </w:rPr>
  </w:style>
  <w:style w:type="paragraph" w:styleId="Heading1">
    <w:name w:val="heading 1"/>
    <w:aliases w:val="Part"/>
    <w:basedOn w:val="Normal"/>
    <w:next w:val="Heading2"/>
    <w:link w:val="Heading1Char"/>
    <w:qFormat/>
    <w:rsid w:val="00017069"/>
    <w:pPr>
      <w:keepNext/>
      <w:numPr>
        <w:numId w:val="1"/>
      </w:numPr>
      <w:spacing w:before="240" w:after="0"/>
      <w:jc w:val="center"/>
      <w:outlineLvl w:val="0"/>
    </w:pPr>
    <w:rPr>
      <w:rFonts w:ascii="Times New Roman Bold" w:eastAsia="Times New Roman" w:hAnsi="Times New Roman Bold"/>
      <w:b/>
      <w:bCs/>
      <w:sz w:val="26"/>
      <w:szCs w:val="36"/>
    </w:rPr>
  </w:style>
  <w:style w:type="paragraph" w:styleId="Heading2">
    <w:name w:val="heading 2"/>
    <w:aliases w:val="Chpt"/>
    <w:basedOn w:val="Normal"/>
    <w:next w:val="Heading3"/>
    <w:link w:val="Heading2Char"/>
    <w:qFormat/>
    <w:rsid w:val="00017069"/>
    <w:pPr>
      <w:keepNext/>
      <w:numPr>
        <w:ilvl w:val="1"/>
        <w:numId w:val="1"/>
      </w:numPr>
      <w:spacing w:before="240" w:after="0"/>
      <w:jc w:val="center"/>
      <w:outlineLvl w:val="1"/>
    </w:pPr>
    <w:rPr>
      <w:rFonts w:ascii="Times New Roman Bold" w:eastAsia="Times New Roman" w:hAnsi="Times New Roman Bold"/>
      <w:b/>
      <w:bCs/>
      <w:sz w:val="24"/>
      <w:szCs w:val="32"/>
    </w:rPr>
  </w:style>
  <w:style w:type="paragraph" w:styleId="Heading3">
    <w:name w:val="heading 3"/>
    <w:basedOn w:val="Normal"/>
    <w:next w:val="Normal"/>
    <w:link w:val="Heading3Char"/>
    <w:uiPriority w:val="9"/>
    <w:semiHidden/>
    <w:unhideWhenUsed/>
    <w:qFormat/>
    <w:rsid w:val="0001706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2386"/>
    <w:pPr>
      <w:tabs>
        <w:tab w:val="center" w:pos="4536"/>
        <w:tab w:val="right" w:pos="9072"/>
      </w:tabs>
    </w:pPr>
  </w:style>
  <w:style w:type="character" w:customStyle="1" w:styleId="HeaderChar">
    <w:name w:val="Header Char"/>
    <w:basedOn w:val="DefaultParagraphFont"/>
    <w:link w:val="Header"/>
    <w:uiPriority w:val="99"/>
    <w:rsid w:val="00012386"/>
    <w:rPr>
      <w:rFonts w:ascii="Times New Roman" w:hAnsi="Times New Roman" w:cs="Akhbar MT"/>
      <w:szCs w:val="30"/>
      <w:lang w:val="en-GB"/>
    </w:rPr>
  </w:style>
  <w:style w:type="paragraph" w:customStyle="1" w:styleId="Note">
    <w:name w:val="Note"/>
    <w:basedOn w:val="Normal"/>
    <w:link w:val="NoteChar"/>
    <w:autoRedefine/>
    <w:qFormat/>
    <w:rsid w:val="00012386"/>
    <w:pPr>
      <w:pBdr>
        <w:top w:val="single" w:sz="4" w:space="0" w:color="auto"/>
      </w:pBdr>
      <w:jc w:val="center"/>
    </w:pPr>
    <w:rPr>
      <w:i/>
      <w:sz w:val="20"/>
      <w:szCs w:val="28"/>
    </w:rPr>
  </w:style>
  <w:style w:type="character" w:customStyle="1" w:styleId="NoteChar">
    <w:name w:val="Note Char"/>
    <w:basedOn w:val="DefaultParagraphFont"/>
    <w:link w:val="Note"/>
    <w:rsid w:val="00012386"/>
    <w:rPr>
      <w:rFonts w:ascii="Times New Roman" w:hAnsi="Times New Roman" w:cs="Akhbar MT"/>
      <w:i/>
      <w:sz w:val="20"/>
      <w:szCs w:val="28"/>
      <w:lang w:val="en-GB"/>
    </w:rPr>
  </w:style>
  <w:style w:type="paragraph" w:customStyle="1" w:styleId="DocTitle">
    <w:name w:val="DocTitle"/>
    <w:basedOn w:val="Normal"/>
    <w:link w:val="DocTitleChar"/>
    <w:qFormat/>
    <w:rsid w:val="00012386"/>
    <w:pPr>
      <w:spacing w:before="240" w:after="360"/>
      <w:jc w:val="center"/>
    </w:pPr>
    <w:rPr>
      <w:bCs/>
      <w:color w:val="7F7F7F" w:themeColor="text1" w:themeTint="80"/>
      <w:sz w:val="56"/>
      <w:szCs w:val="72"/>
    </w:rPr>
  </w:style>
  <w:style w:type="character" w:customStyle="1" w:styleId="DocTitleChar">
    <w:name w:val="DocTitle Char"/>
    <w:basedOn w:val="DefaultParagraphFont"/>
    <w:link w:val="DocTitle"/>
    <w:rsid w:val="00012386"/>
    <w:rPr>
      <w:rFonts w:ascii="Times New Roman" w:hAnsi="Times New Roman" w:cs="Akhbar MT"/>
      <w:bCs/>
      <w:color w:val="7F7F7F" w:themeColor="text1" w:themeTint="80"/>
      <w:sz w:val="56"/>
      <w:szCs w:val="72"/>
      <w:lang w:val="en-GB"/>
    </w:rPr>
  </w:style>
  <w:style w:type="paragraph" w:customStyle="1" w:styleId="SummaryBoxText">
    <w:name w:val="Summary Box Text"/>
    <w:basedOn w:val="Normal"/>
    <w:link w:val="SummaryBoxTextChar"/>
    <w:qFormat/>
    <w:rsid w:val="00012386"/>
    <w:pPr>
      <w:spacing w:line="360" w:lineRule="auto"/>
    </w:pPr>
  </w:style>
  <w:style w:type="character" w:customStyle="1" w:styleId="SummaryBoxTextChar">
    <w:name w:val="Summary Box Text Char"/>
    <w:basedOn w:val="DefaultParagraphFont"/>
    <w:link w:val="SummaryBoxText"/>
    <w:rsid w:val="00012386"/>
    <w:rPr>
      <w:rFonts w:ascii="Times New Roman" w:hAnsi="Times New Roman" w:cs="Akhbar MT"/>
      <w:szCs w:val="30"/>
      <w:lang w:val="en-GB"/>
    </w:rPr>
  </w:style>
  <w:style w:type="paragraph" w:customStyle="1" w:styleId="Underlined">
    <w:name w:val="Underlined"/>
    <w:basedOn w:val="Normal"/>
    <w:link w:val="UnderlinedChar"/>
    <w:qFormat/>
    <w:rsid w:val="00012386"/>
    <w:pPr>
      <w:pBdr>
        <w:bottom w:val="single" w:sz="12" w:space="1" w:color="auto"/>
      </w:pBdr>
    </w:pPr>
  </w:style>
  <w:style w:type="character" w:customStyle="1" w:styleId="UnderlinedChar">
    <w:name w:val="Underlined Char"/>
    <w:basedOn w:val="DefaultParagraphFont"/>
    <w:link w:val="Underlined"/>
    <w:rsid w:val="00012386"/>
    <w:rPr>
      <w:rFonts w:ascii="Times New Roman" w:hAnsi="Times New Roman" w:cs="Akhbar MT"/>
      <w:szCs w:val="30"/>
      <w:lang w:val="en-GB"/>
    </w:rPr>
  </w:style>
  <w:style w:type="paragraph" w:customStyle="1" w:styleId="MeetingInfo">
    <w:name w:val="MeetingInfo"/>
    <w:basedOn w:val="Normal"/>
    <w:link w:val="MeetingInfoChar"/>
    <w:qFormat/>
    <w:rsid w:val="00012386"/>
    <w:pPr>
      <w:pBdr>
        <w:top w:val="single" w:sz="8" w:space="6" w:color="auto"/>
        <w:left w:val="single" w:sz="8" w:space="0" w:color="auto"/>
        <w:bottom w:val="single" w:sz="8" w:space="6" w:color="auto"/>
        <w:right w:val="single" w:sz="8" w:space="0" w:color="auto"/>
        <w:between w:val="single" w:sz="8" w:space="6" w:color="auto"/>
        <w:bar w:val="single" w:sz="8" w:color="auto"/>
      </w:pBdr>
      <w:jc w:val="center"/>
    </w:pPr>
    <w:rPr>
      <w:rFonts w:ascii="Times New Roman Bold" w:hAnsi="Times New Roman Bold"/>
      <w:b/>
      <w:bCs/>
      <w:sz w:val="28"/>
      <w:szCs w:val="36"/>
    </w:rPr>
  </w:style>
  <w:style w:type="character" w:customStyle="1" w:styleId="MeetingInfoChar">
    <w:name w:val="MeetingInfo Char"/>
    <w:basedOn w:val="DefaultParagraphFont"/>
    <w:link w:val="MeetingInfo"/>
    <w:rsid w:val="00012386"/>
    <w:rPr>
      <w:rFonts w:ascii="Times New Roman Bold" w:hAnsi="Times New Roman Bold" w:cs="Akhbar MT"/>
      <w:b/>
      <w:bCs/>
      <w:sz w:val="28"/>
      <w:szCs w:val="36"/>
      <w:lang w:val="en-GB"/>
    </w:rPr>
  </w:style>
  <w:style w:type="paragraph" w:customStyle="1" w:styleId="Hidden">
    <w:name w:val="Hidden"/>
    <w:basedOn w:val="Normal"/>
    <w:link w:val="HiddenChar"/>
    <w:qFormat/>
    <w:rsid w:val="00012386"/>
    <w:pPr>
      <w:spacing w:line="20" w:lineRule="exact"/>
    </w:pPr>
    <w:rPr>
      <w:sz w:val="2"/>
    </w:rPr>
  </w:style>
  <w:style w:type="character" w:customStyle="1" w:styleId="HiddenChar">
    <w:name w:val="Hidden Char"/>
    <w:basedOn w:val="DefaultParagraphFont"/>
    <w:link w:val="Hidden"/>
    <w:rsid w:val="00012386"/>
    <w:rPr>
      <w:rFonts w:ascii="Times New Roman" w:hAnsi="Times New Roman" w:cs="Akhbar MT"/>
      <w:sz w:val="2"/>
      <w:szCs w:val="30"/>
      <w:lang w:val="en-GB"/>
    </w:rPr>
  </w:style>
  <w:style w:type="paragraph" w:customStyle="1" w:styleId="LanguageSymbol">
    <w:name w:val="LanguageSymbol"/>
    <w:basedOn w:val="Normal"/>
    <w:link w:val="LanguageSymbolChar"/>
    <w:qFormat/>
    <w:rsid w:val="00012386"/>
    <w:pPr>
      <w:framePr w:h="655" w:hRule="exact" w:hSpace="181" w:wrap="around" w:vAnchor="page" w:hAnchor="page" w:x="10667" w:y="899"/>
    </w:pPr>
    <w:rPr>
      <w:b/>
      <w:color w:val="808080"/>
      <w:sz w:val="56"/>
      <w:szCs w:val="56"/>
    </w:rPr>
  </w:style>
  <w:style w:type="character" w:customStyle="1" w:styleId="LanguageSymbolChar">
    <w:name w:val="LanguageSymbol Char"/>
    <w:basedOn w:val="DefaultParagraphFont"/>
    <w:link w:val="LanguageSymbol"/>
    <w:rsid w:val="00012386"/>
    <w:rPr>
      <w:rFonts w:ascii="Times New Roman" w:hAnsi="Times New Roman" w:cs="Akhbar MT"/>
      <w:b/>
      <w:color w:val="808080"/>
      <w:sz w:val="56"/>
      <w:szCs w:val="56"/>
      <w:lang w:val="en-GB"/>
    </w:rPr>
  </w:style>
  <w:style w:type="table" w:styleId="TableGrid">
    <w:name w:val="Table Grid"/>
    <w:basedOn w:val="TableNormal"/>
    <w:uiPriority w:val="59"/>
    <w:rsid w:val="000123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012386"/>
  </w:style>
  <w:style w:type="paragraph" w:styleId="BalloonText">
    <w:name w:val="Balloon Text"/>
    <w:basedOn w:val="Normal"/>
    <w:link w:val="BalloonTextChar"/>
    <w:uiPriority w:val="99"/>
    <w:semiHidden/>
    <w:unhideWhenUsed/>
    <w:rsid w:val="0001238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386"/>
    <w:rPr>
      <w:rFonts w:ascii="Tahoma" w:hAnsi="Tahoma" w:cs="Tahoma"/>
      <w:sz w:val="16"/>
      <w:szCs w:val="16"/>
      <w:lang w:val="en-GB"/>
    </w:rPr>
  </w:style>
  <w:style w:type="paragraph" w:styleId="Footer">
    <w:name w:val="footer"/>
    <w:basedOn w:val="Normal"/>
    <w:link w:val="FooterChar"/>
    <w:uiPriority w:val="99"/>
    <w:unhideWhenUsed/>
    <w:rsid w:val="00BE2F48"/>
    <w:pPr>
      <w:tabs>
        <w:tab w:val="center" w:pos="4513"/>
        <w:tab w:val="right" w:pos="9026"/>
      </w:tabs>
      <w:spacing w:after="0"/>
    </w:pPr>
  </w:style>
  <w:style w:type="character" w:customStyle="1" w:styleId="FooterChar">
    <w:name w:val="Footer Char"/>
    <w:basedOn w:val="DefaultParagraphFont"/>
    <w:link w:val="Footer"/>
    <w:uiPriority w:val="99"/>
    <w:rsid w:val="00BE2F48"/>
    <w:rPr>
      <w:rFonts w:ascii="Times New Roman" w:hAnsi="Times New Roman" w:cs="Akhbar MT"/>
      <w:szCs w:val="30"/>
      <w:lang w:val="en-GB"/>
    </w:rPr>
  </w:style>
  <w:style w:type="character" w:customStyle="1" w:styleId="Heading1Char">
    <w:name w:val="Heading 1 Char"/>
    <w:aliases w:val="Part Char"/>
    <w:basedOn w:val="DefaultParagraphFont"/>
    <w:link w:val="Heading1"/>
    <w:rsid w:val="00017069"/>
    <w:rPr>
      <w:rFonts w:ascii="Times New Roman Bold" w:eastAsia="Times New Roman" w:hAnsi="Times New Roman Bold" w:cs="Akhbar MT"/>
      <w:b/>
      <w:bCs/>
      <w:sz w:val="26"/>
      <w:szCs w:val="36"/>
      <w:lang w:val="en-GB"/>
    </w:rPr>
  </w:style>
  <w:style w:type="character" w:customStyle="1" w:styleId="Heading2Char">
    <w:name w:val="Heading 2 Char"/>
    <w:aliases w:val="Chpt Char"/>
    <w:basedOn w:val="DefaultParagraphFont"/>
    <w:link w:val="Heading2"/>
    <w:rsid w:val="00017069"/>
    <w:rPr>
      <w:rFonts w:ascii="Times New Roman Bold" w:eastAsia="Times New Roman" w:hAnsi="Times New Roman Bold" w:cs="Akhbar MT"/>
      <w:b/>
      <w:bCs/>
      <w:sz w:val="24"/>
      <w:szCs w:val="32"/>
      <w:lang w:val="en-GB"/>
    </w:rPr>
  </w:style>
  <w:style w:type="paragraph" w:customStyle="1" w:styleId="BulletList">
    <w:name w:val="Bullet List"/>
    <w:basedOn w:val="ListParagraph"/>
    <w:link w:val="BulletListChar"/>
    <w:qFormat/>
    <w:rsid w:val="00017069"/>
    <w:pPr>
      <w:numPr>
        <w:numId w:val="2"/>
      </w:numPr>
      <w:spacing w:before="120" w:after="0"/>
      <w:ind w:left="714" w:hanging="357"/>
    </w:pPr>
    <w:rPr>
      <w:rFonts w:eastAsia="Calibri"/>
    </w:rPr>
  </w:style>
  <w:style w:type="character" w:customStyle="1" w:styleId="BulletListChar">
    <w:name w:val="Bullet List Char"/>
    <w:basedOn w:val="DefaultParagraphFont"/>
    <w:link w:val="BulletList"/>
    <w:rsid w:val="00017069"/>
    <w:rPr>
      <w:rFonts w:ascii="Times New Roman" w:eastAsia="Calibri" w:hAnsi="Times New Roman" w:cs="Akhbar MT"/>
      <w:szCs w:val="30"/>
      <w:lang w:val="en-GB"/>
    </w:rPr>
  </w:style>
  <w:style w:type="paragraph" w:customStyle="1" w:styleId="BoxNewPara">
    <w:name w:val="Box NewPara"/>
    <w:basedOn w:val="ListParagraph"/>
    <w:link w:val="BoxNewParaChar"/>
    <w:qFormat/>
    <w:rsid w:val="00017069"/>
    <w:pPr>
      <w:numPr>
        <w:numId w:val="3"/>
      </w:numPr>
      <w:spacing w:before="120" w:after="0"/>
      <w:contextualSpacing w:val="0"/>
    </w:pPr>
    <w:rPr>
      <w:rFonts w:eastAsia="Calibri"/>
    </w:rPr>
  </w:style>
  <w:style w:type="character" w:customStyle="1" w:styleId="BoxNewParaChar">
    <w:name w:val="Box NewPara Char"/>
    <w:basedOn w:val="DefaultParagraphFont"/>
    <w:link w:val="BoxNewPara"/>
    <w:rsid w:val="00017069"/>
    <w:rPr>
      <w:rFonts w:ascii="Times New Roman" w:eastAsia="Calibri" w:hAnsi="Times New Roman" w:cs="Akhbar MT"/>
      <w:szCs w:val="30"/>
      <w:lang w:val="en-GB"/>
    </w:rPr>
  </w:style>
  <w:style w:type="paragraph" w:customStyle="1" w:styleId="BoxBulletList">
    <w:name w:val="Box Bullet List"/>
    <w:basedOn w:val="BulletList"/>
    <w:link w:val="BoxBulletListChar"/>
    <w:qFormat/>
    <w:rsid w:val="00017069"/>
    <w:pPr>
      <w:ind w:left="720" w:hanging="360"/>
    </w:pPr>
  </w:style>
  <w:style w:type="character" w:customStyle="1" w:styleId="BoxBulletListChar">
    <w:name w:val="Box Bullet List Char"/>
    <w:basedOn w:val="BulletListChar"/>
    <w:link w:val="BoxBulletList"/>
    <w:rsid w:val="00017069"/>
    <w:rPr>
      <w:rFonts w:ascii="Times New Roman" w:eastAsia="Calibri" w:hAnsi="Times New Roman" w:cs="Akhbar MT"/>
      <w:szCs w:val="30"/>
      <w:lang w:val="en-GB"/>
    </w:rPr>
  </w:style>
  <w:style w:type="character" w:customStyle="1" w:styleId="Heading3Char">
    <w:name w:val="Heading 3 Char"/>
    <w:basedOn w:val="DefaultParagraphFont"/>
    <w:link w:val="Heading3"/>
    <w:uiPriority w:val="9"/>
    <w:semiHidden/>
    <w:rsid w:val="00017069"/>
    <w:rPr>
      <w:rFonts w:asciiTheme="majorHAnsi" w:eastAsiaTheme="majorEastAsia" w:hAnsiTheme="majorHAnsi" w:cstheme="majorBidi"/>
      <w:color w:val="243F60" w:themeColor="accent1" w:themeShade="7F"/>
      <w:sz w:val="24"/>
      <w:szCs w:val="24"/>
      <w:lang w:val="en-GB"/>
    </w:rPr>
  </w:style>
  <w:style w:type="paragraph" w:styleId="ListParagraph">
    <w:name w:val="List Paragraph"/>
    <w:basedOn w:val="Normal"/>
    <w:uiPriority w:val="34"/>
    <w:qFormat/>
    <w:rsid w:val="00017069"/>
    <w:pPr>
      <w:ind w:left="720"/>
      <w:contextualSpacing/>
    </w:pPr>
  </w:style>
  <w:style w:type="paragraph" w:styleId="Quote">
    <w:name w:val="Quote"/>
    <w:basedOn w:val="Normal"/>
    <w:next w:val="Normal"/>
    <w:link w:val="QuoteChar"/>
    <w:uiPriority w:val="29"/>
    <w:qFormat/>
    <w:rsid w:val="0042299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22991"/>
    <w:rPr>
      <w:rFonts w:ascii="Times New Roman" w:hAnsi="Times New Roman" w:cs="Akhbar MT"/>
      <w:i/>
      <w:iCs/>
      <w:color w:val="404040" w:themeColor="text1" w:themeTint="BF"/>
      <w:szCs w:val="30"/>
      <w:lang w:val="en-GB"/>
    </w:rPr>
  </w:style>
  <w:style w:type="paragraph" w:customStyle="1" w:styleId="NewPara">
    <w:name w:val="NewPara"/>
    <w:basedOn w:val="ListParagraph"/>
    <w:link w:val="NewParaChar"/>
    <w:qFormat/>
    <w:rsid w:val="00422991"/>
    <w:pPr>
      <w:numPr>
        <w:numId w:val="4"/>
      </w:numPr>
      <w:contextualSpacing w:val="0"/>
    </w:pPr>
  </w:style>
  <w:style w:type="character" w:customStyle="1" w:styleId="NewParaChar">
    <w:name w:val="NewPara Char"/>
    <w:basedOn w:val="DefaultParagraphFont"/>
    <w:link w:val="NewPara"/>
    <w:rsid w:val="00422991"/>
    <w:rPr>
      <w:rFonts w:ascii="Times New Roman" w:hAnsi="Times New Roman" w:cs="Akhbar MT"/>
      <w:szCs w:val="30"/>
      <w:lang w:val="en-GB"/>
    </w:rPr>
  </w:style>
  <w:style w:type="character" w:styleId="Strong">
    <w:name w:val="Strong"/>
    <w:basedOn w:val="DefaultParagraphFont"/>
    <w:uiPriority w:val="22"/>
    <w:qFormat/>
    <w:rsid w:val="00A71F71"/>
    <w:rPr>
      <w:b/>
      <w:bCs/>
    </w:rPr>
  </w:style>
  <w:style w:type="character" w:customStyle="1" w:styleId="NumberedHeadingChar">
    <w:name w:val="NumberedHeading Char"/>
    <w:basedOn w:val="DefaultParagraphFont"/>
    <w:link w:val="NumberedHeading"/>
    <w:locked/>
    <w:rsid w:val="00A71F71"/>
    <w:rPr>
      <w:rFonts w:ascii="Times New Roman Bold" w:eastAsia="Calibri" w:hAnsi="Times New Roman Bold" w:cs="Akhbar MT"/>
      <w:b/>
      <w:sz w:val="28"/>
      <w:szCs w:val="36"/>
      <w:lang w:val="en-GB"/>
    </w:rPr>
  </w:style>
  <w:style w:type="paragraph" w:customStyle="1" w:styleId="NumberedHeading">
    <w:name w:val="NumberedHeading"/>
    <w:basedOn w:val="Normal"/>
    <w:next w:val="Heading2"/>
    <w:link w:val="NumberedHeadingChar"/>
    <w:qFormat/>
    <w:rsid w:val="00A71F71"/>
    <w:pPr>
      <w:keepNext/>
      <w:numPr>
        <w:numId w:val="5"/>
      </w:numPr>
      <w:spacing w:before="240" w:after="0"/>
      <w:jc w:val="center"/>
    </w:pPr>
    <w:rPr>
      <w:rFonts w:ascii="Times New Roman Bold" w:eastAsia="Calibri" w:hAnsi="Times New Roman Bold"/>
      <w:b/>
      <w:sz w:val="28"/>
      <w:szCs w:val="36"/>
    </w:rPr>
  </w:style>
  <w:style w:type="paragraph" w:customStyle="1" w:styleId="SummaryBoxTitle">
    <w:name w:val="Summary Box Title"/>
    <w:basedOn w:val="Normal"/>
    <w:link w:val="SummaryBoxTitleChar"/>
    <w:qFormat/>
    <w:rsid w:val="002116A8"/>
    <w:pPr>
      <w:jc w:val="center"/>
    </w:pPr>
    <w:rPr>
      <w:b/>
      <w:sz w:val="28"/>
      <w:szCs w:val="28"/>
    </w:rPr>
  </w:style>
  <w:style w:type="character" w:customStyle="1" w:styleId="SummaryBoxTitleChar">
    <w:name w:val="Summary Box Title Char"/>
    <w:basedOn w:val="DefaultParagraphFont"/>
    <w:link w:val="SummaryBoxTitle"/>
    <w:rsid w:val="002116A8"/>
    <w:rPr>
      <w:rFonts w:ascii="Times New Roman" w:hAnsi="Times New Roman" w:cs="Akhbar MT"/>
      <w:b/>
      <w:sz w:val="28"/>
      <w:szCs w:val="28"/>
      <w:lang w:val="en-GB"/>
    </w:rPr>
  </w:style>
  <w:style w:type="paragraph" w:styleId="FootnoteText">
    <w:name w:val="footnote text"/>
    <w:basedOn w:val="Normal"/>
    <w:link w:val="FootnoteTextChar"/>
    <w:uiPriority w:val="99"/>
    <w:unhideWhenUsed/>
    <w:rsid w:val="00E7018D"/>
    <w:pPr>
      <w:spacing w:after="0"/>
    </w:pPr>
    <w:rPr>
      <w:sz w:val="20"/>
      <w:szCs w:val="20"/>
    </w:rPr>
  </w:style>
  <w:style w:type="character" w:customStyle="1" w:styleId="FootnoteTextChar">
    <w:name w:val="Footnote Text Char"/>
    <w:basedOn w:val="DefaultParagraphFont"/>
    <w:link w:val="FootnoteText"/>
    <w:uiPriority w:val="99"/>
    <w:rsid w:val="00E7018D"/>
    <w:rPr>
      <w:rFonts w:ascii="Times New Roman" w:hAnsi="Times New Roman" w:cs="Akhbar MT"/>
      <w:sz w:val="20"/>
      <w:szCs w:val="20"/>
      <w:lang w:val="en-GB"/>
    </w:rPr>
  </w:style>
  <w:style w:type="character" w:styleId="FootnoteReference">
    <w:name w:val="footnote reference"/>
    <w:basedOn w:val="DefaultParagraphFont"/>
    <w:uiPriority w:val="99"/>
    <w:unhideWhenUsed/>
    <w:rsid w:val="00E7018D"/>
    <w:rPr>
      <w:vertAlign w:val="superscript"/>
    </w:rPr>
  </w:style>
  <w:style w:type="character" w:styleId="Hyperlink">
    <w:name w:val="Hyperlink"/>
    <w:basedOn w:val="DefaultParagraphFont"/>
    <w:uiPriority w:val="99"/>
    <w:unhideWhenUsed/>
    <w:rsid w:val="00E7018D"/>
    <w:rPr>
      <w:color w:val="0000FF" w:themeColor="hyperlink"/>
      <w:u w:val="single"/>
    </w:rPr>
  </w:style>
  <w:style w:type="paragraph" w:customStyle="1" w:styleId="Speaker">
    <w:name w:val="Speaker"/>
    <w:basedOn w:val="Normal"/>
    <w:link w:val="SpeakerChar"/>
    <w:qFormat/>
    <w:rsid w:val="000907F2"/>
    <w:rPr>
      <w:b/>
      <w:lang w:bidi="ar-EG"/>
    </w:rPr>
  </w:style>
  <w:style w:type="character" w:customStyle="1" w:styleId="SpeakerChar">
    <w:name w:val="Speaker Char"/>
    <w:basedOn w:val="DefaultParagraphFont"/>
    <w:link w:val="Speaker"/>
    <w:rsid w:val="000907F2"/>
    <w:rPr>
      <w:rFonts w:ascii="Times New Roman" w:hAnsi="Times New Roman" w:cs="Akhbar MT"/>
      <w:b/>
      <w:szCs w:val="30"/>
      <w:lang w:val="en-GB" w:bidi="ar-EG"/>
    </w:rPr>
  </w:style>
  <w:style w:type="numbering" w:customStyle="1" w:styleId="Style1">
    <w:name w:val="Style1"/>
    <w:uiPriority w:val="99"/>
    <w:rsid w:val="003E6ECD"/>
    <w:pPr>
      <w:numPr>
        <w:numId w:val="6"/>
      </w:numPr>
    </w:pPr>
  </w:style>
  <w:style w:type="paragraph" w:styleId="TOC4">
    <w:name w:val="toc 4"/>
    <w:basedOn w:val="Normal"/>
    <w:next w:val="Normal"/>
    <w:autoRedefine/>
    <w:uiPriority w:val="39"/>
    <w:semiHidden/>
    <w:unhideWhenUsed/>
    <w:rsid w:val="003E6ECD"/>
    <w:pPr>
      <w:spacing w:after="0" w:line="276" w:lineRule="auto"/>
      <w:ind w:left="600"/>
    </w:pPr>
    <w:rPr>
      <w:rFonts w:asciiTheme="minorHAnsi" w:eastAsiaTheme="minorEastAsia" w:hAnsiTheme="minorHAnsi" w:cstheme="minorBidi"/>
      <w:sz w:val="20"/>
      <w:szCs w:val="20"/>
      <w:lang w:val="en-US" w:bidi="en-US"/>
    </w:rPr>
  </w:style>
  <w:style w:type="paragraph" w:styleId="NoSpacing">
    <w:name w:val="No Spacing"/>
    <w:uiPriority w:val="1"/>
    <w:qFormat/>
    <w:rsid w:val="00687F71"/>
    <w:pPr>
      <w:spacing w:after="0" w:line="240" w:lineRule="auto"/>
    </w:pPr>
    <w:rPr>
      <w:rFonts w:ascii="Calibri" w:eastAsia="Calibri" w:hAnsi="Calibri" w:cs="Times New Roman"/>
    </w:rPr>
  </w:style>
  <w:style w:type="paragraph" w:styleId="BodyText2">
    <w:name w:val="Body Text 2"/>
    <w:basedOn w:val="Normal"/>
    <w:link w:val="BodyText2Char"/>
    <w:uiPriority w:val="99"/>
    <w:unhideWhenUsed/>
    <w:rsid w:val="00F2197C"/>
    <w:pPr>
      <w:spacing w:after="120" w:line="480" w:lineRule="auto"/>
    </w:pPr>
    <w:rPr>
      <w:rFonts w:asciiTheme="minorHAnsi" w:hAnsiTheme="minorHAnsi" w:cstheme="minorBidi"/>
      <w:szCs w:val="22"/>
      <w:lang w:val="id-ID"/>
    </w:rPr>
  </w:style>
  <w:style w:type="character" w:customStyle="1" w:styleId="BodyText2Char">
    <w:name w:val="Body Text 2 Char"/>
    <w:basedOn w:val="DefaultParagraphFont"/>
    <w:link w:val="BodyText2"/>
    <w:uiPriority w:val="99"/>
    <w:rsid w:val="00F2197C"/>
    <w:rPr>
      <w:lang w:val="id-ID"/>
    </w:rPr>
  </w:style>
  <w:style w:type="paragraph" w:styleId="BodyText">
    <w:name w:val="Body Text"/>
    <w:basedOn w:val="Normal"/>
    <w:link w:val="BodyTextChar"/>
    <w:uiPriority w:val="99"/>
    <w:unhideWhenUsed/>
    <w:rsid w:val="00850A80"/>
    <w:pPr>
      <w:spacing w:after="120"/>
    </w:pPr>
  </w:style>
  <w:style w:type="character" w:customStyle="1" w:styleId="BodyTextChar">
    <w:name w:val="Body Text Char"/>
    <w:basedOn w:val="DefaultParagraphFont"/>
    <w:link w:val="BodyText"/>
    <w:uiPriority w:val="99"/>
    <w:rsid w:val="00850A80"/>
    <w:rPr>
      <w:rFonts w:ascii="Times New Roman" w:hAnsi="Times New Roman" w:cs="Akhbar MT"/>
      <w:szCs w:val="30"/>
      <w:lang w:val="en-GB"/>
    </w:rPr>
  </w:style>
  <w:style w:type="paragraph" w:styleId="NormalWeb">
    <w:name w:val="Normal (Web)"/>
    <w:basedOn w:val="Normal"/>
    <w:uiPriority w:val="99"/>
    <w:unhideWhenUsed/>
    <w:rsid w:val="00530067"/>
    <w:pPr>
      <w:spacing w:before="100" w:beforeAutospacing="1" w:after="100" w:afterAutospacing="1"/>
    </w:pPr>
    <w:rPr>
      <w:rFonts w:eastAsiaTheme="minorEastAsia" w:cs="Times New Roman"/>
      <w:sz w:val="24"/>
      <w:szCs w:val="24"/>
      <w:lang w:val="en-US"/>
    </w:rPr>
  </w:style>
  <w:style w:type="character" w:customStyle="1" w:styleId="hps">
    <w:name w:val="hps"/>
    <w:basedOn w:val="DefaultParagraphFont"/>
    <w:rsid w:val="00530067"/>
  </w:style>
  <w:style w:type="paragraph" w:customStyle="1" w:styleId="Default">
    <w:name w:val="Default"/>
    <w:rsid w:val="00530067"/>
    <w:pPr>
      <w:autoSpaceDE w:val="0"/>
      <w:autoSpaceDN w:val="0"/>
      <w:adjustRightInd w:val="0"/>
      <w:spacing w:after="0" w:line="240" w:lineRule="auto"/>
    </w:pPr>
    <w:rPr>
      <w:rFonts w:ascii="Times New Roman" w:hAnsi="Times New Roman" w:cs="Times New Roman"/>
      <w:color w:val="000000"/>
      <w:sz w:val="24"/>
      <w:szCs w:val="24"/>
      <w:lang w:val="id-ID"/>
    </w:rPr>
  </w:style>
  <w:style w:type="paragraph" w:customStyle="1" w:styleId="story">
    <w:name w:val="story"/>
    <w:basedOn w:val="Normal"/>
    <w:rsid w:val="003E78C6"/>
    <w:pPr>
      <w:spacing w:before="100" w:beforeAutospacing="1" w:after="100" w:afterAutospacing="1"/>
    </w:pPr>
    <w:rPr>
      <w:rFonts w:eastAsia="Times New Roman" w:cs="Times New Roman"/>
      <w:sz w:val="24"/>
      <w:szCs w:val="24"/>
      <w:lang w:val="en-IN" w:eastAsia="en-IN"/>
    </w:rPr>
  </w:style>
  <w:style w:type="character" w:customStyle="1" w:styleId="apple-converted-space">
    <w:name w:val="apple-converted-space"/>
    <w:basedOn w:val="DefaultParagraphFont"/>
    <w:rsid w:val="00710386"/>
  </w:style>
  <w:style w:type="character" w:styleId="CommentReference">
    <w:name w:val="annotation reference"/>
    <w:basedOn w:val="DefaultParagraphFont"/>
    <w:uiPriority w:val="99"/>
    <w:semiHidden/>
    <w:unhideWhenUsed/>
    <w:rsid w:val="00710386"/>
    <w:rPr>
      <w:sz w:val="16"/>
      <w:szCs w:val="16"/>
    </w:rPr>
  </w:style>
  <w:style w:type="paragraph" w:styleId="CommentText">
    <w:name w:val="annotation text"/>
    <w:basedOn w:val="Normal"/>
    <w:link w:val="CommentTextChar"/>
    <w:uiPriority w:val="99"/>
    <w:semiHidden/>
    <w:unhideWhenUsed/>
    <w:rsid w:val="00710386"/>
    <w:rPr>
      <w:rFonts w:asciiTheme="minorHAnsi" w:eastAsiaTheme="minorEastAsia" w:hAnsiTheme="minorHAnsi" w:cstheme="minorBidi"/>
      <w:sz w:val="20"/>
      <w:szCs w:val="20"/>
      <w:lang w:eastAsia="en-GB"/>
    </w:rPr>
  </w:style>
  <w:style w:type="character" w:customStyle="1" w:styleId="CommentTextChar">
    <w:name w:val="Comment Text Char"/>
    <w:basedOn w:val="DefaultParagraphFont"/>
    <w:link w:val="CommentText"/>
    <w:uiPriority w:val="99"/>
    <w:semiHidden/>
    <w:rsid w:val="00710386"/>
    <w:rPr>
      <w:rFonts w:eastAsiaTheme="minorEastAsia"/>
      <w:sz w:val="20"/>
      <w:szCs w:val="20"/>
      <w:lang w:val="en-GB" w:eastAsia="en-GB"/>
    </w:rPr>
  </w:style>
  <w:style w:type="paragraph" w:customStyle="1" w:styleId="NoSpacing1">
    <w:name w:val="No Spacing1"/>
    <w:uiPriority w:val="99"/>
    <w:qFormat/>
    <w:rsid w:val="00710386"/>
    <w:pPr>
      <w:widowControl w:val="0"/>
      <w:spacing w:after="0" w:line="240" w:lineRule="auto"/>
      <w:jc w:val="both"/>
    </w:pPr>
    <w:rPr>
      <w:rFonts w:ascii="Calibri" w:eastAsia="SimSun" w:hAnsi="Calibri" w:cs="Calibri"/>
      <w:kern w:val="2"/>
      <w:sz w:val="21"/>
      <w:szCs w:val="21"/>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12386"/>
    <w:pPr>
      <w:spacing w:line="240" w:lineRule="auto"/>
    </w:pPr>
    <w:rPr>
      <w:rFonts w:ascii="Times New Roman" w:hAnsi="Times New Roman" w:cs="Akhbar MT"/>
      <w:szCs w:val="30"/>
      <w:lang w:val="en-GB"/>
    </w:rPr>
  </w:style>
  <w:style w:type="paragraph" w:styleId="Heading1">
    <w:name w:val="heading 1"/>
    <w:aliases w:val="Part"/>
    <w:basedOn w:val="Normal"/>
    <w:next w:val="Heading2"/>
    <w:link w:val="Heading1Char"/>
    <w:qFormat/>
    <w:rsid w:val="00017069"/>
    <w:pPr>
      <w:keepNext/>
      <w:numPr>
        <w:numId w:val="1"/>
      </w:numPr>
      <w:spacing w:before="240" w:after="0"/>
      <w:jc w:val="center"/>
      <w:outlineLvl w:val="0"/>
    </w:pPr>
    <w:rPr>
      <w:rFonts w:ascii="Times New Roman Bold" w:eastAsia="Times New Roman" w:hAnsi="Times New Roman Bold"/>
      <w:b/>
      <w:bCs/>
      <w:sz w:val="26"/>
      <w:szCs w:val="36"/>
    </w:rPr>
  </w:style>
  <w:style w:type="paragraph" w:styleId="Heading2">
    <w:name w:val="heading 2"/>
    <w:aliases w:val="Chpt"/>
    <w:basedOn w:val="Normal"/>
    <w:next w:val="Heading3"/>
    <w:link w:val="Heading2Char"/>
    <w:qFormat/>
    <w:rsid w:val="00017069"/>
    <w:pPr>
      <w:keepNext/>
      <w:numPr>
        <w:ilvl w:val="1"/>
        <w:numId w:val="1"/>
      </w:numPr>
      <w:spacing w:before="240" w:after="0"/>
      <w:jc w:val="center"/>
      <w:outlineLvl w:val="1"/>
    </w:pPr>
    <w:rPr>
      <w:rFonts w:ascii="Times New Roman Bold" w:eastAsia="Times New Roman" w:hAnsi="Times New Roman Bold"/>
      <w:b/>
      <w:bCs/>
      <w:sz w:val="24"/>
      <w:szCs w:val="32"/>
    </w:rPr>
  </w:style>
  <w:style w:type="paragraph" w:styleId="Heading3">
    <w:name w:val="heading 3"/>
    <w:basedOn w:val="Normal"/>
    <w:next w:val="Normal"/>
    <w:link w:val="Heading3Char"/>
    <w:uiPriority w:val="9"/>
    <w:semiHidden/>
    <w:unhideWhenUsed/>
    <w:qFormat/>
    <w:rsid w:val="0001706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2386"/>
    <w:pPr>
      <w:tabs>
        <w:tab w:val="center" w:pos="4536"/>
        <w:tab w:val="right" w:pos="9072"/>
      </w:tabs>
    </w:pPr>
  </w:style>
  <w:style w:type="character" w:customStyle="1" w:styleId="HeaderChar">
    <w:name w:val="Header Char"/>
    <w:basedOn w:val="DefaultParagraphFont"/>
    <w:link w:val="Header"/>
    <w:uiPriority w:val="99"/>
    <w:rsid w:val="00012386"/>
    <w:rPr>
      <w:rFonts w:ascii="Times New Roman" w:hAnsi="Times New Roman" w:cs="Akhbar MT"/>
      <w:szCs w:val="30"/>
      <w:lang w:val="en-GB"/>
    </w:rPr>
  </w:style>
  <w:style w:type="paragraph" w:customStyle="1" w:styleId="Note">
    <w:name w:val="Note"/>
    <w:basedOn w:val="Normal"/>
    <w:link w:val="NoteChar"/>
    <w:autoRedefine/>
    <w:qFormat/>
    <w:rsid w:val="00012386"/>
    <w:pPr>
      <w:pBdr>
        <w:top w:val="single" w:sz="4" w:space="0" w:color="auto"/>
      </w:pBdr>
      <w:jc w:val="center"/>
    </w:pPr>
    <w:rPr>
      <w:i/>
      <w:sz w:val="20"/>
      <w:szCs w:val="28"/>
    </w:rPr>
  </w:style>
  <w:style w:type="character" w:customStyle="1" w:styleId="NoteChar">
    <w:name w:val="Note Char"/>
    <w:basedOn w:val="DefaultParagraphFont"/>
    <w:link w:val="Note"/>
    <w:rsid w:val="00012386"/>
    <w:rPr>
      <w:rFonts w:ascii="Times New Roman" w:hAnsi="Times New Roman" w:cs="Akhbar MT"/>
      <w:i/>
      <w:sz w:val="20"/>
      <w:szCs w:val="28"/>
      <w:lang w:val="en-GB"/>
    </w:rPr>
  </w:style>
  <w:style w:type="paragraph" w:customStyle="1" w:styleId="DocTitle">
    <w:name w:val="DocTitle"/>
    <w:basedOn w:val="Normal"/>
    <w:link w:val="DocTitleChar"/>
    <w:qFormat/>
    <w:rsid w:val="00012386"/>
    <w:pPr>
      <w:spacing w:before="240" w:after="360"/>
      <w:jc w:val="center"/>
    </w:pPr>
    <w:rPr>
      <w:bCs/>
      <w:color w:val="7F7F7F" w:themeColor="text1" w:themeTint="80"/>
      <w:sz w:val="56"/>
      <w:szCs w:val="72"/>
    </w:rPr>
  </w:style>
  <w:style w:type="character" w:customStyle="1" w:styleId="DocTitleChar">
    <w:name w:val="DocTitle Char"/>
    <w:basedOn w:val="DefaultParagraphFont"/>
    <w:link w:val="DocTitle"/>
    <w:rsid w:val="00012386"/>
    <w:rPr>
      <w:rFonts w:ascii="Times New Roman" w:hAnsi="Times New Roman" w:cs="Akhbar MT"/>
      <w:bCs/>
      <w:color w:val="7F7F7F" w:themeColor="text1" w:themeTint="80"/>
      <w:sz w:val="56"/>
      <w:szCs w:val="72"/>
      <w:lang w:val="en-GB"/>
    </w:rPr>
  </w:style>
  <w:style w:type="paragraph" w:customStyle="1" w:styleId="SummaryBoxText">
    <w:name w:val="Summary Box Text"/>
    <w:basedOn w:val="Normal"/>
    <w:link w:val="SummaryBoxTextChar"/>
    <w:qFormat/>
    <w:rsid w:val="00012386"/>
    <w:pPr>
      <w:spacing w:line="360" w:lineRule="auto"/>
    </w:pPr>
  </w:style>
  <w:style w:type="character" w:customStyle="1" w:styleId="SummaryBoxTextChar">
    <w:name w:val="Summary Box Text Char"/>
    <w:basedOn w:val="DefaultParagraphFont"/>
    <w:link w:val="SummaryBoxText"/>
    <w:rsid w:val="00012386"/>
    <w:rPr>
      <w:rFonts w:ascii="Times New Roman" w:hAnsi="Times New Roman" w:cs="Akhbar MT"/>
      <w:szCs w:val="30"/>
      <w:lang w:val="en-GB"/>
    </w:rPr>
  </w:style>
  <w:style w:type="paragraph" w:customStyle="1" w:styleId="Underlined">
    <w:name w:val="Underlined"/>
    <w:basedOn w:val="Normal"/>
    <w:link w:val="UnderlinedChar"/>
    <w:qFormat/>
    <w:rsid w:val="00012386"/>
    <w:pPr>
      <w:pBdr>
        <w:bottom w:val="single" w:sz="12" w:space="1" w:color="auto"/>
      </w:pBdr>
    </w:pPr>
  </w:style>
  <w:style w:type="character" w:customStyle="1" w:styleId="UnderlinedChar">
    <w:name w:val="Underlined Char"/>
    <w:basedOn w:val="DefaultParagraphFont"/>
    <w:link w:val="Underlined"/>
    <w:rsid w:val="00012386"/>
    <w:rPr>
      <w:rFonts w:ascii="Times New Roman" w:hAnsi="Times New Roman" w:cs="Akhbar MT"/>
      <w:szCs w:val="30"/>
      <w:lang w:val="en-GB"/>
    </w:rPr>
  </w:style>
  <w:style w:type="paragraph" w:customStyle="1" w:styleId="MeetingInfo">
    <w:name w:val="MeetingInfo"/>
    <w:basedOn w:val="Normal"/>
    <w:link w:val="MeetingInfoChar"/>
    <w:qFormat/>
    <w:rsid w:val="00012386"/>
    <w:pPr>
      <w:pBdr>
        <w:top w:val="single" w:sz="8" w:space="6" w:color="auto"/>
        <w:left w:val="single" w:sz="8" w:space="0" w:color="auto"/>
        <w:bottom w:val="single" w:sz="8" w:space="6" w:color="auto"/>
        <w:right w:val="single" w:sz="8" w:space="0" w:color="auto"/>
        <w:between w:val="single" w:sz="8" w:space="6" w:color="auto"/>
        <w:bar w:val="single" w:sz="8" w:color="auto"/>
      </w:pBdr>
      <w:jc w:val="center"/>
    </w:pPr>
    <w:rPr>
      <w:rFonts w:ascii="Times New Roman Bold" w:hAnsi="Times New Roman Bold"/>
      <w:b/>
      <w:bCs/>
      <w:sz w:val="28"/>
      <w:szCs w:val="36"/>
    </w:rPr>
  </w:style>
  <w:style w:type="character" w:customStyle="1" w:styleId="MeetingInfoChar">
    <w:name w:val="MeetingInfo Char"/>
    <w:basedOn w:val="DefaultParagraphFont"/>
    <w:link w:val="MeetingInfo"/>
    <w:rsid w:val="00012386"/>
    <w:rPr>
      <w:rFonts w:ascii="Times New Roman Bold" w:hAnsi="Times New Roman Bold" w:cs="Akhbar MT"/>
      <w:b/>
      <w:bCs/>
      <w:sz w:val="28"/>
      <w:szCs w:val="36"/>
      <w:lang w:val="en-GB"/>
    </w:rPr>
  </w:style>
  <w:style w:type="paragraph" w:customStyle="1" w:styleId="Hidden">
    <w:name w:val="Hidden"/>
    <w:basedOn w:val="Normal"/>
    <w:link w:val="HiddenChar"/>
    <w:qFormat/>
    <w:rsid w:val="00012386"/>
    <w:pPr>
      <w:spacing w:line="20" w:lineRule="exact"/>
    </w:pPr>
    <w:rPr>
      <w:sz w:val="2"/>
    </w:rPr>
  </w:style>
  <w:style w:type="character" w:customStyle="1" w:styleId="HiddenChar">
    <w:name w:val="Hidden Char"/>
    <w:basedOn w:val="DefaultParagraphFont"/>
    <w:link w:val="Hidden"/>
    <w:rsid w:val="00012386"/>
    <w:rPr>
      <w:rFonts w:ascii="Times New Roman" w:hAnsi="Times New Roman" w:cs="Akhbar MT"/>
      <w:sz w:val="2"/>
      <w:szCs w:val="30"/>
      <w:lang w:val="en-GB"/>
    </w:rPr>
  </w:style>
  <w:style w:type="paragraph" w:customStyle="1" w:styleId="LanguageSymbol">
    <w:name w:val="LanguageSymbol"/>
    <w:basedOn w:val="Normal"/>
    <w:link w:val="LanguageSymbolChar"/>
    <w:qFormat/>
    <w:rsid w:val="00012386"/>
    <w:pPr>
      <w:framePr w:h="655" w:hRule="exact" w:hSpace="181" w:wrap="around" w:vAnchor="page" w:hAnchor="page" w:x="10667" w:y="899"/>
    </w:pPr>
    <w:rPr>
      <w:b/>
      <w:color w:val="808080"/>
      <w:sz w:val="56"/>
      <w:szCs w:val="56"/>
    </w:rPr>
  </w:style>
  <w:style w:type="character" w:customStyle="1" w:styleId="LanguageSymbolChar">
    <w:name w:val="LanguageSymbol Char"/>
    <w:basedOn w:val="DefaultParagraphFont"/>
    <w:link w:val="LanguageSymbol"/>
    <w:rsid w:val="00012386"/>
    <w:rPr>
      <w:rFonts w:ascii="Times New Roman" w:hAnsi="Times New Roman" w:cs="Akhbar MT"/>
      <w:b/>
      <w:color w:val="808080"/>
      <w:sz w:val="56"/>
      <w:szCs w:val="56"/>
      <w:lang w:val="en-GB"/>
    </w:rPr>
  </w:style>
  <w:style w:type="table" w:styleId="TableGrid">
    <w:name w:val="Table Grid"/>
    <w:basedOn w:val="TableNormal"/>
    <w:uiPriority w:val="59"/>
    <w:rsid w:val="000123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012386"/>
  </w:style>
  <w:style w:type="paragraph" w:styleId="BalloonText">
    <w:name w:val="Balloon Text"/>
    <w:basedOn w:val="Normal"/>
    <w:link w:val="BalloonTextChar"/>
    <w:uiPriority w:val="99"/>
    <w:semiHidden/>
    <w:unhideWhenUsed/>
    <w:rsid w:val="0001238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386"/>
    <w:rPr>
      <w:rFonts w:ascii="Tahoma" w:hAnsi="Tahoma" w:cs="Tahoma"/>
      <w:sz w:val="16"/>
      <w:szCs w:val="16"/>
      <w:lang w:val="en-GB"/>
    </w:rPr>
  </w:style>
  <w:style w:type="paragraph" w:styleId="Footer">
    <w:name w:val="footer"/>
    <w:basedOn w:val="Normal"/>
    <w:link w:val="FooterChar"/>
    <w:uiPriority w:val="99"/>
    <w:unhideWhenUsed/>
    <w:rsid w:val="00BE2F48"/>
    <w:pPr>
      <w:tabs>
        <w:tab w:val="center" w:pos="4513"/>
        <w:tab w:val="right" w:pos="9026"/>
      </w:tabs>
      <w:spacing w:after="0"/>
    </w:pPr>
  </w:style>
  <w:style w:type="character" w:customStyle="1" w:styleId="FooterChar">
    <w:name w:val="Footer Char"/>
    <w:basedOn w:val="DefaultParagraphFont"/>
    <w:link w:val="Footer"/>
    <w:uiPriority w:val="99"/>
    <w:rsid w:val="00BE2F48"/>
    <w:rPr>
      <w:rFonts w:ascii="Times New Roman" w:hAnsi="Times New Roman" w:cs="Akhbar MT"/>
      <w:szCs w:val="30"/>
      <w:lang w:val="en-GB"/>
    </w:rPr>
  </w:style>
  <w:style w:type="character" w:customStyle="1" w:styleId="Heading1Char">
    <w:name w:val="Heading 1 Char"/>
    <w:aliases w:val="Part Char"/>
    <w:basedOn w:val="DefaultParagraphFont"/>
    <w:link w:val="Heading1"/>
    <w:rsid w:val="00017069"/>
    <w:rPr>
      <w:rFonts w:ascii="Times New Roman Bold" w:eastAsia="Times New Roman" w:hAnsi="Times New Roman Bold" w:cs="Akhbar MT"/>
      <w:b/>
      <w:bCs/>
      <w:sz w:val="26"/>
      <w:szCs w:val="36"/>
      <w:lang w:val="en-GB"/>
    </w:rPr>
  </w:style>
  <w:style w:type="character" w:customStyle="1" w:styleId="Heading2Char">
    <w:name w:val="Heading 2 Char"/>
    <w:aliases w:val="Chpt Char"/>
    <w:basedOn w:val="DefaultParagraphFont"/>
    <w:link w:val="Heading2"/>
    <w:rsid w:val="00017069"/>
    <w:rPr>
      <w:rFonts w:ascii="Times New Roman Bold" w:eastAsia="Times New Roman" w:hAnsi="Times New Roman Bold" w:cs="Akhbar MT"/>
      <w:b/>
      <w:bCs/>
      <w:sz w:val="24"/>
      <w:szCs w:val="32"/>
      <w:lang w:val="en-GB"/>
    </w:rPr>
  </w:style>
  <w:style w:type="paragraph" w:customStyle="1" w:styleId="BulletList">
    <w:name w:val="Bullet List"/>
    <w:basedOn w:val="ListParagraph"/>
    <w:link w:val="BulletListChar"/>
    <w:qFormat/>
    <w:rsid w:val="00017069"/>
    <w:pPr>
      <w:numPr>
        <w:numId w:val="2"/>
      </w:numPr>
      <w:spacing w:before="120" w:after="0"/>
      <w:ind w:left="714" w:hanging="357"/>
    </w:pPr>
    <w:rPr>
      <w:rFonts w:eastAsia="Calibri"/>
    </w:rPr>
  </w:style>
  <w:style w:type="character" w:customStyle="1" w:styleId="BulletListChar">
    <w:name w:val="Bullet List Char"/>
    <w:basedOn w:val="DefaultParagraphFont"/>
    <w:link w:val="BulletList"/>
    <w:rsid w:val="00017069"/>
    <w:rPr>
      <w:rFonts w:ascii="Times New Roman" w:eastAsia="Calibri" w:hAnsi="Times New Roman" w:cs="Akhbar MT"/>
      <w:szCs w:val="30"/>
      <w:lang w:val="en-GB"/>
    </w:rPr>
  </w:style>
  <w:style w:type="paragraph" w:customStyle="1" w:styleId="BoxNewPara">
    <w:name w:val="Box NewPara"/>
    <w:basedOn w:val="ListParagraph"/>
    <w:link w:val="BoxNewParaChar"/>
    <w:qFormat/>
    <w:rsid w:val="00017069"/>
    <w:pPr>
      <w:numPr>
        <w:numId w:val="3"/>
      </w:numPr>
      <w:spacing w:before="120" w:after="0"/>
      <w:contextualSpacing w:val="0"/>
    </w:pPr>
    <w:rPr>
      <w:rFonts w:eastAsia="Calibri"/>
    </w:rPr>
  </w:style>
  <w:style w:type="character" w:customStyle="1" w:styleId="BoxNewParaChar">
    <w:name w:val="Box NewPara Char"/>
    <w:basedOn w:val="DefaultParagraphFont"/>
    <w:link w:val="BoxNewPara"/>
    <w:rsid w:val="00017069"/>
    <w:rPr>
      <w:rFonts w:ascii="Times New Roman" w:eastAsia="Calibri" w:hAnsi="Times New Roman" w:cs="Akhbar MT"/>
      <w:szCs w:val="30"/>
      <w:lang w:val="en-GB"/>
    </w:rPr>
  </w:style>
  <w:style w:type="paragraph" w:customStyle="1" w:styleId="BoxBulletList">
    <w:name w:val="Box Bullet List"/>
    <w:basedOn w:val="BulletList"/>
    <w:link w:val="BoxBulletListChar"/>
    <w:qFormat/>
    <w:rsid w:val="00017069"/>
    <w:pPr>
      <w:ind w:left="720" w:hanging="360"/>
    </w:pPr>
  </w:style>
  <w:style w:type="character" w:customStyle="1" w:styleId="BoxBulletListChar">
    <w:name w:val="Box Bullet List Char"/>
    <w:basedOn w:val="BulletListChar"/>
    <w:link w:val="BoxBulletList"/>
    <w:rsid w:val="00017069"/>
    <w:rPr>
      <w:rFonts w:ascii="Times New Roman" w:eastAsia="Calibri" w:hAnsi="Times New Roman" w:cs="Akhbar MT"/>
      <w:szCs w:val="30"/>
      <w:lang w:val="en-GB"/>
    </w:rPr>
  </w:style>
  <w:style w:type="character" w:customStyle="1" w:styleId="Heading3Char">
    <w:name w:val="Heading 3 Char"/>
    <w:basedOn w:val="DefaultParagraphFont"/>
    <w:link w:val="Heading3"/>
    <w:uiPriority w:val="9"/>
    <w:semiHidden/>
    <w:rsid w:val="00017069"/>
    <w:rPr>
      <w:rFonts w:asciiTheme="majorHAnsi" w:eastAsiaTheme="majorEastAsia" w:hAnsiTheme="majorHAnsi" w:cstheme="majorBidi"/>
      <w:color w:val="243F60" w:themeColor="accent1" w:themeShade="7F"/>
      <w:sz w:val="24"/>
      <w:szCs w:val="24"/>
      <w:lang w:val="en-GB"/>
    </w:rPr>
  </w:style>
  <w:style w:type="paragraph" w:styleId="ListParagraph">
    <w:name w:val="List Paragraph"/>
    <w:basedOn w:val="Normal"/>
    <w:uiPriority w:val="34"/>
    <w:qFormat/>
    <w:rsid w:val="00017069"/>
    <w:pPr>
      <w:ind w:left="720"/>
      <w:contextualSpacing/>
    </w:pPr>
  </w:style>
  <w:style w:type="paragraph" w:styleId="Quote">
    <w:name w:val="Quote"/>
    <w:basedOn w:val="Normal"/>
    <w:next w:val="Normal"/>
    <w:link w:val="QuoteChar"/>
    <w:uiPriority w:val="29"/>
    <w:qFormat/>
    <w:rsid w:val="0042299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22991"/>
    <w:rPr>
      <w:rFonts w:ascii="Times New Roman" w:hAnsi="Times New Roman" w:cs="Akhbar MT"/>
      <w:i/>
      <w:iCs/>
      <w:color w:val="404040" w:themeColor="text1" w:themeTint="BF"/>
      <w:szCs w:val="30"/>
      <w:lang w:val="en-GB"/>
    </w:rPr>
  </w:style>
  <w:style w:type="paragraph" w:customStyle="1" w:styleId="NewPara">
    <w:name w:val="NewPara"/>
    <w:basedOn w:val="ListParagraph"/>
    <w:link w:val="NewParaChar"/>
    <w:qFormat/>
    <w:rsid w:val="00422991"/>
    <w:pPr>
      <w:numPr>
        <w:numId w:val="4"/>
      </w:numPr>
      <w:contextualSpacing w:val="0"/>
    </w:pPr>
  </w:style>
  <w:style w:type="character" w:customStyle="1" w:styleId="NewParaChar">
    <w:name w:val="NewPara Char"/>
    <w:basedOn w:val="DefaultParagraphFont"/>
    <w:link w:val="NewPara"/>
    <w:rsid w:val="00422991"/>
    <w:rPr>
      <w:rFonts w:ascii="Times New Roman" w:hAnsi="Times New Roman" w:cs="Akhbar MT"/>
      <w:szCs w:val="30"/>
      <w:lang w:val="en-GB"/>
    </w:rPr>
  </w:style>
  <w:style w:type="character" w:styleId="Strong">
    <w:name w:val="Strong"/>
    <w:basedOn w:val="DefaultParagraphFont"/>
    <w:uiPriority w:val="22"/>
    <w:qFormat/>
    <w:rsid w:val="00A71F71"/>
    <w:rPr>
      <w:b/>
      <w:bCs/>
    </w:rPr>
  </w:style>
  <w:style w:type="character" w:customStyle="1" w:styleId="NumberedHeadingChar">
    <w:name w:val="NumberedHeading Char"/>
    <w:basedOn w:val="DefaultParagraphFont"/>
    <w:link w:val="NumberedHeading"/>
    <w:locked/>
    <w:rsid w:val="00A71F71"/>
    <w:rPr>
      <w:rFonts w:ascii="Times New Roman Bold" w:eastAsia="Calibri" w:hAnsi="Times New Roman Bold" w:cs="Akhbar MT"/>
      <w:b/>
      <w:sz w:val="28"/>
      <w:szCs w:val="36"/>
      <w:lang w:val="en-GB"/>
    </w:rPr>
  </w:style>
  <w:style w:type="paragraph" w:customStyle="1" w:styleId="NumberedHeading">
    <w:name w:val="NumberedHeading"/>
    <w:basedOn w:val="Normal"/>
    <w:next w:val="Heading2"/>
    <w:link w:val="NumberedHeadingChar"/>
    <w:qFormat/>
    <w:rsid w:val="00A71F71"/>
    <w:pPr>
      <w:keepNext/>
      <w:numPr>
        <w:numId w:val="5"/>
      </w:numPr>
      <w:spacing w:before="240" w:after="0"/>
      <w:jc w:val="center"/>
    </w:pPr>
    <w:rPr>
      <w:rFonts w:ascii="Times New Roman Bold" w:eastAsia="Calibri" w:hAnsi="Times New Roman Bold"/>
      <w:b/>
      <w:sz w:val="28"/>
      <w:szCs w:val="36"/>
    </w:rPr>
  </w:style>
  <w:style w:type="paragraph" w:customStyle="1" w:styleId="SummaryBoxTitle">
    <w:name w:val="Summary Box Title"/>
    <w:basedOn w:val="Normal"/>
    <w:link w:val="SummaryBoxTitleChar"/>
    <w:qFormat/>
    <w:rsid w:val="002116A8"/>
    <w:pPr>
      <w:jc w:val="center"/>
    </w:pPr>
    <w:rPr>
      <w:b/>
      <w:sz w:val="28"/>
      <w:szCs w:val="28"/>
    </w:rPr>
  </w:style>
  <w:style w:type="character" w:customStyle="1" w:styleId="SummaryBoxTitleChar">
    <w:name w:val="Summary Box Title Char"/>
    <w:basedOn w:val="DefaultParagraphFont"/>
    <w:link w:val="SummaryBoxTitle"/>
    <w:rsid w:val="002116A8"/>
    <w:rPr>
      <w:rFonts w:ascii="Times New Roman" w:hAnsi="Times New Roman" w:cs="Akhbar MT"/>
      <w:b/>
      <w:sz w:val="28"/>
      <w:szCs w:val="28"/>
      <w:lang w:val="en-GB"/>
    </w:rPr>
  </w:style>
  <w:style w:type="paragraph" w:styleId="FootnoteText">
    <w:name w:val="footnote text"/>
    <w:basedOn w:val="Normal"/>
    <w:link w:val="FootnoteTextChar"/>
    <w:uiPriority w:val="99"/>
    <w:unhideWhenUsed/>
    <w:rsid w:val="00E7018D"/>
    <w:pPr>
      <w:spacing w:after="0"/>
    </w:pPr>
    <w:rPr>
      <w:sz w:val="20"/>
      <w:szCs w:val="20"/>
    </w:rPr>
  </w:style>
  <w:style w:type="character" w:customStyle="1" w:styleId="FootnoteTextChar">
    <w:name w:val="Footnote Text Char"/>
    <w:basedOn w:val="DefaultParagraphFont"/>
    <w:link w:val="FootnoteText"/>
    <w:uiPriority w:val="99"/>
    <w:rsid w:val="00E7018D"/>
    <w:rPr>
      <w:rFonts w:ascii="Times New Roman" w:hAnsi="Times New Roman" w:cs="Akhbar MT"/>
      <w:sz w:val="20"/>
      <w:szCs w:val="20"/>
      <w:lang w:val="en-GB"/>
    </w:rPr>
  </w:style>
  <w:style w:type="character" w:styleId="FootnoteReference">
    <w:name w:val="footnote reference"/>
    <w:basedOn w:val="DefaultParagraphFont"/>
    <w:uiPriority w:val="99"/>
    <w:unhideWhenUsed/>
    <w:rsid w:val="00E7018D"/>
    <w:rPr>
      <w:vertAlign w:val="superscript"/>
    </w:rPr>
  </w:style>
  <w:style w:type="character" w:styleId="Hyperlink">
    <w:name w:val="Hyperlink"/>
    <w:basedOn w:val="DefaultParagraphFont"/>
    <w:uiPriority w:val="99"/>
    <w:unhideWhenUsed/>
    <w:rsid w:val="00E7018D"/>
    <w:rPr>
      <w:color w:val="0000FF" w:themeColor="hyperlink"/>
      <w:u w:val="single"/>
    </w:rPr>
  </w:style>
  <w:style w:type="paragraph" w:customStyle="1" w:styleId="Speaker">
    <w:name w:val="Speaker"/>
    <w:basedOn w:val="Normal"/>
    <w:link w:val="SpeakerChar"/>
    <w:qFormat/>
    <w:rsid w:val="000907F2"/>
    <w:rPr>
      <w:b/>
      <w:lang w:bidi="ar-EG"/>
    </w:rPr>
  </w:style>
  <w:style w:type="character" w:customStyle="1" w:styleId="SpeakerChar">
    <w:name w:val="Speaker Char"/>
    <w:basedOn w:val="DefaultParagraphFont"/>
    <w:link w:val="Speaker"/>
    <w:rsid w:val="000907F2"/>
    <w:rPr>
      <w:rFonts w:ascii="Times New Roman" w:hAnsi="Times New Roman" w:cs="Akhbar MT"/>
      <w:b/>
      <w:szCs w:val="30"/>
      <w:lang w:val="en-GB" w:bidi="ar-EG"/>
    </w:rPr>
  </w:style>
  <w:style w:type="numbering" w:customStyle="1" w:styleId="Style1">
    <w:name w:val="Style1"/>
    <w:uiPriority w:val="99"/>
    <w:rsid w:val="003E6ECD"/>
    <w:pPr>
      <w:numPr>
        <w:numId w:val="6"/>
      </w:numPr>
    </w:pPr>
  </w:style>
  <w:style w:type="paragraph" w:styleId="TOC4">
    <w:name w:val="toc 4"/>
    <w:basedOn w:val="Normal"/>
    <w:next w:val="Normal"/>
    <w:autoRedefine/>
    <w:uiPriority w:val="39"/>
    <w:semiHidden/>
    <w:unhideWhenUsed/>
    <w:rsid w:val="003E6ECD"/>
    <w:pPr>
      <w:spacing w:after="0" w:line="276" w:lineRule="auto"/>
      <w:ind w:left="600"/>
    </w:pPr>
    <w:rPr>
      <w:rFonts w:asciiTheme="minorHAnsi" w:eastAsiaTheme="minorEastAsia" w:hAnsiTheme="minorHAnsi" w:cstheme="minorBidi"/>
      <w:sz w:val="20"/>
      <w:szCs w:val="20"/>
      <w:lang w:val="en-US" w:bidi="en-US"/>
    </w:rPr>
  </w:style>
  <w:style w:type="paragraph" w:styleId="NoSpacing">
    <w:name w:val="No Spacing"/>
    <w:uiPriority w:val="1"/>
    <w:qFormat/>
    <w:rsid w:val="00687F71"/>
    <w:pPr>
      <w:spacing w:after="0" w:line="240" w:lineRule="auto"/>
    </w:pPr>
    <w:rPr>
      <w:rFonts w:ascii="Calibri" w:eastAsia="Calibri" w:hAnsi="Calibri" w:cs="Times New Roman"/>
    </w:rPr>
  </w:style>
  <w:style w:type="paragraph" w:styleId="BodyText2">
    <w:name w:val="Body Text 2"/>
    <w:basedOn w:val="Normal"/>
    <w:link w:val="BodyText2Char"/>
    <w:uiPriority w:val="99"/>
    <w:unhideWhenUsed/>
    <w:rsid w:val="00F2197C"/>
    <w:pPr>
      <w:spacing w:after="120" w:line="480" w:lineRule="auto"/>
    </w:pPr>
    <w:rPr>
      <w:rFonts w:asciiTheme="minorHAnsi" w:hAnsiTheme="minorHAnsi" w:cstheme="minorBidi"/>
      <w:szCs w:val="22"/>
      <w:lang w:val="id-ID"/>
    </w:rPr>
  </w:style>
  <w:style w:type="character" w:customStyle="1" w:styleId="BodyText2Char">
    <w:name w:val="Body Text 2 Char"/>
    <w:basedOn w:val="DefaultParagraphFont"/>
    <w:link w:val="BodyText2"/>
    <w:uiPriority w:val="99"/>
    <w:rsid w:val="00F2197C"/>
    <w:rPr>
      <w:lang w:val="id-ID"/>
    </w:rPr>
  </w:style>
  <w:style w:type="paragraph" w:styleId="BodyText">
    <w:name w:val="Body Text"/>
    <w:basedOn w:val="Normal"/>
    <w:link w:val="BodyTextChar"/>
    <w:uiPriority w:val="99"/>
    <w:unhideWhenUsed/>
    <w:rsid w:val="00850A80"/>
    <w:pPr>
      <w:spacing w:after="120"/>
    </w:pPr>
  </w:style>
  <w:style w:type="character" w:customStyle="1" w:styleId="BodyTextChar">
    <w:name w:val="Body Text Char"/>
    <w:basedOn w:val="DefaultParagraphFont"/>
    <w:link w:val="BodyText"/>
    <w:uiPriority w:val="99"/>
    <w:rsid w:val="00850A80"/>
    <w:rPr>
      <w:rFonts w:ascii="Times New Roman" w:hAnsi="Times New Roman" w:cs="Akhbar MT"/>
      <w:szCs w:val="30"/>
      <w:lang w:val="en-GB"/>
    </w:rPr>
  </w:style>
  <w:style w:type="paragraph" w:styleId="NormalWeb">
    <w:name w:val="Normal (Web)"/>
    <w:basedOn w:val="Normal"/>
    <w:uiPriority w:val="99"/>
    <w:unhideWhenUsed/>
    <w:rsid w:val="00530067"/>
    <w:pPr>
      <w:spacing w:before="100" w:beforeAutospacing="1" w:after="100" w:afterAutospacing="1"/>
    </w:pPr>
    <w:rPr>
      <w:rFonts w:eastAsiaTheme="minorEastAsia" w:cs="Times New Roman"/>
      <w:sz w:val="24"/>
      <w:szCs w:val="24"/>
      <w:lang w:val="en-US"/>
    </w:rPr>
  </w:style>
  <w:style w:type="character" w:customStyle="1" w:styleId="hps">
    <w:name w:val="hps"/>
    <w:basedOn w:val="DefaultParagraphFont"/>
    <w:rsid w:val="00530067"/>
  </w:style>
  <w:style w:type="paragraph" w:customStyle="1" w:styleId="Default">
    <w:name w:val="Default"/>
    <w:rsid w:val="00530067"/>
    <w:pPr>
      <w:autoSpaceDE w:val="0"/>
      <w:autoSpaceDN w:val="0"/>
      <w:adjustRightInd w:val="0"/>
      <w:spacing w:after="0" w:line="240" w:lineRule="auto"/>
    </w:pPr>
    <w:rPr>
      <w:rFonts w:ascii="Times New Roman" w:hAnsi="Times New Roman" w:cs="Times New Roman"/>
      <w:color w:val="000000"/>
      <w:sz w:val="24"/>
      <w:szCs w:val="24"/>
      <w:lang w:val="id-ID"/>
    </w:rPr>
  </w:style>
  <w:style w:type="paragraph" w:customStyle="1" w:styleId="story">
    <w:name w:val="story"/>
    <w:basedOn w:val="Normal"/>
    <w:rsid w:val="003E78C6"/>
    <w:pPr>
      <w:spacing w:before="100" w:beforeAutospacing="1" w:after="100" w:afterAutospacing="1"/>
    </w:pPr>
    <w:rPr>
      <w:rFonts w:eastAsia="Times New Roman" w:cs="Times New Roman"/>
      <w:sz w:val="24"/>
      <w:szCs w:val="24"/>
      <w:lang w:val="en-IN" w:eastAsia="en-IN"/>
    </w:rPr>
  </w:style>
  <w:style w:type="character" w:customStyle="1" w:styleId="apple-converted-space">
    <w:name w:val="apple-converted-space"/>
    <w:basedOn w:val="DefaultParagraphFont"/>
    <w:rsid w:val="00710386"/>
  </w:style>
  <w:style w:type="character" w:styleId="CommentReference">
    <w:name w:val="annotation reference"/>
    <w:basedOn w:val="DefaultParagraphFont"/>
    <w:uiPriority w:val="99"/>
    <w:semiHidden/>
    <w:unhideWhenUsed/>
    <w:rsid w:val="00710386"/>
    <w:rPr>
      <w:sz w:val="16"/>
      <w:szCs w:val="16"/>
    </w:rPr>
  </w:style>
  <w:style w:type="paragraph" w:styleId="CommentText">
    <w:name w:val="annotation text"/>
    <w:basedOn w:val="Normal"/>
    <w:link w:val="CommentTextChar"/>
    <w:uiPriority w:val="99"/>
    <w:semiHidden/>
    <w:unhideWhenUsed/>
    <w:rsid w:val="00710386"/>
    <w:rPr>
      <w:rFonts w:asciiTheme="minorHAnsi" w:eastAsiaTheme="minorEastAsia" w:hAnsiTheme="minorHAnsi" w:cstheme="minorBidi"/>
      <w:sz w:val="20"/>
      <w:szCs w:val="20"/>
      <w:lang w:eastAsia="en-GB"/>
    </w:rPr>
  </w:style>
  <w:style w:type="character" w:customStyle="1" w:styleId="CommentTextChar">
    <w:name w:val="Comment Text Char"/>
    <w:basedOn w:val="DefaultParagraphFont"/>
    <w:link w:val="CommentText"/>
    <w:uiPriority w:val="99"/>
    <w:semiHidden/>
    <w:rsid w:val="00710386"/>
    <w:rPr>
      <w:rFonts w:eastAsiaTheme="minorEastAsia"/>
      <w:sz w:val="20"/>
      <w:szCs w:val="20"/>
      <w:lang w:val="en-GB" w:eastAsia="en-GB"/>
    </w:rPr>
  </w:style>
  <w:style w:type="paragraph" w:customStyle="1" w:styleId="NoSpacing1">
    <w:name w:val="No Spacing1"/>
    <w:uiPriority w:val="99"/>
    <w:qFormat/>
    <w:rsid w:val="00710386"/>
    <w:pPr>
      <w:widowControl w:val="0"/>
      <w:spacing w:after="0" w:line="240" w:lineRule="auto"/>
      <w:jc w:val="both"/>
    </w:pPr>
    <w:rPr>
      <w:rFonts w:ascii="Calibri" w:eastAsia="SimSun" w:hAnsi="Calibri" w:cs="Calibri"/>
      <w:kern w:val="2"/>
      <w:sz w:val="21"/>
      <w:szCs w:val="21"/>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70441">
      <w:bodyDiv w:val="1"/>
      <w:marLeft w:val="0"/>
      <w:marRight w:val="0"/>
      <w:marTop w:val="0"/>
      <w:marBottom w:val="0"/>
      <w:divBdr>
        <w:top w:val="none" w:sz="0" w:space="0" w:color="auto"/>
        <w:left w:val="none" w:sz="0" w:space="0" w:color="auto"/>
        <w:bottom w:val="none" w:sz="0" w:space="0" w:color="auto"/>
        <w:right w:val="none" w:sz="0" w:space="0" w:color="auto"/>
      </w:divBdr>
    </w:div>
    <w:div w:id="812059566">
      <w:bodyDiv w:val="1"/>
      <w:marLeft w:val="0"/>
      <w:marRight w:val="0"/>
      <w:marTop w:val="0"/>
      <w:marBottom w:val="0"/>
      <w:divBdr>
        <w:top w:val="none" w:sz="0" w:space="0" w:color="auto"/>
        <w:left w:val="none" w:sz="0" w:space="0" w:color="auto"/>
        <w:bottom w:val="none" w:sz="0" w:space="0" w:color="auto"/>
        <w:right w:val="none" w:sz="0" w:space="0" w:color="auto"/>
      </w:divBdr>
    </w:div>
    <w:div w:id="850725152">
      <w:bodyDiv w:val="1"/>
      <w:marLeft w:val="0"/>
      <w:marRight w:val="0"/>
      <w:marTop w:val="0"/>
      <w:marBottom w:val="0"/>
      <w:divBdr>
        <w:top w:val="none" w:sz="0" w:space="0" w:color="auto"/>
        <w:left w:val="none" w:sz="0" w:space="0" w:color="auto"/>
        <w:bottom w:val="none" w:sz="0" w:space="0" w:color="auto"/>
        <w:right w:val="none" w:sz="0" w:space="0" w:color="auto"/>
      </w:divBdr>
    </w:div>
    <w:div w:id="1060250848">
      <w:bodyDiv w:val="1"/>
      <w:marLeft w:val="0"/>
      <w:marRight w:val="0"/>
      <w:marTop w:val="0"/>
      <w:marBottom w:val="0"/>
      <w:divBdr>
        <w:top w:val="none" w:sz="0" w:space="0" w:color="auto"/>
        <w:left w:val="none" w:sz="0" w:space="0" w:color="auto"/>
        <w:bottom w:val="none" w:sz="0" w:space="0" w:color="auto"/>
        <w:right w:val="none" w:sz="0" w:space="0" w:color="auto"/>
      </w:divBdr>
    </w:div>
    <w:div w:id="189773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o.org/fao-who-codexalimentarius/sh-proxy/en/?lnk=1&amp;url=https%253A%252F%252Fworkspace.fao.org%252Fsites%252Fcodex%252FMeetings%252FCX-718-48%252FCRD%252Fpr48_crd21x.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fssai.gov.in/Portals/0/Pdf/scanpdf/AnnexureI-Strategy" TargetMode="External"/><Relationship Id="rId4" Type="http://schemas.microsoft.com/office/2007/relationships/stylesWithEffects" Target="stylesWithEffects.xml"/><Relationship Id="rId9" Type="http://schemas.openxmlformats.org/officeDocument/2006/relationships/hyperlink" Target="http://www.fssai.gov.in/Portals/0/"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59109-64D7-4484-B4F7-6753FE6B6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5283</Words>
  <Characters>30115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35328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Giordano DiNicola (CPAM)</dc:creator>
  <cp:lastModifiedBy>Margarita Brattlof (EST)</cp:lastModifiedBy>
  <cp:revision>2</cp:revision>
  <dcterms:created xsi:type="dcterms:W3CDTF">2016-05-13T13:11:00Z</dcterms:created>
  <dcterms:modified xsi:type="dcterms:W3CDTF">2016-05-13T13:11:00Z</dcterms:modified>
</cp:coreProperties>
</file>