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86" w:rsidRPr="0073685B" w:rsidRDefault="00012386" w:rsidP="00A81F94">
      <w:pPr>
        <w:pStyle w:val="Hidden"/>
      </w:pPr>
    </w:p>
    <w:p w:rsidR="00012386" w:rsidRPr="003F76E2" w:rsidRDefault="00012386" w:rsidP="00A81F94">
      <w:pPr>
        <w:pStyle w:val="DocTitle"/>
      </w:pPr>
      <w:bookmarkStart w:id="0" w:name="CoverBookmark"/>
      <w:bookmarkStart w:id="1" w:name="CoverTitleBookmark"/>
      <w:r>
        <w:rPr>
          <w:smallCaps/>
        </w:rPr>
        <w:t>Committee on Co</w:t>
      </w:r>
      <w:r w:rsidR="0078197B">
        <w:rPr>
          <w:smallCaps/>
        </w:rPr>
        <w:t>mmodity Problem</w:t>
      </w:r>
      <w:r>
        <w:rPr>
          <w:smallCaps/>
        </w:rPr>
        <w:t>s</w:t>
      </w:r>
    </w:p>
    <w:bookmarkEnd w:id="1" w:displacedByCustomXml="next"/>
    <w:bookmarkEnd w:id="0" w:displacedByCustomXml="next"/>
    <w:sdt>
      <w:sdtPr>
        <w:alias w:val="Meeting Information"/>
        <w:tag w:val="Meeting Information"/>
        <w:id w:val="8308208"/>
      </w:sdtPr>
      <w:sdtEndPr/>
      <w:sdtContent>
        <w:p w:rsidR="002116A8" w:rsidRDefault="002116A8" w:rsidP="002116A8">
          <w:pPr>
            <w:pStyle w:val="MeetingInfo"/>
          </w:pPr>
          <w:r w:rsidRPr="00F56629">
            <w:t xml:space="preserve">INTERGOVERNMENTAL GROUP ON </w:t>
          </w:r>
          <w:r>
            <w:t>TEA</w:t>
          </w:r>
        </w:p>
        <w:p w:rsidR="002116A8" w:rsidRDefault="002116A8" w:rsidP="002116A8">
          <w:pPr>
            <w:pStyle w:val="MeetingInfo"/>
          </w:pPr>
          <w:r>
            <w:t>Twenty-second Session</w:t>
          </w:r>
        </w:p>
        <w:p w:rsidR="002116A8" w:rsidRDefault="00C867A0" w:rsidP="002116A8">
          <w:pPr>
            <w:pStyle w:val="MeetingInfo"/>
          </w:pPr>
          <w:proofErr w:type="spellStart"/>
          <w:r>
            <w:t>Naivasha</w:t>
          </w:r>
          <w:proofErr w:type="spellEnd"/>
          <w:r>
            <w:t>, Kenya, 25-27 May 2016</w:t>
          </w:r>
        </w:p>
        <w:p w:rsidR="002116A8" w:rsidRPr="00F56629" w:rsidRDefault="00E7018D" w:rsidP="002116A8">
          <w:pPr>
            <w:pStyle w:val="MeetingInfo"/>
          </w:pPr>
          <w:r>
            <w:t>CURRENT MARKET SITUATIONAND MEDIUM TERM OUTLOOK</w:t>
          </w:r>
        </w:p>
      </w:sdtContent>
    </w:sdt>
    <w:p w:rsidR="002116A8" w:rsidRDefault="002116A8" w:rsidP="002116A8">
      <w:pPr>
        <w:pStyle w:val="Heading1"/>
        <w:spacing w:after="200"/>
        <w:ind w:left="1" w:firstLine="0"/>
      </w:pPr>
      <w:r w:rsidRPr="00F56629">
        <w:t>INTRODUCTION</w:t>
      </w:r>
    </w:p>
    <w:p w:rsidR="002116A8" w:rsidRDefault="00D35A9F" w:rsidP="002116A8">
      <w:pPr>
        <w:pStyle w:val="NewPara"/>
      </w:pPr>
      <w:r>
        <w:t>Document CCP</w:t>
      </w:r>
      <w:proofErr w:type="gramStart"/>
      <w:r>
        <w:t>:TE</w:t>
      </w:r>
      <w:proofErr w:type="gramEnd"/>
      <w:r>
        <w:t xml:space="preserve"> 16</w:t>
      </w:r>
      <w:r w:rsidR="00E7018D" w:rsidRPr="00E7018D">
        <w:t xml:space="preserve">/Inf. 2 </w:t>
      </w:r>
      <w:r>
        <w:t xml:space="preserve">presents </w:t>
      </w:r>
      <w:r w:rsidR="00E7018D" w:rsidRPr="00E7018D">
        <w:t>an overview of the current market situation and medium term outlook to 2024 for tea. The analysis is based on data received by the Secretariat from member countries, supplemented by data from other sources</w:t>
      </w:r>
      <w:r>
        <w:t>,</w:t>
      </w:r>
      <w:r w:rsidR="00E7018D" w:rsidRPr="00E7018D">
        <w:t xml:space="preserve"> including FAOSTAT</w:t>
      </w:r>
      <w:r>
        <w:t xml:space="preserve"> </w:t>
      </w:r>
      <w:r w:rsidR="00E7018D" w:rsidRPr="00E7018D">
        <w:t>and the International Tea Committee</w:t>
      </w:r>
      <w:r w:rsidR="00876E75">
        <w:t xml:space="preserve"> (ITC)</w:t>
      </w:r>
      <w:r w:rsidR="00E7018D" w:rsidRPr="00E7018D">
        <w:t>. Macro-economic data were sourced from the International Monetary Fund (IMF), World Bank and Organization for Economic Cooperation and Development (OECD), particularly for those used in the medium term projections.</w:t>
      </w:r>
    </w:p>
    <w:p w:rsidR="002116A8" w:rsidRDefault="00E7018D" w:rsidP="002116A8">
      <w:pPr>
        <w:pStyle w:val="NewPara"/>
      </w:pPr>
      <w:r w:rsidRPr="00E7018D">
        <w:t xml:space="preserve">To supplement </w:t>
      </w:r>
      <w:r w:rsidR="00876E75">
        <w:t>the information in this document</w:t>
      </w:r>
      <w:r w:rsidRPr="00E7018D">
        <w:t xml:space="preserve">, </w:t>
      </w:r>
      <w:r w:rsidR="00876E75">
        <w:t xml:space="preserve">member countries </w:t>
      </w:r>
      <w:r w:rsidRPr="00E7018D">
        <w:t>of the Intergovernmental Group on Tea (</w:t>
      </w:r>
      <w:r w:rsidR="00A62EF4">
        <w:t>IGG/Tea</w:t>
      </w:r>
      <w:r w:rsidR="00D35A9F">
        <w:t xml:space="preserve">) which </w:t>
      </w:r>
      <w:r w:rsidRPr="00E7018D">
        <w:t>have provided market commentaries to the Secretariat</w:t>
      </w:r>
      <w:r w:rsidR="00D35A9F">
        <w:t>,</w:t>
      </w:r>
      <w:r w:rsidRPr="00E7018D">
        <w:t xml:space="preserve"> will each be given</w:t>
      </w:r>
      <w:r w:rsidR="00876E75">
        <w:t xml:space="preserve"> ten</w:t>
      </w:r>
      <w:r w:rsidRPr="00E7018D">
        <w:t xml:space="preserve"> minutes to make </w:t>
      </w:r>
      <w:r w:rsidR="00D35A9F">
        <w:t xml:space="preserve">a </w:t>
      </w:r>
      <w:r w:rsidRPr="00E7018D">
        <w:t xml:space="preserve">presentation at the plenary session. The Secretariat is extremely grateful to China, India, Kenya, Sri Lanka and the United Republic of Tanzania for </w:t>
      </w:r>
      <w:r w:rsidR="00D35A9F">
        <w:t xml:space="preserve">providing the Secretariat with an overview of developments in their tea sub-sectors. This </w:t>
      </w:r>
      <w:r w:rsidRPr="00E7018D">
        <w:t xml:space="preserve">spirit of cooperation among members </w:t>
      </w:r>
      <w:r w:rsidR="00D35A9F">
        <w:t xml:space="preserve">should be encouraged as they promote </w:t>
      </w:r>
      <w:r w:rsidRPr="00E7018D">
        <w:t>marketing priorities of the Group in the areas of:</w:t>
      </w:r>
    </w:p>
    <w:p w:rsidR="00E7018D" w:rsidRPr="00451FF5" w:rsidRDefault="00E7018D" w:rsidP="00E7018D">
      <w:pPr>
        <w:pStyle w:val="BoxBulletList"/>
      </w:pPr>
      <w:r w:rsidRPr="00451FF5">
        <w:t>Improving market transparency;</w:t>
      </w:r>
    </w:p>
    <w:p w:rsidR="00E7018D" w:rsidRPr="00451FF5" w:rsidRDefault="00E7018D" w:rsidP="00E7018D">
      <w:pPr>
        <w:pStyle w:val="BoxBulletList"/>
      </w:pPr>
      <w:r w:rsidRPr="00451FF5">
        <w:t>Fostering market expansion; and</w:t>
      </w:r>
    </w:p>
    <w:p w:rsidR="00E7018D" w:rsidRDefault="00E7018D" w:rsidP="00E7018D">
      <w:pPr>
        <w:pStyle w:val="BoxBulletList"/>
      </w:pPr>
      <w:r w:rsidRPr="00451FF5">
        <w:t>Value chain enhancement.</w:t>
      </w:r>
    </w:p>
    <w:p w:rsidR="00E7018D" w:rsidRPr="00451FF5" w:rsidRDefault="00E7018D" w:rsidP="00E7018D">
      <w:pPr>
        <w:pStyle w:val="BoxBulletList"/>
        <w:numPr>
          <w:ilvl w:val="0"/>
          <w:numId w:val="0"/>
        </w:numPr>
        <w:ind w:left="714"/>
      </w:pPr>
    </w:p>
    <w:p w:rsidR="00E7018D" w:rsidRPr="00E7018D" w:rsidRDefault="00E7018D" w:rsidP="002116A8">
      <w:pPr>
        <w:pStyle w:val="NewPara"/>
      </w:pPr>
      <w:r w:rsidRPr="00451FF5">
        <w:rPr>
          <w:rFonts w:cs="Times New Roman"/>
          <w:szCs w:val="22"/>
        </w:rPr>
        <w:t xml:space="preserve">Delegates are invited to review the information presented in </w:t>
      </w:r>
      <w:r w:rsidR="00D35A9F">
        <w:rPr>
          <w:rFonts w:cs="Times New Roman"/>
          <w:szCs w:val="22"/>
        </w:rPr>
        <w:t xml:space="preserve">this </w:t>
      </w:r>
      <w:r w:rsidRPr="00451FF5">
        <w:rPr>
          <w:rFonts w:cs="Times New Roman"/>
          <w:szCs w:val="22"/>
        </w:rPr>
        <w:t xml:space="preserve">document with its annexed tables and the presentations made by the countries which have contributed marketing commentaries of their respective tea industries. Additional information is also available in the Secretariat’s publication </w:t>
      </w:r>
      <w:r>
        <w:rPr>
          <w:rFonts w:cs="Times New Roman"/>
          <w:i/>
          <w:szCs w:val="22"/>
        </w:rPr>
        <w:t>World Tea Production and Trade</w:t>
      </w:r>
      <w:r w:rsidRPr="00E7018D">
        <w:rPr>
          <w:rFonts w:cs="Times New Roman"/>
          <w:i/>
          <w:szCs w:val="22"/>
        </w:rPr>
        <w:t>: current and future development</w:t>
      </w:r>
      <w:r w:rsidRPr="00E7018D">
        <w:rPr>
          <w:rStyle w:val="FootnoteReference"/>
          <w:rFonts w:cs="Times New Roman"/>
          <w:i/>
          <w:szCs w:val="22"/>
        </w:rPr>
        <w:footnoteReference w:id="1"/>
      </w:r>
      <w:r w:rsidRPr="00E7018D">
        <w:rPr>
          <w:rFonts w:cs="Times New Roman"/>
          <w:i/>
          <w:szCs w:val="22"/>
        </w:rPr>
        <w:t>.</w:t>
      </w:r>
    </w:p>
    <w:p w:rsidR="00E7018D" w:rsidRPr="00E7018D" w:rsidRDefault="00E7018D" w:rsidP="002116A8">
      <w:pPr>
        <w:pStyle w:val="NewPara"/>
      </w:pPr>
      <w:r w:rsidRPr="00451FF5">
        <w:rPr>
          <w:rFonts w:cs="Times New Roman"/>
          <w:szCs w:val="22"/>
        </w:rPr>
        <w:t>Finally, delegates are kindly requested to amend and supplement the information where necessary, with updates pertaining to their countries.</w:t>
      </w:r>
    </w:p>
    <w:p w:rsidR="00E7018D" w:rsidRDefault="00E7018D" w:rsidP="00E7018D">
      <w:pPr>
        <w:pStyle w:val="Heading1"/>
        <w:spacing w:after="200"/>
        <w:ind w:left="1" w:firstLine="0"/>
      </w:pPr>
      <w:r>
        <w:t>PRODUCTION</w:t>
      </w:r>
    </w:p>
    <w:p w:rsidR="00E7018D" w:rsidRDefault="00E7018D" w:rsidP="002116A8">
      <w:pPr>
        <w:pStyle w:val="NewPara"/>
      </w:pPr>
      <w:r w:rsidRPr="00451FF5">
        <w:rPr>
          <w:rFonts w:cs="Times New Roman"/>
          <w:szCs w:val="22"/>
        </w:rPr>
        <w:t>World tea production (black, green, instant and other) increased by 4.2 percent annually over the last decade to reach 5.13 million tonnes in 2014 (Figure 1). China was responsible for t</w:t>
      </w:r>
      <w:r w:rsidRPr="00451FF5">
        <w:rPr>
          <w:rFonts w:eastAsia="Calibri" w:cs="Times New Roman"/>
          <w:szCs w:val="22"/>
        </w:rPr>
        <w:t>h</w:t>
      </w:r>
      <w:r w:rsidRPr="00451FF5">
        <w:rPr>
          <w:rFonts w:cs="Times New Roman"/>
          <w:szCs w:val="22"/>
        </w:rPr>
        <w:t xml:space="preserve">e </w:t>
      </w:r>
      <w:r w:rsidRPr="00451FF5">
        <w:rPr>
          <w:rFonts w:cs="Times New Roman"/>
          <w:szCs w:val="22"/>
        </w:rPr>
        <w:lastRenderedPageBreak/>
        <w:t xml:space="preserve">accelerated </w:t>
      </w:r>
      <w:r w:rsidRPr="00451FF5">
        <w:rPr>
          <w:rFonts w:eastAsia="Calibri" w:cs="Times New Roman"/>
          <w:szCs w:val="22"/>
        </w:rPr>
        <w:t xml:space="preserve">growth </w:t>
      </w:r>
      <w:r w:rsidRPr="00451FF5">
        <w:rPr>
          <w:rFonts w:cs="Times New Roman"/>
          <w:szCs w:val="22"/>
        </w:rPr>
        <w:t>in global tea output</w:t>
      </w:r>
      <w:r w:rsidR="000F6FB0">
        <w:rPr>
          <w:rFonts w:cs="Times New Roman"/>
          <w:szCs w:val="22"/>
        </w:rPr>
        <w:t>,</w:t>
      </w:r>
      <w:r w:rsidRPr="00451FF5">
        <w:rPr>
          <w:rFonts w:cs="Times New Roman"/>
          <w:szCs w:val="22"/>
        </w:rPr>
        <w:t xml:space="preserve"> as </w:t>
      </w:r>
      <w:r w:rsidRPr="00451FF5">
        <w:rPr>
          <w:rFonts w:eastAsia="Calibri" w:cs="Times New Roman"/>
          <w:szCs w:val="22"/>
        </w:rPr>
        <w:t xml:space="preserve">production in the country more than doubled from 934 857 tonnes in 2005 to 1.95 million tonnes in 2014. The expansion in tea production in China was in response to unprecedented growth in domestic demand, underpinned by the country’s economy which grew at an annual average </w:t>
      </w:r>
      <w:r w:rsidR="000F6FB0">
        <w:rPr>
          <w:rFonts w:eastAsia="Calibri" w:cs="Times New Roman"/>
          <w:szCs w:val="22"/>
        </w:rPr>
        <w:t xml:space="preserve">rate of </w:t>
      </w:r>
      <w:r w:rsidRPr="00451FF5">
        <w:rPr>
          <w:rFonts w:eastAsia="Calibri" w:cs="Times New Roman"/>
          <w:szCs w:val="22"/>
        </w:rPr>
        <w:t>10 percent over the last 30 years to 2015, culminating in the country becoming the world’s largest economy, by purchasing power parity</w:t>
      </w:r>
      <w:r w:rsidRPr="00451FF5">
        <w:rPr>
          <w:rStyle w:val="FootnoteReference"/>
          <w:rFonts w:eastAsia="Calibri" w:cs="Times New Roman"/>
          <w:szCs w:val="22"/>
        </w:rPr>
        <w:footnoteReference w:id="2"/>
      </w:r>
      <w:r w:rsidRPr="00451FF5">
        <w:rPr>
          <w:rFonts w:eastAsia="Calibri" w:cs="Times New Roman"/>
          <w:szCs w:val="22"/>
        </w:rPr>
        <w:t>.</w:t>
      </w:r>
    </w:p>
    <w:p w:rsidR="002116A8" w:rsidRDefault="00E7018D" w:rsidP="002116A8">
      <w:pPr>
        <w:pStyle w:val="NewPara"/>
      </w:pPr>
      <w:r w:rsidRPr="00451FF5">
        <w:rPr>
          <w:rFonts w:cs="Times New Roman"/>
          <w:szCs w:val="22"/>
        </w:rPr>
        <w:t>China accounted for 38 percent of world tea production</w:t>
      </w:r>
      <w:r w:rsidR="000F6FB0">
        <w:rPr>
          <w:rFonts w:cs="Times New Roman"/>
          <w:szCs w:val="22"/>
        </w:rPr>
        <w:t>,</w:t>
      </w:r>
      <w:r w:rsidRPr="00451FF5">
        <w:rPr>
          <w:rFonts w:cs="Times New Roman"/>
          <w:szCs w:val="22"/>
        </w:rPr>
        <w:t xml:space="preserve"> with an output of 1.95 million tonnes in 2014; production in India, the second largest producer, increased </w:t>
      </w:r>
      <w:r>
        <w:rPr>
          <w:rFonts w:cs="Times New Roman"/>
          <w:szCs w:val="22"/>
        </w:rPr>
        <w:t>to 1.21 million tonnes from 950 </w:t>
      </w:r>
      <w:r w:rsidRPr="00451FF5">
        <w:rPr>
          <w:rFonts w:cs="Times New Roman"/>
          <w:szCs w:val="22"/>
        </w:rPr>
        <w:t>176 tonnes in 2005; and output in the two largest exporting countries</w:t>
      </w:r>
      <w:r w:rsidR="000F6FB0">
        <w:rPr>
          <w:rFonts w:cs="Times New Roman"/>
          <w:szCs w:val="22"/>
        </w:rPr>
        <w:t>,</w:t>
      </w:r>
      <w:r>
        <w:rPr>
          <w:rFonts w:cs="Times New Roman"/>
          <w:szCs w:val="22"/>
        </w:rPr>
        <w:t xml:space="preserve"> </w:t>
      </w:r>
      <w:r w:rsidR="000F6FB0">
        <w:rPr>
          <w:rFonts w:cs="Times New Roman"/>
          <w:szCs w:val="22"/>
        </w:rPr>
        <w:t xml:space="preserve">Kenya and Sri Lanka, </w:t>
      </w:r>
      <w:r>
        <w:rPr>
          <w:rFonts w:cs="Times New Roman"/>
          <w:szCs w:val="22"/>
        </w:rPr>
        <w:t>reached 448 739 tonnes and 339 </w:t>
      </w:r>
      <w:r w:rsidRPr="00451FF5">
        <w:rPr>
          <w:rFonts w:cs="Times New Roman"/>
          <w:szCs w:val="22"/>
        </w:rPr>
        <w:t>900 tonnes, respectively. At the world level, black tea production increased annually by 2.6 percent and green tea by 6.4 percent, in response to continued firm prices.</w:t>
      </w:r>
    </w:p>
    <w:p w:rsidR="00E7018D" w:rsidRPr="00E7018D" w:rsidRDefault="00E7018D" w:rsidP="00E7018D">
      <w:pPr>
        <w:pStyle w:val="NewPara"/>
        <w:numPr>
          <w:ilvl w:val="0"/>
          <w:numId w:val="0"/>
        </w:numPr>
        <w:jc w:val="center"/>
        <w:rPr>
          <w:b/>
        </w:rPr>
      </w:pPr>
      <w:r w:rsidRPr="00E7018D">
        <w:rPr>
          <w:b/>
        </w:rPr>
        <w:t>Figure 1 – World Tea Production</w:t>
      </w:r>
    </w:p>
    <w:p w:rsidR="00E7018D" w:rsidRPr="00451FF5" w:rsidRDefault="00E7018D" w:rsidP="00E7018D">
      <w:pPr>
        <w:pStyle w:val="NewPara"/>
        <w:numPr>
          <w:ilvl w:val="0"/>
          <w:numId w:val="0"/>
        </w:numPr>
        <w:jc w:val="center"/>
      </w:pPr>
      <w:r w:rsidRPr="00451FF5">
        <w:rPr>
          <w:noProof/>
          <w:lang w:eastAsia="en-GB"/>
        </w:rPr>
        <w:drawing>
          <wp:inline distT="0" distB="0" distL="0" distR="0" wp14:anchorId="54187A49" wp14:editId="4A181B29">
            <wp:extent cx="5760085" cy="3617873"/>
            <wp:effectExtent l="19050" t="0" r="0" b="0"/>
            <wp:docPr id="1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cstate="print"/>
                    <a:srcRect/>
                    <a:stretch>
                      <a:fillRect/>
                    </a:stretch>
                  </pic:blipFill>
                  <pic:spPr bwMode="auto">
                    <a:xfrm>
                      <a:off x="0" y="0"/>
                      <a:ext cx="5760085" cy="3617873"/>
                    </a:xfrm>
                    <a:prstGeom prst="rect">
                      <a:avLst/>
                    </a:prstGeom>
                    <a:noFill/>
                    <a:ln w="9525">
                      <a:noFill/>
                      <a:miter lim="800000"/>
                      <a:headEnd/>
                      <a:tailEnd/>
                    </a:ln>
                  </pic:spPr>
                </pic:pic>
              </a:graphicData>
            </a:graphic>
          </wp:inline>
        </w:drawing>
      </w:r>
    </w:p>
    <w:p w:rsidR="00E7018D" w:rsidRDefault="00E7018D" w:rsidP="00E7018D">
      <w:pPr>
        <w:pStyle w:val="NewPara"/>
        <w:numPr>
          <w:ilvl w:val="0"/>
          <w:numId w:val="0"/>
        </w:numPr>
        <w:rPr>
          <w:sz w:val="20"/>
          <w:szCs w:val="20"/>
        </w:rPr>
      </w:pPr>
      <w:r w:rsidRPr="00E7018D">
        <w:rPr>
          <w:sz w:val="20"/>
          <w:szCs w:val="20"/>
        </w:rPr>
        <w:t>Source: FAO IGG/T</w:t>
      </w:r>
      <w:r w:rsidR="006A1985">
        <w:rPr>
          <w:sz w:val="20"/>
          <w:szCs w:val="20"/>
        </w:rPr>
        <w:t>ea</w:t>
      </w:r>
      <w:r w:rsidRPr="00E7018D">
        <w:rPr>
          <w:sz w:val="20"/>
          <w:szCs w:val="20"/>
        </w:rPr>
        <w:t xml:space="preserve"> Secretariat</w:t>
      </w:r>
      <w:r>
        <w:rPr>
          <w:sz w:val="20"/>
          <w:szCs w:val="20"/>
        </w:rPr>
        <w:t>.</w:t>
      </w:r>
    </w:p>
    <w:p w:rsidR="00E7018D" w:rsidRDefault="00E7018D" w:rsidP="00E7018D">
      <w:pPr>
        <w:pStyle w:val="Heading1"/>
        <w:spacing w:after="200"/>
        <w:ind w:left="1" w:firstLine="0"/>
      </w:pPr>
      <w:r>
        <w:t>EXPORTS</w:t>
      </w:r>
    </w:p>
    <w:p w:rsidR="002116A8" w:rsidRPr="00946CD6" w:rsidRDefault="00946CD6" w:rsidP="00946CD6">
      <w:pPr>
        <w:pStyle w:val="NewPara"/>
      </w:pPr>
      <w:r w:rsidRPr="00946CD6">
        <w:rPr>
          <w:rFonts w:cs="Times New Roman"/>
          <w:szCs w:val="22"/>
        </w:rPr>
        <w:t>World tea exports increased annually by 1.6 percent over the last decade to reach 1.73 million tonnes in 2014 (Figure 2), underpinned by larger shipments from Kenya</w:t>
      </w:r>
      <w:r w:rsidR="000F6FB0">
        <w:rPr>
          <w:rFonts w:cs="Times New Roman"/>
          <w:szCs w:val="22"/>
        </w:rPr>
        <w:t xml:space="preserve">, with </w:t>
      </w:r>
      <w:r w:rsidRPr="00946CD6">
        <w:rPr>
          <w:rFonts w:cs="Times New Roman"/>
          <w:szCs w:val="22"/>
        </w:rPr>
        <w:t xml:space="preserve">exports </w:t>
      </w:r>
      <w:r w:rsidR="000F6FB0">
        <w:rPr>
          <w:rFonts w:cs="Times New Roman"/>
          <w:szCs w:val="22"/>
        </w:rPr>
        <w:t xml:space="preserve">reaching </w:t>
      </w:r>
      <w:r w:rsidRPr="00946CD6">
        <w:rPr>
          <w:rFonts w:cs="Times New Roman"/>
          <w:szCs w:val="22"/>
        </w:rPr>
        <w:t>a record level in 2013</w:t>
      </w:r>
      <w:r w:rsidR="000F6FB0">
        <w:rPr>
          <w:rFonts w:cs="Times New Roman"/>
          <w:szCs w:val="22"/>
        </w:rPr>
        <w:t>,</w:t>
      </w:r>
      <w:r w:rsidRPr="00946CD6">
        <w:rPr>
          <w:rFonts w:cs="Times New Roman"/>
          <w:szCs w:val="22"/>
        </w:rPr>
        <w:t xml:space="preserve"> as well as a strong annual growth of 3.</w:t>
      </w:r>
      <w:r w:rsidR="000F6FB0">
        <w:rPr>
          <w:rFonts w:cs="Times New Roman"/>
          <w:szCs w:val="22"/>
        </w:rPr>
        <w:t>8 percent in green tea exports (</w:t>
      </w:r>
      <w:r w:rsidRPr="00946CD6">
        <w:rPr>
          <w:rFonts w:cs="Times New Roman"/>
          <w:szCs w:val="22"/>
        </w:rPr>
        <w:t>compared to the annual growth of black tea exports of 1.2 percent</w:t>
      </w:r>
      <w:r w:rsidR="000F6FB0">
        <w:rPr>
          <w:rFonts w:cs="Times New Roman"/>
          <w:szCs w:val="22"/>
        </w:rPr>
        <w:t>)</w:t>
      </w:r>
      <w:r w:rsidRPr="00946CD6">
        <w:rPr>
          <w:rFonts w:cs="Times New Roman"/>
          <w:szCs w:val="22"/>
        </w:rPr>
        <w:t>. Smaller annual growth in exports w</w:t>
      </w:r>
      <w:r w:rsidR="00A62EF4">
        <w:rPr>
          <w:rFonts w:cs="Times New Roman"/>
          <w:szCs w:val="22"/>
        </w:rPr>
        <w:t>as</w:t>
      </w:r>
      <w:r w:rsidRPr="00946CD6">
        <w:rPr>
          <w:rFonts w:cs="Times New Roman"/>
          <w:szCs w:val="22"/>
        </w:rPr>
        <w:t xml:space="preserve"> recorded by China, India and Sri Lanka</w:t>
      </w:r>
      <w:r w:rsidR="000F6FB0">
        <w:rPr>
          <w:rFonts w:cs="Times New Roman"/>
          <w:szCs w:val="22"/>
        </w:rPr>
        <w:t>,</w:t>
      </w:r>
      <w:r w:rsidRPr="00946CD6">
        <w:rPr>
          <w:rFonts w:cs="Times New Roman"/>
          <w:szCs w:val="22"/>
        </w:rPr>
        <w:t xml:space="preserve"> as larger portions of production, particularly in China and India, were consumed domestically.</w:t>
      </w:r>
    </w:p>
    <w:p w:rsidR="00946CD6" w:rsidRDefault="00946CD6">
      <w:pPr>
        <w:spacing w:line="276" w:lineRule="auto"/>
        <w:rPr>
          <w:b/>
        </w:rPr>
      </w:pPr>
      <w:r>
        <w:rPr>
          <w:b/>
        </w:rPr>
        <w:br w:type="page"/>
      </w:r>
    </w:p>
    <w:p w:rsidR="00946CD6" w:rsidRPr="00946CD6" w:rsidRDefault="00946CD6" w:rsidP="00946CD6">
      <w:pPr>
        <w:pStyle w:val="NewPara"/>
        <w:numPr>
          <w:ilvl w:val="0"/>
          <w:numId w:val="0"/>
        </w:numPr>
        <w:jc w:val="center"/>
        <w:rPr>
          <w:b/>
        </w:rPr>
      </w:pPr>
      <w:r w:rsidRPr="00946CD6">
        <w:rPr>
          <w:b/>
        </w:rPr>
        <w:lastRenderedPageBreak/>
        <w:t>Figure 2 – World Tea Exports</w:t>
      </w:r>
    </w:p>
    <w:p w:rsidR="00946CD6" w:rsidRPr="00451FF5" w:rsidRDefault="00946CD6" w:rsidP="00946CD6">
      <w:pPr>
        <w:pStyle w:val="NewPara"/>
        <w:numPr>
          <w:ilvl w:val="0"/>
          <w:numId w:val="0"/>
        </w:numPr>
      </w:pPr>
      <w:r w:rsidRPr="00451FF5">
        <w:rPr>
          <w:noProof/>
          <w:lang w:eastAsia="en-GB"/>
        </w:rPr>
        <w:drawing>
          <wp:inline distT="0" distB="0" distL="0" distR="0" wp14:anchorId="3A071412" wp14:editId="3C99CE0E">
            <wp:extent cx="5332781" cy="2823667"/>
            <wp:effectExtent l="0" t="0" r="1270" b="0"/>
            <wp:docPr id="1"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0" cstate="print"/>
                    <a:srcRect/>
                    <a:stretch>
                      <a:fillRect/>
                    </a:stretch>
                  </pic:blipFill>
                  <pic:spPr bwMode="auto">
                    <a:xfrm>
                      <a:off x="0" y="0"/>
                      <a:ext cx="5333790" cy="2824201"/>
                    </a:xfrm>
                    <a:prstGeom prst="rect">
                      <a:avLst/>
                    </a:prstGeom>
                    <a:noFill/>
                    <a:ln w="9525">
                      <a:noFill/>
                      <a:miter lim="800000"/>
                      <a:headEnd/>
                      <a:tailEnd/>
                    </a:ln>
                  </pic:spPr>
                </pic:pic>
              </a:graphicData>
            </a:graphic>
          </wp:inline>
        </w:drawing>
      </w:r>
    </w:p>
    <w:p w:rsidR="00946CD6" w:rsidRDefault="00946CD6" w:rsidP="00946CD6">
      <w:pPr>
        <w:pStyle w:val="NewPara"/>
        <w:numPr>
          <w:ilvl w:val="0"/>
          <w:numId w:val="0"/>
        </w:numPr>
        <w:rPr>
          <w:sz w:val="20"/>
          <w:szCs w:val="20"/>
        </w:rPr>
      </w:pPr>
      <w:r w:rsidRPr="00946CD6">
        <w:rPr>
          <w:sz w:val="20"/>
          <w:szCs w:val="20"/>
        </w:rPr>
        <w:t>Source: FAO IGG/T</w:t>
      </w:r>
      <w:r>
        <w:rPr>
          <w:sz w:val="20"/>
          <w:szCs w:val="20"/>
        </w:rPr>
        <w:t>ea</w:t>
      </w:r>
      <w:r w:rsidRPr="00946CD6">
        <w:rPr>
          <w:sz w:val="20"/>
          <w:szCs w:val="20"/>
        </w:rPr>
        <w:t xml:space="preserve"> Secretariat</w:t>
      </w:r>
      <w:r>
        <w:rPr>
          <w:sz w:val="20"/>
          <w:szCs w:val="20"/>
        </w:rPr>
        <w:t>.</w:t>
      </w:r>
    </w:p>
    <w:p w:rsidR="00946CD6" w:rsidRDefault="00946CD6" w:rsidP="00946CD6">
      <w:pPr>
        <w:pStyle w:val="Heading1"/>
        <w:spacing w:after="200"/>
        <w:ind w:left="1" w:firstLine="0"/>
      </w:pPr>
      <w:r>
        <w:t>PRICES</w:t>
      </w:r>
    </w:p>
    <w:p w:rsidR="00946CD6" w:rsidRPr="006E2227" w:rsidRDefault="00946CD6" w:rsidP="00946CD6">
      <w:pPr>
        <w:pStyle w:val="NewPara"/>
      </w:pPr>
      <w:r w:rsidRPr="00451FF5">
        <w:rPr>
          <w:rFonts w:cs="Times New Roman"/>
          <w:szCs w:val="22"/>
        </w:rPr>
        <w:t xml:space="preserve">International tea prices, as measured by the FAO Tea Composite price, remained firm over the last decade until 2014 when there was a 5.3 percent decline. The FAO Tea Composite Price is a weighted average price index for black tea, which includes CTC and Orthodox teas. The decline in the Composite prices </w:t>
      </w:r>
      <w:r w:rsidR="000F6FB0">
        <w:rPr>
          <w:rFonts w:cs="Times New Roman"/>
          <w:szCs w:val="22"/>
        </w:rPr>
        <w:t xml:space="preserve">in 2014 </w:t>
      </w:r>
      <w:r w:rsidRPr="00451FF5">
        <w:rPr>
          <w:rFonts w:cs="Times New Roman"/>
          <w:szCs w:val="22"/>
        </w:rPr>
        <w:t xml:space="preserve">was largely due to the weakening of CTC tea prices, as supplies exceeded demand at reigning auction prices, which took 12 months to clear. The decline would have been more substantial if it </w:t>
      </w:r>
      <w:r w:rsidR="000F6FB0">
        <w:rPr>
          <w:rFonts w:cs="Times New Roman"/>
          <w:szCs w:val="22"/>
        </w:rPr>
        <w:t xml:space="preserve">had not been </w:t>
      </w:r>
      <w:r w:rsidRPr="00451FF5">
        <w:rPr>
          <w:rFonts w:cs="Times New Roman"/>
          <w:szCs w:val="22"/>
        </w:rPr>
        <w:t>for the firmness of Orthodox tea prices which persisted in 2014. However, by 2015, the roles were reversed. CTC prices recovered and reached levels which offset major declines in Orthodox teas as imports from the Russian Federation and the Near East (the main markets for Orthodox teas) fell due to weakened economic growth rates associated with lower world oil prices. The FAO Composite prices averaged slightly higher for most of 2015 (Figure 3).</w:t>
      </w:r>
    </w:p>
    <w:p w:rsidR="006E2227" w:rsidRPr="006E2227" w:rsidRDefault="006E2227" w:rsidP="006E2227">
      <w:pPr>
        <w:pStyle w:val="NewPara"/>
        <w:numPr>
          <w:ilvl w:val="0"/>
          <w:numId w:val="0"/>
        </w:numPr>
        <w:jc w:val="center"/>
        <w:rPr>
          <w:b/>
        </w:rPr>
      </w:pPr>
      <w:r w:rsidRPr="006E2227">
        <w:rPr>
          <w:b/>
        </w:rPr>
        <w:t xml:space="preserve">Figure 3 </w:t>
      </w:r>
      <w:r>
        <w:rPr>
          <w:b/>
        </w:rPr>
        <w:t>– FAO Tea Composite Prices</w:t>
      </w:r>
    </w:p>
    <w:p w:rsidR="006E2227" w:rsidRPr="00451FF5" w:rsidRDefault="006E2227" w:rsidP="007571D8">
      <w:pPr>
        <w:pStyle w:val="NewPara"/>
        <w:numPr>
          <w:ilvl w:val="0"/>
          <w:numId w:val="0"/>
        </w:numPr>
      </w:pPr>
      <w:r w:rsidRPr="00451FF5">
        <w:rPr>
          <w:noProof/>
          <w:lang w:eastAsia="en-GB"/>
        </w:rPr>
        <w:drawing>
          <wp:inline distT="0" distB="0" distL="0" distR="0" wp14:anchorId="0A5535B8" wp14:editId="01FA8AD8">
            <wp:extent cx="5800953" cy="2560320"/>
            <wp:effectExtent l="0" t="0" r="9525"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E2227" w:rsidRPr="007571D8" w:rsidRDefault="006A1985" w:rsidP="007571D8">
      <w:pPr>
        <w:pStyle w:val="NewPara"/>
        <w:numPr>
          <w:ilvl w:val="0"/>
          <w:numId w:val="0"/>
        </w:numPr>
        <w:rPr>
          <w:sz w:val="20"/>
          <w:szCs w:val="20"/>
        </w:rPr>
      </w:pPr>
      <w:r>
        <w:rPr>
          <w:sz w:val="20"/>
          <w:szCs w:val="20"/>
        </w:rPr>
        <w:t>Source: FAO IGG/Tea</w:t>
      </w:r>
      <w:r w:rsidR="006E2227" w:rsidRPr="007571D8">
        <w:rPr>
          <w:sz w:val="20"/>
          <w:szCs w:val="20"/>
        </w:rPr>
        <w:t xml:space="preserve"> Secretariat</w:t>
      </w:r>
      <w:r>
        <w:rPr>
          <w:sz w:val="20"/>
          <w:szCs w:val="20"/>
        </w:rPr>
        <w:t>.</w:t>
      </w:r>
    </w:p>
    <w:p w:rsidR="006E2227" w:rsidRPr="006A1985" w:rsidRDefault="006A1985" w:rsidP="00946CD6">
      <w:pPr>
        <w:pStyle w:val="NewPara"/>
      </w:pPr>
      <w:r w:rsidRPr="00451FF5">
        <w:rPr>
          <w:rFonts w:cs="Times New Roman"/>
          <w:szCs w:val="22"/>
        </w:rPr>
        <w:lastRenderedPageBreak/>
        <w:t xml:space="preserve">Other main drivers of international tea prices are market access, the potential effects of pests and diseases on production and changing dynamics </w:t>
      </w:r>
      <w:r w:rsidR="00E1379E">
        <w:rPr>
          <w:rFonts w:cs="Times New Roman"/>
          <w:szCs w:val="22"/>
        </w:rPr>
        <w:t xml:space="preserve">among </w:t>
      </w:r>
      <w:r w:rsidRPr="00451FF5">
        <w:rPr>
          <w:rFonts w:cs="Times New Roman"/>
          <w:szCs w:val="22"/>
        </w:rPr>
        <w:t>retailers, wholesalers and multinationals.</w:t>
      </w:r>
    </w:p>
    <w:p w:rsidR="006A1985" w:rsidRDefault="006A1985" w:rsidP="006A1985">
      <w:pPr>
        <w:pStyle w:val="Heading1"/>
        <w:spacing w:after="200"/>
        <w:ind w:left="1" w:firstLine="0"/>
      </w:pPr>
      <w:r>
        <w:t>CONSUMPTION</w:t>
      </w:r>
    </w:p>
    <w:p w:rsidR="006A1985" w:rsidRPr="006A1985" w:rsidRDefault="006A1985" w:rsidP="006A1985">
      <w:pPr>
        <w:pStyle w:val="NewPara"/>
      </w:pPr>
      <w:r w:rsidRPr="00451FF5">
        <w:rPr>
          <w:rFonts w:cs="Times New Roman"/>
          <w:szCs w:val="22"/>
        </w:rPr>
        <w:t>The main determinant for growth of the global tea economy is demand for the commodity. T</w:t>
      </w:r>
      <w:r w:rsidRPr="00451FF5">
        <w:rPr>
          <w:rFonts w:cs="Times New Roman"/>
          <w:color w:val="231F20"/>
          <w:szCs w:val="22"/>
        </w:rPr>
        <w:t xml:space="preserve">he analysis of demand for tea carried out by the </w:t>
      </w:r>
      <w:r w:rsidR="00A62EF4">
        <w:rPr>
          <w:rFonts w:cs="Times New Roman"/>
          <w:color w:val="231F20"/>
          <w:szCs w:val="22"/>
        </w:rPr>
        <w:t>IGG/Tea</w:t>
      </w:r>
      <w:r w:rsidRPr="00451FF5">
        <w:rPr>
          <w:rFonts w:cs="Times New Roman"/>
          <w:color w:val="231F20"/>
          <w:szCs w:val="22"/>
        </w:rPr>
        <w:t xml:space="preserve"> Secretariat in selected markets indicates that both black and green tea are price inelastic. Price elasticities for bl</w:t>
      </w:r>
      <w:r>
        <w:rPr>
          <w:rFonts w:cs="Times New Roman"/>
          <w:color w:val="231F20"/>
          <w:szCs w:val="22"/>
        </w:rPr>
        <w:t>ack tea vary between -0.32 and</w:t>
      </w:r>
      <w:r>
        <w:br/>
      </w:r>
      <w:r>
        <w:rPr>
          <w:rFonts w:cs="Times New Roman"/>
          <w:color w:val="231F20"/>
          <w:szCs w:val="22"/>
        </w:rPr>
        <w:t>-</w:t>
      </w:r>
      <w:r w:rsidRPr="006A1985">
        <w:rPr>
          <w:rFonts w:cs="Times New Roman"/>
          <w:color w:val="231F20"/>
          <w:szCs w:val="22"/>
        </w:rPr>
        <w:t>0.80, while estimates for green tea price elasticities range between -0.69 and -0.98.</w:t>
      </w:r>
    </w:p>
    <w:p w:rsidR="006A1985" w:rsidRPr="006A1985" w:rsidRDefault="006A1985" w:rsidP="006A1985">
      <w:pPr>
        <w:pStyle w:val="NewPara"/>
      </w:pPr>
      <w:r w:rsidRPr="00451FF5">
        <w:rPr>
          <w:rFonts w:cs="Times New Roman"/>
          <w:szCs w:val="22"/>
        </w:rPr>
        <w:t>Several factors influence the demand for tea, including the traditional price and income variables</w:t>
      </w:r>
      <w:r w:rsidR="00E1379E">
        <w:rPr>
          <w:rFonts w:cs="Times New Roman"/>
          <w:szCs w:val="22"/>
        </w:rPr>
        <w:t xml:space="preserve"> and </w:t>
      </w:r>
      <w:r w:rsidRPr="00451FF5">
        <w:rPr>
          <w:rFonts w:cs="Times New Roman"/>
          <w:szCs w:val="22"/>
        </w:rPr>
        <w:t>demographics suc</w:t>
      </w:r>
      <w:r w:rsidR="00E1379E">
        <w:rPr>
          <w:rFonts w:cs="Times New Roman"/>
          <w:szCs w:val="22"/>
        </w:rPr>
        <w:t>h as age, education, occupation</w:t>
      </w:r>
      <w:r w:rsidRPr="00451FF5">
        <w:rPr>
          <w:rFonts w:cs="Times New Roman"/>
          <w:szCs w:val="22"/>
        </w:rPr>
        <w:t xml:space="preserve"> and cultural background. In addition, health has a great influence on tea consumption</w:t>
      </w:r>
      <w:r w:rsidR="000F6FB0">
        <w:rPr>
          <w:rFonts w:cs="Times New Roman"/>
          <w:szCs w:val="22"/>
        </w:rPr>
        <w:t>,</w:t>
      </w:r>
      <w:r w:rsidRPr="00451FF5">
        <w:rPr>
          <w:rFonts w:cs="Times New Roman"/>
          <w:szCs w:val="22"/>
        </w:rPr>
        <w:t xml:space="preserve"> which led the </w:t>
      </w:r>
      <w:r w:rsidR="00A62EF4">
        <w:rPr>
          <w:rFonts w:cs="Times New Roman"/>
          <w:szCs w:val="22"/>
        </w:rPr>
        <w:t>IGG/Tea</w:t>
      </w:r>
      <w:r w:rsidRPr="00451FF5">
        <w:rPr>
          <w:rFonts w:cs="Times New Roman"/>
          <w:szCs w:val="22"/>
        </w:rPr>
        <w:t xml:space="preserve"> to recommend strengthening consumer awareness of the health benefits of tea consumption through an international generic promotion programme.</w:t>
      </w:r>
    </w:p>
    <w:p w:rsidR="006A1985" w:rsidRPr="006A1985" w:rsidRDefault="006A1985" w:rsidP="006A1985">
      <w:pPr>
        <w:pStyle w:val="NewPara"/>
      </w:pPr>
      <w:r w:rsidRPr="00451FF5">
        <w:rPr>
          <w:rFonts w:cs="Times New Roman"/>
          <w:szCs w:val="22"/>
        </w:rPr>
        <w:t>World tea consumption increased annually by 4.3 percent to 4.95 million tonnes over the decade to 2014 (Figure 4). The expansion was underpinned by the rapid growth in per capita income levels, notably in China, India and other emerging economies. Growth in demand expanded significantly in most of the tea producing countries in Asia, Africa and Latin America. In China, consumption expanded spectacularly at an annual rate of 10.6 percen</w:t>
      </w:r>
      <w:r w:rsidR="00A62EF4">
        <w:rPr>
          <w:rFonts w:cs="Times New Roman"/>
          <w:szCs w:val="22"/>
        </w:rPr>
        <w:t>t over the decade</w:t>
      </w:r>
      <w:r w:rsidR="000F6FB0">
        <w:rPr>
          <w:rFonts w:cs="Times New Roman"/>
          <w:szCs w:val="22"/>
        </w:rPr>
        <w:t>,</w:t>
      </w:r>
      <w:r w:rsidR="00A62EF4">
        <w:rPr>
          <w:rFonts w:cs="Times New Roman"/>
          <w:szCs w:val="22"/>
        </w:rPr>
        <w:t xml:space="preserve"> reaching 1.67 </w:t>
      </w:r>
      <w:r w:rsidRPr="00451FF5">
        <w:rPr>
          <w:rFonts w:cs="Times New Roman"/>
          <w:szCs w:val="22"/>
        </w:rPr>
        <w:t>million tonnes in 2014, or 34 percent of world tea consumption.  India, w</w:t>
      </w:r>
      <w:r>
        <w:rPr>
          <w:rFonts w:cs="Times New Roman"/>
          <w:szCs w:val="22"/>
        </w:rPr>
        <w:t xml:space="preserve">ith consumption </w:t>
      </w:r>
      <w:r w:rsidR="00A62EF4">
        <w:rPr>
          <w:rFonts w:cs="Times New Roman"/>
          <w:szCs w:val="22"/>
        </w:rPr>
        <w:t>at 1.02 </w:t>
      </w:r>
      <w:r w:rsidRPr="00451FF5">
        <w:rPr>
          <w:rFonts w:cs="Times New Roman"/>
          <w:szCs w:val="22"/>
        </w:rPr>
        <w:t>million tonnes, was the second largest tea consumer in 2014, accou</w:t>
      </w:r>
      <w:r w:rsidR="00A62EF4">
        <w:rPr>
          <w:rFonts w:cs="Times New Roman"/>
          <w:szCs w:val="22"/>
        </w:rPr>
        <w:t>nting for slightly more than 20 </w:t>
      </w:r>
      <w:r w:rsidRPr="00451FF5">
        <w:rPr>
          <w:rFonts w:cs="Times New Roman"/>
          <w:szCs w:val="22"/>
        </w:rPr>
        <w:t>percent of the global total.</w:t>
      </w:r>
    </w:p>
    <w:p w:rsidR="006A1985" w:rsidRPr="006A1985" w:rsidRDefault="006A1985" w:rsidP="006A1985">
      <w:pPr>
        <w:pStyle w:val="NewPara"/>
      </w:pPr>
      <w:r w:rsidRPr="00451FF5">
        <w:rPr>
          <w:rFonts w:cs="Times New Roman"/>
          <w:szCs w:val="22"/>
        </w:rPr>
        <w:t xml:space="preserve">In traditional importing countries of Europe (except Germany) and the Russian Federation, tea consumption has declined over the last decade. The European tea market is mature and per capita consumption has been declining as competition from other beverages, particularly bottled water and carbonated drinks, has intensified, while for the Russian Federation, the decline in oil prices has negatively impacted on </w:t>
      </w:r>
      <w:r w:rsidR="000F6FB0">
        <w:rPr>
          <w:rFonts w:cs="Times New Roman"/>
          <w:szCs w:val="22"/>
        </w:rPr>
        <w:t xml:space="preserve">the country’s </w:t>
      </w:r>
      <w:r w:rsidRPr="00451FF5">
        <w:rPr>
          <w:rFonts w:cs="Times New Roman"/>
          <w:szCs w:val="22"/>
        </w:rPr>
        <w:t>tea imports.</w:t>
      </w:r>
    </w:p>
    <w:p w:rsidR="006A1985" w:rsidRPr="00451FF5" w:rsidRDefault="006A1985" w:rsidP="006A1985">
      <w:pPr>
        <w:pStyle w:val="NewPara"/>
        <w:numPr>
          <w:ilvl w:val="0"/>
          <w:numId w:val="0"/>
        </w:numPr>
        <w:jc w:val="center"/>
      </w:pPr>
      <w:r w:rsidRPr="006A1985">
        <w:rPr>
          <w:b/>
        </w:rPr>
        <w:t>Figure 4 – World Tea Consumption</w:t>
      </w:r>
    </w:p>
    <w:p w:rsidR="006A1985" w:rsidRPr="00451FF5" w:rsidRDefault="006A1985" w:rsidP="006A1985">
      <w:pPr>
        <w:pStyle w:val="NewPara"/>
        <w:numPr>
          <w:ilvl w:val="0"/>
          <w:numId w:val="0"/>
        </w:numPr>
      </w:pPr>
      <w:r w:rsidRPr="00451FF5">
        <w:rPr>
          <w:noProof/>
          <w:lang w:eastAsia="en-GB"/>
        </w:rPr>
        <w:drawing>
          <wp:inline distT="0" distB="0" distL="0" distR="0" wp14:anchorId="7F2AFE18" wp14:editId="2F62CC44">
            <wp:extent cx="5296204" cy="3233318"/>
            <wp:effectExtent l="0" t="0" r="0" b="5715"/>
            <wp:docPr id="4"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2" cstate="print"/>
                    <a:srcRect/>
                    <a:stretch>
                      <a:fillRect/>
                    </a:stretch>
                  </pic:blipFill>
                  <pic:spPr bwMode="auto">
                    <a:xfrm>
                      <a:off x="0" y="0"/>
                      <a:ext cx="5296896" cy="3233741"/>
                    </a:xfrm>
                    <a:prstGeom prst="rect">
                      <a:avLst/>
                    </a:prstGeom>
                    <a:noFill/>
                    <a:ln w="9525">
                      <a:noFill/>
                      <a:miter lim="800000"/>
                      <a:headEnd/>
                      <a:tailEnd/>
                    </a:ln>
                  </pic:spPr>
                </pic:pic>
              </a:graphicData>
            </a:graphic>
          </wp:inline>
        </w:drawing>
      </w:r>
    </w:p>
    <w:p w:rsidR="006A1985" w:rsidRPr="006A1985" w:rsidRDefault="006A1985" w:rsidP="006A1985">
      <w:pPr>
        <w:pStyle w:val="NewPara"/>
        <w:numPr>
          <w:ilvl w:val="0"/>
          <w:numId w:val="0"/>
        </w:numPr>
        <w:rPr>
          <w:sz w:val="20"/>
          <w:szCs w:val="20"/>
        </w:rPr>
      </w:pPr>
      <w:r>
        <w:rPr>
          <w:sz w:val="20"/>
          <w:szCs w:val="20"/>
        </w:rPr>
        <w:t>Source: FAO IGG/Tea</w:t>
      </w:r>
      <w:r w:rsidRPr="006A1985">
        <w:rPr>
          <w:sz w:val="20"/>
          <w:szCs w:val="20"/>
        </w:rPr>
        <w:t xml:space="preserve"> Secretariat</w:t>
      </w:r>
      <w:r>
        <w:rPr>
          <w:sz w:val="20"/>
          <w:szCs w:val="20"/>
        </w:rPr>
        <w:t>.</w:t>
      </w:r>
    </w:p>
    <w:p w:rsidR="00645246" w:rsidRDefault="00645246" w:rsidP="00645246">
      <w:pPr>
        <w:pStyle w:val="Heading1"/>
        <w:spacing w:after="200"/>
        <w:ind w:left="1" w:firstLine="0"/>
      </w:pPr>
      <w:r>
        <w:lastRenderedPageBreak/>
        <w:t>PROJECTIONS</w:t>
      </w:r>
    </w:p>
    <w:p w:rsidR="00645246" w:rsidRPr="00645246" w:rsidRDefault="00645246" w:rsidP="00645246">
      <w:pPr>
        <w:pStyle w:val="NewPara"/>
      </w:pPr>
      <w:r w:rsidRPr="00451FF5">
        <w:t xml:space="preserve">The medium term projections were generated by the FAO World Tea Model, which is a </w:t>
      </w:r>
      <w:r w:rsidR="000F6FB0">
        <w:t xml:space="preserve">partial equilibrium </w:t>
      </w:r>
      <w:r w:rsidRPr="00451FF5">
        <w:t>dynamic time series model</w:t>
      </w:r>
      <w:r w:rsidR="000F6FB0">
        <w:t xml:space="preserve">. Details of the model can be found in </w:t>
      </w:r>
      <w:r w:rsidR="000F6FB0">
        <w:rPr>
          <w:lang w:val="en-US"/>
        </w:rPr>
        <w:t>document CCP</w:t>
      </w:r>
      <w:proofErr w:type="gramStart"/>
      <w:r w:rsidR="000F6FB0">
        <w:rPr>
          <w:lang w:val="en-US"/>
        </w:rPr>
        <w:t>:</w:t>
      </w:r>
      <w:r w:rsidR="000F6FB0" w:rsidRPr="000A2D7A">
        <w:rPr>
          <w:lang w:val="en-US"/>
        </w:rPr>
        <w:t>TE</w:t>
      </w:r>
      <w:proofErr w:type="gramEnd"/>
      <w:r w:rsidR="000F6FB0" w:rsidRPr="000A2D7A">
        <w:rPr>
          <w:lang w:val="en-US"/>
        </w:rPr>
        <w:t xml:space="preserve"> 10/2</w:t>
      </w:r>
      <w:r w:rsidR="00F93408">
        <w:rPr>
          <w:rStyle w:val="FootnoteReference"/>
          <w:lang w:val="en-US"/>
        </w:rPr>
        <w:footnoteReference w:id="3"/>
      </w:r>
      <w:r w:rsidRPr="00451FF5">
        <w:t>.</w:t>
      </w:r>
    </w:p>
    <w:p w:rsidR="00645246" w:rsidRDefault="00645246" w:rsidP="00645246">
      <w:pPr>
        <w:pStyle w:val="Heading2"/>
      </w:pPr>
      <w:r>
        <w:t>PROJECTED PRODUCTION</w:t>
      </w:r>
    </w:p>
    <w:p w:rsidR="00645246" w:rsidRPr="00645246" w:rsidRDefault="00645246" w:rsidP="00645246">
      <w:pPr>
        <w:pStyle w:val="Heading3"/>
      </w:pPr>
    </w:p>
    <w:p w:rsidR="00645246" w:rsidRPr="00645246" w:rsidRDefault="000F6FB0" w:rsidP="00645246">
      <w:pPr>
        <w:pStyle w:val="NewPara"/>
      </w:pPr>
      <w:r>
        <w:rPr>
          <w:rFonts w:cs="Times New Roman"/>
          <w:szCs w:val="22"/>
        </w:rPr>
        <w:t xml:space="preserve">To </w:t>
      </w:r>
      <w:r w:rsidR="00645246" w:rsidRPr="00451FF5">
        <w:rPr>
          <w:rFonts w:eastAsia="Calibri" w:cs="Times New Roman"/>
          <w:szCs w:val="22"/>
        </w:rPr>
        <w:t>2024</w:t>
      </w:r>
      <w:r w:rsidR="00645246" w:rsidRPr="00451FF5">
        <w:rPr>
          <w:rFonts w:cs="Times New Roman"/>
          <w:szCs w:val="22"/>
        </w:rPr>
        <w:t xml:space="preserve">, </w:t>
      </w:r>
      <w:r w:rsidR="00645246" w:rsidRPr="00451FF5">
        <w:rPr>
          <w:rFonts w:eastAsia="Calibri" w:cs="Times New Roman"/>
          <w:szCs w:val="22"/>
        </w:rPr>
        <w:t xml:space="preserve">world black tea production </w:t>
      </w:r>
      <w:r w:rsidR="00645246" w:rsidRPr="00451FF5">
        <w:rPr>
          <w:rFonts w:cs="Times New Roman"/>
          <w:szCs w:val="22"/>
        </w:rPr>
        <w:t xml:space="preserve">is projected to increase </w:t>
      </w:r>
      <w:r w:rsidR="00A62EF4">
        <w:rPr>
          <w:rFonts w:cs="Times New Roman"/>
          <w:szCs w:val="22"/>
        </w:rPr>
        <w:t>by an annual growth rate of 3.7 </w:t>
      </w:r>
      <w:r w:rsidR="00645246" w:rsidRPr="00451FF5">
        <w:rPr>
          <w:rFonts w:cs="Times New Roman"/>
          <w:szCs w:val="22"/>
        </w:rPr>
        <w:t xml:space="preserve">percent to reach 4.29 million tonnes, reflecting major increases in India, China, Kenya and Sri Lanka </w:t>
      </w:r>
      <w:r w:rsidR="00645246" w:rsidRPr="00451FF5">
        <w:rPr>
          <w:rFonts w:eastAsia="Calibri" w:cs="Times New Roman"/>
          <w:szCs w:val="22"/>
        </w:rPr>
        <w:t>(Figure 5 and Annex Table 1)</w:t>
      </w:r>
      <w:r w:rsidR="00645246" w:rsidRPr="00451FF5">
        <w:rPr>
          <w:rFonts w:cs="Times New Roman"/>
          <w:szCs w:val="22"/>
        </w:rPr>
        <w:t xml:space="preserve">. The expansion in China would be significant as output should surpass that of Kenya, the largest black tea exporter, underpinned by strong growth in domestic demand for black teas such as </w:t>
      </w:r>
      <w:proofErr w:type="spellStart"/>
      <w:r w:rsidR="00645246" w:rsidRPr="00451FF5">
        <w:rPr>
          <w:rFonts w:cs="Times New Roman"/>
          <w:i/>
          <w:szCs w:val="22"/>
        </w:rPr>
        <w:t>Pu’er</w:t>
      </w:r>
      <w:proofErr w:type="spellEnd"/>
      <w:r w:rsidR="00645246">
        <w:rPr>
          <w:rFonts w:cs="Times New Roman"/>
          <w:szCs w:val="22"/>
        </w:rPr>
        <w:t>.</w:t>
      </w:r>
    </w:p>
    <w:p w:rsidR="00645246" w:rsidRPr="000907F2" w:rsidRDefault="00645246" w:rsidP="00645246">
      <w:pPr>
        <w:pStyle w:val="NewPara"/>
      </w:pPr>
      <w:r w:rsidRPr="00451FF5">
        <w:rPr>
          <w:rFonts w:cs="Times New Roman"/>
          <w:szCs w:val="22"/>
        </w:rPr>
        <w:t>World green tea</w:t>
      </w:r>
      <w:r w:rsidRPr="00451FF5">
        <w:rPr>
          <w:rFonts w:eastAsia="Calibri" w:cs="Times New Roman"/>
          <w:szCs w:val="22"/>
        </w:rPr>
        <w:t xml:space="preserve"> </w:t>
      </w:r>
      <w:r w:rsidR="000F6FB0">
        <w:rPr>
          <w:rFonts w:eastAsia="Calibri" w:cs="Times New Roman"/>
          <w:szCs w:val="22"/>
        </w:rPr>
        <w:t xml:space="preserve">output </w:t>
      </w:r>
      <w:r w:rsidRPr="00451FF5">
        <w:rPr>
          <w:rFonts w:cs="Times New Roman"/>
          <w:szCs w:val="22"/>
        </w:rPr>
        <w:t>would increase at an</w:t>
      </w:r>
      <w:r w:rsidRPr="00451FF5">
        <w:rPr>
          <w:rFonts w:eastAsia="Calibri" w:cs="Times New Roman"/>
          <w:szCs w:val="22"/>
        </w:rPr>
        <w:t xml:space="preserve"> </w:t>
      </w:r>
      <w:r w:rsidRPr="00451FF5">
        <w:rPr>
          <w:rFonts w:cs="Times New Roman"/>
          <w:szCs w:val="22"/>
        </w:rPr>
        <w:t xml:space="preserve">even </w:t>
      </w:r>
      <w:r w:rsidRPr="00451FF5">
        <w:rPr>
          <w:rFonts w:eastAsia="Calibri" w:cs="Times New Roman"/>
          <w:szCs w:val="22"/>
        </w:rPr>
        <w:t xml:space="preserve">faster rate </w:t>
      </w:r>
      <w:r w:rsidRPr="00451FF5">
        <w:rPr>
          <w:rFonts w:cs="Times New Roman"/>
          <w:szCs w:val="22"/>
        </w:rPr>
        <w:t xml:space="preserve">of </w:t>
      </w:r>
      <w:r w:rsidRPr="00451FF5">
        <w:rPr>
          <w:rFonts w:eastAsia="Calibri" w:cs="Times New Roman"/>
          <w:szCs w:val="22"/>
        </w:rPr>
        <w:t>9.1 percent</w:t>
      </w:r>
      <w:r w:rsidRPr="00451FF5">
        <w:rPr>
          <w:rFonts w:cs="Times New Roman"/>
          <w:szCs w:val="22"/>
        </w:rPr>
        <w:t xml:space="preserve"> annually</w:t>
      </w:r>
      <w:r w:rsidR="00A62EF4">
        <w:rPr>
          <w:rFonts w:cs="Times New Roman"/>
          <w:szCs w:val="22"/>
        </w:rPr>
        <w:t xml:space="preserve"> to reach 3.74 </w:t>
      </w:r>
      <w:r w:rsidRPr="00451FF5">
        <w:rPr>
          <w:rFonts w:cs="Times New Roman"/>
          <w:szCs w:val="22"/>
        </w:rPr>
        <w:t>million tonnes</w:t>
      </w:r>
      <w:r w:rsidRPr="00451FF5">
        <w:rPr>
          <w:rFonts w:eastAsia="Calibri" w:cs="Times New Roman"/>
          <w:szCs w:val="22"/>
        </w:rPr>
        <w:t xml:space="preserve">, </w:t>
      </w:r>
      <w:r w:rsidRPr="00451FF5">
        <w:rPr>
          <w:rFonts w:cs="Times New Roman"/>
          <w:szCs w:val="22"/>
        </w:rPr>
        <w:t xml:space="preserve">again </w:t>
      </w:r>
      <w:r w:rsidRPr="00451FF5">
        <w:rPr>
          <w:rFonts w:eastAsia="Calibri" w:cs="Times New Roman"/>
          <w:szCs w:val="22"/>
        </w:rPr>
        <w:t xml:space="preserve">reflecting </w:t>
      </w:r>
      <w:r w:rsidR="000F6FB0">
        <w:rPr>
          <w:rFonts w:eastAsia="Calibri" w:cs="Times New Roman"/>
          <w:szCs w:val="22"/>
        </w:rPr>
        <w:t xml:space="preserve">an </w:t>
      </w:r>
      <w:r w:rsidRPr="00451FF5">
        <w:rPr>
          <w:rFonts w:cs="Times New Roman"/>
          <w:szCs w:val="22"/>
        </w:rPr>
        <w:t xml:space="preserve">expansion </w:t>
      </w:r>
      <w:r w:rsidRPr="00451FF5">
        <w:rPr>
          <w:rFonts w:eastAsia="Calibri" w:cs="Times New Roman"/>
          <w:szCs w:val="22"/>
        </w:rPr>
        <w:t>in China</w:t>
      </w:r>
      <w:r w:rsidRPr="00451FF5">
        <w:rPr>
          <w:rFonts w:cs="Times New Roman"/>
          <w:szCs w:val="22"/>
        </w:rPr>
        <w:t xml:space="preserve">, </w:t>
      </w:r>
      <w:r w:rsidRPr="00451FF5">
        <w:rPr>
          <w:rFonts w:eastAsia="Calibri" w:cs="Times New Roman"/>
          <w:szCs w:val="22"/>
        </w:rPr>
        <w:t xml:space="preserve">where green tea </w:t>
      </w:r>
      <w:r w:rsidRPr="00451FF5">
        <w:rPr>
          <w:rFonts w:cs="Times New Roman"/>
          <w:szCs w:val="22"/>
        </w:rPr>
        <w:t xml:space="preserve">output </w:t>
      </w:r>
      <w:r w:rsidRPr="00451FF5">
        <w:rPr>
          <w:rFonts w:eastAsia="Calibri" w:cs="Times New Roman"/>
          <w:szCs w:val="22"/>
        </w:rPr>
        <w:t xml:space="preserve">is expected to </w:t>
      </w:r>
      <w:r w:rsidRPr="00451FF5">
        <w:rPr>
          <w:rFonts w:cs="Times New Roman"/>
          <w:szCs w:val="22"/>
        </w:rPr>
        <w:t xml:space="preserve">more than double from 1.38 million tonnes in 2014 to </w:t>
      </w:r>
      <w:r w:rsidRPr="00451FF5">
        <w:rPr>
          <w:rFonts w:eastAsia="Calibri" w:cs="Times New Roman"/>
          <w:szCs w:val="22"/>
        </w:rPr>
        <w:t xml:space="preserve">3.22 million tonnes </w:t>
      </w:r>
      <w:r w:rsidRPr="00451FF5">
        <w:rPr>
          <w:rFonts w:cs="Times New Roman"/>
          <w:szCs w:val="22"/>
        </w:rPr>
        <w:t>in</w:t>
      </w:r>
      <w:r w:rsidRPr="00451FF5">
        <w:rPr>
          <w:rFonts w:eastAsia="Calibri" w:cs="Times New Roman"/>
          <w:szCs w:val="22"/>
        </w:rPr>
        <w:t xml:space="preserve"> 2024</w:t>
      </w:r>
      <w:r w:rsidR="00082DE1">
        <w:rPr>
          <w:rFonts w:eastAsia="Calibri" w:cs="Times New Roman"/>
          <w:szCs w:val="22"/>
        </w:rPr>
        <w:t xml:space="preserve"> (Annex Table 2)</w:t>
      </w:r>
      <w:r w:rsidRPr="00451FF5">
        <w:rPr>
          <w:rFonts w:cs="Times New Roman"/>
          <w:szCs w:val="22"/>
        </w:rPr>
        <w:t xml:space="preserve">. The expansion is expected </w:t>
      </w:r>
      <w:r w:rsidR="000F6FB0">
        <w:rPr>
          <w:rFonts w:cs="Times New Roman"/>
          <w:szCs w:val="22"/>
        </w:rPr>
        <w:t xml:space="preserve">to result </w:t>
      </w:r>
      <w:r w:rsidRPr="00451FF5">
        <w:rPr>
          <w:rFonts w:cs="Times New Roman"/>
          <w:szCs w:val="22"/>
        </w:rPr>
        <w:t xml:space="preserve">from </w:t>
      </w:r>
      <w:r w:rsidRPr="00451FF5">
        <w:rPr>
          <w:rFonts w:eastAsia="Calibri" w:cs="Times New Roman"/>
          <w:szCs w:val="22"/>
        </w:rPr>
        <w:t>increased productivity rather than an expansion in area, through replanting of higher yielding varieties and better agricultural practices.</w:t>
      </w:r>
    </w:p>
    <w:p w:rsidR="000907F2" w:rsidRPr="000907F2" w:rsidRDefault="000907F2" w:rsidP="000907F2">
      <w:pPr>
        <w:pStyle w:val="NewPara"/>
        <w:numPr>
          <w:ilvl w:val="0"/>
          <w:numId w:val="0"/>
        </w:numPr>
        <w:jc w:val="center"/>
        <w:rPr>
          <w:b/>
        </w:rPr>
      </w:pPr>
      <w:r w:rsidRPr="000907F2">
        <w:rPr>
          <w:b/>
        </w:rPr>
        <w:t>Figure 5 – Projected Production: Black Tea and Green Tea</w:t>
      </w:r>
    </w:p>
    <w:p w:rsidR="000907F2" w:rsidRPr="00451FF5" w:rsidRDefault="000907F2" w:rsidP="000907F2">
      <w:pPr>
        <w:pStyle w:val="NewPara"/>
        <w:numPr>
          <w:ilvl w:val="0"/>
          <w:numId w:val="0"/>
        </w:numPr>
      </w:pPr>
      <w:r w:rsidRPr="00451FF5">
        <w:rPr>
          <w:noProof/>
          <w:lang w:eastAsia="en-GB"/>
        </w:rPr>
        <w:drawing>
          <wp:inline distT="0" distB="0" distL="0" distR="0" wp14:anchorId="252D6B7F" wp14:editId="5A81B43D">
            <wp:extent cx="5621655" cy="3872230"/>
            <wp:effectExtent l="0" t="0" r="0" b="0"/>
            <wp:docPr id="15"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907F2" w:rsidRDefault="000907F2" w:rsidP="000907F2">
      <w:pPr>
        <w:pStyle w:val="NewPara"/>
        <w:numPr>
          <w:ilvl w:val="0"/>
          <w:numId w:val="0"/>
        </w:numPr>
        <w:rPr>
          <w:sz w:val="20"/>
          <w:szCs w:val="20"/>
        </w:rPr>
      </w:pPr>
      <w:r>
        <w:rPr>
          <w:sz w:val="20"/>
          <w:szCs w:val="20"/>
        </w:rPr>
        <w:t>Source: FAO IGG/Tea</w:t>
      </w:r>
      <w:r w:rsidRPr="000907F2">
        <w:rPr>
          <w:sz w:val="20"/>
          <w:szCs w:val="20"/>
        </w:rPr>
        <w:t xml:space="preserve"> Secretariat</w:t>
      </w:r>
      <w:r>
        <w:rPr>
          <w:sz w:val="20"/>
          <w:szCs w:val="20"/>
        </w:rPr>
        <w:t>.</w:t>
      </w:r>
    </w:p>
    <w:p w:rsidR="000907F2" w:rsidRDefault="000907F2" w:rsidP="000907F2">
      <w:pPr>
        <w:pStyle w:val="NewPara"/>
        <w:numPr>
          <w:ilvl w:val="0"/>
          <w:numId w:val="0"/>
        </w:numPr>
        <w:rPr>
          <w:sz w:val="20"/>
          <w:szCs w:val="20"/>
        </w:rPr>
      </w:pPr>
    </w:p>
    <w:p w:rsidR="000907F2" w:rsidRPr="000907F2" w:rsidRDefault="000907F2" w:rsidP="000907F2">
      <w:pPr>
        <w:pStyle w:val="NewPara"/>
        <w:numPr>
          <w:ilvl w:val="0"/>
          <w:numId w:val="0"/>
        </w:numPr>
        <w:rPr>
          <w:sz w:val="20"/>
          <w:szCs w:val="20"/>
        </w:rPr>
      </w:pPr>
    </w:p>
    <w:p w:rsidR="000907F2" w:rsidRPr="000907F2" w:rsidRDefault="000907F2" w:rsidP="000907F2">
      <w:pPr>
        <w:pStyle w:val="Heading2"/>
        <w:spacing w:before="0" w:after="200"/>
        <w:ind w:hanging="709"/>
      </w:pPr>
      <w:r w:rsidRPr="000907F2">
        <w:lastRenderedPageBreak/>
        <w:t>PROJECTED CONSUMPTION</w:t>
      </w:r>
    </w:p>
    <w:p w:rsidR="00645246" w:rsidRPr="00645246" w:rsidRDefault="000907F2" w:rsidP="00645246">
      <w:pPr>
        <w:pStyle w:val="NewPara"/>
      </w:pPr>
      <w:r w:rsidRPr="00451FF5">
        <w:rPr>
          <w:rFonts w:cs="Times New Roman"/>
          <w:szCs w:val="22"/>
        </w:rPr>
        <w:t>As for mid-term projections of tea consumption: for non-tea producing countries, net imports were used as a proxy for consumption; and for producing countries, actual domestic consumption</w:t>
      </w:r>
      <w:r w:rsidR="00F93408">
        <w:rPr>
          <w:rFonts w:cs="Times New Roman"/>
          <w:szCs w:val="22"/>
        </w:rPr>
        <w:t xml:space="preserve"> was used</w:t>
      </w:r>
      <w:r w:rsidRPr="00451FF5">
        <w:rPr>
          <w:rFonts w:cs="Times New Roman"/>
          <w:szCs w:val="22"/>
        </w:rPr>
        <w:t>. Data on green tea consumption were not complete and therefore, it was difficult to make any meaningful projections.</w:t>
      </w:r>
    </w:p>
    <w:p w:rsidR="00645246" w:rsidRPr="000907F2" w:rsidRDefault="000907F2" w:rsidP="00645246">
      <w:pPr>
        <w:pStyle w:val="NewPara"/>
      </w:pPr>
      <w:r w:rsidRPr="00451FF5">
        <w:rPr>
          <w:rFonts w:cs="Times New Roman"/>
          <w:szCs w:val="22"/>
        </w:rPr>
        <w:t xml:space="preserve">Black tea consumption is </w:t>
      </w:r>
      <w:r w:rsidR="00F93408">
        <w:rPr>
          <w:rFonts w:cs="Times New Roman"/>
          <w:szCs w:val="22"/>
        </w:rPr>
        <w:t xml:space="preserve">projected </w:t>
      </w:r>
      <w:r w:rsidRPr="00451FF5">
        <w:rPr>
          <w:rFonts w:cs="Times New Roman"/>
          <w:szCs w:val="22"/>
        </w:rPr>
        <w:t xml:space="preserve">to grow at 3.7 percent annually to reach 4.27 million tonnes in 2024 (Figure 6 and Annex Table 2), reflecting the strong growth in consumption in producing countries, which </w:t>
      </w:r>
      <w:r w:rsidR="00F93408">
        <w:rPr>
          <w:rFonts w:cs="Times New Roman"/>
          <w:szCs w:val="22"/>
        </w:rPr>
        <w:t xml:space="preserve">should </w:t>
      </w:r>
      <w:r w:rsidRPr="00451FF5">
        <w:rPr>
          <w:rFonts w:cs="Times New Roman"/>
          <w:szCs w:val="22"/>
        </w:rPr>
        <w:t xml:space="preserve">more than offset projected declines in traditional tea importing countries.  The largest expansion is expected in China where an annual growth of more than 15 percent is projected over the next 10 years, followed by 10 percent in Malawi, 7 percent in Morocco, and 6 percent in Kenya, Uganda and Zimbabwe. Moderate growth rates ranging </w:t>
      </w:r>
      <w:r w:rsidR="00A62EF4">
        <w:rPr>
          <w:rFonts w:cs="Times New Roman"/>
          <w:szCs w:val="22"/>
        </w:rPr>
        <w:t>between 3 and 5 </w:t>
      </w:r>
      <w:r w:rsidRPr="00451FF5">
        <w:rPr>
          <w:rFonts w:cs="Times New Roman"/>
          <w:szCs w:val="22"/>
        </w:rPr>
        <w:t>percent are expected in other tea producing countries such as Bangladesh (4.2 percent</w:t>
      </w:r>
      <w:r w:rsidR="00A62EF4">
        <w:rPr>
          <w:rFonts w:cs="Times New Roman"/>
          <w:szCs w:val="22"/>
        </w:rPr>
        <w:t>), India (3 </w:t>
      </w:r>
      <w:r w:rsidRPr="00451FF5">
        <w:rPr>
          <w:rFonts w:cs="Times New Roman"/>
          <w:szCs w:val="22"/>
        </w:rPr>
        <w:t>percent), Sri Lanka (4.6 percent), Tanza</w:t>
      </w:r>
      <w:r>
        <w:rPr>
          <w:rFonts w:cs="Times New Roman"/>
          <w:szCs w:val="22"/>
        </w:rPr>
        <w:t>nia (3.3 percent) and Vietnam (</w:t>
      </w:r>
      <w:r w:rsidRPr="00451FF5">
        <w:rPr>
          <w:rFonts w:cs="Times New Roman"/>
          <w:szCs w:val="22"/>
        </w:rPr>
        <w:t>4.8 percent)</w:t>
      </w:r>
      <w:r>
        <w:rPr>
          <w:rFonts w:cs="Times New Roman"/>
          <w:szCs w:val="22"/>
        </w:rPr>
        <w:t>.</w:t>
      </w:r>
    </w:p>
    <w:p w:rsidR="000907F2" w:rsidRPr="000907F2" w:rsidRDefault="000907F2" w:rsidP="00645246">
      <w:pPr>
        <w:pStyle w:val="NewPara"/>
      </w:pPr>
      <w:r w:rsidRPr="00451FF5">
        <w:rPr>
          <w:rFonts w:cs="Times New Roman"/>
          <w:szCs w:val="22"/>
        </w:rPr>
        <w:t xml:space="preserve">Major factors contributing to the expansion in consumption in tea producing countries are the growth in per capita income </w:t>
      </w:r>
      <w:r w:rsidR="00F93408">
        <w:rPr>
          <w:rFonts w:cs="Times New Roman"/>
          <w:szCs w:val="22"/>
        </w:rPr>
        <w:t xml:space="preserve">and </w:t>
      </w:r>
      <w:r w:rsidRPr="00451FF5">
        <w:rPr>
          <w:rFonts w:cs="Times New Roman"/>
          <w:szCs w:val="22"/>
        </w:rPr>
        <w:t xml:space="preserve">the </w:t>
      </w:r>
      <w:r w:rsidR="00F93408">
        <w:rPr>
          <w:rFonts w:cs="Times New Roman"/>
          <w:szCs w:val="22"/>
        </w:rPr>
        <w:t xml:space="preserve">increased </w:t>
      </w:r>
      <w:r w:rsidRPr="00451FF5">
        <w:rPr>
          <w:rFonts w:cs="Times New Roman"/>
          <w:szCs w:val="22"/>
        </w:rPr>
        <w:t xml:space="preserve">awareness of the health benefits of black tea consumption which was initiated by the </w:t>
      </w:r>
      <w:r w:rsidR="00A62EF4">
        <w:rPr>
          <w:rFonts w:cs="Times New Roman"/>
          <w:szCs w:val="22"/>
        </w:rPr>
        <w:t>IGG/Tea</w:t>
      </w:r>
      <w:r w:rsidRPr="00451FF5">
        <w:rPr>
          <w:rFonts w:cs="Times New Roman"/>
          <w:szCs w:val="22"/>
        </w:rPr>
        <w:t xml:space="preserve"> in stimulating research and promotion of the health benefits of black tea consumption under the Common Fund for Commodities (CFC) funded pro</w:t>
      </w:r>
      <w:r w:rsidR="00F93408">
        <w:rPr>
          <w:rFonts w:cs="Times New Roman"/>
          <w:szCs w:val="22"/>
        </w:rPr>
        <w:t xml:space="preserve">gramme in the early 1990s. The rapid </w:t>
      </w:r>
      <w:r w:rsidRPr="00451FF5">
        <w:rPr>
          <w:rFonts w:cs="Times New Roman"/>
          <w:szCs w:val="22"/>
        </w:rPr>
        <w:t>growth of black tea consumption in China is due to the popularity of brick teas</w:t>
      </w:r>
      <w:r w:rsidR="00E1379E">
        <w:rPr>
          <w:rFonts w:cs="Times New Roman"/>
          <w:szCs w:val="22"/>
        </w:rPr>
        <w:t>,</w:t>
      </w:r>
      <w:r w:rsidRPr="00451FF5">
        <w:rPr>
          <w:rFonts w:cs="Times New Roman"/>
          <w:szCs w:val="22"/>
        </w:rPr>
        <w:t xml:space="preserve"> such as </w:t>
      </w:r>
      <w:proofErr w:type="spellStart"/>
      <w:r w:rsidRPr="00E1379E">
        <w:rPr>
          <w:rFonts w:cs="Times New Roman"/>
          <w:i/>
          <w:szCs w:val="22"/>
        </w:rPr>
        <w:t>Pu’er</w:t>
      </w:r>
      <w:proofErr w:type="spellEnd"/>
      <w:r w:rsidR="00E1379E">
        <w:rPr>
          <w:rFonts w:cs="Times New Roman"/>
          <w:szCs w:val="22"/>
        </w:rPr>
        <w:t>,</w:t>
      </w:r>
      <w:r w:rsidRPr="00451FF5">
        <w:rPr>
          <w:rFonts w:cs="Times New Roman"/>
          <w:szCs w:val="22"/>
        </w:rPr>
        <w:t xml:space="preserve"> which are heavily promoted for their health benefits.</w:t>
      </w:r>
    </w:p>
    <w:p w:rsidR="000907F2" w:rsidRPr="000907F2" w:rsidRDefault="000907F2" w:rsidP="000907F2">
      <w:pPr>
        <w:pStyle w:val="NewPara"/>
        <w:numPr>
          <w:ilvl w:val="0"/>
          <w:numId w:val="0"/>
        </w:numPr>
        <w:jc w:val="center"/>
        <w:rPr>
          <w:b/>
        </w:rPr>
      </w:pPr>
      <w:r w:rsidRPr="000907F2">
        <w:rPr>
          <w:b/>
        </w:rPr>
        <w:t>Figure 6 – Projected Consumption:  Black Tea</w:t>
      </w:r>
    </w:p>
    <w:p w:rsidR="000907F2" w:rsidRPr="00451FF5" w:rsidRDefault="000907F2" w:rsidP="000907F2">
      <w:pPr>
        <w:pStyle w:val="NewPara"/>
        <w:numPr>
          <w:ilvl w:val="0"/>
          <w:numId w:val="0"/>
        </w:numPr>
      </w:pPr>
      <w:r w:rsidRPr="00451FF5">
        <w:rPr>
          <w:noProof/>
          <w:lang w:eastAsia="en-GB"/>
        </w:rPr>
        <w:drawing>
          <wp:inline distT="0" distB="0" distL="0" distR="0" wp14:anchorId="0F9701C6" wp14:editId="2F2BBD9B">
            <wp:extent cx="5760085" cy="3581400"/>
            <wp:effectExtent l="0" t="0" r="12065" b="0"/>
            <wp:docPr id="18"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907F2" w:rsidRPr="000907F2" w:rsidRDefault="000907F2" w:rsidP="000907F2">
      <w:pPr>
        <w:pStyle w:val="NewPara"/>
        <w:numPr>
          <w:ilvl w:val="0"/>
          <w:numId w:val="0"/>
        </w:numPr>
        <w:rPr>
          <w:sz w:val="20"/>
          <w:szCs w:val="20"/>
        </w:rPr>
      </w:pPr>
      <w:r w:rsidRPr="000907F2">
        <w:rPr>
          <w:sz w:val="20"/>
          <w:szCs w:val="20"/>
        </w:rPr>
        <w:t>Source: FAO IGG/Tea Secretariat</w:t>
      </w:r>
      <w:r w:rsidR="00F93408">
        <w:rPr>
          <w:sz w:val="20"/>
          <w:szCs w:val="20"/>
        </w:rPr>
        <w:t>.</w:t>
      </w:r>
    </w:p>
    <w:p w:rsidR="000907F2" w:rsidRDefault="000907F2">
      <w:pPr>
        <w:spacing w:line="276" w:lineRule="auto"/>
      </w:pPr>
      <w:r>
        <w:br w:type="page"/>
      </w:r>
    </w:p>
    <w:p w:rsidR="000907F2" w:rsidRPr="000907F2" w:rsidRDefault="000907F2" w:rsidP="000907F2">
      <w:pPr>
        <w:pStyle w:val="Heading2"/>
        <w:spacing w:before="0" w:after="200"/>
        <w:ind w:hanging="709"/>
      </w:pPr>
      <w:r w:rsidRPr="000907F2">
        <w:lastRenderedPageBreak/>
        <w:t xml:space="preserve">PROJECTED </w:t>
      </w:r>
      <w:r w:rsidR="00F93408">
        <w:t>EXPORTS</w:t>
      </w:r>
    </w:p>
    <w:p w:rsidR="000907F2" w:rsidRPr="00645246" w:rsidRDefault="00F93408" w:rsidP="000907F2">
      <w:pPr>
        <w:pStyle w:val="NewPara"/>
      </w:pPr>
      <w:r>
        <w:rPr>
          <w:rFonts w:cs="Times New Roman"/>
          <w:szCs w:val="22"/>
        </w:rPr>
        <w:t>B</w:t>
      </w:r>
      <w:r w:rsidR="000907F2" w:rsidRPr="00451FF5">
        <w:rPr>
          <w:rFonts w:cs="Times New Roman"/>
          <w:szCs w:val="22"/>
        </w:rPr>
        <w:t>lack tea exports are projected to reach 1.70 million tonnes in 2024 (Figure 7 and Annex Table 3), with similar growth rates projected for both Africa and Asia. However, by 2024, export volumes for Asia are projected to reach 837 991 tonnes compar</w:t>
      </w:r>
      <w:r w:rsidR="000907F2">
        <w:rPr>
          <w:rFonts w:cs="Times New Roman"/>
          <w:szCs w:val="22"/>
        </w:rPr>
        <w:t>ed to 767 381 tonnes for Africa</w:t>
      </w:r>
      <w:r w:rsidR="000907F2" w:rsidRPr="00451FF5">
        <w:rPr>
          <w:rFonts w:cs="Times New Roman"/>
          <w:szCs w:val="22"/>
        </w:rPr>
        <w:t>.</w:t>
      </w:r>
    </w:p>
    <w:p w:rsidR="000907F2" w:rsidRPr="000907F2" w:rsidRDefault="000907F2" w:rsidP="00645246">
      <w:pPr>
        <w:pStyle w:val="NewPara"/>
      </w:pPr>
      <w:r w:rsidRPr="00451FF5">
        <w:rPr>
          <w:rFonts w:cs="Times New Roman"/>
          <w:szCs w:val="22"/>
        </w:rPr>
        <w:t>Major exporting countries are expected to remain the same</w:t>
      </w:r>
      <w:r w:rsidR="00F93408">
        <w:rPr>
          <w:rFonts w:cs="Times New Roman"/>
          <w:szCs w:val="22"/>
        </w:rPr>
        <w:t>,</w:t>
      </w:r>
      <w:r w:rsidRPr="00451FF5">
        <w:rPr>
          <w:rFonts w:cs="Times New Roman"/>
          <w:szCs w:val="22"/>
        </w:rPr>
        <w:t xml:space="preserve"> with Kenya being the largest exporter followed by Sri Lanka, India, China, Vietnam, Indonesia, Malawi, Uganda and Tanzania.</w:t>
      </w:r>
    </w:p>
    <w:p w:rsidR="000907F2" w:rsidRPr="000907F2" w:rsidRDefault="000907F2" w:rsidP="00645246">
      <w:pPr>
        <w:pStyle w:val="NewPara"/>
      </w:pPr>
      <w:r w:rsidRPr="00451FF5">
        <w:rPr>
          <w:rFonts w:cs="Times New Roman"/>
          <w:szCs w:val="22"/>
        </w:rPr>
        <w:t>World green tea exports are projected to grow by 8.9 percent annually to reach 804 300 tonnes by 2024 (Figure 6). China is expected to continue to dominate</w:t>
      </w:r>
      <w:r w:rsidR="00F93408">
        <w:rPr>
          <w:rFonts w:cs="Times New Roman"/>
          <w:szCs w:val="22"/>
        </w:rPr>
        <w:t xml:space="preserve"> the export market,</w:t>
      </w:r>
      <w:r w:rsidRPr="00451FF5">
        <w:rPr>
          <w:rFonts w:cs="Times New Roman"/>
          <w:szCs w:val="22"/>
        </w:rPr>
        <w:t xml:space="preserve"> with an export volume of 481 508 tonnes, followed by Vietnam at a distant second with 284 912 tonnes, Indonesia with 19 370 tonnes, and Japan at 8 394 tonnes.</w:t>
      </w:r>
    </w:p>
    <w:p w:rsidR="000907F2" w:rsidRPr="000907F2" w:rsidRDefault="000907F2" w:rsidP="000907F2">
      <w:pPr>
        <w:pStyle w:val="NewPara"/>
        <w:numPr>
          <w:ilvl w:val="0"/>
          <w:numId w:val="0"/>
        </w:numPr>
        <w:jc w:val="center"/>
        <w:rPr>
          <w:b/>
        </w:rPr>
      </w:pPr>
      <w:r w:rsidRPr="000907F2">
        <w:rPr>
          <w:b/>
        </w:rPr>
        <w:t>Figure 7 – Projected Exports:  Black Tea and Green Tea</w:t>
      </w:r>
    </w:p>
    <w:p w:rsidR="000907F2" w:rsidRPr="00451FF5" w:rsidRDefault="000907F2" w:rsidP="000907F2">
      <w:pPr>
        <w:pStyle w:val="NewPara"/>
        <w:numPr>
          <w:ilvl w:val="0"/>
          <w:numId w:val="0"/>
        </w:numPr>
      </w:pPr>
      <w:r w:rsidRPr="00451FF5">
        <w:rPr>
          <w:noProof/>
          <w:lang w:eastAsia="en-GB"/>
        </w:rPr>
        <w:drawing>
          <wp:inline distT="0" distB="0" distL="0" distR="0" wp14:anchorId="33F6AC8F" wp14:editId="1946AD50">
            <wp:extent cx="5769610" cy="3552825"/>
            <wp:effectExtent l="0" t="0" r="2540" b="9525"/>
            <wp:docPr id="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907F2" w:rsidRPr="000907F2" w:rsidRDefault="000907F2" w:rsidP="000907F2">
      <w:pPr>
        <w:pStyle w:val="NewPara"/>
        <w:numPr>
          <w:ilvl w:val="0"/>
          <w:numId w:val="0"/>
        </w:numPr>
        <w:rPr>
          <w:b/>
          <w:sz w:val="20"/>
          <w:szCs w:val="20"/>
          <w:lang w:bidi="ar-EG"/>
        </w:rPr>
      </w:pPr>
      <w:r>
        <w:rPr>
          <w:sz w:val="20"/>
          <w:szCs w:val="20"/>
        </w:rPr>
        <w:t>Source: FAO IGG/Tea</w:t>
      </w:r>
      <w:r w:rsidRPr="000907F2">
        <w:rPr>
          <w:sz w:val="20"/>
          <w:szCs w:val="20"/>
        </w:rPr>
        <w:t xml:space="preserve"> Secretariat</w:t>
      </w:r>
      <w:r>
        <w:rPr>
          <w:sz w:val="20"/>
          <w:szCs w:val="20"/>
        </w:rPr>
        <w:t>.</w:t>
      </w:r>
    </w:p>
    <w:p w:rsidR="000907F2" w:rsidRPr="000907F2" w:rsidRDefault="000907F2" w:rsidP="000907F2">
      <w:pPr>
        <w:pStyle w:val="Heading1"/>
        <w:spacing w:after="200"/>
        <w:ind w:left="1" w:firstLine="0"/>
      </w:pPr>
      <w:r w:rsidRPr="000907F2">
        <w:t>CONCLUDING REMARKS</w:t>
      </w:r>
    </w:p>
    <w:p w:rsidR="000907F2" w:rsidRPr="000907F2" w:rsidRDefault="000907F2" w:rsidP="00645246">
      <w:pPr>
        <w:pStyle w:val="NewPara"/>
      </w:pPr>
      <w:r w:rsidRPr="00451FF5">
        <w:rPr>
          <w:rFonts w:cs="Times New Roman"/>
          <w:szCs w:val="22"/>
        </w:rPr>
        <w:t>Robust demand and associated high prices stimulated substantial supply increases over the past decade, resulting in significant growth in domestic consumption and trade. Export earnings at the global level more than doubled over the 10 years, from USD 2.58 billion in 2005 to USD 5.61 billion in 2014, contributing to improved rural incomes and household food security in tea producing countries.</w:t>
      </w:r>
    </w:p>
    <w:p w:rsidR="000907F2" w:rsidRPr="000907F2" w:rsidRDefault="000907F2" w:rsidP="00645246">
      <w:pPr>
        <w:pStyle w:val="NewPara"/>
      </w:pPr>
      <w:r w:rsidRPr="00451FF5">
        <w:rPr>
          <w:rFonts w:cs="Times New Roman"/>
          <w:szCs w:val="22"/>
        </w:rPr>
        <w:t xml:space="preserve">The review of the world tea market indicates a 2.4 percent decrease in trade volumes </w:t>
      </w:r>
      <w:r w:rsidR="00F93408">
        <w:rPr>
          <w:rFonts w:cs="Times New Roman"/>
          <w:szCs w:val="22"/>
        </w:rPr>
        <w:t xml:space="preserve">in 2014, </w:t>
      </w:r>
      <w:r w:rsidRPr="00451FF5">
        <w:rPr>
          <w:rFonts w:cs="Times New Roman"/>
          <w:szCs w:val="22"/>
        </w:rPr>
        <w:t xml:space="preserve">resulting in an estimated 4.4 percent decline in export earnings to USD 5.61 billion at the global level. However, the </w:t>
      </w:r>
      <w:r w:rsidR="00F93408">
        <w:rPr>
          <w:rFonts w:cs="Times New Roman"/>
          <w:szCs w:val="22"/>
        </w:rPr>
        <w:t xml:space="preserve">export </w:t>
      </w:r>
      <w:r w:rsidRPr="00451FF5">
        <w:rPr>
          <w:rFonts w:cs="Times New Roman"/>
          <w:szCs w:val="22"/>
        </w:rPr>
        <w:t>revenue</w:t>
      </w:r>
      <w:r w:rsidR="00F93408">
        <w:rPr>
          <w:rFonts w:cs="Times New Roman"/>
          <w:szCs w:val="22"/>
        </w:rPr>
        <w:t>s</w:t>
      </w:r>
      <w:r w:rsidRPr="00451FF5">
        <w:rPr>
          <w:rFonts w:cs="Times New Roman"/>
          <w:szCs w:val="22"/>
        </w:rPr>
        <w:t xml:space="preserve"> contributed significantly to financing </w:t>
      </w:r>
      <w:r w:rsidR="00F93408">
        <w:rPr>
          <w:rFonts w:cs="Times New Roman"/>
          <w:szCs w:val="22"/>
        </w:rPr>
        <w:t xml:space="preserve">the </w:t>
      </w:r>
      <w:r w:rsidRPr="00451FF5">
        <w:rPr>
          <w:rFonts w:cs="Times New Roman"/>
          <w:szCs w:val="22"/>
        </w:rPr>
        <w:t xml:space="preserve">food import bills of tea exporting countries. For example, in Kenya and Sri Lanka export earnings of USD 1.15 billion and USD 1.63 billion, respectively, financed more than 60 percent of Kenya’s and 63.8 percent of Sri </w:t>
      </w:r>
      <w:r w:rsidRPr="00451FF5">
        <w:rPr>
          <w:rFonts w:cs="Times New Roman"/>
          <w:szCs w:val="22"/>
        </w:rPr>
        <w:lastRenderedPageBreak/>
        <w:t>Lanka’s food import bills in 2014. Although foreign exchange earnings from tea were relatively less for other producing countries, they remained significant.</w:t>
      </w:r>
    </w:p>
    <w:p w:rsidR="000907F2" w:rsidRPr="000907F2" w:rsidRDefault="000907F2" w:rsidP="00645246">
      <w:pPr>
        <w:pStyle w:val="NewPara"/>
      </w:pPr>
      <w:r w:rsidRPr="00451FF5">
        <w:rPr>
          <w:rFonts w:cs="Times New Roman"/>
          <w:szCs w:val="22"/>
        </w:rPr>
        <w:t>In terms of price developments, the average FAO Composite Price remained firm over the last decade until 2014 when there was a 5.3 percent decline, mainly due to the weakening of CTC tea prices. Prices recovered in 2015, reflecting the recovery in CTC prices offsetting t</w:t>
      </w:r>
      <w:r>
        <w:rPr>
          <w:rFonts w:cs="Times New Roman"/>
          <w:szCs w:val="22"/>
        </w:rPr>
        <w:t xml:space="preserve">he decline in orthodox teas as </w:t>
      </w:r>
      <w:r w:rsidRPr="00451FF5">
        <w:rPr>
          <w:rFonts w:cs="Times New Roman"/>
          <w:szCs w:val="22"/>
        </w:rPr>
        <w:t>imports from the Russian Federation and the Near East fell due to weakened economic growth rates associated with lower world oil prices.</w:t>
      </w:r>
    </w:p>
    <w:p w:rsidR="000907F2" w:rsidRPr="000907F2" w:rsidRDefault="000907F2" w:rsidP="00645246">
      <w:pPr>
        <w:pStyle w:val="NewPara"/>
      </w:pPr>
      <w:r w:rsidRPr="00451FF5">
        <w:rPr>
          <w:rFonts w:cs="Times New Roman"/>
          <w:szCs w:val="22"/>
        </w:rPr>
        <w:t>In the medium term, the projections suggest that supply and demand of black tea will be in equilibrium in 2024 at a price of USD 2.83 per kg. This continues the upward trend established over the last decade, from an annual average of USD 1.64 per kg in 2005 to USD 2.65 per kg in 2014, with monthly peaks of USD 3.18 per kg and USD 3.00 per kg reached in September 2009 and December 2012, respectively. Although the projections indicate an increase in nominal terms, in real terms, prices would actually decline by an annual average of 1 percent over the next decade (Figure 8).</w:t>
      </w:r>
    </w:p>
    <w:p w:rsidR="000907F2" w:rsidRPr="00F33270" w:rsidRDefault="000907F2" w:rsidP="00F33270">
      <w:pPr>
        <w:pStyle w:val="NewPara"/>
        <w:numPr>
          <w:ilvl w:val="0"/>
          <w:numId w:val="0"/>
        </w:numPr>
        <w:jc w:val="center"/>
        <w:rPr>
          <w:b/>
        </w:rPr>
      </w:pPr>
      <w:r w:rsidRPr="00F33270">
        <w:rPr>
          <w:b/>
        </w:rPr>
        <w:t>Figure 8 - Baseline projections to 2024 (USD per kg)</w:t>
      </w:r>
    </w:p>
    <w:p w:rsidR="000907F2" w:rsidRPr="00451FF5" w:rsidRDefault="000907F2" w:rsidP="000907F2">
      <w:pPr>
        <w:pStyle w:val="NewPara"/>
        <w:numPr>
          <w:ilvl w:val="0"/>
          <w:numId w:val="0"/>
        </w:numPr>
      </w:pPr>
      <w:r w:rsidRPr="00451FF5">
        <w:rPr>
          <w:noProof/>
          <w:lang w:eastAsia="en-GB"/>
        </w:rPr>
        <w:drawing>
          <wp:inline distT="0" distB="0" distL="0" distR="0" wp14:anchorId="4FB0D66C" wp14:editId="4E1EBC48">
            <wp:extent cx="5925312" cy="3218688"/>
            <wp:effectExtent l="0" t="0" r="18415" b="2032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907F2" w:rsidRPr="00F33270" w:rsidRDefault="000907F2" w:rsidP="000907F2">
      <w:pPr>
        <w:pStyle w:val="NewPara"/>
        <w:numPr>
          <w:ilvl w:val="0"/>
          <w:numId w:val="0"/>
        </w:numPr>
        <w:rPr>
          <w:sz w:val="20"/>
          <w:szCs w:val="20"/>
        </w:rPr>
      </w:pPr>
      <w:r w:rsidRPr="00F33270">
        <w:rPr>
          <w:sz w:val="20"/>
          <w:szCs w:val="20"/>
        </w:rPr>
        <w:t>Source: FAO IGG/T</w:t>
      </w:r>
      <w:r w:rsidR="00F33270" w:rsidRPr="00F33270">
        <w:rPr>
          <w:sz w:val="20"/>
          <w:szCs w:val="20"/>
        </w:rPr>
        <w:t>ea</w:t>
      </w:r>
      <w:r w:rsidRPr="00F33270">
        <w:rPr>
          <w:sz w:val="20"/>
          <w:szCs w:val="20"/>
        </w:rPr>
        <w:t xml:space="preserve"> Secretariat</w:t>
      </w:r>
      <w:r w:rsidR="00F33270" w:rsidRPr="00F33270">
        <w:rPr>
          <w:sz w:val="20"/>
          <w:szCs w:val="20"/>
        </w:rPr>
        <w:t>.</w:t>
      </w:r>
    </w:p>
    <w:p w:rsidR="00F33270" w:rsidRPr="00F33270" w:rsidRDefault="00F33270" w:rsidP="00F33270">
      <w:pPr>
        <w:pStyle w:val="NewPara"/>
      </w:pPr>
      <w:r w:rsidRPr="00451FF5">
        <w:rPr>
          <w:rFonts w:cs="Times New Roman"/>
          <w:szCs w:val="22"/>
        </w:rPr>
        <w:t>Price developments in 2014 indicate the delicate balance between supply and demand, and the need to maintain this to achieve sustainability. For example, assuming that output increases a further 5 percent, the impact on prices would be quite dramatic: a nearly 40 percent decline over the next 10 years reaching USD 1.78 per kg in 2024 (Figure 9).</w:t>
      </w:r>
    </w:p>
    <w:p w:rsidR="00F33270" w:rsidRDefault="00F33270">
      <w:pPr>
        <w:spacing w:line="276" w:lineRule="auto"/>
      </w:pPr>
      <w:r>
        <w:br w:type="page"/>
      </w:r>
    </w:p>
    <w:p w:rsidR="00F33270" w:rsidRPr="00F33270" w:rsidRDefault="00F33270" w:rsidP="00F93408">
      <w:pPr>
        <w:pStyle w:val="NewPara"/>
        <w:numPr>
          <w:ilvl w:val="0"/>
          <w:numId w:val="0"/>
        </w:numPr>
        <w:jc w:val="center"/>
        <w:rPr>
          <w:b/>
        </w:rPr>
      </w:pPr>
      <w:r w:rsidRPr="00F33270">
        <w:rPr>
          <w:b/>
        </w:rPr>
        <w:lastRenderedPageBreak/>
        <w:t xml:space="preserve">Figure 9 – </w:t>
      </w:r>
      <w:r w:rsidR="00F93408">
        <w:rPr>
          <w:b/>
        </w:rPr>
        <w:t>Effect on prices of a 5 percent production increase over the baseline</w:t>
      </w:r>
    </w:p>
    <w:p w:rsidR="00F33270" w:rsidRPr="00451FF5" w:rsidRDefault="00F33270" w:rsidP="00F93408">
      <w:pPr>
        <w:pStyle w:val="NewPara"/>
        <w:numPr>
          <w:ilvl w:val="0"/>
          <w:numId w:val="0"/>
        </w:numPr>
        <w:jc w:val="center"/>
      </w:pPr>
      <w:r w:rsidRPr="00451FF5">
        <w:rPr>
          <w:noProof/>
          <w:lang w:eastAsia="en-GB"/>
        </w:rPr>
        <w:drawing>
          <wp:inline distT="0" distB="0" distL="0" distR="0" wp14:anchorId="032196DE" wp14:editId="3AA56E8D">
            <wp:extent cx="5142585" cy="2933395"/>
            <wp:effectExtent l="0" t="0" r="20320" b="1968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33270" w:rsidRPr="00F33270" w:rsidRDefault="00F33270" w:rsidP="00F93408">
      <w:pPr>
        <w:pStyle w:val="NewPara"/>
        <w:numPr>
          <w:ilvl w:val="0"/>
          <w:numId w:val="0"/>
        </w:numPr>
        <w:ind w:firstLine="720"/>
        <w:rPr>
          <w:sz w:val="20"/>
          <w:szCs w:val="20"/>
        </w:rPr>
      </w:pPr>
      <w:r>
        <w:rPr>
          <w:sz w:val="20"/>
          <w:szCs w:val="20"/>
        </w:rPr>
        <w:t>Source: FAO IGG/Tea</w:t>
      </w:r>
      <w:r w:rsidRPr="00F33270">
        <w:rPr>
          <w:sz w:val="20"/>
          <w:szCs w:val="20"/>
        </w:rPr>
        <w:t xml:space="preserve"> Secretariat</w:t>
      </w:r>
      <w:r>
        <w:rPr>
          <w:sz w:val="20"/>
          <w:szCs w:val="20"/>
        </w:rPr>
        <w:t>.</w:t>
      </w:r>
    </w:p>
    <w:p w:rsidR="00F33270" w:rsidRDefault="00F33270" w:rsidP="00F33270">
      <w:pPr>
        <w:pStyle w:val="NewPara"/>
        <w:rPr>
          <w:rFonts w:cs="Times New Roman"/>
          <w:szCs w:val="22"/>
        </w:rPr>
      </w:pPr>
      <w:r w:rsidRPr="00F33270">
        <w:rPr>
          <w:rFonts w:cs="Times New Roman"/>
          <w:szCs w:val="22"/>
        </w:rPr>
        <w:t xml:space="preserve">On the contrary, if the reaction to the declining prices were to cut </w:t>
      </w:r>
      <w:r w:rsidR="00A62EF4">
        <w:rPr>
          <w:rFonts w:cs="Times New Roman"/>
          <w:szCs w:val="22"/>
        </w:rPr>
        <w:t>back on production, say by 5 </w:t>
      </w:r>
      <w:r w:rsidRPr="00F33270">
        <w:rPr>
          <w:rFonts w:cs="Times New Roman"/>
          <w:szCs w:val="22"/>
        </w:rPr>
        <w:t xml:space="preserve">percent less than the baseline, then prices could </w:t>
      </w:r>
      <w:r w:rsidR="00F93408">
        <w:rPr>
          <w:rFonts w:cs="Times New Roman"/>
          <w:szCs w:val="22"/>
        </w:rPr>
        <w:t xml:space="preserve">on average </w:t>
      </w:r>
      <w:r w:rsidRPr="00F33270">
        <w:rPr>
          <w:rFonts w:cs="Times New Roman"/>
          <w:szCs w:val="22"/>
        </w:rPr>
        <w:t>be 23 percent hig</w:t>
      </w:r>
      <w:r w:rsidR="00A62EF4">
        <w:rPr>
          <w:rFonts w:cs="Times New Roman"/>
          <w:szCs w:val="22"/>
        </w:rPr>
        <w:t>her for the decade</w:t>
      </w:r>
      <w:r w:rsidR="00F93408">
        <w:rPr>
          <w:rFonts w:cs="Times New Roman"/>
          <w:szCs w:val="22"/>
        </w:rPr>
        <w:t>,</w:t>
      </w:r>
      <w:r w:rsidR="00A62EF4">
        <w:rPr>
          <w:rFonts w:cs="Times New Roman"/>
          <w:szCs w:val="22"/>
        </w:rPr>
        <w:t xml:space="preserve"> reaching USD </w:t>
      </w:r>
      <w:r w:rsidRPr="00F33270">
        <w:rPr>
          <w:rFonts w:cs="Times New Roman"/>
          <w:szCs w:val="22"/>
        </w:rPr>
        <w:t>3.44 per kg in 2024 (Figure 10).</w:t>
      </w:r>
    </w:p>
    <w:p w:rsidR="00F33270" w:rsidRPr="00F33270" w:rsidRDefault="00F33270" w:rsidP="00F33270">
      <w:pPr>
        <w:pStyle w:val="NewPara"/>
        <w:numPr>
          <w:ilvl w:val="0"/>
          <w:numId w:val="0"/>
        </w:numPr>
        <w:jc w:val="center"/>
        <w:rPr>
          <w:b/>
        </w:rPr>
      </w:pPr>
      <w:r w:rsidRPr="00F33270">
        <w:rPr>
          <w:b/>
        </w:rPr>
        <w:t xml:space="preserve">Fig 10 – </w:t>
      </w:r>
      <w:r w:rsidR="00F93408">
        <w:rPr>
          <w:b/>
        </w:rPr>
        <w:t xml:space="preserve">Effect on prices of a 5 percent production decrease from </w:t>
      </w:r>
      <w:r w:rsidRPr="00F33270">
        <w:rPr>
          <w:b/>
        </w:rPr>
        <w:t>the baseline</w:t>
      </w:r>
    </w:p>
    <w:p w:rsidR="00F33270" w:rsidRPr="00451FF5" w:rsidRDefault="00F33270" w:rsidP="00F93408">
      <w:pPr>
        <w:pStyle w:val="NewPara"/>
        <w:numPr>
          <w:ilvl w:val="0"/>
          <w:numId w:val="0"/>
        </w:numPr>
        <w:jc w:val="center"/>
      </w:pPr>
      <w:r w:rsidRPr="00451FF5">
        <w:rPr>
          <w:noProof/>
          <w:lang w:eastAsia="en-GB"/>
        </w:rPr>
        <w:drawing>
          <wp:inline distT="0" distB="0" distL="0" distR="0" wp14:anchorId="020776B3" wp14:editId="73615CDC">
            <wp:extent cx="5215737" cy="2926080"/>
            <wp:effectExtent l="0" t="0" r="23495" b="266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3270" w:rsidRPr="004B710E" w:rsidRDefault="00F33270" w:rsidP="00F93408">
      <w:pPr>
        <w:pStyle w:val="NewPara"/>
        <w:numPr>
          <w:ilvl w:val="0"/>
          <w:numId w:val="0"/>
        </w:numPr>
        <w:ind w:firstLine="720"/>
        <w:rPr>
          <w:sz w:val="20"/>
          <w:szCs w:val="20"/>
        </w:rPr>
      </w:pPr>
      <w:r w:rsidRPr="004B710E">
        <w:rPr>
          <w:sz w:val="20"/>
          <w:szCs w:val="20"/>
        </w:rPr>
        <w:t>Source: FAO IGG/Tea Secretariat.</w:t>
      </w:r>
    </w:p>
    <w:p w:rsidR="00F33270" w:rsidRPr="00F33270" w:rsidRDefault="00F33270" w:rsidP="00F33270">
      <w:pPr>
        <w:pStyle w:val="NewPara"/>
        <w:rPr>
          <w:rFonts w:cs="Times New Roman"/>
          <w:szCs w:val="22"/>
        </w:rPr>
      </w:pPr>
      <w:r w:rsidRPr="00451FF5">
        <w:rPr>
          <w:rFonts w:cs="Times New Roman"/>
          <w:szCs w:val="22"/>
        </w:rPr>
        <w:t xml:space="preserve">Therefore, reiterating the advice and recommendations of the </w:t>
      </w:r>
      <w:r w:rsidR="00A62EF4">
        <w:rPr>
          <w:rFonts w:cs="Times New Roman"/>
          <w:szCs w:val="22"/>
        </w:rPr>
        <w:t>IGG/Tea</w:t>
      </w:r>
      <w:r w:rsidRPr="00451FF5">
        <w:rPr>
          <w:rFonts w:cs="Times New Roman"/>
          <w:szCs w:val="22"/>
        </w:rPr>
        <w:t xml:space="preserve"> over the last 15 years and the tireless work of its Working Groups, caution needs to be exercised by stakeholders in the world tea economy not to over react to periodic price hikes. Greater efforts should be directed at expanding demand.</w:t>
      </w:r>
    </w:p>
    <w:p w:rsidR="00F33270" w:rsidRPr="00F33270" w:rsidRDefault="00F33270" w:rsidP="00645246">
      <w:pPr>
        <w:pStyle w:val="NewPara"/>
      </w:pPr>
      <w:r w:rsidRPr="00451FF5">
        <w:rPr>
          <w:rFonts w:cs="Times New Roman"/>
          <w:szCs w:val="22"/>
        </w:rPr>
        <w:lastRenderedPageBreak/>
        <w:t>For example, there is scope for increasing per capita consumption in producing countries as they are relatively low compared to traditional import markets. Diversification into other segments of the market</w:t>
      </w:r>
      <w:r w:rsidR="00F93408">
        <w:rPr>
          <w:rFonts w:cs="Times New Roman"/>
          <w:szCs w:val="22"/>
        </w:rPr>
        <w:t>,</w:t>
      </w:r>
      <w:r w:rsidRPr="00451FF5">
        <w:rPr>
          <w:rFonts w:cs="Times New Roman"/>
          <w:szCs w:val="22"/>
        </w:rPr>
        <w:t xml:space="preserve"> such as organic and specialty </w:t>
      </w:r>
      <w:proofErr w:type="gramStart"/>
      <w:r w:rsidRPr="00451FF5">
        <w:rPr>
          <w:rFonts w:cs="Times New Roman"/>
          <w:szCs w:val="22"/>
        </w:rPr>
        <w:t>teas</w:t>
      </w:r>
      <w:r w:rsidR="00F93408">
        <w:rPr>
          <w:rFonts w:cs="Times New Roman"/>
          <w:szCs w:val="22"/>
        </w:rPr>
        <w:t>,</w:t>
      </w:r>
      <w:proofErr w:type="gramEnd"/>
      <w:r w:rsidRPr="00451FF5">
        <w:rPr>
          <w:rFonts w:cs="Times New Roman"/>
          <w:szCs w:val="22"/>
        </w:rPr>
        <w:t xml:space="preserve"> should also be encouraged and the health benefits of tea consumption should be used more extensively in promoting consumption in both producing and importing countries. However, in targeting potential growth markets, recognition of</w:t>
      </w:r>
      <w:r w:rsidR="00F93408">
        <w:rPr>
          <w:rFonts w:cs="Times New Roman"/>
          <w:szCs w:val="22"/>
        </w:rPr>
        <w:t>,</w:t>
      </w:r>
      <w:r w:rsidRPr="00451FF5">
        <w:rPr>
          <w:rFonts w:cs="Times New Roman"/>
          <w:szCs w:val="22"/>
        </w:rPr>
        <w:t xml:space="preserve"> and compliance with</w:t>
      </w:r>
      <w:r w:rsidR="00F93408">
        <w:rPr>
          <w:rFonts w:cs="Times New Roman"/>
          <w:szCs w:val="22"/>
        </w:rPr>
        <w:t>,</w:t>
      </w:r>
      <w:r w:rsidRPr="00451FF5">
        <w:rPr>
          <w:rFonts w:cs="Times New Roman"/>
          <w:szCs w:val="22"/>
        </w:rPr>
        <w:t xml:space="preserve"> food safety and quality standards is essential.</w:t>
      </w:r>
    </w:p>
    <w:p w:rsidR="00F33270" w:rsidRPr="00F33270" w:rsidRDefault="00F33270" w:rsidP="00645246">
      <w:pPr>
        <w:pStyle w:val="NewPara"/>
      </w:pPr>
      <w:r w:rsidRPr="00451FF5">
        <w:rPr>
          <w:rFonts w:cs="Times New Roman"/>
          <w:szCs w:val="22"/>
        </w:rPr>
        <w:t xml:space="preserve">Although the advice </w:t>
      </w:r>
      <w:r w:rsidR="00F93408">
        <w:rPr>
          <w:rFonts w:cs="Times New Roman"/>
          <w:szCs w:val="22"/>
        </w:rPr>
        <w:t xml:space="preserve">by </w:t>
      </w:r>
      <w:r w:rsidRPr="00451FF5">
        <w:rPr>
          <w:rFonts w:cs="Times New Roman"/>
          <w:szCs w:val="22"/>
        </w:rPr>
        <w:t xml:space="preserve">the </w:t>
      </w:r>
      <w:r w:rsidR="00A62EF4">
        <w:rPr>
          <w:rFonts w:cs="Times New Roman"/>
          <w:szCs w:val="22"/>
        </w:rPr>
        <w:t>IGG/Tea</w:t>
      </w:r>
      <w:r w:rsidRPr="00451FF5">
        <w:rPr>
          <w:rFonts w:cs="Times New Roman"/>
          <w:szCs w:val="22"/>
        </w:rPr>
        <w:t>, based on the analyses and recommendations of its Working Groups and the FAO Secretariat, may appear tedious, the effe</w:t>
      </w:r>
      <w:r w:rsidR="00A62EF4">
        <w:rPr>
          <w:rFonts w:cs="Times New Roman"/>
          <w:szCs w:val="22"/>
        </w:rPr>
        <w:t>ctiveness of its implementation</w:t>
      </w:r>
      <w:r w:rsidRPr="00451FF5">
        <w:rPr>
          <w:rFonts w:cs="Times New Roman"/>
          <w:szCs w:val="22"/>
        </w:rPr>
        <w:t xml:space="preserve"> has been significant. A review of the possible effects of the advice of the </w:t>
      </w:r>
      <w:r w:rsidR="00A62EF4">
        <w:rPr>
          <w:rFonts w:cs="Times New Roman"/>
          <w:szCs w:val="22"/>
        </w:rPr>
        <w:t>IGG/Tea</w:t>
      </w:r>
      <w:r w:rsidRPr="00451FF5">
        <w:rPr>
          <w:rFonts w:cs="Times New Roman"/>
          <w:szCs w:val="22"/>
        </w:rPr>
        <w:t xml:space="preserve"> on demand, diversification and accompanying compliance, indicates several noteworthy developments, including:</w:t>
      </w:r>
    </w:p>
    <w:p w:rsidR="00F33270" w:rsidRPr="00451FF5" w:rsidRDefault="00F33270" w:rsidP="00F33270">
      <w:pPr>
        <w:pStyle w:val="BoxBulletList"/>
      </w:pPr>
      <w:r w:rsidRPr="00451FF5">
        <w:t>Per capita consumption levels in tea producing countries have increased over the last decade. Although not significantly large in most cases, except for China and India, collectively their contribution has been significant;</w:t>
      </w:r>
    </w:p>
    <w:p w:rsidR="00F33270" w:rsidRPr="00451FF5" w:rsidRDefault="00F33270" w:rsidP="00F33270">
      <w:pPr>
        <w:pStyle w:val="BoxBulletList"/>
      </w:pPr>
      <w:r w:rsidRPr="00451FF5">
        <w:t>The impact at the global level was particularly significant for China, with an annual per capita growth rate in tea consumption over the last decade of 9.9 percent</w:t>
      </w:r>
      <w:r w:rsidR="00F93408">
        <w:t>,</w:t>
      </w:r>
      <w:r w:rsidRPr="00451FF5">
        <w:t xml:space="preserve"> and India </w:t>
      </w:r>
      <w:r w:rsidR="00F93408">
        <w:t xml:space="preserve">with an annual growth rate of </w:t>
      </w:r>
      <w:r w:rsidRPr="00451FF5">
        <w:t>2.1 percent, because combined, they accounted for more than 36 percent of the world’s population</w:t>
      </w:r>
      <w:r w:rsidR="00A62EF4">
        <w:t xml:space="preserve"> and 54 </w:t>
      </w:r>
      <w:r w:rsidRPr="00451FF5">
        <w:t>per</w:t>
      </w:r>
      <w:r w:rsidR="00A62EF4">
        <w:t>cent of tea consumption in 2014</w:t>
      </w:r>
      <w:r w:rsidRPr="00451FF5">
        <w:t>;</w:t>
      </w:r>
    </w:p>
    <w:p w:rsidR="00F33270" w:rsidRPr="00451FF5" w:rsidRDefault="00F33270" w:rsidP="00F33270">
      <w:pPr>
        <w:pStyle w:val="BoxBulletList"/>
      </w:pPr>
      <w:r w:rsidRPr="00451FF5">
        <w:t>Almost exclusively, market promotion in producing countries was based on the health benefits of tea consumption. Re</w:t>
      </w:r>
      <w:r w:rsidR="00F93408">
        <w:t xml:space="preserve">search into, and test marketing of </w:t>
      </w:r>
      <w:r w:rsidRPr="00451FF5">
        <w:t>the health benefits of black tea consumption was initiated globally by the IGG on Tea in 1995 through funding from the Common Fund for Commodities. Results of the scientific and market research into the health benefits of black tea consumption were provided to the IGG member countries for use in their market promotion programmes;</w:t>
      </w:r>
    </w:p>
    <w:p w:rsidR="00F33270" w:rsidRPr="00451FF5" w:rsidRDefault="00F33270" w:rsidP="00F33270">
      <w:pPr>
        <w:pStyle w:val="BoxBulletList"/>
      </w:pPr>
      <w:r w:rsidRPr="00451FF5">
        <w:t>Product diversification, targeting specific market segments</w:t>
      </w:r>
      <w:r w:rsidR="00F93408">
        <w:t>,</w:t>
      </w:r>
      <w:r w:rsidRPr="00451FF5">
        <w:t xml:space="preserve"> has developed strongly in several producing countries. Examples include organic tea in China and India, orthodox tea in Sri Lanka, and white, yellow, red and purple teas in several producing countries;</w:t>
      </w:r>
    </w:p>
    <w:p w:rsidR="00F33270" w:rsidRPr="00451FF5" w:rsidRDefault="00F33270" w:rsidP="00F33270">
      <w:pPr>
        <w:pStyle w:val="BoxBulletList"/>
      </w:pPr>
      <w:r w:rsidRPr="00451FF5">
        <w:t>Value addition such as retail packing has increased in several producing countries, moving away from bulk shipments; and</w:t>
      </w:r>
    </w:p>
    <w:p w:rsidR="00F33270" w:rsidRPr="00F33270" w:rsidRDefault="00F33270" w:rsidP="00F33270">
      <w:pPr>
        <w:pStyle w:val="BoxBulletList"/>
      </w:pPr>
      <w:r w:rsidRPr="00451FF5">
        <w:rPr>
          <w:rFonts w:cs="Times New Roman"/>
          <w:szCs w:val="22"/>
        </w:rPr>
        <w:t xml:space="preserve">Greater cohesion in the efforts of producing countries towards harmonizing market requirements (MRLs and quality) </w:t>
      </w:r>
      <w:r>
        <w:rPr>
          <w:rFonts w:cs="Times New Roman"/>
          <w:szCs w:val="22"/>
        </w:rPr>
        <w:t xml:space="preserve">and reducing </w:t>
      </w:r>
      <w:r w:rsidRPr="00451FF5">
        <w:rPr>
          <w:rFonts w:cs="Times New Roman"/>
          <w:szCs w:val="22"/>
        </w:rPr>
        <w:t>costs of compliance.</w:t>
      </w:r>
    </w:p>
    <w:p w:rsidR="00F33270" w:rsidRPr="00F33270" w:rsidRDefault="00F33270" w:rsidP="00F33270">
      <w:pPr>
        <w:pStyle w:val="BoxBulletList"/>
        <w:numPr>
          <w:ilvl w:val="0"/>
          <w:numId w:val="0"/>
        </w:numPr>
        <w:ind w:left="714"/>
      </w:pPr>
    </w:p>
    <w:p w:rsidR="00F33270" w:rsidRPr="004B710E" w:rsidRDefault="004B710E" w:rsidP="00645246">
      <w:pPr>
        <w:pStyle w:val="NewPara"/>
        <w:rPr>
          <w:szCs w:val="22"/>
        </w:rPr>
      </w:pPr>
      <w:r w:rsidRPr="004B710E">
        <w:rPr>
          <w:rFonts w:cs="Times New Roman"/>
          <w:szCs w:val="22"/>
        </w:rPr>
        <w:t xml:space="preserve">Other factors that </w:t>
      </w:r>
      <w:r w:rsidR="00F93408">
        <w:rPr>
          <w:rFonts w:cs="Times New Roman"/>
          <w:szCs w:val="22"/>
        </w:rPr>
        <w:t>c</w:t>
      </w:r>
      <w:r w:rsidRPr="004B710E">
        <w:rPr>
          <w:rFonts w:cs="Times New Roman"/>
          <w:szCs w:val="22"/>
        </w:rPr>
        <w:t xml:space="preserve">ould expand tea demand </w:t>
      </w:r>
      <w:r w:rsidR="00F93408">
        <w:rPr>
          <w:rFonts w:cs="Times New Roman"/>
          <w:szCs w:val="22"/>
        </w:rPr>
        <w:t xml:space="preserve">significantly </w:t>
      </w:r>
      <w:r w:rsidRPr="004B710E">
        <w:rPr>
          <w:rFonts w:cs="Times New Roman"/>
          <w:szCs w:val="22"/>
        </w:rPr>
        <w:t xml:space="preserve">over the next decade, but </w:t>
      </w:r>
      <w:r w:rsidR="00F93408">
        <w:rPr>
          <w:rFonts w:cs="Times New Roman"/>
          <w:szCs w:val="22"/>
        </w:rPr>
        <w:t xml:space="preserve">which have </w:t>
      </w:r>
      <w:r w:rsidRPr="004B710E">
        <w:rPr>
          <w:rFonts w:cs="Times New Roman"/>
          <w:szCs w:val="22"/>
        </w:rPr>
        <w:t xml:space="preserve">not been factored into the projections as data is not completely available, would be the innovative developments </w:t>
      </w:r>
      <w:r w:rsidR="00A62EF4">
        <w:rPr>
          <w:rFonts w:cs="Times New Roman"/>
          <w:szCs w:val="22"/>
        </w:rPr>
        <w:t>from non-</w:t>
      </w:r>
      <w:r w:rsidRPr="004B710E">
        <w:rPr>
          <w:rFonts w:cs="Times New Roman"/>
          <w:szCs w:val="22"/>
        </w:rPr>
        <w:t xml:space="preserve">traditional players in the retail and service sectors. These include </w:t>
      </w:r>
      <w:proofErr w:type="spellStart"/>
      <w:r w:rsidRPr="004B710E">
        <w:rPr>
          <w:rFonts w:cs="Times New Roman"/>
          <w:szCs w:val="22"/>
        </w:rPr>
        <w:t>Teavana</w:t>
      </w:r>
      <w:proofErr w:type="spellEnd"/>
      <w:r w:rsidRPr="004B710E">
        <w:rPr>
          <w:rFonts w:cs="Times New Roman"/>
          <w:szCs w:val="22"/>
        </w:rPr>
        <w:t>, a company specializing in selling teas and tea products which is owned by Starbucks since 31 December 2012</w:t>
      </w:r>
      <w:r w:rsidR="00F93408">
        <w:rPr>
          <w:rFonts w:cs="Times New Roman"/>
          <w:szCs w:val="22"/>
        </w:rPr>
        <w:t>,</w:t>
      </w:r>
      <w:r w:rsidRPr="004B710E">
        <w:rPr>
          <w:rFonts w:cs="Times New Roman"/>
          <w:szCs w:val="22"/>
        </w:rPr>
        <w:t xml:space="preserve"> and several large beverage companies</w:t>
      </w:r>
      <w:r w:rsidR="00F93408">
        <w:rPr>
          <w:rFonts w:cs="Times New Roman"/>
          <w:szCs w:val="22"/>
        </w:rPr>
        <w:t xml:space="preserve"> that </w:t>
      </w:r>
      <w:r w:rsidRPr="004B710E">
        <w:rPr>
          <w:rFonts w:cs="Times New Roman"/>
          <w:szCs w:val="22"/>
        </w:rPr>
        <w:t xml:space="preserve">have expanded </w:t>
      </w:r>
      <w:r w:rsidR="00F93408">
        <w:rPr>
          <w:rFonts w:cs="Times New Roman"/>
          <w:szCs w:val="22"/>
        </w:rPr>
        <w:t xml:space="preserve">the </w:t>
      </w:r>
      <w:r w:rsidRPr="004B710E">
        <w:rPr>
          <w:rFonts w:cs="Times New Roman"/>
          <w:szCs w:val="22"/>
        </w:rPr>
        <w:t xml:space="preserve">production and marketing of ready to drink (RTD) teas globally, such as Ito En, Coca Cola and </w:t>
      </w:r>
      <w:proofErr w:type="spellStart"/>
      <w:r w:rsidRPr="004B710E">
        <w:rPr>
          <w:rFonts w:cs="Times New Roman"/>
          <w:szCs w:val="22"/>
        </w:rPr>
        <w:t>AriZona</w:t>
      </w:r>
      <w:proofErr w:type="spellEnd"/>
      <w:r w:rsidRPr="004B710E">
        <w:rPr>
          <w:rFonts w:cs="Times New Roman"/>
          <w:szCs w:val="22"/>
        </w:rPr>
        <w:t xml:space="preserve">. </w:t>
      </w:r>
      <w:proofErr w:type="spellStart"/>
      <w:r w:rsidRPr="004B710E">
        <w:rPr>
          <w:rFonts w:cs="Times New Roman"/>
          <w:szCs w:val="22"/>
        </w:rPr>
        <w:t>Teavana</w:t>
      </w:r>
      <w:proofErr w:type="spellEnd"/>
      <w:r w:rsidRPr="004B710E">
        <w:rPr>
          <w:rFonts w:cs="Times New Roman"/>
          <w:szCs w:val="22"/>
        </w:rPr>
        <w:t xml:space="preserve"> currently has more than 400 stores in locations throughout North America and the Near East, and plans are to expand the franchise globally. In the meantime, teas and tea products are beginning to be sold through Starbucks outlets worldwide.</w:t>
      </w:r>
    </w:p>
    <w:p w:rsidR="004B710E" w:rsidRPr="00780502" w:rsidRDefault="004B710E" w:rsidP="004B710E">
      <w:pPr>
        <w:pStyle w:val="NewPara"/>
      </w:pPr>
      <w:r w:rsidRPr="00780502">
        <w:t>On the supply side, the tea plant (</w:t>
      </w:r>
      <w:r w:rsidRPr="00780502">
        <w:rPr>
          <w:i/>
        </w:rPr>
        <w:t xml:space="preserve">Camellia </w:t>
      </w:r>
      <w:proofErr w:type="spellStart"/>
      <w:r w:rsidRPr="00780502">
        <w:rPr>
          <w:i/>
        </w:rPr>
        <w:t>sinensis</w:t>
      </w:r>
      <w:proofErr w:type="spellEnd"/>
      <w:r w:rsidRPr="00780502">
        <w:t>) is highly sensitive to changes in growing conditions. Hence, commercial growing of tea is geographically limited to a few areas around the world, which are at risk under climate change. Therefore, an expected supply response to expanding demand may not be as easy as it has been in the past, given the possible constraint</w:t>
      </w:r>
      <w:r w:rsidR="00F93408">
        <w:t>s</w:t>
      </w:r>
      <w:r w:rsidRPr="00780502">
        <w:t xml:space="preserve"> to </w:t>
      </w:r>
      <w:r w:rsidR="00F93408">
        <w:t xml:space="preserve">the </w:t>
      </w:r>
      <w:r w:rsidRPr="00780502">
        <w:t>availability of suitable land.</w:t>
      </w:r>
    </w:p>
    <w:p w:rsidR="002F7BCB" w:rsidRDefault="004B710E" w:rsidP="00645246">
      <w:pPr>
        <w:pStyle w:val="NewPara"/>
        <w:rPr>
          <w:rFonts w:cs="Times New Roman"/>
          <w:szCs w:val="22"/>
        </w:rPr>
      </w:pPr>
      <w:r w:rsidRPr="00780502">
        <w:rPr>
          <w:rFonts w:cs="Times New Roman"/>
          <w:szCs w:val="22"/>
        </w:rPr>
        <w:t xml:space="preserve">Finally, the </w:t>
      </w:r>
      <w:r w:rsidR="00A62EF4">
        <w:rPr>
          <w:rFonts w:cs="Times New Roman"/>
          <w:szCs w:val="22"/>
        </w:rPr>
        <w:t>IGG/Tea</w:t>
      </w:r>
      <w:r w:rsidRPr="00780502">
        <w:rPr>
          <w:rFonts w:cs="Times New Roman"/>
          <w:szCs w:val="22"/>
        </w:rPr>
        <w:t xml:space="preserve"> has to consider future strategies and appropriate enabling policies to maintain the sustainable devel</w:t>
      </w:r>
      <w:r w:rsidR="00F93408">
        <w:rPr>
          <w:rFonts w:cs="Times New Roman"/>
          <w:szCs w:val="22"/>
        </w:rPr>
        <w:t>opment of the rapidly changing g</w:t>
      </w:r>
      <w:r w:rsidRPr="00780502">
        <w:rPr>
          <w:rFonts w:cs="Times New Roman"/>
          <w:szCs w:val="22"/>
        </w:rPr>
        <w:t xml:space="preserve">lobal </w:t>
      </w:r>
      <w:r w:rsidR="00F93408">
        <w:rPr>
          <w:rFonts w:cs="Times New Roman"/>
          <w:szCs w:val="22"/>
        </w:rPr>
        <w:t>t</w:t>
      </w:r>
      <w:r w:rsidRPr="00780502">
        <w:rPr>
          <w:rFonts w:cs="Times New Roman"/>
          <w:szCs w:val="22"/>
        </w:rPr>
        <w:t xml:space="preserve">ea </w:t>
      </w:r>
      <w:r w:rsidR="00F93408">
        <w:rPr>
          <w:rFonts w:cs="Times New Roman"/>
          <w:szCs w:val="22"/>
        </w:rPr>
        <w:t>e</w:t>
      </w:r>
      <w:r w:rsidRPr="00780502">
        <w:rPr>
          <w:rFonts w:cs="Times New Roman"/>
          <w:szCs w:val="22"/>
        </w:rPr>
        <w:t>conomy.</w:t>
      </w:r>
    </w:p>
    <w:p w:rsidR="002F7BCB" w:rsidRDefault="002F7BCB">
      <w:pPr>
        <w:spacing w:line="276" w:lineRule="auto"/>
        <w:rPr>
          <w:rFonts w:cs="Times New Roman"/>
          <w:szCs w:val="22"/>
        </w:rPr>
      </w:pPr>
      <w:r>
        <w:rPr>
          <w:rFonts w:cs="Times New Roman"/>
          <w:szCs w:val="22"/>
        </w:rPr>
        <w:br w:type="page"/>
      </w:r>
    </w:p>
    <w:p w:rsidR="002F7BCB" w:rsidRPr="000907F2" w:rsidRDefault="000B2AB9" w:rsidP="000B2AB9">
      <w:pPr>
        <w:pStyle w:val="Heading1"/>
        <w:numPr>
          <w:ilvl w:val="0"/>
          <w:numId w:val="0"/>
        </w:numPr>
        <w:spacing w:after="200"/>
        <w:ind w:left="1"/>
      </w:pPr>
      <w:r>
        <w:lastRenderedPageBreak/>
        <w:t>ANNEX TABLES</w:t>
      </w:r>
    </w:p>
    <w:tbl>
      <w:tblPr>
        <w:tblW w:w="9822" w:type="dxa"/>
        <w:tblLook w:val="04A0" w:firstRow="1" w:lastRow="0" w:firstColumn="1" w:lastColumn="0" w:noHBand="0" w:noVBand="1"/>
      </w:tblPr>
      <w:tblGrid>
        <w:gridCol w:w="3240"/>
        <w:gridCol w:w="1093"/>
        <w:gridCol w:w="1183"/>
        <w:gridCol w:w="1180"/>
        <w:gridCol w:w="1674"/>
        <w:gridCol w:w="1452"/>
      </w:tblGrid>
      <w:tr w:rsidR="00140F94" w:rsidRPr="0080588A" w:rsidTr="00A81F94">
        <w:trPr>
          <w:trHeight w:val="315"/>
        </w:trPr>
        <w:tc>
          <w:tcPr>
            <w:tcW w:w="5516" w:type="dxa"/>
            <w:gridSpan w:val="3"/>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bookmarkStart w:id="2" w:name="RANGE!A1:F40"/>
            <w:r>
              <w:rPr>
                <w:rFonts w:eastAsia="Times New Roman" w:cs="Times New Roman"/>
                <w:b/>
                <w:bCs/>
                <w:sz w:val="20"/>
                <w:szCs w:val="20"/>
                <w:lang w:val="en-US"/>
              </w:rPr>
              <w:t>Table 1.  Black  Tea</w:t>
            </w:r>
            <w:r w:rsidRPr="0080588A">
              <w:rPr>
                <w:rFonts w:eastAsia="Times New Roman" w:cs="Times New Roman"/>
                <w:b/>
                <w:bCs/>
                <w:sz w:val="20"/>
                <w:szCs w:val="20"/>
                <w:lang w:val="en-US"/>
              </w:rPr>
              <w:t>:  Actual  and  Projected  Production</w:t>
            </w:r>
            <w:bookmarkEnd w:id="2"/>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p>
        </w:tc>
        <w:tc>
          <w:tcPr>
            <w:tcW w:w="1452"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p>
        </w:tc>
      </w:tr>
      <w:tr w:rsidR="00140F94" w:rsidRPr="0080588A" w:rsidTr="00A81F94">
        <w:trPr>
          <w:trHeight w:val="315"/>
        </w:trPr>
        <w:tc>
          <w:tcPr>
            <w:tcW w:w="3240"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p>
        </w:tc>
        <w:tc>
          <w:tcPr>
            <w:tcW w:w="1452"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p>
        </w:tc>
      </w:tr>
      <w:tr w:rsidR="00140F94" w:rsidRPr="0080588A" w:rsidTr="00A81F94">
        <w:trPr>
          <w:trHeight w:val="495"/>
        </w:trPr>
        <w:tc>
          <w:tcPr>
            <w:tcW w:w="3240" w:type="dxa"/>
            <w:tcBorders>
              <w:top w:val="single" w:sz="4" w:space="0" w:color="auto"/>
              <w:left w:val="single" w:sz="4" w:space="0" w:color="auto"/>
              <w:bottom w:val="nil"/>
              <w:right w:val="single" w:sz="4" w:space="0" w:color="auto"/>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w:t>
            </w:r>
          </w:p>
        </w:tc>
        <w:tc>
          <w:tcPr>
            <w:tcW w:w="658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40F94" w:rsidRPr="0080588A" w:rsidRDefault="00140F94" w:rsidP="00A81F94">
            <w:pPr>
              <w:spacing w:after="0"/>
              <w:jc w:val="center"/>
              <w:rPr>
                <w:rFonts w:eastAsia="Times New Roman" w:cs="Times New Roman"/>
                <w:b/>
                <w:bCs/>
                <w:sz w:val="20"/>
                <w:szCs w:val="20"/>
                <w:lang w:val="en-US"/>
              </w:rPr>
            </w:pPr>
            <w:r w:rsidRPr="0080588A">
              <w:rPr>
                <w:rFonts w:eastAsia="Times New Roman" w:cs="Times New Roman"/>
                <w:b/>
                <w:bCs/>
                <w:sz w:val="20"/>
                <w:szCs w:val="20"/>
                <w:lang w:val="en-US"/>
              </w:rPr>
              <w:t>P R O D U C T I O N</w:t>
            </w:r>
          </w:p>
        </w:tc>
      </w:tr>
      <w:tr w:rsidR="00140F94" w:rsidRPr="0080588A" w:rsidTr="00A81F94">
        <w:trPr>
          <w:trHeight w:val="420"/>
        </w:trPr>
        <w:tc>
          <w:tcPr>
            <w:tcW w:w="3240" w:type="dxa"/>
            <w:tcBorders>
              <w:top w:val="nil"/>
              <w:left w:val="single" w:sz="4" w:space="0" w:color="auto"/>
              <w:bottom w:val="nil"/>
              <w:right w:val="single" w:sz="4" w:space="0" w:color="auto"/>
            </w:tcBorders>
            <w:shd w:val="clear" w:color="auto" w:fill="auto"/>
            <w:noWrap/>
            <w:vAlign w:val="bottom"/>
            <w:hideMark/>
          </w:tcPr>
          <w:p w:rsidR="00140F94" w:rsidRPr="0080588A" w:rsidRDefault="00140F94" w:rsidP="00A81F94">
            <w:pPr>
              <w:spacing w:after="0"/>
              <w:jc w:val="center"/>
              <w:rPr>
                <w:rFonts w:eastAsia="Times New Roman" w:cs="Times New Roman"/>
                <w:sz w:val="20"/>
                <w:szCs w:val="20"/>
                <w:lang w:val="en-US"/>
              </w:rPr>
            </w:pPr>
            <w:r w:rsidRPr="0080588A">
              <w:rPr>
                <w:rFonts w:eastAsia="Times New Roman" w:cs="Times New Roman"/>
                <w:sz w:val="20"/>
                <w:szCs w:val="20"/>
                <w:lang w:val="en-US"/>
              </w:rPr>
              <w:t xml:space="preserve">   Countries / Regions</w:t>
            </w:r>
          </w:p>
        </w:tc>
        <w:tc>
          <w:tcPr>
            <w:tcW w:w="22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40F94" w:rsidRPr="0080588A" w:rsidRDefault="00140F94" w:rsidP="00A81F94">
            <w:pPr>
              <w:spacing w:after="0"/>
              <w:jc w:val="center"/>
              <w:rPr>
                <w:rFonts w:eastAsia="Times New Roman" w:cs="Times New Roman"/>
                <w:b/>
                <w:bCs/>
                <w:sz w:val="20"/>
                <w:szCs w:val="20"/>
                <w:lang w:val="en-US"/>
              </w:rPr>
            </w:pPr>
            <w:r w:rsidRPr="0080588A">
              <w:rPr>
                <w:rFonts w:eastAsia="Times New Roman" w:cs="Times New Roman"/>
                <w:b/>
                <w:bCs/>
                <w:sz w:val="20"/>
                <w:szCs w:val="20"/>
                <w:lang w:val="en-US"/>
              </w:rPr>
              <w:t>Actual</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center"/>
              <w:rPr>
                <w:rFonts w:eastAsia="Times New Roman" w:cs="Times New Roman"/>
                <w:b/>
                <w:bCs/>
                <w:sz w:val="20"/>
                <w:szCs w:val="20"/>
                <w:lang w:val="en-US"/>
              </w:rPr>
            </w:pPr>
            <w:r w:rsidRPr="0080588A">
              <w:rPr>
                <w:rFonts w:eastAsia="Times New Roman" w:cs="Times New Roman"/>
                <w:b/>
                <w:bCs/>
                <w:sz w:val="20"/>
                <w:szCs w:val="20"/>
                <w:lang w:val="en-US"/>
              </w:rPr>
              <w:t>Projected</w:t>
            </w:r>
          </w:p>
        </w:tc>
        <w:tc>
          <w:tcPr>
            <w:tcW w:w="312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r>
              <w:rPr>
                <w:rFonts w:eastAsia="Times New Roman" w:cs="Times New Roman"/>
                <w:b/>
                <w:bCs/>
                <w:sz w:val="20"/>
                <w:szCs w:val="20"/>
                <w:lang w:val="en-US"/>
              </w:rPr>
              <w:t xml:space="preserve">          </w:t>
            </w:r>
            <w:r w:rsidRPr="0080588A">
              <w:rPr>
                <w:rFonts w:eastAsia="Times New Roman" w:cs="Times New Roman"/>
                <w:b/>
                <w:bCs/>
                <w:sz w:val="20"/>
                <w:szCs w:val="20"/>
                <w:lang w:val="en-US"/>
              </w:rPr>
              <w:t>Growth  Rates</w:t>
            </w:r>
          </w:p>
        </w:tc>
      </w:tr>
      <w:tr w:rsidR="00140F94" w:rsidRPr="0080588A" w:rsidTr="00A81F94">
        <w:trPr>
          <w:trHeight w:val="375"/>
        </w:trPr>
        <w:tc>
          <w:tcPr>
            <w:tcW w:w="3240" w:type="dxa"/>
            <w:tcBorders>
              <w:top w:val="nil"/>
              <w:left w:val="single" w:sz="4" w:space="0" w:color="auto"/>
              <w:bottom w:val="nil"/>
              <w:right w:val="single" w:sz="4" w:space="0" w:color="auto"/>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w:t>
            </w:r>
          </w:p>
        </w:tc>
        <w:tc>
          <w:tcPr>
            <w:tcW w:w="1093"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center"/>
              <w:rPr>
                <w:rFonts w:eastAsia="Times New Roman" w:cs="Times New Roman"/>
                <w:sz w:val="20"/>
                <w:szCs w:val="20"/>
                <w:lang w:val="en-US"/>
              </w:rPr>
            </w:pPr>
            <w:r w:rsidRPr="0080588A">
              <w:rPr>
                <w:rFonts w:eastAsia="Times New Roman" w:cs="Times New Roman"/>
                <w:sz w:val="20"/>
                <w:szCs w:val="20"/>
                <w:lang w:val="en-US"/>
              </w:rPr>
              <w:t>2002-04</w:t>
            </w:r>
          </w:p>
        </w:tc>
        <w:tc>
          <w:tcPr>
            <w:tcW w:w="1183"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center"/>
              <w:rPr>
                <w:rFonts w:eastAsia="Times New Roman" w:cs="Times New Roman"/>
                <w:sz w:val="20"/>
                <w:szCs w:val="20"/>
                <w:lang w:val="en-US"/>
              </w:rPr>
            </w:pPr>
            <w:r w:rsidRPr="0080588A">
              <w:rPr>
                <w:rFonts w:eastAsia="Times New Roman" w:cs="Times New Roman"/>
                <w:sz w:val="20"/>
                <w:szCs w:val="20"/>
                <w:lang w:val="en-US"/>
              </w:rPr>
              <w:t>2012-14</w:t>
            </w:r>
          </w:p>
        </w:tc>
        <w:tc>
          <w:tcPr>
            <w:tcW w:w="1180" w:type="dxa"/>
            <w:tcBorders>
              <w:top w:val="single" w:sz="4" w:space="0" w:color="auto"/>
              <w:left w:val="nil"/>
              <w:bottom w:val="single" w:sz="4" w:space="0" w:color="auto"/>
              <w:right w:val="nil"/>
            </w:tcBorders>
            <w:shd w:val="clear" w:color="auto" w:fill="auto"/>
            <w:noWrap/>
            <w:vAlign w:val="bottom"/>
            <w:hideMark/>
          </w:tcPr>
          <w:p w:rsidR="00140F94" w:rsidRPr="0080588A" w:rsidRDefault="00140F94" w:rsidP="00A81F94">
            <w:pPr>
              <w:spacing w:after="0"/>
              <w:jc w:val="center"/>
              <w:rPr>
                <w:rFonts w:eastAsia="Times New Roman" w:cs="Times New Roman"/>
                <w:sz w:val="20"/>
                <w:szCs w:val="20"/>
                <w:lang w:val="en-US"/>
              </w:rPr>
            </w:pPr>
            <w:r w:rsidRPr="0080588A">
              <w:rPr>
                <w:rFonts w:eastAsia="Times New Roman" w:cs="Times New Roman"/>
                <w:sz w:val="20"/>
                <w:szCs w:val="20"/>
                <w:lang w:val="en-US"/>
              </w:rPr>
              <w:t>2024</w:t>
            </w:r>
          </w:p>
        </w:tc>
        <w:tc>
          <w:tcPr>
            <w:tcW w:w="1674" w:type="dxa"/>
            <w:tcBorders>
              <w:top w:val="nil"/>
              <w:left w:val="single" w:sz="4" w:space="0" w:color="auto"/>
              <w:bottom w:val="single" w:sz="4" w:space="0" w:color="auto"/>
              <w:right w:val="single" w:sz="4" w:space="0" w:color="auto"/>
            </w:tcBorders>
            <w:shd w:val="clear" w:color="auto" w:fill="auto"/>
            <w:vAlign w:val="bottom"/>
            <w:hideMark/>
          </w:tcPr>
          <w:p w:rsidR="00140F94" w:rsidRPr="0080588A" w:rsidRDefault="00140F94" w:rsidP="00A81F94">
            <w:pPr>
              <w:spacing w:after="0"/>
              <w:jc w:val="center"/>
              <w:rPr>
                <w:rFonts w:eastAsia="Times New Roman" w:cs="Times New Roman"/>
                <w:color w:val="000000"/>
                <w:sz w:val="20"/>
                <w:szCs w:val="20"/>
                <w:lang w:val="en-US"/>
              </w:rPr>
            </w:pPr>
            <w:r w:rsidRPr="0080588A">
              <w:rPr>
                <w:rFonts w:eastAsia="Times New Roman" w:cs="Times New Roman"/>
                <w:color w:val="000000"/>
                <w:sz w:val="20"/>
                <w:szCs w:val="20"/>
                <w:lang w:val="en-US"/>
              </w:rPr>
              <w:t>2002-04/2012-14</w:t>
            </w:r>
          </w:p>
        </w:tc>
        <w:tc>
          <w:tcPr>
            <w:tcW w:w="1452" w:type="dxa"/>
            <w:tcBorders>
              <w:top w:val="nil"/>
              <w:left w:val="nil"/>
              <w:bottom w:val="single" w:sz="4" w:space="0" w:color="auto"/>
              <w:right w:val="single" w:sz="4" w:space="0" w:color="auto"/>
            </w:tcBorders>
            <w:shd w:val="clear" w:color="auto" w:fill="auto"/>
            <w:vAlign w:val="bottom"/>
            <w:hideMark/>
          </w:tcPr>
          <w:p w:rsidR="00140F94" w:rsidRPr="0080588A" w:rsidRDefault="00140F94" w:rsidP="00A81F94">
            <w:pPr>
              <w:spacing w:after="0"/>
              <w:jc w:val="center"/>
              <w:rPr>
                <w:rFonts w:eastAsia="Times New Roman" w:cs="Times New Roman"/>
                <w:color w:val="000000"/>
                <w:sz w:val="20"/>
                <w:szCs w:val="20"/>
                <w:lang w:val="en-US"/>
              </w:rPr>
            </w:pPr>
            <w:r w:rsidRPr="0080588A">
              <w:rPr>
                <w:rFonts w:eastAsia="Times New Roman" w:cs="Times New Roman"/>
                <w:color w:val="000000"/>
                <w:sz w:val="20"/>
                <w:szCs w:val="20"/>
                <w:lang w:val="en-US"/>
              </w:rPr>
              <w:t>2012-14/2024</w:t>
            </w:r>
          </w:p>
        </w:tc>
      </w:tr>
      <w:tr w:rsidR="00140F94" w:rsidRPr="0080588A" w:rsidTr="00A81F94">
        <w:trPr>
          <w:trHeight w:val="233"/>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w:t>
            </w:r>
          </w:p>
        </w:tc>
        <w:tc>
          <w:tcPr>
            <w:tcW w:w="34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40F94" w:rsidRPr="0080588A" w:rsidRDefault="00140F94" w:rsidP="00A81F94">
            <w:pPr>
              <w:spacing w:after="0"/>
              <w:jc w:val="center"/>
              <w:rPr>
                <w:rFonts w:eastAsia="Times New Roman" w:cs="Times New Roman"/>
                <w:sz w:val="20"/>
                <w:szCs w:val="20"/>
                <w:lang w:val="en-US"/>
              </w:rPr>
            </w:pPr>
            <w:r w:rsidRPr="0080588A">
              <w:rPr>
                <w:rFonts w:eastAsia="Times New Roman" w:cs="Times New Roman"/>
                <w:sz w:val="20"/>
                <w:szCs w:val="20"/>
                <w:lang w:val="en-US"/>
              </w:rPr>
              <w:t>Tons</w:t>
            </w:r>
          </w:p>
        </w:tc>
        <w:tc>
          <w:tcPr>
            <w:tcW w:w="312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40F94" w:rsidRPr="0080588A" w:rsidRDefault="00140F94" w:rsidP="00A81F94">
            <w:pPr>
              <w:spacing w:after="0"/>
              <w:jc w:val="center"/>
              <w:rPr>
                <w:rFonts w:eastAsia="Times New Roman" w:cs="Times New Roman"/>
                <w:sz w:val="20"/>
                <w:szCs w:val="20"/>
                <w:lang w:val="en-US"/>
              </w:rPr>
            </w:pPr>
            <w:r w:rsidRPr="0080588A">
              <w:rPr>
                <w:rFonts w:eastAsia="Times New Roman" w:cs="Times New Roman"/>
                <w:sz w:val="20"/>
                <w:szCs w:val="20"/>
                <w:lang w:val="en-US"/>
              </w:rPr>
              <w:t xml:space="preserve">         Percent per  year</w:t>
            </w:r>
          </w:p>
        </w:tc>
      </w:tr>
      <w:tr w:rsidR="00140F94" w:rsidRPr="0080588A" w:rsidTr="00A81F94">
        <w:trPr>
          <w:trHeight w:val="80"/>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r w:rsidRPr="0080588A">
              <w:rPr>
                <w:rFonts w:eastAsia="Times New Roman" w:cs="Times New Roman"/>
                <w:b/>
                <w:bCs/>
                <w:sz w:val="20"/>
                <w:szCs w:val="20"/>
                <w:lang w:val="en-US"/>
              </w:rPr>
              <w:t> </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center"/>
              <w:rPr>
                <w:rFonts w:eastAsia="Times New Roman" w:cs="Times New Roman"/>
                <w:sz w:val="20"/>
                <w:szCs w:val="20"/>
                <w:lang w:val="en-US"/>
              </w:rPr>
            </w:pP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center"/>
              <w:rPr>
                <w:rFonts w:eastAsia="Times New Roman" w:cs="Times New Roman"/>
                <w:sz w:val="20"/>
                <w:szCs w:val="20"/>
                <w:lang w:val="en-US"/>
              </w:rPr>
            </w:pPr>
            <w:r w:rsidRPr="0080588A">
              <w:rPr>
                <w:rFonts w:eastAsia="Times New Roman" w:cs="Times New Roman"/>
                <w:sz w:val="20"/>
                <w:szCs w:val="20"/>
                <w:lang w:val="en-US"/>
              </w:rPr>
              <w:t> </w:t>
            </w:r>
          </w:p>
        </w:tc>
      </w:tr>
      <w:tr w:rsidR="00140F94" w:rsidRPr="0080588A" w:rsidTr="00A81F94">
        <w:trPr>
          <w:trHeight w:val="345"/>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r w:rsidRPr="0080588A">
              <w:rPr>
                <w:rFonts w:eastAsia="Times New Roman" w:cs="Times New Roman"/>
                <w:b/>
                <w:bCs/>
                <w:sz w:val="20"/>
                <w:szCs w:val="20"/>
                <w:lang w:val="en-US"/>
              </w:rPr>
              <w:t>WORLD</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b/>
                <w:bCs/>
                <w:sz w:val="20"/>
                <w:szCs w:val="20"/>
                <w:lang w:val="en-US"/>
              </w:rPr>
            </w:pPr>
            <w:r w:rsidRPr="0080588A">
              <w:rPr>
                <w:rFonts w:eastAsia="Times New Roman" w:cs="Times New Roman"/>
                <w:b/>
                <w:bCs/>
                <w:sz w:val="20"/>
                <w:szCs w:val="20"/>
                <w:lang w:val="en-US"/>
              </w:rPr>
              <w:t>2324425</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b/>
                <w:bCs/>
                <w:sz w:val="20"/>
                <w:szCs w:val="20"/>
                <w:lang w:val="en-US"/>
              </w:rPr>
            </w:pPr>
            <w:r w:rsidRPr="0080588A">
              <w:rPr>
                <w:rFonts w:eastAsia="Times New Roman" w:cs="Times New Roman"/>
                <w:b/>
                <w:bCs/>
                <w:sz w:val="20"/>
                <w:szCs w:val="20"/>
                <w:lang w:val="en-US"/>
              </w:rPr>
              <w:t>3000764</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b/>
                <w:bCs/>
                <w:sz w:val="20"/>
                <w:szCs w:val="20"/>
                <w:lang w:val="en-US"/>
              </w:rPr>
            </w:pPr>
            <w:r w:rsidRPr="0080588A">
              <w:rPr>
                <w:rFonts w:eastAsia="Times New Roman" w:cs="Times New Roman"/>
                <w:b/>
                <w:bCs/>
                <w:sz w:val="20"/>
                <w:szCs w:val="20"/>
                <w:lang w:val="en-US"/>
              </w:rPr>
              <w:t>4294815</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b/>
                <w:bCs/>
                <w:color w:val="000000"/>
                <w:sz w:val="20"/>
                <w:szCs w:val="20"/>
                <w:lang w:val="en-US"/>
              </w:rPr>
            </w:pPr>
            <w:r w:rsidRPr="0080588A">
              <w:rPr>
                <w:rFonts w:eastAsia="Times New Roman" w:cs="Times New Roman"/>
                <w:b/>
                <w:bCs/>
                <w:color w:val="000000"/>
                <w:sz w:val="20"/>
                <w:szCs w:val="20"/>
                <w:lang w:val="en-US"/>
              </w:rPr>
              <w:t>2.6%</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b/>
                <w:bCs/>
                <w:color w:val="000000"/>
                <w:sz w:val="20"/>
                <w:szCs w:val="20"/>
                <w:lang w:val="en-US"/>
              </w:rPr>
            </w:pPr>
            <w:r w:rsidRPr="0080588A">
              <w:rPr>
                <w:rFonts w:eastAsia="Times New Roman" w:cs="Times New Roman"/>
                <w:b/>
                <w:bCs/>
                <w:color w:val="000000"/>
                <w:sz w:val="20"/>
                <w:szCs w:val="20"/>
                <w:lang w:val="en-US"/>
              </w:rPr>
              <w:t>3.7%</w:t>
            </w:r>
          </w:p>
        </w:tc>
      </w:tr>
      <w:tr w:rsidR="00140F94" w:rsidRPr="0080588A" w:rsidTr="00A81F94">
        <w:trPr>
          <w:trHeight w:val="241"/>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r w:rsidRPr="0080588A">
              <w:rPr>
                <w:rFonts w:eastAsia="Times New Roman" w:cs="Times New Roman"/>
                <w:b/>
                <w:bCs/>
                <w:sz w:val="20"/>
                <w:szCs w:val="20"/>
                <w:lang w:val="en-US"/>
              </w:rPr>
              <w:t xml:space="preserve"> Africa</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rPr>
                <w:rFonts w:eastAsia="Times New Roman" w:cs="Times New Roman"/>
                <w:color w:val="000000"/>
                <w:sz w:val="20"/>
                <w:szCs w:val="20"/>
                <w:lang w:val="en-US"/>
              </w:rPr>
            </w:pPr>
            <w:r w:rsidRPr="0080588A">
              <w:rPr>
                <w:rFonts w:eastAsia="Times New Roman" w:cs="Times New Roman"/>
                <w:color w:val="000000"/>
                <w:sz w:val="20"/>
                <w:szCs w:val="20"/>
                <w:lang w:val="en-US"/>
              </w:rPr>
              <w:t> </w:t>
            </w:r>
          </w:p>
        </w:tc>
      </w:tr>
      <w:tr w:rsidR="00140F94" w:rsidRPr="0080588A" w:rsidTr="00A81F94">
        <w:trPr>
          <w:trHeight w:val="145"/>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Kenya</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301794</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415707</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602969</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3.3%</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3.8%</w:t>
            </w:r>
          </w:p>
        </w:tc>
      </w:tr>
      <w:tr w:rsidR="00140F94" w:rsidRPr="0080588A" w:rsidTr="00A81F94">
        <w:trPr>
          <w:trHeight w:val="206"/>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Malawi</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43656</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44936</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47585</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0.3%</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0.6%</w:t>
            </w:r>
          </w:p>
        </w:tc>
      </w:tr>
      <w:tr w:rsidR="00140F94" w:rsidRPr="0080588A" w:rsidTr="00A81F94">
        <w:trPr>
          <w:trHeight w:val="109"/>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Zimbabwe</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21080</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8500</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11442</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-8.7%</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3.0%</w:t>
            </w:r>
          </w:p>
        </w:tc>
      </w:tr>
      <w:tr w:rsidR="00140F94" w:rsidRPr="0080588A" w:rsidTr="00A81F94">
        <w:trPr>
          <w:trHeight w:val="169"/>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Rwanda</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14870</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24884</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44692</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5.3%</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6.0%</w:t>
            </w:r>
          </w:p>
        </w:tc>
      </w:tr>
      <w:tr w:rsidR="00140F94" w:rsidRPr="0080588A" w:rsidTr="00A81F94">
        <w:trPr>
          <w:trHeight w:val="87"/>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South Africa</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7769</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2104</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5089</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-12.2%</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9.2%</w:t>
            </w:r>
          </w:p>
        </w:tc>
      </w:tr>
      <w:tr w:rsidR="00140F94" w:rsidRPr="0080588A" w:rsidTr="00A81F94">
        <w:trPr>
          <w:trHeight w:val="133"/>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Uganda</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35775</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61424</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103645</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5.6%</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5.4%</w:t>
            </w:r>
          </w:p>
        </w:tc>
      </w:tr>
      <w:tr w:rsidR="00140F94" w:rsidRPr="0080588A" w:rsidTr="00A81F94">
        <w:trPr>
          <w:trHeight w:val="194"/>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Tanzania United Rep</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29227</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33824</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36037</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1.5%</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0.6%</w:t>
            </w:r>
          </w:p>
        </w:tc>
      </w:tr>
      <w:tr w:rsidR="00140F94" w:rsidRPr="0080588A" w:rsidTr="00A81F94">
        <w:trPr>
          <w:trHeight w:val="97"/>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Other</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34993</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39602</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53305</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1.2%</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3.0%</w:t>
            </w:r>
          </w:p>
        </w:tc>
      </w:tr>
      <w:tr w:rsidR="00140F94" w:rsidRPr="0080588A" w:rsidTr="00A81F94">
        <w:trPr>
          <w:trHeight w:val="300"/>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r w:rsidRPr="0080588A">
              <w:rPr>
                <w:rFonts w:eastAsia="Times New Roman" w:cs="Times New Roman"/>
                <w:b/>
                <w:bCs/>
                <w:sz w:val="20"/>
                <w:szCs w:val="20"/>
                <w:lang w:val="en-US"/>
              </w:rPr>
              <w:t>Latin America and Caribbean</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rPr>
                <w:rFonts w:eastAsia="Times New Roman" w:cs="Times New Roman"/>
                <w:color w:val="000000"/>
                <w:sz w:val="20"/>
                <w:szCs w:val="20"/>
                <w:lang w:val="en-US"/>
              </w:rPr>
            </w:pPr>
            <w:r w:rsidRPr="0080588A">
              <w:rPr>
                <w:rFonts w:eastAsia="Times New Roman" w:cs="Times New Roman"/>
                <w:color w:val="000000"/>
                <w:sz w:val="20"/>
                <w:szCs w:val="20"/>
                <w:lang w:val="en-US"/>
              </w:rPr>
              <w:t> </w:t>
            </w:r>
          </w:p>
        </w:tc>
      </w:tr>
      <w:tr w:rsidR="00140F94" w:rsidRPr="0080588A" w:rsidTr="00A81F94">
        <w:trPr>
          <w:trHeight w:val="133"/>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Argentina</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70015</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78522</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92228</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1.2%</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1.6%</w:t>
            </w:r>
          </w:p>
        </w:tc>
      </w:tr>
      <w:tr w:rsidR="00140F94" w:rsidRPr="0080588A" w:rsidTr="00A81F94">
        <w:trPr>
          <w:trHeight w:val="193"/>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Brazil</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8054</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7267</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6568</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-1.0%</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-1.0%</w:t>
            </w:r>
          </w:p>
        </w:tc>
      </w:tr>
      <w:tr w:rsidR="00140F94" w:rsidRPr="0080588A" w:rsidTr="00A81F94">
        <w:trPr>
          <w:trHeight w:val="97"/>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Other</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9567</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8718</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7004</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-0.9%</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-2.2%</w:t>
            </w:r>
          </w:p>
        </w:tc>
      </w:tr>
      <w:tr w:rsidR="00140F94" w:rsidRPr="0080588A" w:rsidTr="00A81F94">
        <w:trPr>
          <w:trHeight w:val="299"/>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r w:rsidRPr="0080588A">
              <w:rPr>
                <w:rFonts w:eastAsia="Times New Roman" w:cs="Times New Roman"/>
                <w:b/>
                <w:bCs/>
                <w:sz w:val="20"/>
                <w:szCs w:val="20"/>
                <w:lang w:val="en-US"/>
              </w:rPr>
              <w:t>Near East</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rPr>
                <w:rFonts w:eastAsia="Times New Roman" w:cs="Times New Roman"/>
                <w:color w:val="000000"/>
                <w:sz w:val="20"/>
                <w:szCs w:val="20"/>
                <w:lang w:val="en-US"/>
              </w:rPr>
            </w:pPr>
            <w:r w:rsidRPr="0080588A">
              <w:rPr>
                <w:rFonts w:eastAsia="Times New Roman" w:cs="Times New Roman"/>
                <w:color w:val="000000"/>
                <w:sz w:val="20"/>
                <w:szCs w:val="20"/>
                <w:lang w:val="en-US"/>
              </w:rPr>
              <w:t> </w:t>
            </w:r>
          </w:p>
        </w:tc>
      </w:tr>
      <w:tr w:rsidR="00140F94" w:rsidRPr="0080588A" w:rsidTr="00A81F94">
        <w:trPr>
          <w:trHeight w:val="133"/>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Iran</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52617</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26000</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25978</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-6.8%</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0.0%</w:t>
            </w:r>
          </w:p>
        </w:tc>
      </w:tr>
      <w:tr w:rsidR="00140F94" w:rsidRPr="0080588A" w:rsidTr="00A81F94">
        <w:trPr>
          <w:trHeight w:val="193"/>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Turkey</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171667</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232665</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258076</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3.1%</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1.0%</w:t>
            </w:r>
          </w:p>
        </w:tc>
      </w:tr>
      <w:tr w:rsidR="00140F94" w:rsidRPr="0080588A" w:rsidTr="00A81F94">
        <w:trPr>
          <w:trHeight w:val="381"/>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r w:rsidRPr="0080588A">
              <w:rPr>
                <w:rFonts w:eastAsia="Times New Roman" w:cs="Times New Roman"/>
                <w:b/>
                <w:bCs/>
                <w:sz w:val="20"/>
                <w:szCs w:val="20"/>
                <w:lang w:val="en-US"/>
              </w:rPr>
              <w:t>Far East</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rPr>
                <w:rFonts w:eastAsia="Times New Roman" w:cs="Times New Roman"/>
                <w:color w:val="000000"/>
                <w:sz w:val="20"/>
                <w:szCs w:val="20"/>
                <w:lang w:val="en-US"/>
              </w:rPr>
            </w:pPr>
            <w:r w:rsidRPr="0080588A">
              <w:rPr>
                <w:rFonts w:eastAsia="Times New Roman" w:cs="Times New Roman"/>
                <w:color w:val="000000"/>
                <w:sz w:val="20"/>
                <w:szCs w:val="20"/>
                <w:lang w:val="en-US"/>
              </w:rPr>
              <w:t> </w:t>
            </w:r>
          </w:p>
        </w:tc>
      </w:tr>
      <w:tr w:rsidR="00140F94" w:rsidRPr="0080588A" w:rsidTr="00A81F94">
        <w:trPr>
          <w:trHeight w:val="145"/>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India</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861205</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1164043</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1519542</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3.1%</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2.7%</w:t>
            </w:r>
          </w:p>
        </w:tc>
      </w:tr>
      <w:tr w:rsidR="00140F94" w:rsidRPr="0080588A" w:rsidTr="00A81F94">
        <w:trPr>
          <w:trHeight w:val="206"/>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Sri Lanka</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306404</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331243</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402253</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0.8%</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2.0%</w:t>
            </w:r>
          </w:p>
        </w:tc>
      </w:tr>
      <w:tr w:rsidR="00140F94" w:rsidRPr="0080588A" w:rsidTr="00A81F94">
        <w:trPr>
          <w:trHeight w:val="109"/>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China</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41999</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159211</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673613</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14.3%</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15.5%</w:t>
            </w:r>
          </w:p>
        </w:tc>
      </w:tr>
      <w:tr w:rsidR="00140F94" w:rsidRPr="0080588A" w:rsidTr="00A81F94">
        <w:trPr>
          <w:trHeight w:val="169"/>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Vietnam</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71047</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92832</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108002</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2.7%</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1.5%</w:t>
            </w:r>
          </w:p>
        </w:tc>
      </w:tr>
      <w:tr w:rsidR="00140F94" w:rsidRPr="0080588A" w:rsidTr="00A81F94">
        <w:trPr>
          <w:trHeight w:val="88"/>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Bangladesh</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55973</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63787</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79253</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1.3%</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2.2%</w:t>
            </w:r>
          </w:p>
        </w:tc>
      </w:tr>
      <w:tr w:rsidR="00140F94" w:rsidRPr="0080588A" w:rsidTr="00A81F94">
        <w:trPr>
          <w:trHeight w:val="133"/>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Malaysia</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3649</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19606</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33525</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18.3%</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5.5%</w:t>
            </w:r>
          </w:p>
        </w:tc>
      </w:tr>
      <w:tr w:rsidR="00140F94" w:rsidRPr="0080588A" w:rsidTr="00A81F94">
        <w:trPr>
          <w:trHeight w:val="194"/>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Nepal</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9122</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17300</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21255</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6.6%</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2.1%</w:t>
            </w:r>
          </w:p>
        </w:tc>
      </w:tr>
      <w:tr w:rsidR="00140F94" w:rsidRPr="0080588A" w:rsidTr="00A81F94">
        <w:trPr>
          <w:trHeight w:val="97"/>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Indonesia</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125077</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112131</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115821</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-1.1%</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0.3%</w:t>
            </w:r>
          </w:p>
        </w:tc>
      </w:tr>
      <w:tr w:rsidR="00140F94" w:rsidRPr="0080588A" w:rsidTr="00A81F94">
        <w:trPr>
          <w:trHeight w:val="144"/>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Other</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34213</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42377</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41294</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2.2%</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-0.3%</w:t>
            </w:r>
          </w:p>
        </w:tc>
      </w:tr>
      <w:tr w:rsidR="00140F94" w:rsidRPr="0080588A" w:rsidTr="00A81F94">
        <w:trPr>
          <w:trHeight w:val="333"/>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r w:rsidRPr="0080588A">
              <w:rPr>
                <w:rFonts w:eastAsia="Times New Roman" w:cs="Times New Roman"/>
                <w:b/>
                <w:bCs/>
                <w:sz w:val="20"/>
                <w:szCs w:val="20"/>
                <w:lang w:val="en-US"/>
              </w:rPr>
              <w:t>CIS</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rPr>
                <w:rFonts w:eastAsia="Times New Roman" w:cs="Times New Roman"/>
                <w:color w:val="000000"/>
                <w:sz w:val="20"/>
                <w:szCs w:val="20"/>
                <w:lang w:val="en-US"/>
              </w:rPr>
            </w:pPr>
            <w:r w:rsidRPr="0080588A">
              <w:rPr>
                <w:rFonts w:eastAsia="Times New Roman" w:cs="Times New Roman"/>
                <w:color w:val="000000"/>
                <w:sz w:val="20"/>
                <w:szCs w:val="20"/>
                <w:lang w:val="en-US"/>
              </w:rPr>
              <w:t> </w:t>
            </w:r>
          </w:p>
        </w:tc>
      </w:tr>
      <w:tr w:rsidR="00140F94" w:rsidRPr="0080588A" w:rsidTr="00A81F94">
        <w:trPr>
          <w:trHeight w:val="152"/>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Russian Federation</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2567</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3400</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3098</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2.9%</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-0.9%</w:t>
            </w:r>
          </w:p>
        </w:tc>
      </w:tr>
      <w:tr w:rsidR="00140F94" w:rsidRPr="0080588A" w:rsidTr="00A81F94">
        <w:trPr>
          <w:trHeight w:val="70"/>
        </w:trPr>
        <w:tc>
          <w:tcPr>
            <w:tcW w:w="3240" w:type="dxa"/>
            <w:tcBorders>
              <w:top w:val="nil"/>
              <w:left w:val="single" w:sz="4" w:space="0" w:color="auto"/>
              <w:right w:val="nil"/>
            </w:tcBorders>
            <w:shd w:val="clear" w:color="auto" w:fill="auto"/>
            <w:noWrap/>
            <w:vAlign w:val="bottom"/>
            <w:hideMark/>
          </w:tcPr>
          <w:p w:rsidR="00140F94" w:rsidRPr="0080588A" w:rsidRDefault="00140F94" w:rsidP="00A81F94">
            <w:pPr>
              <w:spacing w:after="0"/>
              <w:rPr>
                <w:rFonts w:eastAsia="Times New Roman" w:cs="Times New Roman"/>
                <w:sz w:val="20"/>
                <w:szCs w:val="20"/>
                <w:lang w:val="en-US"/>
              </w:rPr>
            </w:pPr>
            <w:r w:rsidRPr="0080588A">
              <w:rPr>
                <w:rFonts w:eastAsia="Times New Roman" w:cs="Times New Roman"/>
                <w:sz w:val="20"/>
                <w:szCs w:val="20"/>
                <w:lang w:val="en-US"/>
              </w:rPr>
              <w:t xml:space="preserve">  Other CIS</w:t>
            </w:r>
          </w:p>
        </w:tc>
        <w:tc>
          <w:tcPr>
            <w:tcW w:w="1093" w:type="dxa"/>
            <w:tcBorders>
              <w:top w:val="nil"/>
              <w:left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5192</w:t>
            </w:r>
          </w:p>
        </w:tc>
        <w:tc>
          <w:tcPr>
            <w:tcW w:w="1183" w:type="dxa"/>
            <w:tcBorders>
              <w:top w:val="nil"/>
              <w:left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4200</w:t>
            </w:r>
          </w:p>
        </w:tc>
        <w:tc>
          <w:tcPr>
            <w:tcW w:w="1180" w:type="dxa"/>
            <w:tcBorders>
              <w:top w:val="nil"/>
              <w:left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5167</w:t>
            </w:r>
          </w:p>
        </w:tc>
        <w:tc>
          <w:tcPr>
            <w:tcW w:w="1674" w:type="dxa"/>
            <w:tcBorders>
              <w:top w:val="nil"/>
              <w:left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-2.1%</w:t>
            </w:r>
          </w:p>
        </w:tc>
        <w:tc>
          <w:tcPr>
            <w:tcW w:w="1452" w:type="dxa"/>
            <w:tcBorders>
              <w:top w:val="nil"/>
              <w:left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2.1%</w:t>
            </w:r>
          </w:p>
        </w:tc>
      </w:tr>
      <w:tr w:rsidR="00140F94" w:rsidRPr="0080588A" w:rsidTr="00A81F94">
        <w:trPr>
          <w:trHeight w:val="450"/>
        </w:trPr>
        <w:tc>
          <w:tcPr>
            <w:tcW w:w="3240" w:type="dxa"/>
            <w:tcBorders>
              <w:top w:val="nil"/>
              <w:left w:val="single" w:sz="4" w:space="0" w:color="auto"/>
              <w:bottom w:val="nil"/>
              <w:right w:val="nil"/>
            </w:tcBorders>
            <w:shd w:val="clear" w:color="auto" w:fill="auto"/>
            <w:noWrap/>
            <w:vAlign w:val="bottom"/>
            <w:hideMark/>
          </w:tcPr>
          <w:p w:rsidR="00140F94" w:rsidRPr="0080588A" w:rsidRDefault="00140F94" w:rsidP="00A81F94">
            <w:pPr>
              <w:spacing w:after="0"/>
              <w:rPr>
                <w:rFonts w:eastAsia="Times New Roman" w:cs="Times New Roman"/>
                <w:b/>
                <w:bCs/>
                <w:sz w:val="20"/>
                <w:szCs w:val="20"/>
                <w:lang w:val="en-US"/>
              </w:rPr>
            </w:pPr>
            <w:r w:rsidRPr="0080588A">
              <w:rPr>
                <w:rFonts w:eastAsia="Times New Roman" w:cs="Times New Roman"/>
                <w:b/>
                <w:bCs/>
                <w:sz w:val="20"/>
                <w:szCs w:val="20"/>
                <w:lang w:val="en-US"/>
              </w:rPr>
              <w:t>Oceania</w:t>
            </w:r>
          </w:p>
        </w:tc>
        <w:tc>
          <w:tcPr>
            <w:tcW w:w="109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6867</w:t>
            </w:r>
          </w:p>
        </w:tc>
        <w:tc>
          <w:tcPr>
            <w:tcW w:w="1183"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6467</w:t>
            </w:r>
          </w:p>
        </w:tc>
        <w:tc>
          <w:tcPr>
            <w:tcW w:w="1180"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sz w:val="20"/>
                <w:szCs w:val="20"/>
                <w:lang w:val="en-US"/>
              </w:rPr>
            </w:pPr>
            <w:r w:rsidRPr="0080588A">
              <w:rPr>
                <w:rFonts w:eastAsia="Times New Roman" w:cs="Times New Roman"/>
                <w:sz w:val="20"/>
                <w:szCs w:val="20"/>
                <w:lang w:val="en-US"/>
              </w:rPr>
              <w:t>5927</w:t>
            </w:r>
          </w:p>
        </w:tc>
        <w:tc>
          <w:tcPr>
            <w:tcW w:w="1674" w:type="dxa"/>
            <w:tcBorders>
              <w:top w:val="nil"/>
              <w:left w:val="nil"/>
              <w:bottom w:val="nil"/>
              <w:right w:val="nil"/>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-0.6%</w:t>
            </w:r>
          </w:p>
        </w:tc>
        <w:tc>
          <w:tcPr>
            <w:tcW w:w="1452" w:type="dxa"/>
            <w:tcBorders>
              <w:top w:val="nil"/>
              <w:left w:val="nil"/>
              <w:bottom w:val="nil"/>
              <w:right w:val="single" w:sz="4" w:space="0" w:color="auto"/>
            </w:tcBorders>
            <w:shd w:val="clear" w:color="auto" w:fill="auto"/>
            <w:noWrap/>
            <w:vAlign w:val="bottom"/>
            <w:hideMark/>
          </w:tcPr>
          <w:p w:rsidR="00140F94" w:rsidRPr="0080588A" w:rsidRDefault="00140F94" w:rsidP="00A81F94">
            <w:pPr>
              <w:spacing w:after="0"/>
              <w:jc w:val="right"/>
              <w:rPr>
                <w:rFonts w:eastAsia="Times New Roman" w:cs="Times New Roman"/>
                <w:color w:val="000000"/>
                <w:sz w:val="20"/>
                <w:szCs w:val="20"/>
                <w:lang w:val="en-US"/>
              </w:rPr>
            </w:pPr>
            <w:r w:rsidRPr="0080588A">
              <w:rPr>
                <w:rFonts w:eastAsia="Times New Roman" w:cs="Times New Roman"/>
                <w:color w:val="000000"/>
                <w:sz w:val="20"/>
                <w:szCs w:val="20"/>
                <w:lang w:val="en-US"/>
              </w:rPr>
              <w:t>-0.9%</w:t>
            </w:r>
          </w:p>
        </w:tc>
      </w:tr>
      <w:tr w:rsidR="00140F94" w:rsidRPr="0080588A" w:rsidTr="00A81F94">
        <w:trPr>
          <w:trHeight w:val="108"/>
        </w:trPr>
        <w:tc>
          <w:tcPr>
            <w:tcW w:w="3240" w:type="dxa"/>
            <w:tcBorders>
              <w:top w:val="nil"/>
              <w:left w:val="single" w:sz="4" w:space="0" w:color="auto"/>
              <w:bottom w:val="single" w:sz="4" w:space="0" w:color="auto"/>
              <w:right w:val="nil"/>
            </w:tcBorders>
            <w:shd w:val="clear" w:color="auto" w:fill="auto"/>
            <w:noWrap/>
            <w:vAlign w:val="bottom"/>
          </w:tcPr>
          <w:p w:rsidR="00140F94" w:rsidRPr="0080588A" w:rsidRDefault="00140F94" w:rsidP="00A81F94">
            <w:pPr>
              <w:spacing w:after="0"/>
              <w:rPr>
                <w:rFonts w:eastAsia="Times New Roman" w:cs="Times New Roman"/>
                <w:b/>
                <w:bCs/>
                <w:sz w:val="20"/>
                <w:szCs w:val="20"/>
                <w:lang w:val="en-US"/>
              </w:rPr>
            </w:pPr>
          </w:p>
        </w:tc>
        <w:tc>
          <w:tcPr>
            <w:tcW w:w="1093" w:type="dxa"/>
            <w:tcBorders>
              <w:top w:val="nil"/>
              <w:left w:val="nil"/>
              <w:bottom w:val="single" w:sz="4" w:space="0" w:color="auto"/>
              <w:right w:val="nil"/>
            </w:tcBorders>
            <w:shd w:val="clear" w:color="auto" w:fill="auto"/>
            <w:noWrap/>
            <w:vAlign w:val="bottom"/>
          </w:tcPr>
          <w:p w:rsidR="00140F94" w:rsidRPr="0080588A" w:rsidRDefault="00140F94" w:rsidP="00A81F94">
            <w:pPr>
              <w:spacing w:after="0"/>
              <w:jc w:val="right"/>
              <w:rPr>
                <w:rFonts w:eastAsia="Times New Roman" w:cs="Times New Roman"/>
                <w:sz w:val="20"/>
                <w:szCs w:val="20"/>
                <w:lang w:val="en-US"/>
              </w:rPr>
            </w:pPr>
          </w:p>
        </w:tc>
        <w:tc>
          <w:tcPr>
            <w:tcW w:w="1183" w:type="dxa"/>
            <w:tcBorders>
              <w:top w:val="nil"/>
              <w:left w:val="nil"/>
              <w:bottom w:val="single" w:sz="4" w:space="0" w:color="auto"/>
              <w:right w:val="nil"/>
            </w:tcBorders>
            <w:shd w:val="clear" w:color="auto" w:fill="auto"/>
            <w:noWrap/>
            <w:vAlign w:val="bottom"/>
          </w:tcPr>
          <w:p w:rsidR="00140F94" w:rsidRPr="0080588A" w:rsidRDefault="00140F94" w:rsidP="00A81F94">
            <w:pPr>
              <w:spacing w:after="0"/>
              <w:jc w:val="right"/>
              <w:rPr>
                <w:rFonts w:eastAsia="Times New Roman" w:cs="Times New Roman"/>
                <w:sz w:val="20"/>
                <w:szCs w:val="20"/>
                <w:lang w:val="en-US"/>
              </w:rPr>
            </w:pPr>
          </w:p>
        </w:tc>
        <w:tc>
          <w:tcPr>
            <w:tcW w:w="1180" w:type="dxa"/>
            <w:tcBorders>
              <w:top w:val="nil"/>
              <w:left w:val="nil"/>
              <w:bottom w:val="single" w:sz="4" w:space="0" w:color="auto"/>
              <w:right w:val="nil"/>
            </w:tcBorders>
            <w:shd w:val="clear" w:color="auto" w:fill="auto"/>
            <w:noWrap/>
            <w:vAlign w:val="bottom"/>
          </w:tcPr>
          <w:p w:rsidR="00140F94" w:rsidRPr="0080588A" w:rsidRDefault="00140F94" w:rsidP="00A81F94">
            <w:pPr>
              <w:spacing w:after="0"/>
              <w:jc w:val="right"/>
              <w:rPr>
                <w:rFonts w:eastAsia="Times New Roman" w:cs="Times New Roman"/>
                <w:sz w:val="20"/>
                <w:szCs w:val="20"/>
                <w:lang w:val="en-US"/>
              </w:rPr>
            </w:pPr>
          </w:p>
        </w:tc>
        <w:tc>
          <w:tcPr>
            <w:tcW w:w="1674" w:type="dxa"/>
            <w:tcBorders>
              <w:top w:val="nil"/>
              <w:left w:val="nil"/>
              <w:bottom w:val="single" w:sz="4" w:space="0" w:color="auto"/>
              <w:right w:val="nil"/>
            </w:tcBorders>
            <w:shd w:val="clear" w:color="auto" w:fill="auto"/>
            <w:noWrap/>
            <w:vAlign w:val="bottom"/>
          </w:tcPr>
          <w:p w:rsidR="00140F94" w:rsidRPr="0080588A" w:rsidRDefault="00140F94" w:rsidP="00A81F94">
            <w:pPr>
              <w:spacing w:after="0"/>
              <w:jc w:val="right"/>
              <w:rPr>
                <w:rFonts w:eastAsia="Times New Roman" w:cs="Times New Roman"/>
                <w:color w:val="000000"/>
                <w:sz w:val="20"/>
                <w:szCs w:val="20"/>
                <w:lang w:val="en-US"/>
              </w:rPr>
            </w:pPr>
          </w:p>
        </w:tc>
        <w:tc>
          <w:tcPr>
            <w:tcW w:w="1452" w:type="dxa"/>
            <w:tcBorders>
              <w:top w:val="nil"/>
              <w:left w:val="nil"/>
              <w:bottom w:val="single" w:sz="4" w:space="0" w:color="auto"/>
              <w:right w:val="single" w:sz="4" w:space="0" w:color="auto"/>
            </w:tcBorders>
            <w:shd w:val="clear" w:color="auto" w:fill="auto"/>
            <w:noWrap/>
            <w:vAlign w:val="bottom"/>
          </w:tcPr>
          <w:p w:rsidR="00140F94" w:rsidRPr="0080588A" w:rsidRDefault="00140F94" w:rsidP="00A81F94">
            <w:pPr>
              <w:spacing w:after="0"/>
              <w:jc w:val="right"/>
              <w:rPr>
                <w:rFonts w:eastAsia="Times New Roman" w:cs="Times New Roman"/>
                <w:color w:val="000000"/>
                <w:sz w:val="20"/>
                <w:szCs w:val="20"/>
                <w:lang w:val="en-US"/>
              </w:rPr>
            </w:pPr>
          </w:p>
        </w:tc>
      </w:tr>
    </w:tbl>
    <w:p w:rsidR="00140F94" w:rsidRDefault="00140F94" w:rsidP="002116A8">
      <w:pPr>
        <w:rPr>
          <w:sz w:val="18"/>
          <w:szCs w:val="18"/>
        </w:rPr>
        <w:sectPr w:rsidR="00140F94" w:rsidSect="00012386">
          <w:headerReference w:type="even" r:id="rId19"/>
          <w:headerReference w:type="default" r:id="rId20"/>
          <w:headerReference w:type="first" r:id="rId21"/>
          <w:footerReference w:type="first" r:id="rId22"/>
          <w:pgSz w:w="11907" w:h="16840" w:code="9"/>
          <w:pgMar w:top="1418" w:right="1418" w:bottom="1418" w:left="1418" w:header="720" w:footer="720" w:gutter="0"/>
          <w:pgNumType w:start="1"/>
          <w:cols w:space="720"/>
          <w:titlePg/>
          <w:docGrid w:linePitch="360"/>
        </w:sectPr>
      </w:pPr>
    </w:p>
    <w:p w:rsidR="00DB032E" w:rsidRDefault="00DB032E">
      <w:pPr>
        <w:spacing w:line="276" w:lineRule="auto"/>
        <w:rPr>
          <w:sz w:val="18"/>
          <w:szCs w:val="18"/>
        </w:rPr>
      </w:pPr>
      <w:r>
        <w:rPr>
          <w:sz w:val="18"/>
          <w:szCs w:val="18"/>
        </w:rPr>
        <w:lastRenderedPageBreak/>
        <w:br w:type="page"/>
      </w:r>
    </w:p>
    <w:p w:rsidR="00DB032E" w:rsidRDefault="00A42FCD">
      <w:r w:rsidRPr="00A42FCD">
        <w:rPr>
          <w:noProof/>
          <w:lang w:eastAsia="en-GB"/>
        </w:rPr>
        <w:lastRenderedPageBreak/>
        <w:drawing>
          <wp:inline distT="0" distB="0" distL="0" distR="0" wp14:anchorId="0A94A5FD" wp14:editId="03B081F4">
            <wp:extent cx="5760085" cy="35940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3594031"/>
                    </a:xfrm>
                    <a:prstGeom prst="rect">
                      <a:avLst/>
                    </a:prstGeom>
                    <a:noFill/>
                    <a:ln>
                      <a:noFill/>
                    </a:ln>
                  </pic:spPr>
                </pic:pic>
              </a:graphicData>
            </a:graphic>
          </wp:inline>
        </w:drawing>
      </w:r>
      <w:r w:rsidR="00DB032E">
        <w:br w:type="page"/>
      </w:r>
    </w:p>
    <w:tbl>
      <w:tblPr>
        <w:tblW w:w="9630" w:type="dxa"/>
        <w:tblLook w:val="04A0" w:firstRow="1" w:lastRow="0" w:firstColumn="1" w:lastColumn="0" w:noHBand="0" w:noVBand="1"/>
      </w:tblPr>
      <w:tblGrid>
        <w:gridCol w:w="2250"/>
        <w:gridCol w:w="975"/>
        <w:gridCol w:w="1480"/>
        <w:gridCol w:w="1415"/>
        <w:gridCol w:w="1890"/>
        <w:gridCol w:w="1620"/>
      </w:tblGrid>
      <w:tr w:rsidR="0022343E" w:rsidRPr="00E26D0A" w:rsidTr="005B601D">
        <w:trPr>
          <w:trHeight w:val="315"/>
        </w:trPr>
        <w:tc>
          <w:tcPr>
            <w:tcW w:w="3225" w:type="dxa"/>
            <w:gridSpan w:val="2"/>
            <w:tcBorders>
              <w:top w:val="nil"/>
              <w:left w:val="nil"/>
              <w:bottom w:val="nil"/>
              <w:right w:val="nil"/>
            </w:tcBorders>
            <w:shd w:val="clear" w:color="auto" w:fill="auto"/>
            <w:noWrap/>
            <w:vAlign w:val="bottom"/>
            <w:hideMark/>
          </w:tcPr>
          <w:p w:rsidR="0022343E" w:rsidRDefault="0022343E" w:rsidP="005B601D">
            <w:pPr>
              <w:spacing w:after="0"/>
              <w:rPr>
                <w:rFonts w:eastAsia="Times New Roman" w:cs="Times New Roman"/>
                <w:b/>
                <w:bCs/>
                <w:sz w:val="20"/>
                <w:szCs w:val="20"/>
                <w:lang w:val="en-US"/>
              </w:rPr>
            </w:pPr>
            <w:r>
              <w:rPr>
                <w:rFonts w:eastAsia="Times New Roman" w:cs="Times New Roman"/>
                <w:b/>
                <w:bCs/>
                <w:sz w:val="20"/>
                <w:szCs w:val="20"/>
                <w:lang w:val="en-US"/>
              </w:rPr>
              <w:lastRenderedPageBreak/>
              <w:t>Table 3</w:t>
            </w:r>
            <w:r w:rsidRPr="00E26D0A">
              <w:rPr>
                <w:rFonts w:eastAsia="Times New Roman" w:cs="Times New Roman"/>
                <w:b/>
                <w:bCs/>
                <w:sz w:val="20"/>
                <w:szCs w:val="20"/>
                <w:lang w:val="en-US"/>
              </w:rPr>
              <w:t>. Black Tea: Consumption</w:t>
            </w:r>
          </w:p>
          <w:p w:rsidR="0022343E" w:rsidRPr="00E26D0A" w:rsidRDefault="0022343E" w:rsidP="005B601D">
            <w:pPr>
              <w:spacing w:after="0"/>
              <w:rPr>
                <w:rFonts w:eastAsia="Times New Roman" w:cs="Times New Roman"/>
                <w:b/>
                <w:bCs/>
                <w:sz w:val="20"/>
                <w:szCs w:val="20"/>
                <w:lang w:val="en-US"/>
              </w:rPr>
            </w:pP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62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r>
      <w:tr w:rsidR="0022343E" w:rsidRPr="00823131" w:rsidTr="005B601D">
        <w:trPr>
          <w:trHeight w:val="435"/>
        </w:trPr>
        <w:tc>
          <w:tcPr>
            <w:tcW w:w="2250" w:type="dxa"/>
            <w:tcBorders>
              <w:top w:val="single" w:sz="4" w:space="0" w:color="auto"/>
              <w:left w:val="single" w:sz="4" w:space="0" w:color="auto"/>
              <w:bottom w:val="nil"/>
              <w:right w:val="single" w:sz="4" w:space="0" w:color="auto"/>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w:t>
            </w:r>
          </w:p>
        </w:tc>
        <w:tc>
          <w:tcPr>
            <w:tcW w:w="975" w:type="dxa"/>
            <w:tcBorders>
              <w:top w:val="single" w:sz="4" w:space="0" w:color="auto"/>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w:t>
            </w:r>
          </w:p>
        </w:tc>
        <w:tc>
          <w:tcPr>
            <w:tcW w:w="6405" w:type="dxa"/>
            <w:gridSpan w:val="4"/>
            <w:tcBorders>
              <w:top w:val="single" w:sz="4" w:space="0" w:color="auto"/>
              <w:left w:val="nil"/>
              <w:bottom w:val="nil"/>
              <w:right w:val="single" w:sz="4" w:space="0" w:color="000000"/>
            </w:tcBorders>
            <w:shd w:val="clear" w:color="auto" w:fill="auto"/>
            <w:noWrap/>
            <w:vAlign w:val="bottom"/>
            <w:hideMark/>
          </w:tcPr>
          <w:p w:rsidR="0022343E" w:rsidRPr="00823131" w:rsidRDefault="0022343E" w:rsidP="005B601D">
            <w:pPr>
              <w:spacing w:after="0"/>
              <w:jc w:val="center"/>
              <w:rPr>
                <w:rFonts w:eastAsia="Times New Roman" w:cs="Times New Roman"/>
                <w:b/>
                <w:bCs/>
                <w:sz w:val="20"/>
                <w:szCs w:val="20"/>
                <w:lang w:val="it-IT"/>
              </w:rPr>
            </w:pPr>
            <w:r w:rsidRPr="00823131">
              <w:rPr>
                <w:rFonts w:eastAsia="Times New Roman" w:cs="Times New Roman"/>
                <w:b/>
                <w:bCs/>
                <w:sz w:val="20"/>
                <w:szCs w:val="20"/>
                <w:lang w:val="it-IT"/>
              </w:rPr>
              <w:t xml:space="preserve">  C O N S U M P T I O N</w:t>
            </w:r>
          </w:p>
        </w:tc>
      </w:tr>
      <w:tr w:rsidR="0022343E" w:rsidRPr="00E26D0A" w:rsidTr="005B601D">
        <w:trPr>
          <w:trHeight w:val="345"/>
        </w:trPr>
        <w:tc>
          <w:tcPr>
            <w:tcW w:w="2250" w:type="dxa"/>
            <w:tcBorders>
              <w:top w:val="nil"/>
              <w:left w:val="single" w:sz="4" w:space="0" w:color="auto"/>
              <w:bottom w:val="nil"/>
              <w:right w:val="single" w:sz="4" w:space="0" w:color="auto"/>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823131">
              <w:rPr>
                <w:rFonts w:eastAsia="Times New Roman" w:cs="Times New Roman"/>
                <w:sz w:val="20"/>
                <w:szCs w:val="20"/>
                <w:lang w:val="it-IT"/>
              </w:rPr>
              <w:t xml:space="preserve">  </w:t>
            </w:r>
            <w:r w:rsidRPr="00E26D0A">
              <w:rPr>
                <w:rFonts w:eastAsia="Times New Roman" w:cs="Times New Roman"/>
                <w:sz w:val="20"/>
                <w:szCs w:val="20"/>
                <w:lang w:val="en-US"/>
              </w:rPr>
              <w:t>Countries / Regions</w:t>
            </w:r>
          </w:p>
        </w:tc>
        <w:tc>
          <w:tcPr>
            <w:tcW w:w="2455" w:type="dxa"/>
            <w:gridSpan w:val="2"/>
            <w:tcBorders>
              <w:top w:val="single" w:sz="4" w:space="0" w:color="auto"/>
              <w:left w:val="nil"/>
              <w:bottom w:val="nil"/>
              <w:right w:val="single" w:sz="4" w:space="0" w:color="000000"/>
            </w:tcBorders>
            <w:shd w:val="clear" w:color="auto" w:fill="auto"/>
            <w:noWrap/>
            <w:vAlign w:val="bottom"/>
            <w:hideMark/>
          </w:tcPr>
          <w:p w:rsidR="0022343E" w:rsidRPr="00E26D0A" w:rsidRDefault="0022343E" w:rsidP="005B601D">
            <w:pPr>
              <w:spacing w:after="0"/>
              <w:jc w:val="center"/>
              <w:rPr>
                <w:rFonts w:eastAsia="Times New Roman" w:cs="Times New Roman"/>
                <w:b/>
                <w:bCs/>
                <w:sz w:val="20"/>
                <w:szCs w:val="20"/>
                <w:lang w:val="en-US"/>
              </w:rPr>
            </w:pPr>
            <w:r w:rsidRPr="00E26D0A">
              <w:rPr>
                <w:rFonts w:eastAsia="Times New Roman" w:cs="Times New Roman"/>
                <w:b/>
                <w:bCs/>
                <w:sz w:val="20"/>
                <w:szCs w:val="20"/>
                <w:lang w:val="en-US"/>
              </w:rPr>
              <w:t xml:space="preserve"> Actual</w:t>
            </w:r>
          </w:p>
        </w:tc>
        <w:tc>
          <w:tcPr>
            <w:tcW w:w="1415" w:type="dxa"/>
            <w:tcBorders>
              <w:top w:val="single" w:sz="4" w:space="0" w:color="auto"/>
              <w:left w:val="nil"/>
              <w:bottom w:val="nil"/>
              <w:right w:val="single" w:sz="4" w:space="0" w:color="auto"/>
            </w:tcBorders>
            <w:shd w:val="clear" w:color="auto" w:fill="auto"/>
            <w:noWrap/>
            <w:vAlign w:val="bottom"/>
            <w:hideMark/>
          </w:tcPr>
          <w:p w:rsidR="0022343E" w:rsidRPr="00E26D0A" w:rsidRDefault="0022343E" w:rsidP="005B601D">
            <w:pPr>
              <w:spacing w:after="0"/>
              <w:jc w:val="center"/>
              <w:rPr>
                <w:rFonts w:eastAsia="Times New Roman" w:cs="Times New Roman"/>
                <w:b/>
                <w:bCs/>
                <w:sz w:val="20"/>
                <w:szCs w:val="20"/>
                <w:lang w:val="en-US"/>
              </w:rPr>
            </w:pPr>
            <w:r w:rsidRPr="00E26D0A">
              <w:rPr>
                <w:rFonts w:eastAsia="Times New Roman" w:cs="Times New Roman"/>
                <w:b/>
                <w:bCs/>
                <w:sz w:val="20"/>
                <w:szCs w:val="20"/>
                <w:lang w:val="en-US"/>
              </w:rPr>
              <w:t>Projected</w:t>
            </w:r>
          </w:p>
        </w:tc>
        <w:tc>
          <w:tcPr>
            <w:tcW w:w="1890" w:type="dxa"/>
            <w:tcBorders>
              <w:top w:val="single" w:sz="4" w:space="0" w:color="auto"/>
              <w:left w:val="nil"/>
              <w:bottom w:val="nil"/>
              <w:right w:val="nil"/>
            </w:tcBorders>
            <w:shd w:val="clear" w:color="auto" w:fill="auto"/>
            <w:noWrap/>
            <w:vAlign w:val="bottom"/>
            <w:hideMark/>
          </w:tcPr>
          <w:p w:rsidR="0022343E" w:rsidRPr="00E26D0A" w:rsidRDefault="0022343E" w:rsidP="005B601D">
            <w:pPr>
              <w:spacing w:after="0"/>
              <w:jc w:val="center"/>
              <w:rPr>
                <w:rFonts w:eastAsia="Times New Roman" w:cs="Times New Roman"/>
                <w:b/>
                <w:bCs/>
                <w:sz w:val="20"/>
                <w:szCs w:val="20"/>
                <w:lang w:val="en-US"/>
              </w:rPr>
            </w:pPr>
            <w:r w:rsidRPr="00E26D0A">
              <w:rPr>
                <w:rFonts w:eastAsia="Times New Roman" w:cs="Times New Roman"/>
                <w:b/>
                <w:bCs/>
                <w:sz w:val="20"/>
                <w:szCs w:val="20"/>
                <w:lang w:val="en-US"/>
              </w:rPr>
              <w:t xml:space="preserve">                               Growth  Rates</w:t>
            </w:r>
          </w:p>
        </w:tc>
        <w:tc>
          <w:tcPr>
            <w:tcW w:w="1620" w:type="dxa"/>
            <w:tcBorders>
              <w:top w:val="single" w:sz="4" w:space="0" w:color="auto"/>
              <w:left w:val="nil"/>
              <w:bottom w:val="nil"/>
              <w:right w:val="single" w:sz="4" w:space="0" w:color="auto"/>
            </w:tcBorders>
            <w:shd w:val="clear" w:color="auto" w:fill="auto"/>
            <w:noWrap/>
            <w:vAlign w:val="bottom"/>
            <w:hideMark/>
          </w:tcPr>
          <w:p w:rsidR="0022343E" w:rsidRPr="00E26D0A" w:rsidRDefault="0022343E" w:rsidP="005B601D">
            <w:pPr>
              <w:spacing w:after="0"/>
              <w:jc w:val="center"/>
              <w:rPr>
                <w:rFonts w:eastAsia="Times New Roman" w:cs="Times New Roman"/>
                <w:b/>
                <w:bCs/>
                <w:sz w:val="20"/>
                <w:szCs w:val="20"/>
                <w:lang w:val="en-US"/>
              </w:rPr>
            </w:pPr>
            <w:r w:rsidRPr="00E26D0A">
              <w:rPr>
                <w:rFonts w:eastAsia="Times New Roman" w:cs="Times New Roman"/>
                <w:b/>
                <w:bCs/>
                <w:sz w:val="20"/>
                <w:szCs w:val="20"/>
                <w:lang w:val="en-US"/>
              </w:rPr>
              <w:t> </w:t>
            </w:r>
          </w:p>
        </w:tc>
      </w:tr>
      <w:tr w:rsidR="0022343E" w:rsidRPr="00E26D0A" w:rsidTr="005B601D">
        <w:trPr>
          <w:trHeight w:val="705"/>
        </w:trPr>
        <w:tc>
          <w:tcPr>
            <w:tcW w:w="2250" w:type="dxa"/>
            <w:tcBorders>
              <w:top w:val="nil"/>
              <w:left w:val="single" w:sz="4" w:space="0" w:color="auto"/>
              <w:bottom w:val="nil"/>
              <w:right w:val="single" w:sz="4" w:space="0" w:color="auto"/>
            </w:tcBorders>
            <w:shd w:val="clear" w:color="auto" w:fill="auto"/>
            <w:noWrap/>
            <w:vAlign w:val="bottom"/>
            <w:hideMark/>
          </w:tcPr>
          <w:p w:rsidR="0022343E" w:rsidRPr="00E26D0A" w:rsidRDefault="0022343E" w:rsidP="005B601D">
            <w:pPr>
              <w:spacing w:after="0"/>
              <w:jc w:val="center"/>
              <w:rPr>
                <w:rFonts w:eastAsia="Times New Roman" w:cs="Times New Roman"/>
                <w:sz w:val="20"/>
                <w:szCs w:val="20"/>
                <w:lang w:val="en-US"/>
              </w:rPr>
            </w:pPr>
            <w:r w:rsidRPr="00E26D0A">
              <w:rPr>
                <w:rFonts w:eastAsia="Times New Roman" w:cs="Times New Roman"/>
                <w:sz w:val="20"/>
                <w:szCs w:val="20"/>
                <w:lang w:val="en-U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22343E" w:rsidRPr="00E26D0A" w:rsidRDefault="0022343E" w:rsidP="005B601D">
            <w:pPr>
              <w:spacing w:after="0"/>
              <w:jc w:val="center"/>
              <w:rPr>
                <w:rFonts w:eastAsia="Times New Roman" w:cs="Times New Roman"/>
                <w:sz w:val="20"/>
                <w:szCs w:val="20"/>
                <w:lang w:val="en-US"/>
              </w:rPr>
            </w:pPr>
            <w:r w:rsidRPr="00E26D0A">
              <w:rPr>
                <w:rFonts w:eastAsia="Times New Roman" w:cs="Times New Roman"/>
                <w:sz w:val="20"/>
                <w:szCs w:val="20"/>
                <w:lang w:val="en-US"/>
              </w:rPr>
              <w:t>2002-04</w:t>
            </w:r>
          </w:p>
        </w:tc>
        <w:tc>
          <w:tcPr>
            <w:tcW w:w="1480" w:type="dxa"/>
            <w:tcBorders>
              <w:top w:val="single" w:sz="4" w:space="0" w:color="auto"/>
              <w:left w:val="nil"/>
              <w:bottom w:val="nil"/>
              <w:right w:val="single" w:sz="4" w:space="0" w:color="auto"/>
            </w:tcBorders>
            <w:shd w:val="clear" w:color="auto" w:fill="auto"/>
            <w:noWrap/>
            <w:vAlign w:val="bottom"/>
            <w:hideMark/>
          </w:tcPr>
          <w:p w:rsidR="0022343E" w:rsidRPr="00E26D0A" w:rsidRDefault="0022343E" w:rsidP="005B601D">
            <w:pPr>
              <w:spacing w:after="0"/>
              <w:jc w:val="center"/>
              <w:rPr>
                <w:rFonts w:eastAsia="Times New Roman" w:cs="Times New Roman"/>
                <w:sz w:val="20"/>
                <w:szCs w:val="20"/>
                <w:lang w:val="en-US"/>
              </w:rPr>
            </w:pPr>
            <w:r w:rsidRPr="00E26D0A">
              <w:rPr>
                <w:rFonts w:eastAsia="Times New Roman" w:cs="Times New Roman"/>
                <w:sz w:val="20"/>
                <w:szCs w:val="20"/>
                <w:lang w:val="en-US"/>
              </w:rPr>
              <w:t>2012-14</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22343E" w:rsidRPr="00E26D0A" w:rsidRDefault="0022343E" w:rsidP="005B601D">
            <w:pPr>
              <w:spacing w:after="0"/>
              <w:jc w:val="center"/>
              <w:rPr>
                <w:rFonts w:eastAsia="Times New Roman" w:cs="Times New Roman"/>
                <w:sz w:val="20"/>
                <w:szCs w:val="20"/>
                <w:lang w:val="en-US"/>
              </w:rPr>
            </w:pPr>
            <w:r w:rsidRPr="00E26D0A">
              <w:rPr>
                <w:rFonts w:eastAsia="Times New Roman" w:cs="Times New Roman"/>
                <w:sz w:val="20"/>
                <w:szCs w:val="20"/>
                <w:lang w:val="en-US"/>
              </w:rPr>
              <w:t>2024</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22343E" w:rsidRPr="00E26D0A" w:rsidRDefault="0022343E" w:rsidP="005B601D">
            <w:pPr>
              <w:spacing w:after="0"/>
              <w:jc w:val="center"/>
              <w:rPr>
                <w:rFonts w:eastAsia="Times New Roman" w:cs="Times New Roman"/>
                <w:color w:val="000000"/>
                <w:sz w:val="20"/>
                <w:szCs w:val="20"/>
                <w:lang w:val="en-US"/>
              </w:rPr>
            </w:pPr>
            <w:r w:rsidRPr="00E26D0A">
              <w:rPr>
                <w:rFonts w:eastAsia="Times New Roman" w:cs="Times New Roman"/>
                <w:color w:val="000000"/>
                <w:sz w:val="20"/>
                <w:szCs w:val="20"/>
                <w:lang w:val="en-US"/>
              </w:rPr>
              <w:t>2002-04/2012-14</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22343E" w:rsidRPr="00E26D0A" w:rsidRDefault="0022343E" w:rsidP="005B601D">
            <w:pPr>
              <w:spacing w:after="0"/>
              <w:jc w:val="center"/>
              <w:rPr>
                <w:rFonts w:eastAsia="Times New Roman" w:cs="Times New Roman"/>
                <w:color w:val="000000"/>
                <w:sz w:val="20"/>
                <w:szCs w:val="20"/>
                <w:lang w:val="en-US"/>
              </w:rPr>
            </w:pPr>
            <w:r w:rsidRPr="00E26D0A">
              <w:rPr>
                <w:rFonts w:eastAsia="Times New Roman" w:cs="Times New Roman"/>
                <w:color w:val="000000"/>
                <w:sz w:val="20"/>
                <w:szCs w:val="20"/>
                <w:lang w:val="en-US"/>
              </w:rPr>
              <w:t>2012-14/2024</w:t>
            </w:r>
          </w:p>
        </w:tc>
      </w:tr>
      <w:tr w:rsidR="0022343E" w:rsidRPr="00E26D0A" w:rsidTr="005B601D">
        <w:trPr>
          <w:trHeight w:val="27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w:t>
            </w:r>
          </w:p>
        </w:tc>
        <w:tc>
          <w:tcPr>
            <w:tcW w:w="387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2343E" w:rsidRPr="00E26D0A" w:rsidRDefault="0022343E" w:rsidP="005B601D">
            <w:pPr>
              <w:spacing w:after="0"/>
              <w:jc w:val="center"/>
              <w:rPr>
                <w:rFonts w:eastAsia="Times New Roman" w:cs="Times New Roman"/>
                <w:sz w:val="20"/>
                <w:szCs w:val="20"/>
                <w:lang w:val="en-US"/>
              </w:rPr>
            </w:pPr>
            <w:r w:rsidRPr="00E26D0A">
              <w:rPr>
                <w:rFonts w:eastAsia="Times New Roman" w:cs="Times New Roman"/>
                <w:sz w:val="20"/>
                <w:szCs w:val="20"/>
                <w:lang w:val="en-US"/>
              </w:rPr>
              <w:t>Tons</w:t>
            </w:r>
          </w:p>
        </w:tc>
        <w:tc>
          <w:tcPr>
            <w:tcW w:w="35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2343E" w:rsidRPr="00E26D0A" w:rsidRDefault="0022343E" w:rsidP="005B601D">
            <w:pPr>
              <w:spacing w:after="0"/>
              <w:jc w:val="center"/>
              <w:rPr>
                <w:rFonts w:eastAsia="Times New Roman" w:cs="Times New Roman"/>
                <w:sz w:val="20"/>
                <w:szCs w:val="20"/>
                <w:lang w:val="en-US"/>
              </w:rPr>
            </w:pPr>
            <w:r w:rsidRPr="00E26D0A">
              <w:rPr>
                <w:rFonts w:eastAsia="Times New Roman" w:cs="Times New Roman"/>
                <w:sz w:val="20"/>
                <w:szCs w:val="20"/>
                <w:lang w:val="en-US"/>
              </w:rPr>
              <w:t xml:space="preserve">         Percent per  year</w:t>
            </w:r>
          </w:p>
        </w:tc>
      </w:tr>
      <w:tr w:rsidR="0022343E" w:rsidRPr="00E26D0A" w:rsidTr="005B601D">
        <w:trPr>
          <w:trHeight w:val="70"/>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w:t>
            </w:r>
          </w:p>
        </w:tc>
      </w:tr>
      <w:tr w:rsidR="0022343E" w:rsidRPr="00E26D0A" w:rsidTr="005B601D">
        <w:trPr>
          <w:trHeight w:val="315"/>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r w:rsidRPr="00E26D0A">
              <w:rPr>
                <w:rFonts w:eastAsia="Times New Roman" w:cs="Times New Roman"/>
                <w:b/>
                <w:bCs/>
                <w:sz w:val="20"/>
                <w:szCs w:val="20"/>
                <w:lang w:val="en-US"/>
              </w:rPr>
              <w:t>WORLD</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b/>
                <w:bCs/>
                <w:sz w:val="20"/>
                <w:szCs w:val="20"/>
                <w:lang w:val="en-US"/>
              </w:rPr>
            </w:pPr>
            <w:r w:rsidRPr="00E26D0A">
              <w:rPr>
                <w:rFonts w:eastAsia="Times New Roman" w:cs="Times New Roman"/>
                <w:b/>
                <w:bCs/>
                <w:sz w:val="20"/>
                <w:szCs w:val="20"/>
                <w:lang w:val="en-US"/>
              </w:rPr>
              <w:t>2275355</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b/>
                <w:bCs/>
                <w:sz w:val="20"/>
                <w:szCs w:val="20"/>
                <w:lang w:val="en-US"/>
              </w:rPr>
            </w:pPr>
            <w:r w:rsidRPr="00E26D0A">
              <w:rPr>
                <w:rFonts w:eastAsia="Times New Roman" w:cs="Times New Roman"/>
                <w:b/>
                <w:bCs/>
                <w:sz w:val="20"/>
                <w:szCs w:val="20"/>
                <w:lang w:val="en-US"/>
              </w:rPr>
              <w:t>2971307</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b/>
                <w:bCs/>
                <w:sz w:val="20"/>
                <w:szCs w:val="20"/>
                <w:lang w:val="en-US"/>
              </w:rPr>
            </w:pPr>
            <w:r w:rsidRPr="00E26D0A">
              <w:rPr>
                <w:rFonts w:eastAsia="Times New Roman" w:cs="Times New Roman"/>
                <w:b/>
                <w:bCs/>
                <w:sz w:val="20"/>
                <w:szCs w:val="20"/>
                <w:lang w:val="en-US"/>
              </w:rPr>
              <w:t>4265506</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b/>
                <w:bCs/>
                <w:color w:val="000000"/>
                <w:sz w:val="20"/>
                <w:szCs w:val="20"/>
                <w:lang w:val="en-US"/>
              </w:rPr>
            </w:pPr>
            <w:r w:rsidRPr="00E26D0A">
              <w:rPr>
                <w:rFonts w:eastAsia="Times New Roman" w:cs="Times New Roman"/>
                <w:b/>
                <w:bCs/>
                <w:color w:val="000000"/>
                <w:sz w:val="20"/>
                <w:szCs w:val="20"/>
                <w:lang w:val="en-US"/>
              </w:rPr>
              <w:t>2.7%</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b/>
                <w:bCs/>
                <w:color w:val="000000"/>
                <w:sz w:val="20"/>
                <w:szCs w:val="20"/>
                <w:lang w:val="en-US"/>
              </w:rPr>
            </w:pPr>
            <w:r w:rsidRPr="00E26D0A">
              <w:rPr>
                <w:rFonts w:eastAsia="Times New Roman" w:cs="Times New Roman"/>
                <w:b/>
                <w:bCs/>
                <w:color w:val="000000"/>
                <w:sz w:val="20"/>
                <w:szCs w:val="20"/>
                <w:lang w:val="en-US"/>
              </w:rPr>
              <w:t>3.7%</w:t>
            </w:r>
          </w:p>
        </w:tc>
      </w:tr>
      <w:tr w:rsidR="0022343E" w:rsidRPr="00E26D0A" w:rsidTr="005B601D">
        <w:trPr>
          <w:trHeight w:val="360"/>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r w:rsidRPr="00E26D0A">
              <w:rPr>
                <w:rFonts w:eastAsia="Times New Roman" w:cs="Times New Roman"/>
                <w:b/>
                <w:bCs/>
                <w:sz w:val="20"/>
                <w:szCs w:val="20"/>
                <w:lang w:val="en-US"/>
              </w:rPr>
              <w:t>Far East</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rPr>
                <w:rFonts w:eastAsia="Times New Roman" w:cs="Times New Roman"/>
                <w:color w:val="000000"/>
                <w:sz w:val="20"/>
                <w:szCs w:val="20"/>
                <w:lang w:val="en-US"/>
              </w:rPr>
            </w:pPr>
            <w:r w:rsidRPr="00E26D0A">
              <w:rPr>
                <w:rFonts w:eastAsia="Times New Roman" w:cs="Times New Roman"/>
                <w:color w:val="000000"/>
                <w:sz w:val="20"/>
                <w:szCs w:val="20"/>
                <w:lang w:val="en-US"/>
              </w:rPr>
              <w:t> </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Pakistan</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110107</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130575</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157472</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1.7%</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1.9%</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India</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706967</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976663</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1313191</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3.3%</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3.0%</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Sri Lanka</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23995</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31730</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49520</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2.8%</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4.6%</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China</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4997</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140371</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584379</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39.6%</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15.3%</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w:t>
            </w:r>
            <w:proofErr w:type="spellStart"/>
            <w:r w:rsidRPr="00E26D0A">
              <w:rPr>
                <w:rFonts w:eastAsia="Times New Roman" w:cs="Times New Roman"/>
                <w:sz w:val="20"/>
                <w:szCs w:val="20"/>
                <w:lang w:val="en-US"/>
              </w:rPr>
              <w:t>VietNam</w:t>
            </w:r>
            <w:proofErr w:type="spellEnd"/>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45</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207</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331</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16.5%</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4.8%</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Bangladesh</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40772</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62370</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93679</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4.3%</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4.2%</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Malaysia</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14445</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36481</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59942</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9.7%</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5.1%</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Nepal</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8810</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8872</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9781</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0.1%</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1.0%</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Indonesia</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36923</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36238</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55528</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-0.2%</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4.4%</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Other</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56614</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72915</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81511</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2.6%</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1.1%</w:t>
            </w:r>
          </w:p>
        </w:tc>
      </w:tr>
      <w:tr w:rsidR="0022343E" w:rsidRPr="00E26D0A" w:rsidTr="005B601D">
        <w:trPr>
          <w:trHeight w:val="360"/>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r w:rsidRPr="00E26D0A">
              <w:rPr>
                <w:rFonts w:eastAsia="Times New Roman" w:cs="Times New Roman"/>
                <w:b/>
                <w:bCs/>
                <w:sz w:val="20"/>
                <w:szCs w:val="20"/>
                <w:lang w:val="en-US"/>
              </w:rPr>
              <w:t>Africa</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rPr>
                <w:rFonts w:eastAsia="Times New Roman" w:cs="Times New Roman"/>
                <w:color w:val="000000"/>
                <w:sz w:val="20"/>
                <w:szCs w:val="20"/>
                <w:lang w:val="en-US"/>
              </w:rPr>
            </w:pPr>
            <w:r w:rsidRPr="00E26D0A">
              <w:rPr>
                <w:rFonts w:eastAsia="Times New Roman" w:cs="Times New Roman"/>
                <w:color w:val="000000"/>
                <w:sz w:val="20"/>
                <w:szCs w:val="20"/>
                <w:lang w:val="en-US"/>
              </w:rPr>
              <w:t> </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Kenya</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12968</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27158</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49126</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7.7%</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6.1%</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Malawi</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1281</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4236</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10873</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12.7%</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9.9%</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Morocco</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163</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167</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327</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0.2%</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7.0%</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Zimbabwe</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4762</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2600</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4758</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-5.9%</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6.2%</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Rwanda</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1287</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1541</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1069</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1.8%</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-3.6%</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South Africa</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17052</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22140</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30453</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2.6%</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3.2%</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Uganda</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1463</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4700</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8489</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12.4%</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6.1%</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Tanzania United Rep</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6545</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5684</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7884</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-1.4%</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3.3%</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Other</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59029</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76764</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100489</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2.7%</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2.7%</w:t>
            </w:r>
          </w:p>
        </w:tc>
      </w:tr>
      <w:tr w:rsidR="0022343E" w:rsidRPr="00E26D0A" w:rsidTr="005B601D">
        <w:trPr>
          <w:trHeight w:val="360"/>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r w:rsidRPr="00E26D0A">
              <w:rPr>
                <w:rFonts w:eastAsia="Times New Roman" w:cs="Times New Roman"/>
                <w:b/>
                <w:bCs/>
                <w:sz w:val="20"/>
                <w:szCs w:val="20"/>
                <w:lang w:val="en-US"/>
              </w:rPr>
              <w:t>Near East</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rPr>
                <w:rFonts w:eastAsia="Times New Roman" w:cs="Times New Roman"/>
                <w:color w:val="000000"/>
                <w:sz w:val="20"/>
                <w:szCs w:val="20"/>
                <w:lang w:val="en-US"/>
              </w:rPr>
            </w:pPr>
            <w:r w:rsidRPr="00E26D0A">
              <w:rPr>
                <w:rFonts w:eastAsia="Times New Roman" w:cs="Times New Roman"/>
                <w:color w:val="000000"/>
                <w:sz w:val="20"/>
                <w:szCs w:val="20"/>
                <w:lang w:val="en-US"/>
              </w:rPr>
              <w:t> </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Iran Islamic Rep. of</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76198</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83118</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119309</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0.9%</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3.7%</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Turkey</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168248</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234037</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262856</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3.4%</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1.2%</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Iraq</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49564</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34517</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34104</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-3.6%</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-0.1%</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Saudi Arabia</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21162</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30843</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46767</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3.8%</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4.3%</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Syria</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30041</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30333</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31547</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0.1%</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0.4%</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United Arab Emirates</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39286</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40000</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66304</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0.2%</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5.2%</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Egypt</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70016</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97425</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139675</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3.4%</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3.7%</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Libyan Arab Jam.</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10294</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13227</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11628</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2.5%</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-1.3%</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Sudan</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14667</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25900</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50715</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5.9%</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7.0%</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Jordan</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4843</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5404</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5945</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1.1%</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1.0%</w:t>
            </w:r>
          </w:p>
        </w:tc>
      </w:tr>
      <w:tr w:rsidR="0022343E" w:rsidRPr="00E26D0A" w:rsidTr="005B601D">
        <w:trPr>
          <w:trHeight w:hRule="exact" w:val="284"/>
        </w:trPr>
        <w:tc>
          <w:tcPr>
            <w:tcW w:w="2250" w:type="dxa"/>
            <w:tcBorders>
              <w:top w:val="nil"/>
              <w:left w:val="single" w:sz="4" w:space="0" w:color="auto"/>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Israel</w:t>
            </w:r>
          </w:p>
        </w:tc>
        <w:tc>
          <w:tcPr>
            <w:tcW w:w="975" w:type="dxa"/>
            <w:tcBorders>
              <w:top w:val="nil"/>
              <w:left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1870</w:t>
            </w:r>
          </w:p>
        </w:tc>
        <w:tc>
          <w:tcPr>
            <w:tcW w:w="1480" w:type="dxa"/>
            <w:tcBorders>
              <w:top w:val="nil"/>
              <w:left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1065</w:t>
            </w:r>
          </w:p>
        </w:tc>
        <w:tc>
          <w:tcPr>
            <w:tcW w:w="1415" w:type="dxa"/>
            <w:tcBorders>
              <w:top w:val="nil"/>
              <w:left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1556</w:t>
            </w:r>
          </w:p>
        </w:tc>
        <w:tc>
          <w:tcPr>
            <w:tcW w:w="1890" w:type="dxa"/>
            <w:tcBorders>
              <w:top w:val="nil"/>
              <w:left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-5.5%</w:t>
            </w:r>
          </w:p>
        </w:tc>
        <w:tc>
          <w:tcPr>
            <w:tcW w:w="1620" w:type="dxa"/>
            <w:tcBorders>
              <w:top w:val="nil"/>
              <w:left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3.9%</w:t>
            </w:r>
          </w:p>
        </w:tc>
      </w:tr>
      <w:tr w:rsidR="0022343E" w:rsidRPr="00E26D0A" w:rsidTr="005B601D">
        <w:trPr>
          <w:trHeight w:hRule="exact" w:val="284"/>
        </w:trPr>
        <w:tc>
          <w:tcPr>
            <w:tcW w:w="2250" w:type="dxa"/>
            <w:tcBorders>
              <w:top w:val="nil"/>
              <w:left w:val="single" w:sz="4" w:space="0" w:color="auto"/>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Other</w:t>
            </w:r>
          </w:p>
        </w:tc>
        <w:tc>
          <w:tcPr>
            <w:tcW w:w="975" w:type="dxa"/>
            <w:tcBorders>
              <w:top w:val="nil"/>
              <w:left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60457</w:t>
            </w:r>
          </w:p>
        </w:tc>
        <w:tc>
          <w:tcPr>
            <w:tcW w:w="1480" w:type="dxa"/>
            <w:tcBorders>
              <w:top w:val="nil"/>
              <w:left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89171</w:t>
            </w:r>
          </w:p>
        </w:tc>
        <w:tc>
          <w:tcPr>
            <w:tcW w:w="1415" w:type="dxa"/>
            <w:tcBorders>
              <w:top w:val="nil"/>
              <w:left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151577</w:t>
            </w:r>
          </w:p>
        </w:tc>
        <w:tc>
          <w:tcPr>
            <w:tcW w:w="1890" w:type="dxa"/>
            <w:tcBorders>
              <w:top w:val="nil"/>
              <w:left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4.0%</w:t>
            </w:r>
          </w:p>
        </w:tc>
        <w:tc>
          <w:tcPr>
            <w:tcW w:w="1620" w:type="dxa"/>
            <w:tcBorders>
              <w:top w:val="nil"/>
              <w:left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5.4%</w:t>
            </w:r>
          </w:p>
        </w:tc>
      </w:tr>
      <w:tr w:rsidR="0022343E" w:rsidRPr="00E26D0A" w:rsidTr="005B601D">
        <w:trPr>
          <w:trHeight w:val="80"/>
        </w:trPr>
        <w:tc>
          <w:tcPr>
            <w:tcW w:w="2250" w:type="dxa"/>
            <w:tcBorders>
              <w:top w:val="nil"/>
              <w:left w:val="single" w:sz="4" w:space="0" w:color="auto"/>
              <w:bottom w:val="single" w:sz="4" w:space="0" w:color="auto"/>
              <w:right w:val="nil"/>
            </w:tcBorders>
            <w:shd w:val="clear" w:color="auto" w:fill="auto"/>
            <w:noWrap/>
            <w:vAlign w:val="bottom"/>
          </w:tcPr>
          <w:p w:rsidR="0022343E" w:rsidRPr="00E26D0A" w:rsidRDefault="0022343E" w:rsidP="005B601D">
            <w:pPr>
              <w:spacing w:after="0"/>
              <w:rPr>
                <w:rFonts w:eastAsia="Times New Roman" w:cs="Times New Roman"/>
                <w:sz w:val="20"/>
                <w:szCs w:val="20"/>
                <w:lang w:val="en-US"/>
              </w:rPr>
            </w:pPr>
          </w:p>
        </w:tc>
        <w:tc>
          <w:tcPr>
            <w:tcW w:w="975" w:type="dxa"/>
            <w:tcBorders>
              <w:top w:val="nil"/>
              <w:left w:val="nil"/>
              <w:bottom w:val="single" w:sz="4" w:space="0" w:color="auto"/>
              <w:right w:val="nil"/>
            </w:tcBorders>
            <w:shd w:val="clear" w:color="auto" w:fill="auto"/>
            <w:noWrap/>
            <w:vAlign w:val="bottom"/>
          </w:tcPr>
          <w:p w:rsidR="0022343E" w:rsidRPr="00E26D0A" w:rsidRDefault="0022343E" w:rsidP="005B601D">
            <w:pPr>
              <w:spacing w:after="0"/>
              <w:jc w:val="right"/>
              <w:rPr>
                <w:rFonts w:eastAsia="Times New Roman" w:cs="Times New Roman"/>
                <w:sz w:val="20"/>
                <w:szCs w:val="20"/>
                <w:lang w:val="en-US"/>
              </w:rPr>
            </w:pPr>
          </w:p>
        </w:tc>
        <w:tc>
          <w:tcPr>
            <w:tcW w:w="1480" w:type="dxa"/>
            <w:tcBorders>
              <w:top w:val="nil"/>
              <w:left w:val="nil"/>
              <w:bottom w:val="single" w:sz="4" w:space="0" w:color="auto"/>
              <w:right w:val="nil"/>
            </w:tcBorders>
            <w:shd w:val="clear" w:color="auto" w:fill="auto"/>
            <w:noWrap/>
            <w:vAlign w:val="bottom"/>
          </w:tcPr>
          <w:p w:rsidR="0022343E" w:rsidRPr="00E26D0A" w:rsidRDefault="0022343E" w:rsidP="005B601D">
            <w:pPr>
              <w:spacing w:after="0"/>
              <w:jc w:val="right"/>
              <w:rPr>
                <w:rFonts w:eastAsia="Times New Roman" w:cs="Times New Roman"/>
                <w:sz w:val="20"/>
                <w:szCs w:val="20"/>
                <w:lang w:val="en-US"/>
              </w:rPr>
            </w:pPr>
          </w:p>
        </w:tc>
        <w:tc>
          <w:tcPr>
            <w:tcW w:w="1415" w:type="dxa"/>
            <w:tcBorders>
              <w:top w:val="nil"/>
              <w:left w:val="nil"/>
              <w:bottom w:val="single" w:sz="4" w:space="0" w:color="auto"/>
              <w:right w:val="nil"/>
            </w:tcBorders>
            <w:shd w:val="clear" w:color="auto" w:fill="auto"/>
            <w:noWrap/>
            <w:vAlign w:val="bottom"/>
          </w:tcPr>
          <w:p w:rsidR="0022343E" w:rsidRPr="00E26D0A" w:rsidRDefault="0022343E" w:rsidP="005B601D">
            <w:pPr>
              <w:spacing w:after="0"/>
              <w:jc w:val="right"/>
              <w:rPr>
                <w:rFonts w:eastAsia="Times New Roman" w:cs="Times New Roman"/>
                <w:sz w:val="20"/>
                <w:szCs w:val="20"/>
                <w:lang w:val="en-US"/>
              </w:rPr>
            </w:pPr>
          </w:p>
        </w:tc>
        <w:tc>
          <w:tcPr>
            <w:tcW w:w="1890" w:type="dxa"/>
            <w:tcBorders>
              <w:top w:val="nil"/>
              <w:left w:val="nil"/>
              <w:bottom w:val="single" w:sz="4" w:space="0" w:color="auto"/>
              <w:right w:val="nil"/>
            </w:tcBorders>
            <w:shd w:val="clear" w:color="auto" w:fill="auto"/>
            <w:noWrap/>
            <w:vAlign w:val="bottom"/>
          </w:tcPr>
          <w:p w:rsidR="0022343E" w:rsidRPr="00E26D0A" w:rsidRDefault="0022343E" w:rsidP="005B601D">
            <w:pPr>
              <w:spacing w:after="0"/>
              <w:jc w:val="right"/>
              <w:rPr>
                <w:rFonts w:eastAsia="Times New Roman" w:cs="Times New Roman"/>
                <w:color w:val="000000"/>
                <w:sz w:val="20"/>
                <w:szCs w:val="20"/>
                <w:lang w:val="en-US"/>
              </w:rPr>
            </w:pPr>
          </w:p>
        </w:tc>
        <w:tc>
          <w:tcPr>
            <w:tcW w:w="1620" w:type="dxa"/>
            <w:tcBorders>
              <w:top w:val="nil"/>
              <w:left w:val="nil"/>
              <w:bottom w:val="single" w:sz="4" w:space="0" w:color="auto"/>
              <w:right w:val="single" w:sz="4" w:space="0" w:color="auto"/>
            </w:tcBorders>
            <w:shd w:val="clear" w:color="auto" w:fill="auto"/>
            <w:noWrap/>
            <w:vAlign w:val="bottom"/>
          </w:tcPr>
          <w:p w:rsidR="0022343E" w:rsidRPr="00E26D0A" w:rsidRDefault="0022343E" w:rsidP="005B601D">
            <w:pPr>
              <w:spacing w:after="0"/>
              <w:jc w:val="right"/>
              <w:rPr>
                <w:rFonts w:eastAsia="Times New Roman" w:cs="Times New Roman"/>
                <w:color w:val="000000"/>
                <w:sz w:val="20"/>
                <w:szCs w:val="20"/>
                <w:lang w:val="en-US"/>
              </w:rPr>
            </w:pPr>
          </w:p>
        </w:tc>
      </w:tr>
      <w:tr w:rsidR="0022343E" w:rsidRPr="00E26D0A" w:rsidTr="005B601D">
        <w:trPr>
          <w:trHeight w:val="360"/>
        </w:trPr>
        <w:tc>
          <w:tcPr>
            <w:tcW w:w="3225" w:type="dxa"/>
            <w:gridSpan w:val="2"/>
            <w:tcBorders>
              <w:top w:val="single" w:sz="4" w:space="0" w:color="auto"/>
              <w:bottom w:val="nil"/>
              <w:right w:val="nil"/>
            </w:tcBorders>
            <w:shd w:val="clear" w:color="auto" w:fill="auto"/>
            <w:noWrap/>
            <w:vAlign w:val="bottom"/>
          </w:tcPr>
          <w:p w:rsidR="0022343E" w:rsidRPr="00E26D0A" w:rsidRDefault="0022343E" w:rsidP="005B601D">
            <w:pPr>
              <w:spacing w:after="0"/>
              <w:jc w:val="right"/>
              <w:rPr>
                <w:rFonts w:eastAsia="Times New Roman" w:cs="Times New Roman"/>
                <w:b/>
                <w:bCs/>
                <w:sz w:val="20"/>
                <w:szCs w:val="20"/>
                <w:lang w:val="en-US"/>
              </w:rPr>
            </w:pPr>
          </w:p>
        </w:tc>
        <w:tc>
          <w:tcPr>
            <w:tcW w:w="1480" w:type="dxa"/>
            <w:tcBorders>
              <w:top w:val="single" w:sz="4" w:space="0" w:color="auto"/>
              <w:left w:val="nil"/>
              <w:bottom w:val="nil"/>
              <w:right w:val="nil"/>
            </w:tcBorders>
            <w:shd w:val="clear" w:color="auto" w:fill="auto"/>
            <w:noWrap/>
            <w:vAlign w:val="bottom"/>
          </w:tcPr>
          <w:p w:rsidR="0022343E" w:rsidRPr="00E26D0A" w:rsidRDefault="0022343E" w:rsidP="005B601D">
            <w:pPr>
              <w:spacing w:after="0"/>
              <w:rPr>
                <w:rFonts w:eastAsia="Times New Roman" w:cs="Times New Roman"/>
                <w:b/>
                <w:bCs/>
                <w:sz w:val="20"/>
                <w:szCs w:val="20"/>
                <w:lang w:val="en-US"/>
              </w:rPr>
            </w:pPr>
          </w:p>
        </w:tc>
        <w:tc>
          <w:tcPr>
            <w:tcW w:w="1415" w:type="dxa"/>
            <w:tcBorders>
              <w:top w:val="single" w:sz="4" w:space="0" w:color="auto"/>
              <w:left w:val="nil"/>
              <w:bottom w:val="nil"/>
              <w:right w:val="nil"/>
            </w:tcBorders>
            <w:shd w:val="clear" w:color="auto" w:fill="auto"/>
            <w:noWrap/>
            <w:vAlign w:val="bottom"/>
          </w:tcPr>
          <w:p w:rsidR="0022343E" w:rsidRPr="00E26D0A" w:rsidRDefault="0022343E" w:rsidP="005B601D">
            <w:pPr>
              <w:spacing w:after="0"/>
              <w:rPr>
                <w:rFonts w:eastAsia="Times New Roman" w:cs="Times New Roman"/>
                <w:sz w:val="20"/>
                <w:szCs w:val="20"/>
                <w:lang w:val="en-US"/>
              </w:rPr>
            </w:pPr>
          </w:p>
        </w:tc>
        <w:tc>
          <w:tcPr>
            <w:tcW w:w="1890" w:type="dxa"/>
            <w:tcBorders>
              <w:top w:val="single" w:sz="4" w:space="0" w:color="auto"/>
              <w:left w:val="nil"/>
              <w:bottom w:val="nil"/>
              <w:right w:val="nil"/>
            </w:tcBorders>
            <w:shd w:val="clear" w:color="auto" w:fill="auto"/>
            <w:noWrap/>
            <w:vAlign w:val="bottom"/>
          </w:tcPr>
          <w:p w:rsidR="0022343E" w:rsidRPr="00E26D0A" w:rsidRDefault="0022343E" w:rsidP="005B601D">
            <w:pPr>
              <w:spacing w:after="0"/>
              <w:rPr>
                <w:rFonts w:eastAsia="Times New Roman" w:cs="Times New Roman"/>
                <w:sz w:val="20"/>
                <w:szCs w:val="20"/>
                <w:lang w:val="en-US"/>
              </w:rPr>
            </w:pPr>
          </w:p>
        </w:tc>
        <w:tc>
          <w:tcPr>
            <w:tcW w:w="1620" w:type="dxa"/>
            <w:tcBorders>
              <w:top w:val="single" w:sz="4" w:space="0" w:color="auto"/>
              <w:left w:val="nil"/>
              <w:bottom w:val="nil"/>
            </w:tcBorders>
            <w:shd w:val="clear" w:color="auto" w:fill="auto"/>
            <w:noWrap/>
            <w:vAlign w:val="bottom"/>
          </w:tcPr>
          <w:p w:rsidR="0022343E" w:rsidRDefault="0022343E" w:rsidP="005B601D">
            <w:pPr>
              <w:spacing w:after="0"/>
              <w:rPr>
                <w:rFonts w:eastAsia="Times New Roman" w:cs="Times New Roman"/>
                <w:color w:val="000000"/>
                <w:sz w:val="20"/>
                <w:szCs w:val="20"/>
                <w:lang w:val="en-US"/>
              </w:rPr>
            </w:pPr>
            <w:r>
              <w:rPr>
                <w:rFonts w:eastAsia="Times New Roman" w:cs="Times New Roman"/>
                <w:color w:val="000000"/>
                <w:sz w:val="20"/>
                <w:szCs w:val="20"/>
                <w:lang w:val="en-US"/>
              </w:rPr>
              <w:t xml:space="preserve">                (cont.)</w:t>
            </w:r>
          </w:p>
        </w:tc>
      </w:tr>
      <w:tr w:rsidR="0022343E" w:rsidRPr="00E26D0A" w:rsidTr="005B601D">
        <w:trPr>
          <w:trHeight w:val="360"/>
        </w:trPr>
        <w:tc>
          <w:tcPr>
            <w:tcW w:w="9630" w:type="dxa"/>
            <w:gridSpan w:val="6"/>
            <w:tcBorders>
              <w:bottom w:val="nil"/>
            </w:tcBorders>
            <w:shd w:val="clear" w:color="auto" w:fill="auto"/>
            <w:noWrap/>
            <w:vAlign w:val="bottom"/>
          </w:tcPr>
          <w:p w:rsidR="0022343E" w:rsidRDefault="0022343E" w:rsidP="005B601D">
            <w:pPr>
              <w:spacing w:after="0"/>
              <w:rPr>
                <w:rFonts w:eastAsia="Times New Roman" w:cs="Times New Roman"/>
                <w:b/>
                <w:bCs/>
                <w:sz w:val="20"/>
                <w:szCs w:val="20"/>
                <w:lang w:val="en-US"/>
              </w:rPr>
            </w:pPr>
          </w:p>
          <w:p w:rsidR="0022343E" w:rsidRDefault="0022343E" w:rsidP="005B601D">
            <w:pPr>
              <w:spacing w:after="0"/>
              <w:rPr>
                <w:rFonts w:eastAsia="Times New Roman" w:cs="Times New Roman"/>
                <w:b/>
                <w:bCs/>
                <w:sz w:val="20"/>
                <w:szCs w:val="20"/>
                <w:lang w:val="en-US"/>
              </w:rPr>
            </w:pPr>
          </w:p>
          <w:p w:rsidR="0022343E" w:rsidRDefault="0022343E" w:rsidP="005B601D">
            <w:pPr>
              <w:spacing w:after="0"/>
              <w:rPr>
                <w:rFonts w:eastAsia="Times New Roman" w:cs="Times New Roman"/>
                <w:b/>
                <w:bCs/>
                <w:sz w:val="20"/>
                <w:szCs w:val="20"/>
                <w:lang w:val="en-US"/>
              </w:rPr>
            </w:pPr>
          </w:p>
          <w:p w:rsidR="0022343E" w:rsidRDefault="0022343E" w:rsidP="005B601D">
            <w:pPr>
              <w:spacing w:after="0"/>
              <w:rPr>
                <w:rFonts w:eastAsia="Times New Roman" w:cs="Times New Roman"/>
                <w:b/>
                <w:bCs/>
                <w:sz w:val="20"/>
                <w:szCs w:val="20"/>
                <w:lang w:val="en-US"/>
              </w:rPr>
            </w:pPr>
          </w:p>
          <w:p w:rsidR="0022343E" w:rsidRDefault="0022343E" w:rsidP="005B601D">
            <w:pPr>
              <w:spacing w:after="0"/>
              <w:rPr>
                <w:rFonts w:eastAsia="Times New Roman" w:cs="Times New Roman"/>
                <w:b/>
                <w:bCs/>
                <w:sz w:val="20"/>
                <w:szCs w:val="20"/>
                <w:lang w:val="en-US"/>
              </w:rPr>
            </w:pPr>
          </w:p>
          <w:p w:rsidR="0022343E" w:rsidRDefault="0022343E" w:rsidP="005B601D">
            <w:pPr>
              <w:spacing w:after="0"/>
              <w:rPr>
                <w:rFonts w:eastAsia="Times New Roman" w:cs="Times New Roman"/>
                <w:b/>
                <w:bCs/>
                <w:sz w:val="20"/>
                <w:szCs w:val="20"/>
                <w:lang w:val="en-US"/>
              </w:rPr>
            </w:pPr>
          </w:p>
          <w:p w:rsidR="0022343E" w:rsidRPr="00E26D0A" w:rsidRDefault="0022343E" w:rsidP="005B601D">
            <w:pPr>
              <w:spacing w:after="0"/>
              <w:rPr>
                <w:rFonts w:eastAsia="Times New Roman" w:cs="Times New Roman"/>
                <w:color w:val="000000"/>
                <w:sz w:val="20"/>
                <w:szCs w:val="20"/>
                <w:lang w:val="en-US"/>
              </w:rPr>
            </w:pPr>
            <w:r>
              <w:rPr>
                <w:rFonts w:eastAsia="Times New Roman" w:cs="Times New Roman"/>
                <w:b/>
                <w:bCs/>
                <w:sz w:val="20"/>
                <w:szCs w:val="20"/>
                <w:lang w:val="en-US"/>
              </w:rPr>
              <w:lastRenderedPageBreak/>
              <w:t>Table 3</w:t>
            </w:r>
            <w:r w:rsidRPr="00E26D0A">
              <w:rPr>
                <w:rFonts w:eastAsia="Times New Roman" w:cs="Times New Roman"/>
                <w:b/>
                <w:bCs/>
                <w:sz w:val="20"/>
                <w:szCs w:val="20"/>
                <w:lang w:val="en-US"/>
              </w:rPr>
              <w:t>. Black Tea: Consumption</w:t>
            </w:r>
            <w:r>
              <w:rPr>
                <w:rFonts w:eastAsia="Times New Roman" w:cs="Times New Roman"/>
                <w:b/>
                <w:bCs/>
                <w:sz w:val="20"/>
                <w:szCs w:val="20"/>
                <w:lang w:val="en-US"/>
              </w:rPr>
              <w:t xml:space="preserve"> (cont’d.)</w:t>
            </w:r>
            <w:r>
              <w:rPr>
                <w:rFonts w:eastAsia="Times New Roman" w:cs="Times New Roman"/>
                <w:color w:val="000000"/>
                <w:sz w:val="20"/>
                <w:szCs w:val="20"/>
                <w:lang w:val="en-US"/>
              </w:rPr>
              <w:t xml:space="preserve"> </w:t>
            </w:r>
          </w:p>
        </w:tc>
      </w:tr>
      <w:tr w:rsidR="0022343E" w:rsidRPr="00E26D0A" w:rsidTr="005B601D">
        <w:trPr>
          <w:trHeight w:val="360"/>
        </w:trPr>
        <w:tc>
          <w:tcPr>
            <w:tcW w:w="3225" w:type="dxa"/>
            <w:gridSpan w:val="2"/>
            <w:tcBorders>
              <w:top w:val="single" w:sz="4" w:space="0" w:color="auto"/>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r w:rsidRPr="00E26D0A">
              <w:rPr>
                <w:rFonts w:eastAsia="Times New Roman" w:cs="Times New Roman"/>
                <w:b/>
                <w:bCs/>
                <w:sz w:val="20"/>
                <w:szCs w:val="20"/>
                <w:lang w:val="en-US"/>
              </w:rPr>
              <w:lastRenderedPageBreak/>
              <w:t>Latin America and Caribbean</w:t>
            </w:r>
          </w:p>
        </w:tc>
        <w:tc>
          <w:tcPr>
            <w:tcW w:w="1480" w:type="dxa"/>
            <w:tcBorders>
              <w:top w:val="single" w:sz="4" w:space="0" w:color="auto"/>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p>
        </w:tc>
        <w:tc>
          <w:tcPr>
            <w:tcW w:w="1415" w:type="dxa"/>
            <w:tcBorders>
              <w:top w:val="single" w:sz="4" w:space="0" w:color="auto"/>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890" w:type="dxa"/>
            <w:tcBorders>
              <w:top w:val="single" w:sz="4" w:space="0" w:color="auto"/>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620" w:type="dxa"/>
            <w:tcBorders>
              <w:top w:val="single" w:sz="4" w:space="0" w:color="auto"/>
              <w:left w:val="nil"/>
              <w:bottom w:val="nil"/>
              <w:right w:val="single" w:sz="4" w:space="0" w:color="auto"/>
            </w:tcBorders>
            <w:shd w:val="clear" w:color="auto" w:fill="auto"/>
            <w:noWrap/>
            <w:vAlign w:val="bottom"/>
            <w:hideMark/>
          </w:tcPr>
          <w:p w:rsidR="0022343E" w:rsidRPr="00E26D0A" w:rsidRDefault="0022343E" w:rsidP="005B601D">
            <w:pPr>
              <w:spacing w:after="0"/>
              <w:rPr>
                <w:rFonts w:eastAsia="Times New Roman" w:cs="Times New Roman"/>
                <w:color w:val="000000"/>
                <w:sz w:val="20"/>
                <w:szCs w:val="20"/>
                <w:lang w:val="en-US"/>
              </w:rPr>
            </w:pPr>
            <w:r w:rsidRPr="00E26D0A">
              <w:rPr>
                <w:rFonts w:eastAsia="Times New Roman" w:cs="Times New Roman"/>
                <w:color w:val="000000"/>
                <w:sz w:val="20"/>
                <w:szCs w:val="20"/>
                <w:lang w:val="en-US"/>
              </w:rPr>
              <w:t> </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Argentina</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7950</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5056</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5120</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-4.4%</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0.1%</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Brazil</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4478</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6961</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10527</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4.5%</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4.2%</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Other</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27327</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32482</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37841</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1.7%</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1.5%</w:t>
            </w:r>
          </w:p>
        </w:tc>
      </w:tr>
      <w:tr w:rsidR="0022343E" w:rsidRPr="00E26D0A" w:rsidTr="005B601D">
        <w:trPr>
          <w:trHeight w:val="360"/>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r w:rsidRPr="00E26D0A">
              <w:rPr>
                <w:rFonts w:eastAsia="Times New Roman" w:cs="Times New Roman"/>
                <w:b/>
                <w:bCs/>
                <w:sz w:val="20"/>
                <w:szCs w:val="20"/>
                <w:lang w:val="en-US"/>
              </w:rPr>
              <w:t>North America</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rPr>
                <w:rFonts w:eastAsia="Times New Roman" w:cs="Times New Roman"/>
                <w:color w:val="000000"/>
                <w:sz w:val="20"/>
                <w:szCs w:val="20"/>
                <w:lang w:val="en-US"/>
              </w:rPr>
            </w:pPr>
            <w:r w:rsidRPr="00E26D0A">
              <w:rPr>
                <w:rFonts w:eastAsia="Times New Roman" w:cs="Times New Roman"/>
                <w:color w:val="000000"/>
                <w:sz w:val="20"/>
                <w:szCs w:val="20"/>
                <w:lang w:val="en-US"/>
              </w:rPr>
              <w:t> </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United States</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83086</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107511</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144155</w:t>
            </w:r>
          </w:p>
        </w:tc>
        <w:tc>
          <w:tcPr>
            <w:tcW w:w="1890" w:type="dxa"/>
            <w:tcBorders>
              <w:top w:val="nil"/>
              <w:left w:val="nil"/>
              <w:bottom w:val="nil"/>
              <w:right w:val="nil"/>
            </w:tcBorders>
            <w:shd w:val="clear" w:color="auto" w:fill="auto"/>
            <w:noWrap/>
            <w:vAlign w:val="bottom"/>
            <w:hideMark/>
          </w:tcPr>
          <w:p w:rsidR="0022343E" w:rsidRPr="00DB032E" w:rsidRDefault="0022343E" w:rsidP="005B601D">
            <w:pPr>
              <w:spacing w:after="0"/>
              <w:jc w:val="right"/>
              <w:rPr>
                <w:rFonts w:eastAsia="Times New Roman" w:cs="Times New Roman"/>
                <w:sz w:val="20"/>
                <w:szCs w:val="20"/>
                <w:lang w:val="en-US"/>
              </w:rPr>
            </w:pPr>
            <w:r w:rsidRPr="00DB032E">
              <w:rPr>
                <w:rFonts w:eastAsia="Times New Roman" w:cs="Times New Roman"/>
                <w:sz w:val="20"/>
                <w:szCs w:val="20"/>
                <w:lang w:val="en-US"/>
              </w:rPr>
              <w:t>2.6%</w:t>
            </w:r>
          </w:p>
        </w:tc>
        <w:tc>
          <w:tcPr>
            <w:tcW w:w="1620" w:type="dxa"/>
            <w:tcBorders>
              <w:top w:val="nil"/>
              <w:left w:val="nil"/>
              <w:bottom w:val="nil"/>
              <w:right w:val="single" w:sz="4" w:space="0" w:color="auto"/>
            </w:tcBorders>
            <w:shd w:val="clear" w:color="auto" w:fill="auto"/>
            <w:noWrap/>
            <w:vAlign w:val="bottom"/>
            <w:hideMark/>
          </w:tcPr>
          <w:p w:rsidR="0022343E" w:rsidRPr="00DB032E" w:rsidRDefault="0022343E" w:rsidP="005B601D">
            <w:pPr>
              <w:spacing w:after="0"/>
              <w:jc w:val="right"/>
              <w:rPr>
                <w:rFonts w:eastAsia="Times New Roman" w:cs="Times New Roman"/>
                <w:sz w:val="20"/>
                <w:szCs w:val="20"/>
                <w:lang w:val="en-US"/>
              </w:rPr>
            </w:pPr>
            <w:r w:rsidRPr="00DB032E">
              <w:rPr>
                <w:rFonts w:eastAsia="Times New Roman" w:cs="Times New Roman"/>
                <w:sz w:val="20"/>
                <w:szCs w:val="20"/>
                <w:lang w:val="en-US"/>
              </w:rPr>
              <w:t>3.0%</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Canada</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15113</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13030</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12598</w:t>
            </w:r>
          </w:p>
        </w:tc>
        <w:tc>
          <w:tcPr>
            <w:tcW w:w="1890" w:type="dxa"/>
            <w:tcBorders>
              <w:top w:val="nil"/>
              <w:left w:val="nil"/>
              <w:bottom w:val="nil"/>
              <w:right w:val="nil"/>
            </w:tcBorders>
            <w:shd w:val="clear" w:color="auto" w:fill="auto"/>
            <w:noWrap/>
            <w:vAlign w:val="bottom"/>
            <w:hideMark/>
          </w:tcPr>
          <w:p w:rsidR="0022343E" w:rsidRPr="00DB032E" w:rsidRDefault="0022343E" w:rsidP="005B601D">
            <w:pPr>
              <w:spacing w:after="0"/>
              <w:jc w:val="right"/>
              <w:rPr>
                <w:rFonts w:eastAsia="Times New Roman" w:cs="Times New Roman"/>
                <w:sz w:val="20"/>
                <w:szCs w:val="20"/>
                <w:lang w:val="en-US"/>
              </w:rPr>
            </w:pPr>
            <w:r w:rsidRPr="00DB032E">
              <w:rPr>
                <w:rFonts w:eastAsia="Times New Roman" w:cs="Times New Roman"/>
                <w:sz w:val="20"/>
                <w:szCs w:val="20"/>
                <w:lang w:val="en-US"/>
              </w:rPr>
              <w:t>-1.5%</w:t>
            </w:r>
          </w:p>
        </w:tc>
        <w:tc>
          <w:tcPr>
            <w:tcW w:w="1620" w:type="dxa"/>
            <w:tcBorders>
              <w:top w:val="nil"/>
              <w:left w:val="nil"/>
              <w:bottom w:val="nil"/>
              <w:right w:val="single" w:sz="4" w:space="0" w:color="auto"/>
            </w:tcBorders>
            <w:shd w:val="clear" w:color="auto" w:fill="auto"/>
            <w:noWrap/>
            <w:vAlign w:val="bottom"/>
            <w:hideMark/>
          </w:tcPr>
          <w:p w:rsidR="0022343E" w:rsidRPr="00DB032E" w:rsidRDefault="0022343E" w:rsidP="005B601D">
            <w:pPr>
              <w:spacing w:after="0"/>
              <w:jc w:val="right"/>
              <w:rPr>
                <w:rFonts w:eastAsia="Times New Roman" w:cs="Times New Roman"/>
                <w:sz w:val="20"/>
                <w:szCs w:val="20"/>
                <w:lang w:val="en-US"/>
              </w:rPr>
            </w:pPr>
            <w:r w:rsidRPr="00DB032E">
              <w:rPr>
                <w:rFonts w:eastAsia="Times New Roman" w:cs="Times New Roman"/>
                <w:sz w:val="20"/>
                <w:szCs w:val="20"/>
                <w:lang w:val="en-US"/>
              </w:rPr>
              <w:t>-0.3%</w:t>
            </w:r>
          </w:p>
        </w:tc>
      </w:tr>
      <w:tr w:rsidR="0022343E" w:rsidRPr="00E26D0A" w:rsidTr="005B601D">
        <w:trPr>
          <w:trHeight w:val="360"/>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r w:rsidRPr="00E26D0A">
              <w:rPr>
                <w:rFonts w:eastAsia="Times New Roman" w:cs="Times New Roman"/>
                <w:b/>
                <w:bCs/>
                <w:sz w:val="20"/>
                <w:szCs w:val="20"/>
                <w:lang w:val="en-US"/>
              </w:rPr>
              <w:t>Europe</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rPr>
                <w:rFonts w:eastAsia="Times New Roman" w:cs="Times New Roman"/>
                <w:color w:val="000000"/>
                <w:sz w:val="20"/>
                <w:szCs w:val="20"/>
                <w:lang w:val="en-US"/>
              </w:rPr>
            </w:pPr>
            <w:r w:rsidRPr="00E26D0A">
              <w:rPr>
                <w:rFonts w:eastAsia="Times New Roman" w:cs="Times New Roman"/>
                <w:color w:val="000000"/>
                <w:sz w:val="20"/>
                <w:szCs w:val="20"/>
                <w:lang w:val="en-US"/>
              </w:rPr>
              <w:t> </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EU (28)</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228083</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196591</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190302</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-1.5%</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-0.3%</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UK</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128987</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112174</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100375</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-1.4%</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-1.1%</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Germany</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19310</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21942</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28901</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1.3%</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2.8%</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Poland</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26797</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15343</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11821</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-5.4%</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-2.6%</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Netherlands</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13867</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7854</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12641</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-5.5%</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4.9%</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France</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8322</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7495</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7045</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-1.0%</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-0.6%</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Other EU</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19624</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24605</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22031</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2.3%</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-1.1%</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Other Europe</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4151</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3037</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2292</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-3.1%</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-2.8%</w:t>
            </w:r>
          </w:p>
        </w:tc>
      </w:tr>
      <w:tr w:rsidR="0022343E" w:rsidRPr="00E26D0A" w:rsidTr="005B601D">
        <w:trPr>
          <w:trHeight w:val="360"/>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r w:rsidRPr="00E26D0A">
              <w:rPr>
                <w:rFonts w:eastAsia="Times New Roman" w:cs="Times New Roman"/>
                <w:b/>
                <w:bCs/>
                <w:sz w:val="20"/>
                <w:szCs w:val="20"/>
                <w:lang w:val="en-US"/>
              </w:rPr>
              <w:t>CIS</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rPr>
                <w:rFonts w:eastAsia="Times New Roman" w:cs="Times New Roman"/>
                <w:color w:val="000000"/>
                <w:sz w:val="20"/>
                <w:szCs w:val="20"/>
                <w:lang w:val="en-US"/>
              </w:rPr>
            </w:pPr>
            <w:r w:rsidRPr="00E26D0A">
              <w:rPr>
                <w:rFonts w:eastAsia="Times New Roman" w:cs="Times New Roman"/>
                <w:color w:val="000000"/>
                <w:sz w:val="20"/>
                <w:szCs w:val="20"/>
                <w:lang w:val="en-US"/>
              </w:rPr>
              <w:t> </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Russian Federation</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154391</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151905</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139379</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-0.2%</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-0.9%</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 xml:space="preserve">  Other CIS</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64019</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97154</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160739</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4.3%</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5.2%</w:t>
            </w:r>
          </w:p>
        </w:tc>
      </w:tr>
      <w:tr w:rsidR="0022343E" w:rsidRPr="00E26D0A" w:rsidTr="005B601D">
        <w:trPr>
          <w:trHeight w:hRule="exact" w:val="284"/>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sz w:val="20"/>
                <w:szCs w:val="20"/>
                <w:lang w:val="en-US"/>
              </w:rPr>
            </w:pPr>
            <w:r w:rsidRPr="00E26D0A">
              <w:rPr>
                <w:rFonts w:eastAsia="Times New Roman" w:cs="Times New Roman"/>
                <w:sz w:val="20"/>
                <w:szCs w:val="20"/>
                <w:lang w:val="en-US"/>
              </w:rPr>
              <w:t>Japan</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15567</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15910</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17243</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0.2%</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0.8%</w:t>
            </w:r>
          </w:p>
        </w:tc>
      </w:tr>
      <w:tr w:rsidR="0022343E" w:rsidRPr="00E26D0A" w:rsidTr="005B601D">
        <w:trPr>
          <w:trHeight w:val="360"/>
        </w:trPr>
        <w:tc>
          <w:tcPr>
            <w:tcW w:w="2250" w:type="dxa"/>
            <w:tcBorders>
              <w:top w:val="nil"/>
              <w:left w:val="single" w:sz="4" w:space="0" w:color="auto"/>
              <w:bottom w:val="nil"/>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r w:rsidRPr="00E26D0A">
              <w:rPr>
                <w:rFonts w:eastAsia="Times New Roman" w:cs="Times New Roman"/>
                <w:b/>
                <w:bCs/>
                <w:sz w:val="20"/>
                <w:szCs w:val="20"/>
                <w:lang w:val="en-US"/>
              </w:rPr>
              <w:t>Oceania</w:t>
            </w:r>
          </w:p>
        </w:tc>
        <w:tc>
          <w:tcPr>
            <w:tcW w:w="97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16321</w:t>
            </w:r>
          </w:p>
        </w:tc>
        <w:tc>
          <w:tcPr>
            <w:tcW w:w="148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15170</w:t>
            </w:r>
          </w:p>
        </w:tc>
        <w:tc>
          <w:tcPr>
            <w:tcW w:w="1415"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sz w:val="20"/>
                <w:szCs w:val="20"/>
                <w:lang w:val="en-US"/>
              </w:rPr>
            </w:pPr>
            <w:r w:rsidRPr="00E26D0A">
              <w:rPr>
                <w:rFonts w:eastAsia="Times New Roman" w:cs="Times New Roman"/>
                <w:sz w:val="20"/>
                <w:szCs w:val="20"/>
                <w:lang w:val="en-US"/>
              </w:rPr>
              <w:t>13793</w:t>
            </w:r>
          </w:p>
        </w:tc>
        <w:tc>
          <w:tcPr>
            <w:tcW w:w="1890" w:type="dxa"/>
            <w:tcBorders>
              <w:top w:val="nil"/>
              <w:left w:val="nil"/>
              <w:bottom w:val="nil"/>
              <w:right w:val="nil"/>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-0.7%</w:t>
            </w:r>
          </w:p>
        </w:tc>
        <w:tc>
          <w:tcPr>
            <w:tcW w:w="1620" w:type="dxa"/>
            <w:tcBorders>
              <w:top w:val="nil"/>
              <w:left w:val="nil"/>
              <w:bottom w:val="nil"/>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-0.9%</w:t>
            </w:r>
          </w:p>
        </w:tc>
      </w:tr>
      <w:tr w:rsidR="0022343E" w:rsidRPr="00E26D0A" w:rsidTr="005B601D">
        <w:trPr>
          <w:trHeight w:val="255"/>
        </w:trPr>
        <w:tc>
          <w:tcPr>
            <w:tcW w:w="2250" w:type="dxa"/>
            <w:tcBorders>
              <w:top w:val="nil"/>
              <w:left w:val="single" w:sz="4" w:space="0" w:color="auto"/>
              <w:bottom w:val="single" w:sz="4" w:space="0" w:color="auto"/>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r w:rsidRPr="00E26D0A">
              <w:rPr>
                <w:rFonts w:eastAsia="Times New Roman" w:cs="Times New Roman"/>
                <w:b/>
                <w:bCs/>
                <w:sz w:val="20"/>
                <w:szCs w:val="20"/>
                <w:lang w:val="en-US"/>
              </w:rPr>
              <w:t> </w:t>
            </w:r>
          </w:p>
        </w:tc>
        <w:tc>
          <w:tcPr>
            <w:tcW w:w="975" w:type="dxa"/>
            <w:tcBorders>
              <w:top w:val="nil"/>
              <w:left w:val="nil"/>
              <w:bottom w:val="single" w:sz="4" w:space="0" w:color="auto"/>
              <w:right w:val="nil"/>
            </w:tcBorders>
            <w:shd w:val="clear" w:color="auto" w:fill="auto"/>
            <w:noWrap/>
            <w:vAlign w:val="bottom"/>
            <w:hideMark/>
          </w:tcPr>
          <w:p w:rsidR="0022343E" w:rsidRPr="00E26D0A" w:rsidRDefault="0022343E" w:rsidP="005B601D">
            <w:pPr>
              <w:spacing w:after="0"/>
              <w:rPr>
                <w:rFonts w:eastAsia="Times New Roman" w:cs="Times New Roman"/>
                <w:b/>
                <w:bCs/>
                <w:sz w:val="20"/>
                <w:szCs w:val="20"/>
                <w:lang w:val="en-US"/>
              </w:rPr>
            </w:pPr>
            <w:r w:rsidRPr="00E26D0A">
              <w:rPr>
                <w:rFonts w:eastAsia="Times New Roman" w:cs="Times New Roman"/>
                <w:b/>
                <w:bCs/>
                <w:sz w:val="20"/>
                <w:szCs w:val="20"/>
                <w:lang w:val="en-US"/>
              </w:rPr>
              <w:t> </w:t>
            </w:r>
          </w:p>
        </w:tc>
        <w:tc>
          <w:tcPr>
            <w:tcW w:w="1480" w:type="dxa"/>
            <w:tcBorders>
              <w:top w:val="nil"/>
              <w:left w:val="nil"/>
              <w:bottom w:val="single" w:sz="4" w:space="0" w:color="auto"/>
              <w:right w:val="nil"/>
            </w:tcBorders>
            <w:shd w:val="clear" w:color="auto" w:fill="auto"/>
            <w:noWrap/>
            <w:vAlign w:val="bottom"/>
            <w:hideMark/>
          </w:tcPr>
          <w:p w:rsidR="0022343E" w:rsidRPr="00E26D0A" w:rsidRDefault="0022343E" w:rsidP="005B601D">
            <w:pPr>
              <w:spacing w:after="0"/>
              <w:jc w:val="right"/>
              <w:rPr>
                <w:rFonts w:eastAsia="Times New Roman" w:cs="Times New Roman"/>
                <w:b/>
                <w:bCs/>
                <w:color w:val="FF0000"/>
                <w:sz w:val="20"/>
                <w:szCs w:val="20"/>
                <w:lang w:val="en-US"/>
              </w:rPr>
            </w:pPr>
            <w:r w:rsidRPr="00E26D0A">
              <w:rPr>
                <w:rFonts w:eastAsia="Times New Roman" w:cs="Times New Roman"/>
                <w:b/>
                <w:bCs/>
                <w:color w:val="FF0000"/>
                <w:sz w:val="20"/>
                <w:szCs w:val="20"/>
                <w:lang w:val="en-US"/>
              </w:rPr>
              <w:t> </w:t>
            </w:r>
          </w:p>
        </w:tc>
        <w:tc>
          <w:tcPr>
            <w:tcW w:w="1415" w:type="dxa"/>
            <w:tcBorders>
              <w:top w:val="nil"/>
              <w:left w:val="nil"/>
              <w:bottom w:val="single" w:sz="4" w:space="0" w:color="auto"/>
              <w:right w:val="nil"/>
            </w:tcBorders>
            <w:shd w:val="clear" w:color="auto" w:fill="auto"/>
            <w:noWrap/>
            <w:vAlign w:val="bottom"/>
            <w:hideMark/>
          </w:tcPr>
          <w:p w:rsidR="0022343E" w:rsidRPr="00E26D0A" w:rsidRDefault="0022343E" w:rsidP="005B601D">
            <w:pPr>
              <w:spacing w:after="0"/>
              <w:jc w:val="right"/>
              <w:rPr>
                <w:rFonts w:eastAsia="Times New Roman" w:cs="Times New Roman"/>
                <w:b/>
                <w:bCs/>
                <w:sz w:val="20"/>
                <w:szCs w:val="20"/>
                <w:lang w:val="en-US"/>
              </w:rPr>
            </w:pPr>
            <w:r w:rsidRPr="00E26D0A">
              <w:rPr>
                <w:rFonts w:eastAsia="Times New Roman" w:cs="Times New Roman"/>
                <w:b/>
                <w:bCs/>
                <w:sz w:val="20"/>
                <w:szCs w:val="20"/>
                <w:lang w:val="en-US"/>
              </w:rPr>
              <w:t> </w:t>
            </w:r>
          </w:p>
        </w:tc>
        <w:tc>
          <w:tcPr>
            <w:tcW w:w="1890" w:type="dxa"/>
            <w:tcBorders>
              <w:top w:val="nil"/>
              <w:left w:val="nil"/>
              <w:bottom w:val="single" w:sz="4" w:space="0" w:color="auto"/>
              <w:right w:val="nil"/>
            </w:tcBorders>
            <w:shd w:val="clear" w:color="auto" w:fill="auto"/>
            <w:noWrap/>
            <w:vAlign w:val="bottom"/>
            <w:hideMark/>
          </w:tcPr>
          <w:p w:rsidR="0022343E" w:rsidRPr="00E26D0A" w:rsidRDefault="0022343E" w:rsidP="005B601D">
            <w:pPr>
              <w:spacing w:after="0"/>
              <w:jc w:val="right"/>
              <w:rPr>
                <w:rFonts w:eastAsia="Times New Roman" w:cs="Times New Roman"/>
                <w:b/>
                <w:bCs/>
                <w:color w:val="FF0000"/>
                <w:sz w:val="20"/>
                <w:szCs w:val="20"/>
                <w:lang w:val="en-US"/>
              </w:rPr>
            </w:pPr>
            <w:r w:rsidRPr="00E26D0A">
              <w:rPr>
                <w:rFonts w:eastAsia="Times New Roman" w:cs="Times New Roman"/>
                <w:b/>
                <w:bCs/>
                <w:color w:val="FF0000"/>
                <w:sz w:val="20"/>
                <w:szCs w:val="20"/>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22343E" w:rsidRPr="00E26D0A" w:rsidRDefault="0022343E" w:rsidP="005B601D">
            <w:pPr>
              <w:spacing w:after="0"/>
              <w:jc w:val="right"/>
              <w:rPr>
                <w:rFonts w:eastAsia="Times New Roman" w:cs="Times New Roman"/>
                <w:b/>
                <w:bCs/>
                <w:sz w:val="20"/>
                <w:szCs w:val="20"/>
                <w:lang w:val="en-US"/>
              </w:rPr>
            </w:pPr>
            <w:r w:rsidRPr="00E26D0A">
              <w:rPr>
                <w:rFonts w:eastAsia="Times New Roman" w:cs="Times New Roman"/>
                <w:b/>
                <w:bCs/>
                <w:sz w:val="20"/>
                <w:szCs w:val="20"/>
                <w:lang w:val="en-US"/>
              </w:rPr>
              <w:t> </w:t>
            </w:r>
          </w:p>
        </w:tc>
      </w:tr>
    </w:tbl>
    <w:p w:rsidR="0022343E" w:rsidRDefault="0022343E"/>
    <w:p w:rsidR="0022343E" w:rsidRDefault="0022343E">
      <w:pPr>
        <w:spacing w:line="276" w:lineRule="auto"/>
      </w:pPr>
      <w:r>
        <w:br w:type="page"/>
      </w:r>
    </w:p>
    <w:tbl>
      <w:tblPr>
        <w:tblW w:w="9619" w:type="dxa"/>
        <w:tblLook w:val="04A0" w:firstRow="1" w:lastRow="0" w:firstColumn="1" w:lastColumn="0" w:noHBand="0" w:noVBand="1"/>
      </w:tblPr>
      <w:tblGrid>
        <w:gridCol w:w="2803"/>
        <w:gridCol w:w="1119"/>
        <w:gridCol w:w="1298"/>
        <w:gridCol w:w="1196"/>
        <w:gridCol w:w="1731"/>
        <w:gridCol w:w="1472"/>
      </w:tblGrid>
      <w:tr w:rsidR="00DB032E" w:rsidRPr="00E26D0A" w:rsidTr="00A81F94">
        <w:trPr>
          <w:trHeight w:val="315"/>
        </w:trPr>
        <w:tc>
          <w:tcPr>
            <w:tcW w:w="6416" w:type="dxa"/>
            <w:gridSpan w:val="4"/>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r>
              <w:rPr>
                <w:rFonts w:eastAsia="Times New Roman" w:cs="Times New Roman"/>
                <w:b/>
                <w:bCs/>
                <w:sz w:val="20"/>
                <w:szCs w:val="20"/>
                <w:lang w:val="en-US"/>
              </w:rPr>
              <w:lastRenderedPageBreak/>
              <w:t>Table 4</w:t>
            </w:r>
            <w:r w:rsidRPr="00E26D0A">
              <w:rPr>
                <w:rFonts w:eastAsia="Times New Roman" w:cs="Times New Roman"/>
                <w:b/>
                <w:bCs/>
                <w:sz w:val="20"/>
                <w:szCs w:val="20"/>
                <w:lang w:val="en-US"/>
              </w:rPr>
              <w:t xml:space="preserve">.   Black Tea :  Exports, Actual and Projected   </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p>
        </w:tc>
        <w:tc>
          <w:tcPr>
            <w:tcW w:w="1472"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p>
        </w:tc>
      </w:tr>
      <w:tr w:rsidR="00DB032E" w:rsidRPr="00E26D0A" w:rsidTr="00A81F94">
        <w:trPr>
          <w:trHeight w:val="540"/>
        </w:trPr>
        <w:tc>
          <w:tcPr>
            <w:tcW w:w="2803" w:type="dxa"/>
            <w:tcBorders>
              <w:top w:val="single" w:sz="4" w:space="0" w:color="auto"/>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w:t>
            </w:r>
          </w:p>
        </w:tc>
        <w:tc>
          <w:tcPr>
            <w:tcW w:w="681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032E" w:rsidRPr="00E26D0A" w:rsidRDefault="00DB032E" w:rsidP="00A81F94">
            <w:pPr>
              <w:spacing w:after="0"/>
              <w:jc w:val="center"/>
              <w:rPr>
                <w:rFonts w:eastAsia="Times New Roman" w:cs="Times New Roman"/>
                <w:b/>
                <w:bCs/>
                <w:sz w:val="20"/>
                <w:szCs w:val="20"/>
                <w:lang w:val="en-US"/>
              </w:rPr>
            </w:pPr>
            <w:r w:rsidRPr="00E26D0A">
              <w:rPr>
                <w:rFonts w:eastAsia="Times New Roman" w:cs="Times New Roman"/>
                <w:b/>
                <w:bCs/>
                <w:sz w:val="20"/>
                <w:szCs w:val="20"/>
                <w:lang w:val="en-US"/>
              </w:rPr>
              <w:t xml:space="preserve">  E  X  P  O  R  T  S</w:t>
            </w:r>
          </w:p>
        </w:tc>
      </w:tr>
      <w:tr w:rsidR="00DB032E" w:rsidRPr="00E26D0A" w:rsidTr="00A81F94">
        <w:trPr>
          <w:trHeight w:val="450"/>
        </w:trPr>
        <w:tc>
          <w:tcPr>
            <w:tcW w:w="2803" w:type="dxa"/>
            <w:tcBorders>
              <w:top w:val="single" w:sz="4" w:space="0" w:color="auto"/>
              <w:left w:val="single" w:sz="4" w:space="0" w:color="auto"/>
              <w:bottom w:val="nil"/>
              <w:right w:val="single" w:sz="4" w:space="0" w:color="auto"/>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Countries / Regions</w:t>
            </w:r>
          </w:p>
        </w:tc>
        <w:tc>
          <w:tcPr>
            <w:tcW w:w="2417" w:type="dxa"/>
            <w:gridSpan w:val="2"/>
            <w:tcBorders>
              <w:top w:val="single" w:sz="4" w:space="0" w:color="auto"/>
              <w:left w:val="nil"/>
              <w:bottom w:val="nil"/>
              <w:right w:val="single" w:sz="4" w:space="0" w:color="000000"/>
            </w:tcBorders>
            <w:shd w:val="clear" w:color="auto" w:fill="auto"/>
            <w:noWrap/>
            <w:vAlign w:val="bottom"/>
            <w:hideMark/>
          </w:tcPr>
          <w:p w:rsidR="00DB032E" w:rsidRPr="00E26D0A" w:rsidRDefault="00DB032E" w:rsidP="00A81F94">
            <w:pPr>
              <w:spacing w:after="0"/>
              <w:jc w:val="center"/>
              <w:rPr>
                <w:rFonts w:eastAsia="Times New Roman" w:cs="Times New Roman"/>
                <w:b/>
                <w:bCs/>
                <w:sz w:val="20"/>
                <w:szCs w:val="20"/>
                <w:lang w:val="en-US"/>
              </w:rPr>
            </w:pPr>
            <w:r w:rsidRPr="00E26D0A">
              <w:rPr>
                <w:rFonts w:eastAsia="Times New Roman" w:cs="Times New Roman"/>
                <w:b/>
                <w:bCs/>
                <w:sz w:val="20"/>
                <w:szCs w:val="20"/>
                <w:lang w:val="en-US"/>
              </w:rPr>
              <w:t xml:space="preserve"> Actual</w:t>
            </w:r>
          </w:p>
        </w:tc>
        <w:tc>
          <w:tcPr>
            <w:tcW w:w="1196"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center"/>
              <w:rPr>
                <w:rFonts w:eastAsia="Times New Roman" w:cs="Times New Roman"/>
                <w:b/>
                <w:bCs/>
                <w:sz w:val="20"/>
                <w:szCs w:val="20"/>
                <w:lang w:val="en-US"/>
              </w:rPr>
            </w:pPr>
            <w:r w:rsidRPr="00E26D0A">
              <w:rPr>
                <w:rFonts w:eastAsia="Times New Roman" w:cs="Times New Roman"/>
                <w:b/>
                <w:bCs/>
                <w:sz w:val="20"/>
                <w:szCs w:val="20"/>
                <w:lang w:val="en-US"/>
              </w:rPr>
              <w:t>Projected</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center"/>
              <w:rPr>
                <w:rFonts w:eastAsia="Times New Roman" w:cs="Times New Roman"/>
                <w:b/>
                <w:bCs/>
                <w:sz w:val="20"/>
                <w:szCs w:val="20"/>
                <w:lang w:val="en-US"/>
              </w:rPr>
            </w:pPr>
            <w:r w:rsidRPr="00E26D0A">
              <w:rPr>
                <w:rFonts w:eastAsia="Times New Roman" w:cs="Times New Roman"/>
                <w:b/>
                <w:bCs/>
                <w:sz w:val="20"/>
                <w:szCs w:val="20"/>
                <w:lang w:val="en-US"/>
              </w:rPr>
              <w:t xml:space="preserve">                                        Growth  Rates</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center"/>
              <w:rPr>
                <w:rFonts w:eastAsia="Times New Roman" w:cs="Times New Roman"/>
                <w:b/>
                <w:bCs/>
                <w:color w:val="FF0000"/>
                <w:sz w:val="20"/>
                <w:szCs w:val="20"/>
                <w:lang w:val="en-US"/>
              </w:rPr>
            </w:pPr>
            <w:r w:rsidRPr="00E26D0A">
              <w:rPr>
                <w:rFonts w:eastAsia="Times New Roman" w:cs="Times New Roman"/>
                <w:b/>
                <w:bCs/>
                <w:color w:val="FF0000"/>
                <w:sz w:val="20"/>
                <w:szCs w:val="20"/>
                <w:lang w:val="en-US"/>
              </w:rPr>
              <w:t> </w:t>
            </w:r>
          </w:p>
          <w:p w:rsidR="00DB032E" w:rsidRPr="00E26D0A" w:rsidRDefault="00DB032E" w:rsidP="00A81F94">
            <w:pPr>
              <w:spacing w:after="0"/>
              <w:jc w:val="center"/>
              <w:rPr>
                <w:rFonts w:eastAsia="Times New Roman" w:cs="Times New Roman"/>
                <w:b/>
                <w:bCs/>
                <w:color w:val="FF0000"/>
                <w:sz w:val="20"/>
                <w:szCs w:val="20"/>
                <w:lang w:val="en-US"/>
              </w:rPr>
            </w:pPr>
          </w:p>
        </w:tc>
      </w:tr>
      <w:tr w:rsidR="00DB032E" w:rsidRPr="00E26D0A" w:rsidTr="00A81F94">
        <w:trPr>
          <w:trHeight w:val="390"/>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32E" w:rsidRPr="00E26D0A" w:rsidRDefault="00DB032E" w:rsidP="00A81F94">
            <w:pPr>
              <w:spacing w:after="0"/>
              <w:jc w:val="center"/>
              <w:rPr>
                <w:rFonts w:eastAsia="Times New Roman" w:cs="Times New Roman"/>
                <w:sz w:val="20"/>
                <w:szCs w:val="20"/>
                <w:lang w:val="en-US"/>
              </w:rPr>
            </w:pPr>
            <w:r w:rsidRPr="00E26D0A">
              <w:rPr>
                <w:rFonts w:eastAsia="Times New Roman" w:cs="Times New Roman"/>
                <w:sz w:val="20"/>
                <w:szCs w:val="20"/>
                <w:lang w:val="en-US"/>
              </w:rPr>
              <w:t>2002-04</w:t>
            </w:r>
          </w:p>
        </w:tc>
        <w:tc>
          <w:tcPr>
            <w:tcW w:w="1298" w:type="dxa"/>
            <w:tcBorders>
              <w:top w:val="single" w:sz="4" w:space="0" w:color="auto"/>
              <w:left w:val="nil"/>
              <w:bottom w:val="nil"/>
              <w:right w:val="single" w:sz="4" w:space="0" w:color="auto"/>
            </w:tcBorders>
            <w:shd w:val="clear" w:color="auto" w:fill="auto"/>
            <w:noWrap/>
            <w:vAlign w:val="bottom"/>
            <w:hideMark/>
          </w:tcPr>
          <w:p w:rsidR="00DB032E" w:rsidRPr="00E26D0A" w:rsidRDefault="00DB032E" w:rsidP="00A81F94">
            <w:pPr>
              <w:spacing w:after="0"/>
              <w:jc w:val="center"/>
              <w:rPr>
                <w:rFonts w:eastAsia="Times New Roman" w:cs="Times New Roman"/>
                <w:sz w:val="20"/>
                <w:szCs w:val="20"/>
                <w:lang w:val="en-US"/>
              </w:rPr>
            </w:pPr>
            <w:r w:rsidRPr="00E26D0A">
              <w:rPr>
                <w:rFonts w:eastAsia="Times New Roman" w:cs="Times New Roman"/>
                <w:sz w:val="20"/>
                <w:szCs w:val="20"/>
                <w:lang w:val="en-US"/>
              </w:rPr>
              <w:t>2012-14</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B032E" w:rsidRPr="00E26D0A" w:rsidRDefault="00DB032E" w:rsidP="00A81F94">
            <w:pPr>
              <w:spacing w:after="0"/>
              <w:jc w:val="center"/>
              <w:rPr>
                <w:rFonts w:eastAsia="Times New Roman" w:cs="Times New Roman"/>
                <w:sz w:val="20"/>
                <w:szCs w:val="20"/>
                <w:lang w:val="en-US"/>
              </w:rPr>
            </w:pPr>
            <w:r w:rsidRPr="00E26D0A">
              <w:rPr>
                <w:rFonts w:eastAsia="Times New Roman" w:cs="Times New Roman"/>
                <w:sz w:val="20"/>
                <w:szCs w:val="20"/>
                <w:lang w:val="en-US"/>
              </w:rPr>
              <w:t>2024</w:t>
            </w:r>
          </w:p>
        </w:tc>
        <w:tc>
          <w:tcPr>
            <w:tcW w:w="1731" w:type="dxa"/>
            <w:tcBorders>
              <w:top w:val="single" w:sz="4" w:space="0" w:color="auto"/>
              <w:left w:val="nil"/>
              <w:bottom w:val="single" w:sz="4" w:space="0" w:color="auto"/>
              <w:right w:val="single" w:sz="4" w:space="0" w:color="auto"/>
            </w:tcBorders>
            <w:shd w:val="clear" w:color="auto" w:fill="auto"/>
            <w:vAlign w:val="bottom"/>
            <w:hideMark/>
          </w:tcPr>
          <w:p w:rsidR="00DB032E" w:rsidRPr="00E26D0A" w:rsidRDefault="00DB032E" w:rsidP="00A81F94">
            <w:pPr>
              <w:spacing w:after="0"/>
              <w:jc w:val="center"/>
              <w:rPr>
                <w:rFonts w:eastAsia="Times New Roman" w:cs="Times New Roman"/>
                <w:color w:val="000000"/>
                <w:sz w:val="20"/>
                <w:szCs w:val="20"/>
                <w:lang w:val="en-US"/>
              </w:rPr>
            </w:pPr>
            <w:r w:rsidRPr="00E26D0A">
              <w:rPr>
                <w:rFonts w:eastAsia="Times New Roman" w:cs="Times New Roman"/>
                <w:color w:val="000000"/>
                <w:sz w:val="20"/>
                <w:szCs w:val="20"/>
                <w:lang w:val="en-US"/>
              </w:rPr>
              <w:t>2002-04/2012-14</w:t>
            </w:r>
          </w:p>
        </w:tc>
        <w:tc>
          <w:tcPr>
            <w:tcW w:w="1472" w:type="dxa"/>
            <w:tcBorders>
              <w:top w:val="single" w:sz="4" w:space="0" w:color="auto"/>
              <w:left w:val="nil"/>
              <w:bottom w:val="single" w:sz="4" w:space="0" w:color="auto"/>
              <w:right w:val="single" w:sz="4" w:space="0" w:color="auto"/>
            </w:tcBorders>
            <w:shd w:val="clear" w:color="auto" w:fill="auto"/>
            <w:vAlign w:val="bottom"/>
            <w:hideMark/>
          </w:tcPr>
          <w:p w:rsidR="00DB032E" w:rsidRPr="00E26D0A" w:rsidRDefault="00DB032E" w:rsidP="00A81F94">
            <w:pPr>
              <w:spacing w:after="0"/>
              <w:jc w:val="center"/>
              <w:rPr>
                <w:rFonts w:eastAsia="Times New Roman" w:cs="Times New Roman"/>
                <w:color w:val="000000"/>
                <w:sz w:val="20"/>
                <w:szCs w:val="20"/>
                <w:lang w:val="en-US"/>
              </w:rPr>
            </w:pPr>
            <w:r w:rsidRPr="00E26D0A">
              <w:rPr>
                <w:rFonts w:eastAsia="Times New Roman" w:cs="Times New Roman"/>
                <w:color w:val="000000"/>
                <w:sz w:val="20"/>
                <w:szCs w:val="20"/>
                <w:lang w:val="en-US"/>
              </w:rPr>
              <w:t>2012-14/2024</w:t>
            </w:r>
          </w:p>
        </w:tc>
      </w:tr>
      <w:tr w:rsidR="00DB032E" w:rsidRPr="00E26D0A" w:rsidTr="00A81F94">
        <w:trPr>
          <w:trHeight w:val="435"/>
        </w:trPr>
        <w:tc>
          <w:tcPr>
            <w:tcW w:w="2803" w:type="dxa"/>
            <w:tcBorders>
              <w:top w:val="nil"/>
              <w:left w:val="single" w:sz="4" w:space="0" w:color="auto"/>
              <w:bottom w:val="single" w:sz="4" w:space="0" w:color="auto"/>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w:t>
            </w:r>
          </w:p>
        </w:tc>
        <w:tc>
          <w:tcPr>
            <w:tcW w:w="36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032E" w:rsidRPr="00E26D0A" w:rsidRDefault="00DB032E" w:rsidP="00A81F94">
            <w:pPr>
              <w:spacing w:after="0"/>
              <w:jc w:val="center"/>
              <w:rPr>
                <w:rFonts w:eastAsia="Times New Roman" w:cs="Times New Roman"/>
                <w:sz w:val="20"/>
                <w:szCs w:val="20"/>
                <w:lang w:val="en-US"/>
              </w:rPr>
            </w:pPr>
            <w:r w:rsidRPr="00E26D0A">
              <w:rPr>
                <w:rFonts w:eastAsia="Times New Roman" w:cs="Times New Roman"/>
                <w:sz w:val="20"/>
                <w:szCs w:val="20"/>
                <w:lang w:val="en-US"/>
              </w:rPr>
              <w:t>Tons</w:t>
            </w:r>
          </w:p>
        </w:tc>
        <w:tc>
          <w:tcPr>
            <w:tcW w:w="320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B032E" w:rsidRPr="00E26D0A" w:rsidRDefault="00DB032E" w:rsidP="00A81F94">
            <w:pPr>
              <w:spacing w:after="0"/>
              <w:jc w:val="center"/>
              <w:rPr>
                <w:rFonts w:eastAsia="Times New Roman" w:cs="Times New Roman"/>
                <w:sz w:val="20"/>
                <w:szCs w:val="20"/>
                <w:lang w:val="en-US"/>
              </w:rPr>
            </w:pPr>
            <w:r w:rsidRPr="00E26D0A">
              <w:rPr>
                <w:rFonts w:eastAsia="Times New Roman" w:cs="Times New Roman"/>
                <w:sz w:val="20"/>
                <w:szCs w:val="20"/>
                <w:lang w:val="en-US"/>
              </w:rPr>
              <w:t xml:space="preserve">         Percent per  year</w:t>
            </w:r>
          </w:p>
        </w:tc>
      </w:tr>
      <w:tr w:rsidR="00DB032E" w:rsidRPr="00E26D0A" w:rsidTr="00A81F94">
        <w:trPr>
          <w:trHeight w:val="315"/>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rPr>
                <w:rFonts w:eastAsia="Times New Roman" w:cs="Times New Roman"/>
                <w:color w:val="FF0000"/>
                <w:sz w:val="20"/>
                <w:szCs w:val="20"/>
                <w:lang w:val="en-US"/>
              </w:rPr>
            </w:pPr>
            <w:r w:rsidRPr="00E26D0A">
              <w:rPr>
                <w:rFonts w:eastAsia="Times New Roman" w:cs="Times New Roman"/>
                <w:color w:val="FF0000"/>
                <w:sz w:val="20"/>
                <w:szCs w:val="20"/>
                <w:lang w:val="en-US"/>
              </w:rPr>
              <w:t> </w:t>
            </w:r>
          </w:p>
        </w:tc>
      </w:tr>
      <w:tr w:rsidR="00DB032E" w:rsidRPr="00E26D0A" w:rsidTr="00A81F94">
        <w:trPr>
          <w:trHeight w:val="225"/>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r w:rsidRPr="00E26D0A">
              <w:rPr>
                <w:rFonts w:eastAsia="Times New Roman" w:cs="Times New Roman"/>
                <w:b/>
                <w:bCs/>
                <w:sz w:val="20"/>
                <w:szCs w:val="20"/>
                <w:lang w:val="en-US"/>
              </w:rPr>
              <w:t>WORLD</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b/>
                <w:bCs/>
                <w:sz w:val="20"/>
                <w:szCs w:val="20"/>
                <w:lang w:val="en-US"/>
              </w:rPr>
            </w:pPr>
            <w:r w:rsidRPr="00E26D0A">
              <w:rPr>
                <w:rFonts w:eastAsia="Times New Roman" w:cs="Times New Roman"/>
                <w:b/>
                <w:bCs/>
                <w:sz w:val="20"/>
                <w:szCs w:val="20"/>
                <w:lang w:val="en-US"/>
              </w:rPr>
              <w:t>1210314</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b/>
                <w:bCs/>
                <w:sz w:val="20"/>
                <w:szCs w:val="20"/>
                <w:lang w:val="en-US"/>
              </w:rPr>
            </w:pPr>
            <w:r w:rsidRPr="00E26D0A">
              <w:rPr>
                <w:rFonts w:eastAsia="Times New Roman" w:cs="Times New Roman"/>
                <w:b/>
                <w:bCs/>
                <w:sz w:val="20"/>
                <w:szCs w:val="20"/>
                <w:lang w:val="en-US"/>
              </w:rPr>
              <w:t>1343762</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b/>
                <w:bCs/>
                <w:sz w:val="20"/>
                <w:szCs w:val="20"/>
                <w:lang w:val="en-US"/>
              </w:rPr>
            </w:pPr>
            <w:r w:rsidRPr="00E26D0A">
              <w:rPr>
                <w:rFonts w:eastAsia="Times New Roman" w:cs="Times New Roman"/>
                <w:b/>
                <w:bCs/>
                <w:sz w:val="20"/>
                <w:szCs w:val="20"/>
                <w:lang w:val="en-US"/>
              </w:rPr>
              <w:t>1702336</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b/>
                <w:bCs/>
                <w:color w:val="000000"/>
                <w:sz w:val="20"/>
                <w:szCs w:val="20"/>
                <w:lang w:val="en-US"/>
              </w:rPr>
            </w:pPr>
            <w:r w:rsidRPr="00E26D0A">
              <w:rPr>
                <w:rFonts w:eastAsia="Times New Roman" w:cs="Times New Roman"/>
                <w:b/>
                <w:bCs/>
                <w:color w:val="000000"/>
                <w:sz w:val="20"/>
                <w:szCs w:val="20"/>
                <w:lang w:val="en-US"/>
              </w:rPr>
              <w:t>1.1%</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b/>
                <w:bCs/>
                <w:color w:val="000000"/>
                <w:sz w:val="20"/>
                <w:szCs w:val="20"/>
                <w:lang w:val="en-US"/>
              </w:rPr>
            </w:pPr>
            <w:r w:rsidRPr="00E26D0A">
              <w:rPr>
                <w:rFonts w:eastAsia="Times New Roman" w:cs="Times New Roman"/>
                <w:b/>
                <w:bCs/>
                <w:color w:val="000000"/>
                <w:sz w:val="20"/>
                <w:szCs w:val="20"/>
                <w:lang w:val="en-US"/>
              </w:rPr>
              <w:t>2.4%</w:t>
            </w:r>
          </w:p>
        </w:tc>
      </w:tr>
      <w:tr w:rsidR="00DB032E" w:rsidRPr="00E26D0A" w:rsidTr="00A81F94">
        <w:trPr>
          <w:trHeight w:val="480"/>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r w:rsidRPr="00E26D0A">
              <w:rPr>
                <w:rFonts w:eastAsia="Times New Roman" w:cs="Times New Roman"/>
                <w:b/>
                <w:bCs/>
                <w:sz w:val="20"/>
                <w:szCs w:val="20"/>
                <w:lang w:val="en-US"/>
              </w:rPr>
              <w:t>Africa</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center"/>
              <w:rPr>
                <w:rFonts w:eastAsia="Times New Roman" w:cs="Times New Roman"/>
                <w:sz w:val="20"/>
                <w:szCs w:val="20"/>
                <w:lang w:val="en-US"/>
              </w:rPr>
            </w:pP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rPr>
                <w:rFonts w:eastAsia="Times New Roman" w:cs="Times New Roman"/>
                <w:color w:val="000000"/>
                <w:sz w:val="20"/>
                <w:szCs w:val="20"/>
                <w:lang w:val="en-US"/>
              </w:rPr>
            </w:pPr>
            <w:r w:rsidRPr="00E26D0A">
              <w:rPr>
                <w:rFonts w:eastAsia="Times New Roman" w:cs="Times New Roman"/>
                <w:color w:val="000000"/>
                <w:sz w:val="20"/>
                <w:szCs w:val="20"/>
                <w:lang w:val="en-US"/>
              </w:rPr>
              <w:t> </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Kenya</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278144</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390638</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534169</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3.5%</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3.2%</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Malawi</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42666</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40700</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36829</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-0.5%</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-1.0%</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Zimbabwe</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16513</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5900</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6703</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-9.8%</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1.3%</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Rwanda</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11849</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22342</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43224</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6.5%</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6.8%</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South Africa</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7704</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4635</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4781</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-5.0%</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0.3%</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Uganda</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33381</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55656</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93316</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5.2%</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5.3%</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Tanzania United Rep</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22716</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26365</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28072</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1.5%</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0.6%</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Other</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21382</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22500</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20287</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0.5%</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-1.0%</w:t>
            </w:r>
          </w:p>
        </w:tc>
      </w:tr>
      <w:tr w:rsidR="00DB032E" w:rsidRPr="00E26D0A" w:rsidTr="00A81F94">
        <w:trPr>
          <w:trHeight w:val="480"/>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r w:rsidRPr="00E26D0A">
              <w:rPr>
                <w:rFonts w:eastAsia="Times New Roman" w:cs="Times New Roman"/>
                <w:b/>
                <w:bCs/>
                <w:sz w:val="20"/>
                <w:szCs w:val="20"/>
                <w:lang w:val="en-US"/>
              </w:rPr>
              <w:t>Far East</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rPr>
                <w:rFonts w:eastAsia="Times New Roman" w:cs="Times New Roman"/>
                <w:color w:val="000000"/>
                <w:sz w:val="20"/>
                <w:szCs w:val="20"/>
                <w:lang w:val="en-US"/>
              </w:rPr>
            </w:pPr>
            <w:r w:rsidRPr="00E26D0A">
              <w:rPr>
                <w:rFonts w:eastAsia="Times New Roman" w:cs="Times New Roman"/>
                <w:color w:val="000000"/>
                <w:sz w:val="20"/>
                <w:szCs w:val="20"/>
                <w:lang w:val="en-US"/>
              </w:rPr>
              <w:t> </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India</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187238</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197380</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215859</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0.5%</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0.9%</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Sri Lanka</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289097</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307016</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355750</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0.6%</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1.5%</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China</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39310</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32159</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100397</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-2.0%</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12.1%</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Vietnam</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57075</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71625</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81024</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2.3%</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1.2%</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Bangladesh</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13087</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1587</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943</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-19.0%</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-5.1%</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Malaysia</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839</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1587</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1421</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6.6%</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-1.1%</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Nepal</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417</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8797</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11716</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35.7%</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2.9%</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Indonesia</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91392</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57294</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61398</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-4.6%</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0.7%</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Other</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5932</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9465</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7292</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4.8%</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-2.6%</w:t>
            </w:r>
          </w:p>
        </w:tc>
      </w:tr>
      <w:tr w:rsidR="00DB032E" w:rsidRPr="00E26D0A" w:rsidTr="00A81F94">
        <w:trPr>
          <w:trHeight w:val="480"/>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r w:rsidRPr="00E26D0A">
              <w:rPr>
                <w:rFonts w:eastAsia="Times New Roman" w:cs="Times New Roman"/>
                <w:b/>
                <w:bCs/>
                <w:sz w:val="20"/>
                <w:szCs w:val="20"/>
                <w:lang w:val="en-US"/>
              </w:rPr>
              <w:t>Near East</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rPr>
                <w:rFonts w:eastAsia="Times New Roman" w:cs="Times New Roman"/>
                <w:color w:val="000000"/>
                <w:sz w:val="20"/>
                <w:szCs w:val="20"/>
                <w:lang w:val="en-US"/>
              </w:rPr>
            </w:pPr>
            <w:r w:rsidRPr="00E26D0A">
              <w:rPr>
                <w:rFonts w:eastAsia="Times New Roman" w:cs="Times New Roman"/>
                <w:color w:val="000000"/>
                <w:sz w:val="20"/>
                <w:szCs w:val="20"/>
                <w:lang w:val="en-US"/>
              </w:rPr>
              <w:t> </w:t>
            </w:r>
          </w:p>
        </w:tc>
      </w:tr>
      <w:tr w:rsidR="00DB032E" w:rsidRPr="00E26D0A" w:rsidTr="00A81F94">
        <w:trPr>
          <w:trHeight w:val="387"/>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Turkey</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5708</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4134</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2191</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-3.2%</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-6.2%</w:t>
            </w:r>
          </w:p>
        </w:tc>
      </w:tr>
      <w:tr w:rsidR="00DB032E" w:rsidRPr="00E26D0A" w:rsidTr="00A81F94">
        <w:trPr>
          <w:trHeight w:val="360"/>
        </w:trPr>
        <w:tc>
          <w:tcPr>
            <w:tcW w:w="3922" w:type="dxa"/>
            <w:gridSpan w:val="2"/>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r w:rsidRPr="00E26D0A">
              <w:rPr>
                <w:rFonts w:eastAsia="Times New Roman" w:cs="Times New Roman"/>
                <w:b/>
                <w:bCs/>
                <w:sz w:val="20"/>
                <w:szCs w:val="20"/>
                <w:lang w:val="en-US"/>
              </w:rPr>
              <w:t>Latin America and Caribbean</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rPr>
                <w:rFonts w:eastAsia="Times New Roman" w:cs="Times New Roman"/>
                <w:color w:val="000000"/>
                <w:sz w:val="20"/>
                <w:szCs w:val="20"/>
                <w:lang w:val="en-US"/>
              </w:rPr>
            </w:pPr>
            <w:r w:rsidRPr="00E26D0A">
              <w:rPr>
                <w:rFonts w:eastAsia="Times New Roman" w:cs="Times New Roman"/>
                <w:color w:val="000000"/>
                <w:sz w:val="20"/>
                <w:szCs w:val="20"/>
                <w:lang w:val="en-US"/>
              </w:rPr>
              <w:t> </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Argentina</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62324</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73602</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87273</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1.7%</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1.7%</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Brazil</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3715</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497</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2119</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-18.2%</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15.6%</w:t>
            </w:r>
          </w:p>
        </w:tc>
      </w:tr>
      <w:tr w:rsidR="00DB032E" w:rsidRPr="00E26D0A" w:rsidTr="00DB032E">
        <w:trPr>
          <w:trHeight w:hRule="exact" w:val="284"/>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sz w:val="20"/>
                <w:szCs w:val="20"/>
                <w:lang w:val="en-US"/>
              </w:rPr>
            </w:pPr>
            <w:r w:rsidRPr="00E26D0A">
              <w:rPr>
                <w:rFonts w:eastAsia="Times New Roman" w:cs="Times New Roman"/>
                <w:sz w:val="20"/>
                <w:szCs w:val="20"/>
                <w:lang w:val="en-US"/>
              </w:rPr>
              <w:t xml:space="preserve"> Other</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1909</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911</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994</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-7.1%</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0.9%</w:t>
            </w:r>
          </w:p>
        </w:tc>
      </w:tr>
      <w:tr w:rsidR="00DB032E" w:rsidRPr="00E26D0A" w:rsidTr="00A81F94">
        <w:trPr>
          <w:trHeight w:val="333"/>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r w:rsidRPr="00E26D0A">
              <w:rPr>
                <w:rFonts w:eastAsia="Times New Roman" w:cs="Times New Roman"/>
                <w:b/>
                <w:bCs/>
                <w:sz w:val="20"/>
                <w:szCs w:val="20"/>
                <w:lang w:val="en-US"/>
              </w:rPr>
              <w:t>CIS</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2567</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2767</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2300</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0.8%</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-1.8%</w:t>
            </w:r>
          </w:p>
        </w:tc>
      </w:tr>
      <w:tr w:rsidR="00DB032E" w:rsidRPr="00E26D0A" w:rsidTr="00A81F94">
        <w:trPr>
          <w:trHeight w:val="360"/>
        </w:trPr>
        <w:tc>
          <w:tcPr>
            <w:tcW w:w="2803" w:type="dxa"/>
            <w:tcBorders>
              <w:top w:val="nil"/>
              <w:left w:val="single" w:sz="4" w:space="0" w:color="auto"/>
              <w:bottom w:val="nil"/>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r w:rsidRPr="00E26D0A">
              <w:rPr>
                <w:rFonts w:eastAsia="Times New Roman" w:cs="Times New Roman"/>
                <w:b/>
                <w:bCs/>
                <w:sz w:val="20"/>
                <w:szCs w:val="20"/>
                <w:lang w:val="en-US"/>
              </w:rPr>
              <w:t>Oceania</w:t>
            </w:r>
          </w:p>
        </w:tc>
        <w:tc>
          <w:tcPr>
            <w:tcW w:w="1119"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6780</w:t>
            </w:r>
          </w:p>
        </w:tc>
        <w:tc>
          <w:tcPr>
            <w:tcW w:w="1298"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6161</w:t>
            </w:r>
          </w:p>
        </w:tc>
        <w:tc>
          <w:tcPr>
            <w:tcW w:w="1196"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sz w:val="20"/>
                <w:szCs w:val="20"/>
                <w:lang w:val="en-US"/>
              </w:rPr>
            </w:pPr>
            <w:r w:rsidRPr="00E26D0A">
              <w:rPr>
                <w:rFonts w:eastAsia="Times New Roman" w:cs="Times New Roman"/>
                <w:sz w:val="20"/>
                <w:szCs w:val="20"/>
                <w:lang w:val="en-US"/>
              </w:rPr>
              <w:t>6847</w:t>
            </w:r>
          </w:p>
        </w:tc>
        <w:tc>
          <w:tcPr>
            <w:tcW w:w="1731" w:type="dxa"/>
            <w:tcBorders>
              <w:top w:val="nil"/>
              <w:left w:val="nil"/>
              <w:bottom w:val="nil"/>
              <w:right w:val="nil"/>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-1.0%</w:t>
            </w:r>
          </w:p>
        </w:tc>
        <w:tc>
          <w:tcPr>
            <w:tcW w:w="1472" w:type="dxa"/>
            <w:tcBorders>
              <w:top w:val="nil"/>
              <w:left w:val="nil"/>
              <w:bottom w:val="nil"/>
              <w:right w:val="single" w:sz="4" w:space="0" w:color="auto"/>
            </w:tcBorders>
            <w:shd w:val="clear" w:color="auto" w:fill="auto"/>
            <w:noWrap/>
            <w:vAlign w:val="bottom"/>
            <w:hideMark/>
          </w:tcPr>
          <w:p w:rsidR="00DB032E" w:rsidRPr="00E26D0A" w:rsidRDefault="00DB032E" w:rsidP="00A81F94">
            <w:pPr>
              <w:spacing w:after="0"/>
              <w:jc w:val="right"/>
              <w:rPr>
                <w:rFonts w:eastAsia="Times New Roman" w:cs="Times New Roman"/>
                <w:color w:val="000000"/>
                <w:sz w:val="20"/>
                <w:szCs w:val="20"/>
                <w:lang w:val="en-US"/>
              </w:rPr>
            </w:pPr>
            <w:r w:rsidRPr="00E26D0A">
              <w:rPr>
                <w:rFonts w:eastAsia="Times New Roman" w:cs="Times New Roman"/>
                <w:color w:val="000000"/>
                <w:sz w:val="20"/>
                <w:szCs w:val="20"/>
                <w:lang w:val="en-US"/>
              </w:rPr>
              <w:t>1.1%</w:t>
            </w:r>
          </w:p>
        </w:tc>
      </w:tr>
      <w:tr w:rsidR="00DB032E" w:rsidRPr="00E26D0A" w:rsidTr="00A81F94">
        <w:trPr>
          <w:trHeight w:val="285"/>
        </w:trPr>
        <w:tc>
          <w:tcPr>
            <w:tcW w:w="2803" w:type="dxa"/>
            <w:tcBorders>
              <w:top w:val="nil"/>
              <w:left w:val="single" w:sz="4" w:space="0" w:color="auto"/>
              <w:bottom w:val="single" w:sz="4" w:space="0" w:color="auto"/>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r w:rsidRPr="00E26D0A">
              <w:rPr>
                <w:rFonts w:eastAsia="Times New Roman" w:cs="Times New Roman"/>
                <w:b/>
                <w:bCs/>
                <w:sz w:val="20"/>
                <w:szCs w:val="20"/>
                <w:lang w:val="en-US"/>
              </w:rPr>
              <w:t> </w:t>
            </w:r>
          </w:p>
        </w:tc>
        <w:tc>
          <w:tcPr>
            <w:tcW w:w="1119" w:type="dxa"/>
            <w:tcBorders>
              <w:top w:val="nil"/>
              <w:left w:val="nil"/>
              <w:bottom w:val="single" w:sz="4" w:space="0" w:color="auto"/>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r w:rsidRPr="00E26D0A">
              <w:rPr>
                <w:rFonts w:eastAsia="Times New Roman" w:cs="Times New Roman"/>
                <w:b/>
                <w:bCs/>
                <w:sz w:val="20"/>
                <w:szCs w:val="20"/>
                <w:lang w:val="en-US"/>
              </w:rPr>
              <w:t> </w:t>
            </w:r>
          </w:p>
        </w:tc>
        <w:tc>
          <w:tcPr>
            <w:tcW w:w="1298" w:type="dxa"/>
            <w:tcBorders>
              <w:top w:val="nil"/>
              <w:left w:val="nil"/>
              <w:bottom w:val="single" w:sz="4" w:space="0" w:color="auto"/>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r w:rsidRPr="00E26D0A">
              <w:rPr>
                <w:rFonts w:eastAsia="Times New Roman" w:cs="Times New Roman"/>
                <w:b/>
                <w:bCs/>
                <w:sz w:val="20"/>
                <w:szCs w:val="20"/>
                <w:lang w:val="en-US"/>
              </w:rPr>
              <w:t> </w:t>
            </w:r>
          </w:p>
        </w:tc>
        <w:tc>
          <w:tcPr>
            <w:tcW w:w="1196" w:type="dxa"/>
            <w:tcBorders>
              <w:top w:val="nil"/>
              <w:left w:val="nil"/>
              <w:bottom w:val="single" w:sz="4" w:space="0" w:color="auto"/>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r w:rsidRPr="00E26D0A">
              <w:rPr>
                <w:rFonts w:eastAsia="Times New Roman" w:cs="Times New Roman"/>
                <w:b/>
                <w:bCs/>
                <w:sz w:val="20"/>
                <w:szCs w:val="20"/>
                <w:lang w:val="en-US"/>
              </w:rPr>
              <w:t> </w:t>
            </w:r>
          </w:p>
        </w:tc>
        <w:tc>
          <w:tcPr>
            <w:tcW w:w="1731" w:type="dxa"/>
            <w:tcBorders>
              <w:top w:val="nil"/>
              <w:left w:val="nil"/>
              <w:bottom w:val="single" w:sz="4" w:space="0" w:color="auto"/>
              <w:right w:val="nil"/>
            </w:tcBorders>
            <w:shd w:val="clear" w:color="auto" w:fill="auto"/>
            <w:noWrap/>
            <w:vAlign w:val="bottom"/>
            <w:hideMark/>
          </w:tcPr>
          <w:p w:rsidR="00DB032E" w:rsidRPr="00E26D0A" w:rsidRDefault="00DB032E" w:rsidP="00A81F94">
            <w:pPr>
              <w:spacing w:after="0"/>
              <w:rPr>
                <w:rFonts w:eastAsia="Times New Roman" w:cs="Times New Roman"/>
                <w:b/>
                <w:bCs/>
                <w:sz w:val="20"/>
                <w:szCs w:val="20"/>
                <w:lang w:val="en-US"/>
              </w:rPr>
            </w:pPr>
            <w:r w:rsidRPr="00E26D0A">
              <w:rPr>
                <w:rFonts w:eastAsia="Times New Roman" w:cs="Times New Roman"/>
                <w:b/>
                <w:bCs/>
                <w:sz w:val="20"/>
                <w:szCs w:val="20"/>
                <w:lang w:val="en-US"/>
              </w:rPr>
              <w:t> </w:t>
            </w:r>
          </w:p>
        </w:tc>
        <w:tc>
          <w:tcPr>
            <w:tcW w:w="1472" w:type="dxa"/>
            <w:tcBorders>
              <w:top w:val="nil"/>
              <w:left w:val="nil"/>
              <w:bottom w:val="single" w:sz="4" w:space="0" w:color="auto"/>
              <w:right w:val="single" w:sz="4" w:space="0" w:color="auto"/>
            </w:tcBorders>
            <w:shd w:val="clear" w:color="auto" w:fill="auto"/>
            <w:noWrap/>
            <w:vAlign w:val="bottom"/>
            <w:hideMark/>
          </w:tcPr>
          <w:p w:rsidR="00DB032E" w:rsidRPr="00E26D0A" w:rsidRDefault="00DB032E" w:rsidP="00A81F94">
            <w:pPr>
              <w:spacing w:after="0"/>
              <w:rPr>
                <w:rFonts w:eastAsia="Times New Roman" w:cs="Times New Roman"/>
                <w:b/>
                <w:bCs/>
                <w:color w:val="FF0000"/>
                <w:sz w:val="20"/>
                <w:szCs w:val="20"/>
                <w:lang w:val="en-US"/>
              </w:rPr>
            </w:pPr>
            <w:r w:rsidRPr="00E26D0A">
              <w:rPr>
                <w:rFonts w:eastAsia="Times New Roman" w:cs="Times New Roman"/>
                <w:b/>
                <w:bCs/>
                <w:color w:val="FF0000"/>
                <w:sz w:val="20"/>
                <w:szCs w:val="20"/>
                <w:lang w:val="en-US"/>
              </w:rPr>
              <w:t> </w:t>
            </w:r>
          </w:p>
        </w:tc>
      </w:tr>
    </w:tbl>
    <w:p w:rsidR="00DB032E" w:rsidRPr="00E26D0A" w:rsidRDefault="00DB032E" w:rsidP="00DB032E">
      <w:pPr>
        <w:tabs>
          <w:tab w:val="left" w:pos="1800"/>
        </w:tabs>
        <w:rPr>
          <w:sz w:val="20"/>
          <w:szCs w:val="20"/>
        </w:rPr>
        <w:sectPr w:rsidR="00DB032E" w:rsidRPr="00E26D0A" w:rsidSect="00DB032E">
          <w:type w:val="continuous"/>
          <w:pgSz w:w="11907" w:h="16840" w:code="9"/>
          <w:pgMar w:top="270" w:right="1418" w:bottom="180" w:left="1418" w:header="709" w:footer="709" w:gutter="0"/>
          <w:cols w:space="708"/>
          <w:docGrid w:linePitch="360"/>
        </w:sectPr>
      </w:pPr>
    </w:p>
    <w:p w:rsidR="002116A8" w:rsidRPr="002116A8" w:rsidRDefault="002116A8" w:rsidP="00DB032E">
      <w:pPr>
        <w:spacing w:line="276" w:lineRule="auto"/>
        <w:rPr>
          <w:sz w:val="18"/>
          <w:szCs w:val="18"/>
        </w:rPr>
      </w:pPr>
      <w:bookmarkStart w:id="9" w:name="_GoBack"/>
      <w:bookmarkEnd w:id="9"/>
    </w:p>
    <w:sectPr w:rsidR="002116A8" w:rsidRPr="002116A8" w:rsidSect="00140F94">
      <w:type w:val="continuous"/>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F94" w:rsidRDefault="00A81F94">
      <w:pPr>
        <w:spacing w:after="0"/>
      </w:pPr>
      <w:r>
        <w:separator/>
      </w:r>
    </w:p>
  </w:endnote>
  <w:endnote w:type="continuationSeparator" w:id="0">
    <w:p w:rsidR="00A81F94" w:rsidRDefault="00A81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94" w:rsidRPr="009C0B0C" w:rsidRDefault="00A81F94" w:rsidP="00A81F94">
    <w:pPr>
      <w:rPr>
        <w:lang w:val="en-US"/>
      </w:rPr>
    </w:pPr>
    <w:bookmarkStart w:id="8" w:name="FooterInformationBookmark"/>
    <w:r>
      <w:rPr>
        <w:lang w:val="en-US"/>
      </w:rPr>
      <w:t xml:space="preserve"> </w:t>
    </w:r>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F94" w:rsidRDefault="00A81F94">
      <w:pPr>
        <w:spacing w:after="0"/>
      </w:pPr>
      <w:r>
        <w:separator/>
      </w:r>
    </w:p>
  </w:footnote>
  <w:footnote w:type="continuationSeparator" w:id="0">
    <w:p w:rsidR="00A81F94" w:rsidRDefault="00A81F94">
      <w:pPr>
        <w:spacing w:after="0"/>
      </w:pPr>
      <w:r>
        <w:continuationSeparator/>
      </w:r>
    </w:p>
  </w:footnote>
  <w:footnote w:id="1">
    <w:p w:rsidR="00A81F94" w:rsidRPr="00642C49" w:rsidRDefault="00A81F94" w:rsidP="00E7018D">
      <w:pPr>
        <w:pStyle w:val="FootnoteText"/>
        <w:rPr>
          <w:lang w:val="fr-FR"/>
        </w:rPr>
      </w:pPr>
      <w:r>
        <w:rPr>
          <w:rStyle w:val="FootnoteReference"/>
        </w:rPr>
        <w:footnoteRef/>
      </w:r>
      <w:r w:rsidRPr="00642C49">
        <w:rPr>
          <w:lang w:val="fr-FR"/>
        </w:rPr>
        <w:t xml:space="preserve"> http://www.fao.org/3/a-i4480e.pdf</w:t>
      </w:r>
      <w:r>
        <w:rPr>
          <w:lang w:val="fr-FR"/>
        </w:rPr>
        <w:t>.</w:t>
      </w:r>
    </w:p>
  </w:footnote>
  <w:footnote w:id="2">
    <w:p w:rsidR="00A81F94" w:rsidRPr="005E4348" w:rsidRDefault="00A81F94" w:rsidP="00E7018D">
      <w:pPr>
        <w:pStyle w:val="FootnoteText"/>
      </w:pPr>
      <w:r>
        <w:rPr>
          <w:rStyle w:val="FootnoteReference"/>
        </w:rPr>
        <w:footnoteRef/>
      </w:r>
      <w:r w:rsidRPr="005E4348">
        <w:t xml:space="preserve"> Source: IMF</w:t>
      </w:r>
      <w:r>
        <w:t>.</w:t>
      </w:r>
    </w:p>
  </w:footnote>
  <w:footnote w:id="3">
    <w:p w:rsidR="00A81F94" w:rsidRPr="00F93408" w:rsidRDefault="00A81F94">
      <w:pPr>
        <w:pStyle w:val="FootnoteText"/>
        <w:rPr>
          <w:lang w:val="en-US"/>
        </w:rPr>
      </w:pPr>
      <w:r>
        <w:rPr>
          <w:rStyle w:val="FootnoteReference"/>
        </w:rPr>
        <w:footnoteRef/>
      </w:r>
      <w:r>
        <w:t xml:space="preserve"> Document CCP</w:t>
      </w:r>
      <w:proofErr w:type="gramStart"/>
      <w:r>
        <w:t>:TE</w:t>
      </w:r>
      <w:proofErr w:type="gramEnd"/>
      <w:r>
        <w:t xml:space="preserve"> 10/2 </w:t>
      </w:r>
      <w:r w:rsidRPr="000A2D7A">
        <w:rPr>
          <w:lang w:val="en-US"/>
        </w:rPr>
        <w:t>is available on the Secretariat</w:t>
      </w:r>
      <w:r>
        <w:rPr>
          <w:lang w:val="en-US"/>
        </w:rPr>
        <w:t xml:space="preserve">’s website: </w:t>
      </w:r>
      <w:hyperlink r:id="rId1" w:history="1">
        <w:r w:rsidRPr="00E246CE">
          <w:rPr>
            <w:rStyle w:val="Hyperlink"/>
            <w:lang w:val="en-US"/>
          </w:rPr>
          <w:t>http://www.fao.org/docrep/meeting/018/K7538E.pdf</w:t>
        </w:r>
      </w:hyperlink>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94" w:rsidRPr="001A0BFF" w:rsidRDefault="00A81F94" w:rsidP="00A81F94">
    <w:pPr>
      <w:pStyle w:val="Underlined"/>
    </w:pPr>
    <w:r>
      <w:fldChar w:fldCharType="begin"/>
    </w:r>
    <w:r>
      <w:instrText xml:space="preserve"> PAGE  \* Arabic  \* MERGEFORMAT </w:instrText>
    </w:r>
    <w:r>
      <w:fldChar w:fldCharType="separate"/>
    </w:r>
    <w:r w:rsidR="0022343E">
      <w:rPr>
        <w:noProof/>
      </w:rPr>
      <w:t>10</w:t>
    </w:r>
    <w:r>
      <w:rPr>
        <w:noProof/>
      </w:rPr>
      <w:fldChar w:fldCharType="end"/>
    </w:r>
    <w:r>
      <w:ptab w:relativeTo="margin" w:alignment="right" w:leader="none"/>
    </w:r>
    <w:r w:rsidRPr="00172E88">
      <w:t xml:space="preserve"> </w:t>
    </w:r>
    <w:bookmarkStart w:id="3" w:name="EvenIdentificationBookmark"/>
    <w:r>
      <w:t>CCP</w:t>
    </w:r>
    <w:proofErr w:type="gramStart"/>
    <w:r>
      <w:t>:TE</w:t>
    </w:r>
    <w:proofErr w:type="gramEnd"/>
    <w:r>
      <w:t xml:space="preserve"> 16/Inf.2</w:t>
    </w:r>
    <w:bookmarkEnd w:id="3"/>
  </w:p>
  <w:p w:rsidR="00A81F94" w:rsidRPr="00502C1C" w:rsidRDefault="00A81F94" w:rsidP="00A81F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94" w:rsidRPr="001A0BFF" w:rsidRDefault="00A81F94" w:rsidP="00A81F94">
    <w:pPr>
      <w:pStyle w:val="Underlined"/>
    </w:pPr>
    <w:bookmarkStart w:id="4" w:name="OddIdentificationBookmark"/>
    <w:r>
      <w:t>CCP</w:t>
    </w:r>
    <w:proofErr w:type="gramStart"/>
    <w:r>
      <w:t>:TE</w:t>
    </w:r>
    <w:proofErr w:type="gramEnd"/>
    <w:r>
      <w:t xml:space="preserve"> 16/Inf.2</w:t>
    </w:r>
    <w:bookmarkEnd w:id="4"/>
    <w:r>
      <w:ptab w:relativeTo="margin" w:alignment="right" w:leader="none"/>
    </w:r>
    <w:r>
      <w:fldChar w:fldCharType="begin"/>
    </w:r>
    <w:r>
      <w:instrText xml:space="preserve"> PAGE  \* Arabic  \* MERGEFORMAT </w:instrText>
    </w:r>
    <w:r>
      <w:fldChar w:fldCharType="separate"/>
    </w:r>
    <w:r w:rsidR="0022343E">
      <w:rPr>
        <w:noProof/>
      </w:rPr>
      <w:t>11</w:t>
    </w:r>
    <w:r>
      <w:rPr>
        <w:noProof/>
      </w:rPr>
      <w:fldChar w:fldCharType="end"/>
    </w:r>
  </w:p>
  <w:p w:rsidR="00A81F94" w:rsidRPr="00502C1C" w:rsidRDefault="00A81F94" w:rsidP="00A81F94">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94" w:rsidRPr="00734C44" w:rsidRDefault="00A81F94" w:rsidP="00A81F94">
    <w:pPr>
      <w:pStyle w:val="LanguageSymbol"/>
      <w:framePr w:wrap="around"/>
    </w:pPr>
    <w:bookmarkStart w:id="5" w:name="LanguageSymbolBookmark"/>
    <w:r>
      <w:t>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6"/>
    </w:tblGrid>
    <w:tr w:rsidR="00A81F94" w:rsidTr="00A81F94">
      <w:trPr>
        <w:jc w:val="center"/>
      </w:trPr>
      <w:tc>
        <w:tcPr>
          <w:tcW w:w="2500" w:type="pct"/>
          <w:noWrap/>
          <w:tcMar>
            <w:left w:w="0" w:type="dxa"/>
          </w:tcMar>
        </w:tcPr>
        <w:bookmarkEnd w:id="5"/>
        <w:p w:rsidR="00A81F94" w:rsidRDefault="00A81F94" w:rsidP="00A81F94">
          <w:r>
            <w:t>April 2016</w:t>
          </w:r>
        </w:p>
      </w:tc>
      <w:tc>
        <w:tcPr>
          <w:tcW w:w="2500" w:type="pct"/>
          <w:noWrap/>
          <w:tcMar>
            <w:right w:w="0" w:type="dxa"/>
          </w:tcMar>
        </w:tcPr>
        <w:p w:rsidR="00A81F94" w:rsidRDefault="00A81F94" w:rsidP="004C5CAF">
          <w:pPr>
            <w:jc w:val="right"/>
          </w:pPr>
          <w:bookmarkStart w:id="6" w:name="FirstCoverIdentificationBookmark"/>
          <w:r>
            <w:t>CCP:TE 16/</w:t>
          </w:r>
          <w:bookmarkEnd w:id="6"/>
          <w:r>
            <w:t>Inf.2</w:t>
          </w:r>
        </w:p>
      </w:tc>
    </w:tr>
  </w:tbl>
  <w:p w:rsidR="00A81F94" w:rsidRPr="008E01CD" w:rsidRDefault="00A81F94" w:rsidP="00A81F94">
    <w:pPr>
      <w:pBdr>
        <w:bottom w:val="single" w:sz="12" w:space="0" w:color="auto"/>
      </w:pBdr>
      <w:contextualSpacing/>
      <w:rPr>
        <w:sz w:val="4"/>
      </w:rPr>
    </w:pPr>
  </w:p>
  <w:p w:rsidR="00A81F94" w:rsidRDefault="00A81F94" w:rsidP="00A81F94">
    <w:pPr>
      <w:jc w:val="center"/>
    </w:pPr>
    <w:bookmarkStart w:id="7" w:name="LogoBookmark"/>
    <w:r>
      <w:rPr>
        <w:noProof/>
        <w:lang w:eastAsia="en-GB"/>
      </w:rPr>
      <w:drawing>
        <wp:inline distT="0" distB="0" distL="0" distR="0" wp14:anchorId="4E7F76C6" wp14:editId="0AFC5A7B">
          <wp:extent cx="5760085" cy="7943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085" cy="794385"/>
                  </a:xfrm>
                  <a:prstGeom prst="rect">
                    <a:avLst/>
                  </a:prstGeom>
                </pic:spPr>
              </pic:pic>
            </a:graphicData>
          </a:graphic>
        </wp:inline>
      </w:drawing>
    </w:r>
    <w:r>
      <w:t xml:space="preserve">  </w:t>
    </w:r>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6F4C482"/>
    <w:lvl w:ilvl="0">
      <w:start w:val="1"/>
      <w:numFmt w:val="upperRoman"/>
      <w:pStyle w:val="Heading1"/>
      <w:lvlText w:val="%1."/>
      <w:legacy w:legacy="1" w:legacySpace="0" w:legacyIndent="708"/>
      <w:lvlJc w:val="left"/>
      <w:pPr>
        <w:ind w:left="709" w:hanging="708"/>
      </w:pPr>
    </w:lvl>
    <w:lvl w:ilvl="1">
      <w:start w:val="1"/>
      <w:numFmt w:val="upperLetter"/>
      <w:pStyle w:val="Heading2"/>
      <w:lvlText w:val="%2."/>
      <w:legacy w:legacy="1" w:legacySpace="0" w:legacyIndent="708"/>
      <w:lvlJc w:val="left"/>
      <w:pPr>
        <w:ind w:left="709" w:hanging="708"/>
      </w:pPr>
    </w:lvl>
    <w:lvl w:ilvl="2">
      <w:start w:val="1"/>
      <w:numFmt w:val="none"/>
      <w:suff w:val="nothing"/>
      <w:lvlText w:val=""/>
      <w:lvlJc w:val="left"/>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
    <w:nsid w:val="1E43335A"/>
    <w:multiLevelType w:val="hybridMultilevel"/>
    <w:tmpl w:val="798A0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21446CAB"/>
    <w:multiLevelType w:val="hybridMultilevel"/>
    <w:tmpl w:val="E4BED480"/>
    <w:lvl w:ilvl="0" w:tplc="0409000F">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C96B2F"/>
    <w:multiLevelType w:val="hybridMultilevel"/>
    <w:tmpl w:val="D850F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FC26D2"/>
    <w:multiLevelType w:val="multilevel"/>
    <w:tmpl w:val="E33623AE"/>
    <w:lvl w:ilvl="0">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98A2726"/>
    <w:multiLevelType w:val="hybridMultilevel"/>
    <w:tmpl w:val="2118D630"/>
    <w:lvl w:ilvl="0" w:tplc="3CC02650">
      <w:start w:val="1"/>
      <w:numFmt w:val="lowerRoman"/>
      <w:lvlText w:val="%1)"/>
      <w:lvlJc w:val="left"/>
      <w:pPr>
        <w:ind w:left="1584" w:hanging="72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6">
    <w:nsid w:val="40C16C4E"/>
    <w:multiLevelType w:val="hybridMultilevel"/>
    <w:tmpl w:val="B750EC1C"/>
    <w:lvl w:ilvl="0" w:tplc="90BE5F7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7F1E5B"/>
    <w:multiLevelType w:val="multilevel"/>
    <w:tmpl w:val="83024400"/>
    <w:lvl w:ilvl="0">
      <w:start w:val="1"/>
      <w:numFmt w:val="bullet"/>
      <w:lvlText w:val=""/>
      <w:lvlJc w:val="left"/>
      <w:pPr>
        <w:ind w:left="0" w:firstLine="0"/>
      </w:pPr>
      <w:rPr>
        <w:rFonts w:ascii="Symbol" w:hAnsi="Symbol"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8">
    <w:nsid w:val="529F5649"/>
    <w:multiLevelType w:val="hybridMultilevel"/>
    <w:tmpl w:val="54501790"/>
    <w:lvl w:ilvl="0" w:tplc="0C600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292D75"/>
    <w:multiLevelType w:val="multilevel"/>
    <w:tmpl w:val="466E69B2"/>
    <w:lvl w:ilvl="0">
      <w:start w:val="1"/>
      <w:numFmt w:val="upperRoman"/>
      <w:pStyle w:val="NumberedHeading"/>
      <w:lvlText w:val="%1."/>
      <w:legacy w:legacy="1" w:legacySpace="0" w:legacyIndent="708"/>
      <w:lvlJc w:val="left"/>
      <w:pPr>
        <w:ind w:left="709" w:hanging="708"/>
      </w:pPr>
    </w:lvl>
    <w:lvl w:ilvl="1">
      <w:start w:val="1"/>
      <w:numFmt w:val="upperLetter"/>
      <w:lvlText w:val="%2."/>
      <w:legacy w:legacy="1" w:legacySpace="0" w:legacyIndent="708"/>
      <w:lvlJc w:val="left"/>
      <w:pPr>
        <w:ind w:left="709" w:hanging="708"/>
      </w:pPr>
    </w:lvl>
    <w:lvl w:ilvl="2">
      <w:start w:val="1"/>
      <w:numFmt w:val="none"/>
      <w:suff w:val="nothing"/>
      <w:lvlText w:val=""/>
      <w:lvlJc w:val="left"/>
      <w:pPr>
        <w:ind w:left="0" w:firstLine="0"/>
      </w:pPr>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0">
    <w:nsid w:val="5E440EC5"/>
    <w:multiLevelType w:val="hybridMultilevel"/>
    <w:tmpl w:val="84A8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4E7168"/>
    <w:multiLevelType w:val="multilevel"/>
    <w:tmpl w:val="68867E3A"/>
    <w:lvl w:ilvl="0">
      <w:start w:val="1"/>
      <w:numFmt w:val="decimal"/>
      <w:pStyle w:val="BoxNewPara"/>
      <w:lvlText w:val="%1."/>
      <w:lvlJc w:val="left"/>
      <w:pPr>
        <w:ind w:left="720"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FFA4880"/>
    <w:multiLevelType w:val="multilevel"/>
    <w:tmpl w:val="9F1218F8"/>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13">
    <w:nsid w:val="69E718B9"/>
    <w:multiLevelType w:val="hybridMultilevel"/>
    <w:tmpl w:val="54EA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B51E03"/>
    <w:multiLevelType w:val="hybridMultilevel"/>
    <w:tmpl w:val="2118D630"/>
    <w:lvl w:ilvl="0" w:tplc="3CC02650">
      <w:start w:val="1"/>
      <w:numFmt w:val="lowerRoman"/>
      <w:lvlText w:val="%1)"/>
      <w:lvlJc w:val="left"/>
      <w:pPr>
        <w:ind w:left="1584" w:hanging="72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num w:numId="1">
    <w:abstractNumId w:val="0"/>
  </w:num>
  <w:num w:numId="2">
    <w:abstractNumId w:val="6"/>
  </w:num>
  <w:num w:numId="3">
    <w:abstractNumId w:val="11"/>
  </w:num>
  <w:num w:numId="4">
    <w:abstractNumId w:val="14"/>
  </w:num>
  <w:num w:numId="5">
    <w:abstractNumId w:val="12"/>
  </w:num>
  <w:num w:numId="6">
    <w:abstractNumId w:val="11"/>
  </w:num>
  <w:num w:numId="7">
    <w:abstractNumId w:val="5"/>
  </w:num>
  <w:num w:numId="8">
    <w:abstractNumId w:val="11"/>
  </w:num>
  <w:num w:numId="9">
    <w:abstractNumId w:val="4"/>
  </w:num>
  <w:num w:numId="10">
    <w:abstractNumId w:val="11"/>
  </w:num>
  <w:num w:numId="11">
    <w:abstractNumId w:val="11"/>
  </w:num>
  <w:num w:numId="12">
    <w:abstractNumId w:val="0"/>
  </w:num>
  <w:num w:numId="13">
    <w:abstractNumId w:val="11"/>
  </w:num>
  <w:num w:numId="14">
    <w:abstractNumId w:val="11"/>
  </w:num>
  <w:num w:numId="15">
    <w:abstractNumId w:val="11"/>
  </w:num>
  <w:num w:numId="16">
    <w:abstractNumId w:val="0"/>
  </w:num>
  <w:num w:numId="17">
    <w:abstractNumId w:val="0"/>
  </w:num>
  <w:num w:numId="18">
    <w:abstractNumId w:val="11"/>
  </w:num>
  <w:num w:numId="19">
    <w:abstractNumId w:val="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num>
  <w:num w:numId="24">
    <w:abstractNumId w:val="0"/>
  </w:num>
  <w:num w:numId="25">
    <w:abstractNumId w:val="0"/>
  </w:num>
  <w:num w:numId="26">
    <w:abstractNumId w:val="12"/>
  </w:num>
  <w:num w:numId="27">
    <w:abstractNumId w:val="1"/>
  </w:num>
  <w:num w:numId="28">
    <w:abstractNumId w:val="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3"/>
  </w:num>
  <w:num w:numId="42">
    <w:abstractNumId w:val="12"/>
  </w:num>
  <w:num w:numId="43">
    <w:abstractNumId w:val="2"/>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86"/>
    <w:rsid w:val="000019B1"/>
    <w:rsid w:val="00012386"/>
    <w:rsid w:val="00017069"/>
    <w:rsid w:val="00082DE1"/>
    <w:rsid w:val="000907F2"/>
    <w:rsid w:val="000B2AB9"/>
    <w:rsid w:val="000C0883"/>
    <w:rsid w:val="000C09D9"/>
    <w:rsid w:val="000E0955"/>
    <w:rsid w:val="000F6FB0"/>
    <w:rsid w:val="00112F80"/>
    <w:rsid w:val="001327A5"/>
    <w:rsid w:val="00140F94"/>
    <w:rsid w:val="0017701B"/>
    <w:rsid w:val="00180F2F"/>
    <w:rsid w:val="00193844"/>
    <w:rsid w:val="001A5FFE"/>
    <w:rsid w:val="001B44C3"/>
    <w:rsid w:val="001C2281"/>
    <w:rsid w:val="002116A8"/>
    <w:rsid w:val="0022343E"/>
    <w:rsid w:val="00240A29"/>
    <w:rsid w:val="00270AAC"/>
    <w:rsid w:val="002A192E"/>
    <w:rsid w:val="002E5E82"/>
    <w:rsid w:val="002F38B1"/>
    <w:rsid w:val="002F7BCB"/>
    <w:rsid w:val="0036490B"/>
    <w:rsid w:val="00374FD5"/>
    <w:rsid w:val="00380DEA"/>
    <w:rsid w:val="003D7A58"/>
    <w:rsid w:val="00422991"/>
    <w:rsid w:val="004337E1"/>
    <w:rsid w:val="004859DD"/>
    <w:rsid w:val="004A028E"/>
    <w:rsid w:val="004A2478"/>
    <w:rsid w:val="004B710E"/>
    <w:rsid w:val="004C5CAF"/>
    <w:rsid w:val="00550E3C"/>
    <w:rsid w:val="005640C0"/>
    <w:rsid w:val="005B4535"/>
    <w:rsid w:val="005D12FF"/>
    <w:rsid w:val="005E58CB"/>
    <w:rsid w:val="005E5E43"/>
    <w:rsid w:val="00642FFA"/>
    <w:rsid w:val="00645246"/>
    <w:rsid w:val="0065200C"/>
    <w:rsid w:val="00665EC2"/>
    <w:rsid w:val="00681ED9"/>
    <w:rsid w:val="006A1985"/>
    <w:rsid w:val="006E2227"/>
    <w:rsid w:val="006E2712"/>
    <w:rsid w:val="006F4AC9"/>
    <w:rsid w:val="00701D7D"/>
    <w:rsid w:val="007571D8"/>
    <w:rsid w:val="00780964"/>
    <w:rsid w:val="0078197B"/>
    <w:rsid w:val="0079532D"/>
    <w:rsid w:val="007A13C4"/>
    <w:rsid w:val="0083552C"/>
    <w:rsid w:val="00857D15"/>
    <w:rsid w:val="00876E75"/>
    <w:rsid w:val="00880F56"/>
    <w:rsid w:val="008A383E"/>
    <w:rsid w:val="008C0C72"/>
    <w:rsid w:val="008D1415"/>
    <w:rsid w:val="00910C38"/>
    <w:rsid w:val="00935080"/>
    <w:rsid w:val="00935B4C"/>
    <w:rsid w:val="00946CD6"/>
    <w:rsid w:val="00946DAA"/>
    <w:rsid w:val="00970A4A"/>
    <w:rsid w:val="009D3260"/>
    <w:rsid w:val="00A00718"/>
    <w:rsid w:val="00A22CDD"/>
    <w:rsid w:val="00A42FCD"/>
    <w:rsid w:val="00A62EF4"/>
    <w:rsid w:val="00A71F71"/>
    <w:rsid w:val="00A81F94"/>
    <w:rsid w:val="00AA1601"/>
    <w:rsid w:val="00B83AF6"/>
    <w:rsid w:val="00BE2F48"/>
    <w:rsid w:val="00BF1A76"/>
    <w:rsid w:val="00C22613"/>
    <w:rsid w:val="00C80879"/>
    <w:rsid w:val="00C867A0"/>
    <w:rsid w:val="00CB6143"/>
    <w:rsid w:val="00CF04F2"/>
    <w:rsid w:val="00D11858"/>
    <w:rsid w:val="00D12DB4"/>
    <w:rsid w:val="00D35A9F"/>
    <w:rsid w:val="00D5308B"/>
    <w:rsid w:val="00DA2951"/>
    <w:rsid w:val="00DA454E"/>
    <w:rsid w:val="00DB032E"/>
    <w:rsid w:val="00DC60D2"/>
    <w:rsid w:val="00DE1B33"/>
    <w:rsid w:val="00E1379E"/>
    <w:rsid w:val="00E54538"/>
    <w:rsid w:val="00E7018D"/>
    <w:rsid w:val="00E965BB"/>
    <w:rsid w:val="00EB00DA"/>
    <w:rsid w:val="00F33270"/>
    <w:rsid w:val="00F63B0E"/>
    <w:rsid w:val="00F86BC7"/>
    <w:rsid w:val="00F93408"/>
    <w:rsid w:val="00FD0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386"/>
    <w:pPr>
      <w:spacing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017069"/>
    <w:pPr>
      <w:keepNext/>
      <w:numPr>
        <w:numId w:val="1"/>
      </w:numPr>
      <w:spacing w:before="240" w:after="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017069"/>
    <w:pPr>
      <w:keepNext/>
      <w:numPr>
        <w:ilvl w:val="1"/>
        <w:numId w:val="1"/>
      </w:numPr>
      <w:spacing w:before="240" w:after="0"/>
      <w:jc w:val="center"/>
      <w:outlineLvl w:val="1"/>
    </w:pPr>
    <w:rPr>
      <w:rFonts w:ascii="Times New Roman Bold" w:eastAsia="Times New Roman" w:hAnsi="Times New Roman Bold"/>
      <w:b/>
      <w:bCs/>
      <w:sz w:val="24"/>
      <w:szCs w:val="32"/>
    </w:rPr>
  </w:style>
  <w:style w:type="paragraph" w:styleId="Heading3">
    <w:name w:val="heading 3"/>
    <w:basedOn w:val="Normal"/>
    <w:next w:val="Normal"/>
    <w:link w:val="Heading3Char"/>
    <w:uiPriority w:val="9"/>
    <w:semiHidden/>
    <w:unhideWhenUsed/>
    <w:qFormat/>
    <w:rsid w:val="000170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86"/>
    <w:pPr>
      <w:tabs>
        <w:tab w:val="center" w:pos="4536"/>
        <w:tab w:val="right" w:pos="9072"/>
      </w:tabs>
    </w:pPr>
  </w:style>
  <w:style w:type="character" w:customStyle="1" w:styleId="HeaderChar">
    <w:name w:val="Header Char"/>
    <w:basedOn w:val="DefaultParagraphFont"/>
    <w:link w:val="Header"/>
    <w:uiPriority w:val="99"/>
    <w:rsid w:val="00012386"/>
    <w:rPr>
      <w:rFonts w:ascii="Times New Roman" w:hAnsi="Times New Roman" w:cs="Akhbar MT"/>
      <w:szCs w:val="30"/>
      <w:lang w:val="en-GB"/>
    </w:rPr>
  </w:style>
  <w:style w:type="paragraph" w:customStyle="1" w:styleId="Note">
    <w:name w:val="Note"/>
    <w:basedOn w:val="Normal"/>
    <w:link w:val="NoteChar"/>
    <w:autoRedefine/>
    <w:qFormat/>
    <w:rsid w:val="00012386"/>
    <w:pPr>
      <w:pBdr>
        <w:top w:val="single" w:sz="4" w:space="0" w:color="auto"/>
      </w:pBdr>
      <w:jc w:val="center"/>
    </w:pPr>
    <w:rPr>
      <w:i/>
      <w:sz w:val="20"/>
      <w:szCs w:val="28"/>
    </w:rPr>
  </w:style>
  <w:style w:type="character" w:customStyle="1" w:styleId="NoteChar">
    <w:name w:val="Note Char"/>
    <w:basedOn w:val="DefaultParagraphFont"/>
    <w:link w:val="Note"/>
    <w:rsid w:val="00012386"/>
    <w:rPr>
      <w:rFonts w:ascii="Times New Roman" w:hAnsi="Times New Roman" w:cs="Akhbar MT"/>
      <w:i/>
      <w:sz w:val="20"/>
      <w:szCs w:val="28"/>
      <w:lang w:val="en-GB"/>
    </w:rPr>
  </w:style>
  <w:style w:type="paragraph" w:customStyle="1" w:styleId="DocTitle">
    <w:name w:val="DocTitle"/>
    <w:basedOn w:val="Normal"/>
    <w:link w:val="DocTitleChar"/>
    <w:qFormat/>
    <w:rsid w:val="00012386"/>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012386"/>
    <w:rPr>
      <w:rFonts w:ascii="Times New Roman" w:hAnsi="Times New Roman" w:cs="Akhbar MT"/>
      <w:bCs/>
      <w:color w:val="7F7F7F" w:themeColor="text1" w:themeTint="80"/>
      <w:sz w:val="56"/>
      <w:szCs w:val="72"/>
      <w:lang w:val="en-GB"/>
    </w:rPr>
  </w:style>
  <w:style w:type="paragraph" w:customStyle="1" w:styleId="SummaryBoxText">
    <w:name w:val="Summary Box Text"/>
    <w:basedOn w:val="Normal"/>
    <w:link w:val="SummaryBoxTextChar"/>
    <w:qFormat/>
    <w:rsid w:val="00012386"/>
    <w:pPr>
      <w:spacing w:line="360" w:lineRule="auto"/>
    </w:pPr>
  </w:style>
  <w:style w:type="character" w:customStyle="1" w:styleId="SummaryBoxTextChar">
    <w:name w:val="Summary Box Text Char"/>
    <w:basedOn w:val="DefaultParagraphFont"/>
    <w:link w:val="SummaryBoxText"/>
    <w:rsid w:val="00012386"/>
    <w:rPr>
      <w:rFonts w:ascii="Times New Roman" w:hAnsi="Times New Roman" w:cs="Akhbar MT"/>
      <w:szCs w:val="30"/>
      <w:lang w:val="en-GB"/>
    </w:rPr>
  </w:style>
  <w:style w:type="paragraph" w:customStyle="1" w:styleId="Underlined">
    <w:name w:val="Underlined"/>
    <w:basedOn w:val="Normal"/>
    <w:link w:val="UnderlinedChar"/>
    <w:qFormat/>
    <w:rsid w:val="00012386"/>
    <w:pPr>
      <w:pBdr>
        <w:bottom w:val="single" w:sz="12" w:space="1" w:color="auto"/>
      </w:pBdr>
    </w:pPr>
  </w:style>
  <w:style w:type="character" w:customStyle="1" w:styleId="UnderlinedChar">
    <w:name w:val="Underlined Char"/>
    <w:basedOn w:val="DefaultParagraphFont"/>
    <w:link w:val="Underlined"/>
    <w:rsid w:val="00012386"/>
    <w:rPr>
      <w:rFonts w:ascii="Times New Roman" w:hAnsi="Times New Roman" w:cs="Akhbar MT"/>
      <w:szCs w:val="30"/>
      <w:lang w:val="en-GB"/>
    </w:rPr>
  </w:style>
  <w:style w:type="paragraph" w:customStyle="1" w:styleId="MeetingInfo">
    <w:name w:val="MeetingInfo"/>
    <w:basedOn w:val="Normal"/>
    <w:link w:val="MeetingInfoChar"/>
    <w:qFormat/>
    <w:rsid w:val="00012386"/>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character" w:customStyle="1" w:styleId="MeetingInfoChar">
    <w:name w:val="MeetingInfo Char"/>
    <w:basedOn w:val="DefaultParagraphFont"/>
    <w:link w:val="MeetingInfo"/>
    <w:rsid w:val="00012386"/>
    <w:rPr>
      <w:rFonts w:ascii="Times New Roman Bold" w:hAnsi="Times New Roman Bold" w:cs="Akhbar MT"/>
      <w:b/>
      <w:bCs/>
      <w:sz w:val="28"/>
      <w:szCs w:val="36"/>
      <w:lang w:val="en-GB"/>
    </w:rPr>
  </w:style>
  <w:style w:type="paragraph" w:customStyle="1" w:styleId="Hidden">
    <w:name w:val="Hidden"/>
    <w:basedOn w:val="Normal"/>
    <w:link w:val="HiddenChar"/>
    <w:qFormat/>
    <w:rsid w:val="00012386"/>
    <w:pPr>
      <w:spacing w:line="20" w:lineRule="exact"/>
    </w:pPr>
    <w:rPr>
      <w:sz w:val="2"/>
    </w:rPr>
  </w:style>
  <w:style w:type="character" w:customStyle="1" w:styleId="HiddenChar">
    <w:name w:val="Hidden Char"/>
    <w:basedOn w:val="DefaultParagraphFont"/>
    <w:link w:val="Hidden"/>
    <w:rsid w:val="00012386"/>
    <w:rPr>
      <w:rFonts w:ascii="Times New Roman" w:hAnsi="Times New Roman" w:cs="Akhbar MT"/>
      <w:sz w:val="2"/>
      <w:szCs w:val="30"/>
      <w:lang w:val="en-GB"/>
    </w:rPr>
  </w:style>
  <w:style w:type="paragraph" w:customStyle="1" w:styleId="LanguageSymbol">
    <w:name w:val="LanguageSymbol"/>
    <w:basedOn w:val="Normal"/>
    <w:link w:val="LanguageSymbolChar"/>
    <w:qFormat/>
    <w:rsid w:val="00012386"/>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012386"/>
    <w:rPr>
      <w:rFonts w:ascii="Times New Roman" w:hAnsi="Times New Roman" w:cs="Akhbar MT"/>
      <w:b/>
      <w:color w:val="808080"/>
      <w:sz w:val="56"/>
      <w:szCs w:val="56"/>
      <w:lang w:val="en-GB"/>
    </w:rPr>
  </w:style>
  <w:style w:type="table" w:styleId="TableGrid">
    <w:name w:val="Table Grid"/>
    <w:basedOn w:val="TableNormal"/>
    <w:uiPriority w:val="59"/>
    <w:rsid w:val="0001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2386"/>
  </w:style>
  <w:style w:type="paragraph" w:styleId="BalloonText">
    <w:name w:val="Balloon Text"/>
    <w:basedOn w:val="Normal"/>
    <w:link w:val="BalloonTextChar"/>
    <w:uiPriority w:val="99"/>
    <w:semiHidden/>
    <w:unhideWhenUsed/>
    <w:rsid w:val="00012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86"/>
    <w:rPr>
      <w:rFonts w:ascii="Tahoma" w:hAnsi="Tahoma" w:cs="Tahoma"/>
      <w:sz w:val="16"/>
      <w:szCs w:val="16"/>
      <w:lang w:val="en-GB"/>
    </w:rPr>
  </w:style>
  <w:style w:type="paragraph" w:styleId="Footer">
    <w:name w:val="footer"/>
    <w:basedOn w:val="Normal"/>
    <w:link w:val="FooterChar"/>
    <w:uiPriority w:val="99"/>
    <w:unhideWhenUsed/>
    <w:rsid w:val="00BE2F48"/>
    <w:pPr>
      <w:tabs>
        <w:tab w:val="center" w:pos="4513"/>
        <w:tab w:val="right" w:pos="9026"/>
      </w:tabs>
      <w:spacing w:after="0"/>
    </w:pPr>
  </w:style>
  <w:style w:type="character" w:customStyle="1" w:styleId="FooterChar">
    <w:name w:val="Footer Char"/>
    <w:basedOn w:val="DefaultParagraphFont"/>
    <w:link w:val="Footer"/>
    <w:uiPriority w:val="99"/>
    <w:rsid w:val="00BE2F48"/>
    <w:rPr>
      <w:rFonts w:ascii="Times New Roman" w:hAnsi="Times New Roman" w:cs="Akhbar MT"/>
      <w:szCs w:val="30"/>
      <w:lang w:val="en-GB"/>
    </w:rPr>
  </w:style>
  <w:style w:type="character" w:customStyle="1" w:styleId="Heading1Char">
    <w:name w:val="Heading 1 Char"/>
    <w:aliases w:val="Part Char"/>
    <w:basedOn w:val="DefaultParagraphFont"/>
    <w:link w:val="Heading1"/>
    <w:rsid w:val="00017069"/>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017069"/>
    <w:rPr>
      <w:rFonts w:ascii="Times New Roman Bold" w:eastAsia="Times New Roman" w:hAnsi="Times New Roman Bold" w:cs="Akhbar MT"/>
      <w:b/>
      <w:bCs/>
      <w:sz w:val="24"/>
      <w:szCs w:val="32"/>
      <w:lang w:val="en-GB"/>
    </w:rPr>
  </w:style>
  <w:style w:type="paragraph" w:customStyle="1" w:styleId="BulletList">
    <w:name w:val="Bullet List"/>
    <w:basedOn w:val="ListParagraph"/>
    <w:link w:val="BulletListChar"/>
    <w:qFormat/>
    <w:rsid w:val="00017069"/>
    <w:pPr>
      <w:numPr>
        <w:numId w:val="2"/>
      </w:numPr>
      <w:spacing w:before="120" w:after="0"/>
      <w:ind w:left="714" w:hanging="357"/>
    </w:pPr>
    <w:rPr>
      <w:rFonts w:eastAsia="Calibri"/>
    </w:rPr>
  </w:style>
  <w:style w:type="character" w:customStyle="1" w:styleId="BulletListChar">
    <w:name w:val="Bullet List Char"/>
    <w:basedOn w:val="DefaultParagraphFont"/>
    <w:link w:val="BulletList"/>
    <w:rsid w:val="00017069"/>
    <w:rPr>
      <w:rFonts w:ascii="Times New Roman" w:eastAsia="Calibri" w:hAnsi="Times New Roman" w:cs="Akhbar MT"/>
      <w:szCs w:val="30"/>
      <w:lang w:val="en-GB"/>
    </w:rPr>
  </w:style>
  <w:style w:type="paragraph" w:customStyle="1" w:styleId="BoxNewPara">
    <w:name w:val="Box NewPara"/>
    <w:basedOn w:val="ListParagraph"/>
    <w:link w:val="BoxNewParaChar"/>
    <w:qFormat/>
    <w:rsid w:val="00017069"/>
    <w:pPr>
      <w:numPr>
        <w:numId w:val="3"/>
      </w:numPr>
      <w:spacing w:before="120" w:after="0"/>
      <w:contextualSpacing w:val="0"/>
    </w:pPr>
    <w:rPr>
      <w:rFonts w:eastAsia="Calibri"/>
    </w:rPr>
  </w:style>
  <w:style w:type="character" w:customStyle="1" w:styleId="BoxNewParaChar">
    <w:name w:val="Box NewPara Char"/>
    <w:basedOn w:val="DefaultParagraphFont"/>
    <w:link w:val="BoxNewPara"/>
    <w:rsid w:val="00017069"/>
    <w:rPr>
      <w:rFonts w:ascii="Times New Roman" w:eastAsia="Calibri" w:hAnsi="Times New Roman" w:cs="Akhbar MT"/>
      <w:szCs w:val="30"/>
      <w:lang w:val="en-GB"/>
    </w:rPr>
  </w:style>
  <w:style w:type="paragraph" w:customStyle="1" w:styleId="BoxBulletList">
    <w:name w:val="Box Bullet List"/>
    <w:basedOn w:val="BulletList"/>
    <w:link w:val="BoxBulletListChar"/>
    <w:qFormat/>
    <w:rsid w:val="00017069"/>
  </w:style>
  <w:style w:type="character" w:customStyle="1" w:styleId="BoxBulletListChar">
    <w:name w:val="Box Bullet List Char"/>
    <w:basedOn w:val="BulletListChar"/>
    <w:link w:val="BoxBulletList"/>
    <w:rsid w:val="00017069"/>
    <w:rPr>
      <w:rFonts w:ascii="Times New Roman" w:eastAsia="Calibri" w:hAnsi="Times New Roman" w:cs="Akhbar MT"/>
      <w:szCs w:val="30"/>
      <w:lang w:val="en-GB"/>
    </w:rPr>
  </w:style>
  <w:style w:type="character" w:customStyle="1" w:styleId="Heading3Char">
    <w:name w:val="Heading 3 Char"/>
    <w:basedOn w:val="DefaultParagraphFont"/>
    <w:link w:val="Heading3"/>
    <w:uiPriority w:val="9"/>
    <w:semiHidden/>
    <w:rsid w:val="00017069"/>
    <w:rPr>
      <w:rFonts w:asciiTheme="majorHAnsi" w:eastAsiaTheme="majorEastAsia" w:hAnsiTheme="majorHAnsi" w:cstheme="majorBidi"/>
      <w:color w:val="243F60" w:themeColor="accent1" w:themeShade="7F"/>
      <w:sz w:val="24"/>
      <w:szCs w:val="24"/>
      <w:lang w:val="en-GB"/>
    </w:rPr>
  </w:style>
  <w:style w:type="paragraph" w:styleId="ListParagraph">
    <w:name w:val="List Paragraph"/>
    <w:basedOn w:val="Normal"/>
    <w:uiPriority w:val="34"/>
    <w:qFormat/>
    <w:rsid w:val="00017069"/>
    <w:pPr>
      <w:ind w:left="720"/>
      <w:contextualSpacing/>
    </w:pPr>
  </w:style>
  <w:style w:type="paragraph" w:styleId="Quote">
    <w:name w:val="Quote"/>
    <w:basedOn w:val="Normal"/>
    <w:next w:val="Normal"/>
    <w:link w:val="QuoteChar"/>
    <w:uiPriority w:val="29"/>
    <w:qFormat/>
    <w:rsid w:val="004229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991"/>
    <w:rPr>
      <w:rFonts w:ascii="Times New Roman" w:hAnsi="Times New Roman" w:cs="Akhbar MT"/>
      <w:i/>
      <w:iCs/>
      <w:color w:val="404040" w:themeColor="text1" w:themeTint="BF"/>
      <w:szCs w:val="30"/>
      <w:lang w:val="en-GB"/>
    </w:rPr>
  </w:style>
  <w:style w:type="paragraph" w:customStyle="1" w:styleId="NewPara">
    <w:name w:val="NewPara"/>
    <w:basedOn w:val="ListParagraph"/>
    <w:link w:val="NewParaChar"/>
    <w:qFormat/>
    <w:rsid w:val="00422991"/>
    <w:pPr>
      <w:numPr>
        <w:numId w:val="5"/>
      </w:numPr>
      <w:contextualSpacing w:val="0"/>
    </w:pPr>
  </w:style>
  <w:style w:type="character" w:customStyle="1" w:styleId="NewParaChar">
    <w:name w:val="NewPara Char"/>
    <w:basedOn w:val="DefaultParagraphFont"/>
    <w:link w:val="NewPara"/>
    <w:rsid w:val="00422991"/>
    <w:rPr>
      <w:rFonts w:ascii="Times New Roman" w:hAnsi="Times New Roman" w:cs="Akhbar MT"/>
      <w:szCs w:val="30"/>
      <w:lang w:val="en-GB"/>
    </w:rPr>
  </w:style>
  <w:style w:type="character" w:styleId="Strong">
    <w:name w:val="Strong"/>
    <w:basedOn w:val="DefaultParagraphFont"/>
    <w:uiPriority w:val="22"/>
    <w:qFormat/>
    <w:rsid w:val="00A71F71"/>
    <w:rPr>
      <w:b/>
      <w:bCs/>
    </w:rPr>
  </w:style>
  <w:style w:type="character" w:customStyle="1" w:styleId="NumberedHeadingChar">
    <w:name w:val="NumberedHeading Char"/>
    <w:basedOn w:val="DefaultParagraphFont"/>
    <w:link w:val="NumberedHeading"/>
    <w:locked/>
    <w:rsid w:val="00A71F71"/>
    <w:rPr>
      <w:rFonts w:ascii="Times New Roman Bold" w:eastAsia="Calibri" w:hAnsi="Times New Roman Bold" w:cs="Akhbar MT"/>
      <w:b/>
      <w:sz w:val="28"/>
      <w:szCs w:val="36"/>
      <w:lang w:val="en-GB"/>
    </w:rPr>
  </w:style>
  <w:style w:type="paragraph" w:customStyle="1" w:styleId="NumberedHeading">
    <w:name w:val="NumberedHeading"/>
    <w:basedOn w:val="Normal"/>
    <w:next w:val="Heading2"/>
    <w:link w:val="NumberedHeadingChar"/>
    <w:qFormat/>
    <w:rsid w:val="00A71F71"/>
    <w:pPr>
      <w:keepNext/>
      <w:numPr>
        <w:numId w:val="21"/>
      </w:numPr>
      <w:spacing w:before="240" w:after="0"/>
      <w:jc w:val="center"/>
    </w:pPr>
    <w:rPr>
      <w:rFonts w:ascii="Times New Roman Bold" w:eastAsia="Calibri" w:hAnsi="Times New Roman Bold"/>
      <w:b/>
      <w:sz w:val="28"/>
      <w:szCs w:val="36"/>
    </w:rPr>
  </w:style>
  <w:style w:type="paragraph" w:customStyle="1" w:styleId="SummaryBoxTitle">
    <w:name w:val="Summary Box Title"/>
    <w:basedOn w:val="Normal"/>
    <w:link w:val="SummaryBoxTitleChar"/>
    <w:qFormat/>
    <w:rsid w:val="002116A8"/>
    <w:pPr>
      <w:jc w:val="center"/>
    </w:pPr>
    <w:rPr>
      <w:b/>
      <w:sz w:val="28"/>
      <w:szCs w:val="28"/>
    </w:rPr>
  </w:style>
  <w:style w:type="character" w:customStyle="1" w:styleId="SummaryBoxTitleChar">
    <w:name w:val="Summary Box Title Char"/>
    <w:basedOn w:val="DefaultParagraphFont"/>
    <w:link w:val="SummaryBoxTitle"/>
    <w:rsid w:val="002116A8"/>
    <w:rPr>
      <w:rFonts w:ascii="Times New Roman" w:hAnsi="Times New Roman" w:cs="Akhbar MT"/>
      <w:b/>
      <w:sz w:val="28"/>
      <w:szCs w:val="28"/>
      <w:lang w:val="en-GB"/>
    </w:rPr>
  </w:style>
  <w:style w:type="paragraph" w:styleId="FootnoteText">
    <w:name w:val="footnote text"/>
    <w:basedOn w:val="Normal"/>
    <w:link w:val="FootnoteTextChar"/>
    <w:uiPriority w:val="99"/>
    <w:semiHidden/>
    <w:unhideWhenUsed/>
    <w:rsid w:val="00E7018D"/>
    <w:pPr>
      <w:spacing w:after="0"/>
    </w:pPr>
    <w:rPr>
      <w:sz w:val="20"/>
      <w:szCs w:val="20"/>
    </w:rPr>
  </w:style>
  <w:style w:type="character" w:customStyle="1" w:styleId="FootnoteTextChar">
    <w:name w:val="Footnote Text Char"/>
    <w:basedOn w:val="DefaultParagraphFont"/>
    <w:link w:val="FootnoteText"/>
    <w:uiPriority w:val="99"/>
    <w:semiHidden/>
    <w:rsid w:val="00E7018D"/>
    <w:rPr>
      <w:rFonts w:ascii="Times New Roman" w:hAnsi="Times New Roman" w:cs="Akhbar MT"/>
      <w:sz w:val="20"/>
      <w:szCs w:val="20"/>
      <w:lang w:val="en-GB"/>
    </w:rPr>
  </w:style>
  <w:style w:type="character" w:styleId="FootnoteReference">
    <w:name w:val="footnote reference"/>
    <w:basedOn w:val="DefaultParagraphFont"/>
    <w:uiPriority w:val="99"/>
    <w:semiHidden/>
    <w:unhideWhenUsed/>
    <w:rsid w:val="00E7018D"/>
    <w:rPr>
      <w:vertAlign w:val="superscript"/>
    </w:rPr>
  </w:style>
  <w:style w:type="character" w:styleId="Hyperlink">
    <w:name w:val="Hyperlink"/>
    <w:basedOn w:val="DefaultParagraphFont"/>
    <w:uiPriority w:val="99"/>
    <w:unhideWhenUsed/>
    <w:rsid w:val="00E7018D"/>
    <w:rPr>
      <w:color w:val="0000FF" w:themeColor="hyperlink"/>
      <w:u w:val="single"/>
    </w:rPr>
  </w:style>
  <w:style w:type="paragraph" w:customStyle="1" w:styleId="Speaker">
    <w:name w:val="Speaker"/>
    <w:basedOn w:val="Normal"/>
    <w:link w:val="SpeakerChar"/>
    <w:qFormat/>
    <w:rsid w:val="000907F2"/>
    <w:rPr>
      <w:b/>
      <w:lang w:bidi="ar-EG"/>
    </w:rPr>
  </w:style>
  <w:style w:type="character" w:customStyle="1" w:styleId="SpeakerChar">
    <w:name w:val="Speaker Char"/>
    <w:basedOn w:val="DefaultParagraphFont"/>
    <w:link w:val="Speaker"/>
    <w:rsid w:val="000907F2"/>
    <w:rPr>
      <w:rFonts w:ascii="Times New Roman" w:hAnsi="Times New Roman" w:cs="Akhbar MT"/>
      <w:b/>
      <w:szCs w:val="30"/>
      <w:lang w:val="en-GB"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386"/>
    <w:pPr>
      <w:spacing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017069"/>
    <w:pPr>
      <w:keepNext/>
      <w:numPr>
        <w:numId w:val="1"/>
      </w:numPr>
      <w:spacing w:before="240" w:after="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017069"/>
    <w:pPr>
      <w:keepNext/>
      <w:numPr>
        <w:ilvl w:val="1"/>
        <w:numId w:val="1"/>
      </w:numPr>
      <w:spacing w:before="240" w:after="0"/>
      <w:jc w:val="center"/>
      <w:outlineLvl w:val="1"/>
    </w:pPr>
    <w:rPr>
      <w:rFonts w:ascii="Times New Roman Bold" w:eastAsia="Times New Roman" w:hAnsi="Times New Roman Bold"/>
      <w:b/>
      <w:bCs/>
      <w:sz w:val="24"/>
      <w:szCs w:val="32"/>
    </w:rPr>
  </w:style>
  <w:style w:type="paragraph" w:styleId="Heading3">
    <w:name w:val="heading 3"/>
    <w:basedOn w:val="Normal"/>
    <w:next w:val="Normal"/>
    <w:link w:val="Heading3Char"/>
    <w:uiPriority w:val="9"/>
    <w:semiHidden/>
    <w:unhideWhenUsed/>
    <w:qFormat/>
    <w:rsid w:val="000170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86"/>
    <w:pPr>
      <w:tabs>
        <w:tab w:val="center" w:pos="4536"/>
        <w:tab w:val="right" w:pos="9072"/>
      </w:tabs>
    </w:pPr>
  </w:style>
  <w:style w:type="character" w:customStyle="1" w:styleId="HeaderChar">
    <w:name w:val="Header Char"/>
    <w:basedOn w:val="DefaultParagraphFont"/>
    <w:link w:val="Header"/>
    <w:uiPriority w:val="99"/>
    <w:rsid w:val="00012386"/>
    <w:rPr>
      <w:rFonts w:ascii="Times New Roman" w:hAnsi="Times New Roman" w:cs="Akhbar MT"/>
      <w:szCs w:val="30"/>
      <w:lang w:val="en-GB"/>
    </w:rPr>
  </w:style>
  <w:style w:type="paragraph" w:customStyle="1" w:styleId="Note">
    <w:name w:val="Note"/>
    <w:basedOn w:val="Normal"/>
    <w:link w:val="NoteChar"/>
    <w:autoRedefine/>
    <w:qFormat/>
    <w:rsid w:val="00012386"/>
    <w:pPr>
      <w:pBdr>
        <w:top w:val="single" w:sz="4" w:space="0" w:color="auto"/>
      </w:pBdr>
      <w:jc w:val="center"/>
    </w:pPr>
    <w:rPr>
      <w:i/>
      <w:sz w:val="20"/>
      <w:szCs w:val="28"/>
    </w:rPr>
  </w:style>
  <w:style w:type="character" w:customStyle="1" w:styleId="NoteChar">
    <w:name w:val="Note Char"/>
    <w:basedOn w:val="DefaultParagraphFont"/>
    <w:link w:val="Note"/>
    <w:rsid w:val="00012386"/>
    <w:rPr>
      <w:rFonts w:ascii="Times New Roman" w:hAnsi="Times New Roman" w:cs="Akhbar MT"/>
      <w:i/>
      <w:sz w:val="20"/>
      <w:szCs w:val="28"/>
      <w:lang w:val="en-GB"/>
    </w:rPr>
  </w:style>
  <w:style w:type="paragraph" w:customStyle="1" w:styleId="DocTitle">
    <w:name w:val="DocTitle"/>
    <w:basedOn w:val="Normal"/>
    <w:link w:val="DocTitleChar"/>
    <w:qFormat/>
    <w:rsid w:val="00012386"/>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012386"/>
    <w:rPr>
      <w:rFonts w:ascii="Times New Roman" w:hAnsi="Times New Roman" w:cs="Akhbar MT"/>
      <w:bCs/>
      <w:color w:val="7F7F7F" w:themeColor="text1" w:themeTint="80"/>
      <w:sz w:val="56"/>
      <w:szCs w:val="72"/>
      <w:lang w:val="en-GB"/>
    </w:rPr>
  </w:style>
  <w:style w:type="paragraph" w:customStyle="1" w:styleId="SummaryBoxText">
    <w:name w:val="Summary Box Text"/>
    <w:basedOn w:val="Normal"/>
    <w:link w:val="SummaryBoxTextChar"/>
    <w:qFormat/>
    <w:rsid w:val="00012386"/>
    <w:pPr>
      <w:spacing w:line="360" w:lineRule="auto"/>
    </w:pPr>
  </w:style>
  <w:style w:type="character" w:customStyle="1" w:styleId="SummaryBoxTextChar">
    <w:name w:val="Summary Box Text Char"/>
    <w:basedOn w:val="DefaultParagraphFont"/>
    <w:link w:val="SummaryBoxText"/>
    <w:rsid w:val="00012386"/>
    <w:rPr>
      <w:rFonts w:ascii="Times New Roman" w:hAnsi="Times New Roman" w:cs="Akhbar MT"/>
      <w:szCs w:val="30"/>
      <w:lang w:val="en-GB"/>
    </w:rPr>
  </w:style>
  <w:style w:type="paragraph" w:customStyle="1" w:styleId="Underlined">
    <w:name w:val="Underlined"/>
    <w:basedOn w:val="Normal"/>
    <w:link w:val="UnderlinedChar"/>
    <w:qFormat/>
    <w:rsid w:val="00012386"/>
    <w:pPr>
      <w:pBdr>
        <w:bottom w:val="single" w:sz="12" w:space="1" w:color="auto"/>
      </w:pBdr>
    </w:pPr>
  </w:style>
  <w:style w:type="character" w:customStyle="1" w:styleId="UnderlinedChar">
    <w:name w:val="Underlined Char"/>
    <w:basedOn w:val="DefaultParagraphFont"/>
    <w:link w:val="Underlined"/>
    <w:rsid w:val="00012386"/>
    <w:rPr>
      <w:rFonts w:ascii="Times New Roman" w:hAnsi="Times New Roman" w:cs="Akhbar MT"/>
      <w:szCs w:val="30"/>
      <w:lang w:val="en-GB"/>
    </w:rPr>
  </w:style>
  <w:style w:type="paragraph" w:customStyle="1" w:styleId="MeetingInfo">
    <w:name w:val="MeetingInfo"/>
    <w:basedOn w:val="Normal"/>
    <w:link w:val="MeetingInfoChar"/>
    <w:qFormat/>
    <w:rsid w:val="00012386"/>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character" w:customStyle="1" w:styleId="MeetingInfoChar">
    <w:name w:val="MeetingInfo Char"/>
    <w:basedOn w:val="DefaultParagraphFont"/>
    <w:link w:val="MeetingInfo"/>
    <w:rsid w:val="00012386"/>
    <w:rPr>
      <w:rFonts w:ascii="Times New Roman Bold" w:hAnsi="Times New Roman Bold" w:cs="Akhbar MT"/>
      <w:b/>
      <w:bCs/>
      <w:sz w:val="28"/>
      <w:szCs w:val="36"/>
      <w:lang w:val="en-GB"/>
    </w:rPr>
  </w:style>
  <w:style w:type="paragraph" w:customStyle="1" w:styleId="Hidden">
    <w:name w:val="Hidden"/>
    <w:basedOn w:val="Normal"/>
    <w:link w:val="HiddenChar"/>
    <w:qFormat/>
    <w:rsid w:val="00012386"/>
    <w:pPr>
      <w:spacing w:line="20" w:lineRule="exact"/>
    </w:pPr>
    <w:rPr>
      <w:sz w:val="2"/>
    </w:rPr>
  </w:style>
  <w:style w:type="character" w:customStyle="1" w:styleId="HiddenChar">
    <w:name w:val="Hidden Char"/>
    <w:basedOn w:val="DefaultParagraphFont"/>
    <w:link w:val="Hidden"/>
    <w:rsid w:val="00012386"/>
    <w:rPr>
      <w:rFonts w:ascii="Times New Roman" w:hAnsi="Times New Roman" w:cs="Akhbar MT"/>
      <w:sz w:val="2"/>
      <w:szCs w:val="30"/>
      <w:lang w:val="en-GB"/>
    </w:rPr>
  </w:style>
  <w:style w:type="paragraph" w:customStyle="1" w:styleId="LanguageSymbol">
    <w:name w:val="LanguageSymbol"/>
    <w:basedOn w:val="Normal"/>
    <w:link w:val="LanguageSymbolChar"/>
    <w:qFormat/>
    <w:rsid w:val="00012386"/>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012386"/>
    <w:rPr>
      <w:rFonts w:ascii="Times New Roman" w:hAnsi="Times New Roman" w:cs="Akhbar MT"/>
      <w:b/>
      <w:color w:val="808080"/>
      <w:sz w:val="56"/>
      <w:szCs w:val="56"/>
      <w:lang w:val="en-GB"/>
    </w:rPr>
  </w:style>
  <w:style w:type="table" w:styleId="TableGrid">
    <w:name w:val="Table Grid"/>
    <w:basedOn w:val="TableNormal"/>
    <w:uiPriority w:val="59"/>
    <w:rsid w:val="0001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2386"/>
  </w:style>
  <w:style w:type="paragraph" w:styleId="BalloonText">
    <w:name w:val="Balloon Text"/>
    <w:basedOn w:val="Normal"/>
    <w:link w:val="BalloonTextChar"/>
    <w:uiPriority w:val="99"/>
    <w:semiHidden/>
    <w:unhideWhenUsed/>
    <w:rsid w:val="00012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86"/>
    <w:rPr>
      <w:rFonts w:ascii="Tahoma" w:hAnsi="Tahoma" w:cs="Tahoma"/>
      <w:sz w:val="16"/>
      <w:szCs w:val="16"/>
      <w:lang w:val="en-GB"/>
    </w:rPr>
  </w:style>
  <w:style w:type="paragraph" w:styleId="Footer">
    <w:name w:val="footer"/>
    <w:basedOn w:val="Normal"/>
    <w:link w:val="FooterChar"/>
    <w:uiPriority w:val="99"/>
    <w:unhideWhenUsed/>
    <w:rsid w:val="00BE2F48"/>
    <w:pPr>
      <w:tabs>
        <w:tab w:val="center" w:pos="4513"/>
        <w:tab w:val="right" w:pos="9026"/>
      </w:tabs>
      <w:spacing w:after="0"/>
    </w:pPr>
  </w:style>
  <w:style w:type="character" w:customStyle="1" w:styleId="FooterChar">
    <w:name w:val="Footer Char"/>
    <w:basedOn w:val="DefaultParagraphFont"/>
    <w:link w:val="Footer"/>
    <w:uiPriority w:val="99"/>
    <w:rsid w:val="00BE2F48"/>
    <w:rPr>
      <w:rFonts w:ascii="Times New Roman" w:hAnsi="Times New Roman" w:cs="Akhbar MT"/>
      <w:szCs w:val="30"/>
      <w:lang w:val="en-GB"/>
    </w:rPr>
  </w:style>
  <w:style w:type="character" w:customStyle="1" w:styleId="Heading1Char">
    <w:name w:val="Heading 1 Char"/>
    <w:aliases w:val="Part Char"/>
    <w:basedOn w:val="DefaultParagraphFont"/>
    <w:link w:val="Heading1"/>
    <w:rsid w:val="00017069"/>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017069"/>
    <w:rPr>
      <w:rFonts w:ascii="Times New Roman Bold" w:eastAsia="Times New Roman" w:hAnsi="Times New Roman Bold" w:cs="Akhbar MT"/>
      <w:b/>
      <w:bCs/>
      <w:sz w:val="24"/>
      <w:szCs w:val="32"/>
      <w:lang w:val="en-GB"/>
    </w:rPr>
  </w:style>
  <w:style w:type="paragraph" w:customStyle="1" w:styleId="BulletList">
    <w:name w:val="Bullet List"/>
    <w:basedOn w:val="ListParagraph"/>
    <w:link w:val="BulletListChar"/>
    <w:qFormat/>
    <w:rsid w:val="00017069"/>
    <w:pPr>
      <w:numPr>
        <w:numId w:val="2"/>
      </w:numPr>
      <w:spacing w:before="120" w:after="0"/>
      <w:ind w:left="714" w:hanging="357"/>
    </w:pPr>
    <w:rPr>
      <w:rFonts w:eastAsia="Calibri"/>
    </w:rPr>
  </w:style>
  <w:style w:type="character" w:customStyle="1" w:styleId="BulletListChar">
    <w:name w:val="Bullet List Char"/>
    <w:basedOn w:val="DefaultParagraphFont"/>
    <w:link w:val="BulletList"/>
    <w:rsid w:val="00017069"/>
    <w:rPr>
      <w:rFonts w:ascii="Times New Roman" w:eastAsia="Calibri" w:hAnsi="Times New Roman" w:cs="Akhbar MT"/>
      <w:szCs w:val="30"/>
      <w:lang w:val="en-GB"/>
    </w:rPr>
  </w:style>
  <w:style w:type="paragraph" w:customStyle="1" w:styleId="BoxNewPara">
    <w:name w:val="Box NewPara"/>
    <w:basedOn w:val="ListParagraph"/>
    <w:link w:val="BoxNewParaChar"/>
    <w:qFormat/>
    <w:rsid w:val="00017069"/>
    <w:pPr>
      <w:numPr>
        <w:numId w:val="3"/>
      </w:numPr>
      <w:spacing w:before="120" w:after="0"/>
      <w:contextualSpacing w:val="0"/>
    </w:pPr>
    <w:rPr>
      <w:rFonts w:eastAsia="Calibri"/>
    </w:rPr>
  </w:style>
  <w:style w:type="character" w:customStyle="1" w:styleId="BoxNewParaChar">
    <w:name w:val="Box NewPara Char"/>
    <w:basedOn w:val="DefaultParagraphFont"/>
    <w:link w:val="BoxNewPara"/>
    <w:rsid w:val="00017069"/>
    <w:rPr>
      <w:rFonts w:ascii="Times New Roman" w:eastAsia="Calibri" w:hAnsi="Times New Roman" w:cs="Akhbar MT"/>
      <w:szCs w:val="30"/>
      <w:lang w:val="en-GB"/>
    </w:rPr>
  </w:style>
  <w:style w:type="paragraph" w:customStyle="1" w:styleId="BoxBulletList">
    <w:name w:val="Box Bullet List"/>
    <w:basedOn w:val="BulletList"/>
    <w:link w:val="BoxBulletListChar"/>
    <w:qFormat/>
    <w:rsid w:val="00017069"/>
  </w:style>
  <w:style w:type="character" w:customStyle="1" w:styleId="BoxBulletListChar">
    <w:name w:val="Box Bullet List Char"/>
    <w:basedOn w:val="BulletListChar"/>
    <w:link w:val="BoxBulletList"/>
    <w:rsid w:val="00017069"/>
    <w:rPr>
      <w:rFonts w:ascii="Times New Roman" w:eastAsia="Calibri" w:hAnsi="Times New Roman" w:cs="Akhbar MT"/>
      <w:szCs w:val="30"/>
      <w:lang w:val="en-GB"/>
    </w:rPr>
  </w:style>
  <w:style w:type="character" w:customStyle="1" w:styleId="Heading3Char">
    <w:name w:val="Heading 3 Char"/>
    <w:basedOn w:val="DefaultParagraphFont"/>
    <w:link w:val="Heading3"/>
    <w:uiPriority w:val="9"/>
    <w:semiHidden/>
    <w:rsid w:val="00017069"/>
    <w:rPr>
      <w:rFonts w:asciiTheme="majorHAnsi" w:eastAsiaTheme="majorEastAsia" w:hAnsiTheme="majorHAnsi" w:cstheme="majorBidi"/>
      <w:color w:val="243F60" w:themeColor="accent1" w:themeShade="7F"/>
      <w:sz w:val="24"/>
      <w:szCs w:val="24"/>
      <w:lang w:val="en-GB"/>
    </w:rPr>
  </w:style>
  <w:style w:type="paragraph" w:styleId="ListParagraph">
    <w:name w:val="List Paragraph"/>
    <w:basedOn w:val="Normal"/>
    <w:uiPriority w:val="34"/>
    <w:qFormat/>
    <w:rsid w:val="00017069"/>
    <w:pPr>
      <w:ind w:left="720"/>
      <w:contextualSpacing/>
    </w:pPr>
  </w:style>
  <w:style w:type="paragraph" w:styleId="Quote">
    <w:name w:val="Quote"/>
    <w:basedOn w:val="Normal"/>
    <w:next w:val="Normal"/>
    <w:link w:val="QuoteChar"/>
    <w:uiPriority w:val="29"/>
    <w:qFormat/>
    <w:rsid w:val="004229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991"/>
    <w:rPr>
      <w:rFonts w:ascii="Times New Roman" w:hAnsi="Times New Roman" w:cs="Akhbar MT"/>
      <w:i/>
      <w:iCs/>
      <w:color w:val="404040" w:themeColor="text1" w:themeTint="BF"/>
      <w:szCs w:val="30"/>
      <w:lang w:val="en-GB"/>
    </w:rPr>
  </w:style>
  <w:style w:type="paragraph" w:customStyle="1" w:styleId="NewPara">
    <w:name w:val="NewPara"/>
    <w:basedOn w:val="ListParagraph"/>
    <w:link w:val="NewParaChar"/>
    <w:qFormat/>
    <w:rsid w:val="00422991"/>
    <w:pPr>
      <w:numPr>
        <w:numId w:val="5"/>
      </w:numPr>
      <w:contextualSpacing w:val="0"/>
    </w:pPr>
  </w:style>
  <w:style w:type="character" w:customStyle="1" w:styleId="NewParaChar">
    <w:name w:val="NewPara Char"/>
    <w:basedOn w:val="DefaultParagraphFont"/>
    <w:link w:val="NewPara"/>
    <w:rsid w:val="00422991"/>
    <w:rPr>
      <w:rFonts w:ascii="Times New Roman" w:hAnsi="Times New Roman" w:cs="Akhbar MT"/>
      <w:szCs w:val="30"/>
      <w:lang w:val="en-GB"/>
    </w:rPr>
  </w:style>
  <w:style w:type="character" w:styleId="Strong">
    <w:name w:val="Strong"/>
    <w:basedOn w:val="DefaultParagraphFont"/>
    <w:uiPriority w:val="22"/>
    <w:qFormat/>
    <w:rsid w:val="00A71F71"/>
    <w:rPr>
      <w:b/>
      <w:bCs/>
    </w:rPr>
  </w:style>
  <w:style w:type="character" w:customStyle="1" w:styleId="NumberedHeadingChar">
    <w:name w:val="NumberedHeading Char"/>
    <w:basedOn w:val="DefaultParagraphFont"/>
    <w:link w:val="NumberedHeading"/>
    <w:locked/>
    <w:rsid w:val="00A71F71"/>
    <w:rPr>
      <w:rFonts w:ascii="Times New Roman Bold" w:eastAsia="Calibri" w:hAnsi="Times New Roman Bold" w:cs="Akhbar MT"/>
      <w:b/>
      <w:sz w:val="28"/>
      <w:szCs w:val="36"/>
      <w:lang w:val="en-GB"/>
    </w:rPr>
  </w:style>
  <w:style w:type="paragraph" w:customStyle="1" w:styleId="NumberedHeading">
    <w:name w:val="NumberedHeading"/>
    <w:basedOn w:val="Normal"/>
    <w:next w:val="Heading2"/>
    <w:link w:val="NumberedHeadingChar"/>
    <w:qFormat/>
    <w:rsid w:val="00A71F71"/>
    <w:pPr>
      <w:keepNext/>
      <w:numPr>
        <w:numId w:val="21"/>
      </w:numPr>
      <w:spacing w:before="240" w:after="0"/>
      <w:jc w:val="center"/>
    </w:pPr>
    <w:rPr>
      <w:rFonts w:ascii="Times New Roman Bold" w:eastAsia="Calibri" w:hAnsi="Times New Roman Bold"/>
      <w:b/>
      <w:sz w:val="28"/>
      <w:szCs w:val="36"/>
    </w:rPr>
  </w:style>
  <w:style w:type="paragraph" w:customStyle="1" w:styleId="SummaryBoxTitle">
    <w:name w:val="Summary Box Title"/>
    <w:basedOn w:val="Normal"/>
    <w:link w:val="SummaryBoxTitleChar"/>
    <w:qFormat/>
    <w:rsid w:val="002116A8"/>
    <w:pPr>
      <w:jc w:val="center"/>
    </w:pPr>
    <w:rPr>
      <w:b/>
      <w:sz w:val="28"/>
      <w:szCs w:val="28"/>
    </w:rPr>
  </w:style>
  <w:style w:type="character" w:customStyle="1" w:styleId="SummaryBoxTitleChar">
    <w:name w:val="Summary Box Title Char"/>
    <w:basedOn w:val="DefaultParagraphFont"/>
    <w:link w:val="SummaryBoxTitle"/>
    <w:rsid w:val="002116A8"/>
    <w:rPr>
      <w:rFonts w:ascii="Times New Roman" w:hAnsi="Times New Roman" w:cs="Akhbar MT"/>
      <w:b/>
      <w:sz w:val="28"/>
      <w:szCs w:val="28"/>
      <w:lang w:val="en-GB"/>
    </w:rPr>
  </w:style>
  <w:style w:type="paragraph" w:styleId="FootnoteText">
    <w:name w:val="footnote text"/>
    <w:basedOn w:val="Normal"/>
    <w:link w:val="FootnoteTextChar"/>
    <w:uiPriority w:val="99"/>
    <w:semiHidden/>
    <w:unhideWhenUsed/>
    <w:rsid w:val="00E7018D"/>
    <w:pPr>
      <w:spacing w:after="0"/>
    </w:pPr>
    <w:rPr>
      <w:sz w:val="20"/>
      <w:szCs w:val="20"/>
    </w:rPr>
  </w:style>
  <w:style w:type="character" w:customStyle="1" w:styleId="FootnoteTextChar">
    <w:name w:val="Footnote Text Char"/>
    <w:basedOn w:val="DefaultParagraphFont"/>
    <w:link w:val="FootnoteText"/>
    <w:uiPriority w:val="99"/>
    <w:semiHidden/>
    <w:rsid w:val="00E7018D"/>
    <w:rPr>
      <w:rFonts w:ascii="Times New Roman" w:hAnsi="Times New Roman" w:cs="Akhbar MT"/>
      <w:sz w:val="20"/>
      <w:szCs w:val="20"/>
      <w:lang w:val="en-GB"/>
    </w:rPr>
  </w:style>
  <w:style w:type="character" w:styleId="FootnoteReference">
    <w:name w:val="footnote reference"/>
    <w:basedOn w:val="DefaultParagraphFont"/>
    <w:uiPriority w:val="99"/>
    <w:semiHidden/>
    <w:unhideWhenUsed/>
    <w:rsid w:val="00E7018D"/>
    <w:rPr>
      <w:vertAlign w:val="superscript"/>
    </w:rPr>
  </w:style>
  <w:style w:type="character" w:styleId="Hyperlink">
    <w:name w:val="Hyperlink"/>
    <w:basedOn w:val="DefaultParagraphFont"/>
    <w:uiPriority w:val="99"/>
    <w:unhideWhenUsed/>
    <w:rsid w:val="00E7018D"/>
    <w:rPr>
      <w:color w:val="0000FF" w:themeColor="hyperlink"/>
      <w:u w:val="single"/>
    </w:rPr>
  </w:style>
  <w:style w:type="paragraph" w:customStyle="1" w:styleId="Speaker">
    <w:name w:val="Speaker"/>
    <w:basedOn w:val="Normal"/>
    <w:link w:val="SpeakerChar"/>
    <w:qFormat/>
    <w:rsid w:val="000907F2"/>
    <w:rPr>
      <w:b/>
      <w:lang w:bidi="ar-EG"/>
    </w:rPr>
  </w:style>
  <w:style w:type="character" w:customStyle="1" w:styleId="SpeakerChar">
    <w:name w:val="Speaker Char"/>
    <w:basedOn w:val="DefaultParagraphFont"/>
    <w:link w:val="Speaker"/>
    <w:rsid w:val="000907F2"/>
    <w:rPr>
      <w:rFonts w:ascii="Times New Roman" w:hAnsi="Times New Roman" w:cs="Akhbar MT"/>
      <w:b/>
      <w:szCs w:val="3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0441">
      <w:bodyDiv w:val="1"/>
      <w:marLeft w:val="0"/>
      <w:marRight w:val="0"/>
      <w:marTop w:val="0"/>
      <w:marBottom w:val="0"/>
      <w:divBdr>
        <w:top w:val="none" w:sz="0" w:space="0" w:color="auto"/>
        <w:left w:val="none" w:sz="0" w:space="0" w:color="auto"/>
        <w:bottom w:val="none" w:sz="0" w:space="0" w:color="auto"/>
        <w:right w:val="none" w:sz="0" w:space="0" w:color="auto"/>
      </w:divBdr>
    </w:div>
    <w:div w:id="283312402">
      <w:bodyDiv w:val="1"/>
      <w:marLeft w:val="0"/>
      <w:marRight w:val="0"/>
      <w:marTop w:val="0"/>
      <w:marBottom w:val="0"/>
      <w:divBdr>
        <w:top w:val="none" w:sz="0" w:space="0" w:color="auto"/>
        <w:left w:val="none" w:sz="0" w:space="0" w:color="auto"/>
        <w:bottom w:val="none" w:sz="0" w:space="0" w:color="auto"/>
        <w:right w:val="none" w:sz="0" w:space="0" w:color="auto"/>
      </w:divBdr>
    </w:div>
    <w:div w:id="1808234417">
      <w:bodyDiv w:val="1"/>
      <w:marLeft w:val="0"/>
      <w:marRight w:val="0"/>
      <w:marTop w:val="0"/>
      <w:marBottom w:val="0"/>
      <w:divBdr>
        <w:top w:val="none" w:sz="0" w:space="0" w:color="auto"/>
        <w:left w:val="none" w:sz="0" w:space="0" w:color="auto"/>
        <w:bottom w:val="none" w:sz="0" w:space="0" w:color="auto"/>
        <w:right w:val="none" w:sz="0" w:space="0" w:color="auto"/>
      </w:divBdr>
    </w:div>
    <w:div w:id="19498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docrep/meeting/018/K7538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CHANG\AppData\Local\Microsoft\Windows\Temporary%20Internet%20Files\Content.Outlook\ERLJ7W7O\New%20chart%201%202%203.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r>
              <a:rPr lang="en-GB" sz="1800" b="1" i="0" baseline="0"/>
              <a:t>FAO Tea Composite Price</a:t>
            </a:r>
          </a:p>
        </c:rich>
      </c:tx>
      <c:overlay val="0"/>
      <c:spPr>
        <a:noFill/>
        <a:ln>
          <a:noFill/>
        </a:ln>
        <a:effectLst/>
      </c:spPr>
    </c:title>
    <c:autoTitleDeleted val="0"/>
    <c:plotArea>
      <c:layout>
        <c:manualLayout>
          <c:layoutTarget val="inner"/>
          <c:xMode val="edge"/>
          <c:yMode val="edge"/>
          <c:x val="0.11627066879033186"/>
          <c:y val="0.15503246304738258"/>
          <c:w val="0.78793988331076448"/>
          <c:h val="0.60621258147562929"/>
        </c:manualLayout>
      </c:layout>
      <c:lineChart>
        <c:grouping val="standard"/>
        <c:varyColors val="0"/>
        <c:ser>
          <c:idx val="0"/>
          <c:order val="0"/>
          <c:spPr>
            <a:ln w="28575" cap="rnd">
              <a:solidFill>
                <a:schemeClr val="accent1"/>
              </a:solidFill>
              <a:round/>
            </a:ln>
            <a:effectLst/>
          </c:spPr>
          <c:marker>
            <c:symbol val="none"/>
          </c:marker>
          <c:cat>
            <c:numRef>
              <c:f>'Charts 1,2,3,4  IGG 2016'!$B$91:$Q$91</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'Charts 1,2,3,4  IGG 2016'!$B$92:$Q$92</c:f>
              <c:numCache>
                <c:formatCode>0.00</c:formatCode>
                <c:ptCount val="16"/>
                <c:pt idx="0">
                  <c:v>1.7965423791625221</c:v>
                </c:pt>
                <c:pt idx="1">
                  <c:v>1.5580833333333339</c:v>
                </c:pt>
                <c:pt idx="2">
                  <c:v>1.4804039278477272</c:v>
                </c:pt>
                <c:pt idx="3">
                  <c:v>1.5068879848221925</c:v>
                </c:pt>
                <c:pt idx="4">
                  <c:v>1.6591899942551087</c:v>
                </c:pt>
                <c:pt idx="5">
                  <c:v>1.6385102645217653</c:v>
                </c:pt>
                <c:pt idx="6">
                  <c:v>1.8314333333333332</c:v>
                </c:pt>
                <c:pt idx="7">
                  <c:v>1.948051313365698</c:v>
                </c:pt>
                <c:pt idx="8">
                  <c:v>2.3911826094601523</c:v>
                </c:pt>
                <c:pt idx="9">
                  <c:v>2.6898446623817649</c:v>
                </c:pt>
                <c:pt idx="10">
                  <c:v>2.8120429832100542</c:v>
                </c:pt>
                <c:pt idx="11">
                  <c:v>2.8523425586900233</c:v>
                </c:pt>
                <c:pt idx="12">
                  <c:v>2.8645818188957963</c:v>
                </c:pt>
                <c:pt idx="13">
                  <c:v>2.7941053907071218</c:v>
                </c:pt>
                <c:pt idx="14">
                  <c:v>2.6452865417057398</c:v>
                </c:pt>
                <c:pt idx="15">
                  <c:v>2.6894332414305278</c:v>
                </c:pt>
              </c:numCache>
            </c:numRef>
          </c:val>
          <c:smooth val="0"/>
        </c:ser>
        <c:dLbls>
          <c:showLegendKey val="0"/>
          <c:showVal val="0"/>
          <c:showCatName val="0"/>
          <c:showSerName val="0"/>
          <c:showPercent val="0"/>
          <c:showBubbleSize val="0"/>
        </c:dLbls>
        <c:marker val="1"/>
        <c:smooth val="0"/>
        <c:axId val="113018752"/>
        <c:axId val="113020288"/>
        <c:extLst/>
      </c:lineChart>
      <c:catAx>
        <c:axId val="1130187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020288"/>
        <c:crosses val="autoZero"/>
        <c:auto val="1"/>
        <c:lblAlgn val="ctr"/>
        <c:lblOffset val="100"/>
        <c:noMultiLvlLbl val="0"/>
      </c:catAx>
      <c:valAx>
        <c:axId val="113020288"/>
        <c:scaling>
          <c:orientation val="minMax"/>
          <c:min val="1"/>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USD/kg</a:t>
                </a:r>
              </a:p>
            </c:rich>
          </c:tx>
          <c:layout>
            <c:manualLayout>
              <c:xMode val="edge"/>
              <c:yMode val="edge"/>
              <c:x val="1.8470416791499536E-2"/>
              <c:y val="0.46561708872263541"/>
            </c:manualLayout>
          </c:layout>
          <c:overlay val="0"/>
          <c:spPr>
            <a:noFill/>
            <a:ln>
              <a:noFill/>
            </a:ln>
            <a:effectLst/>
          </c:sp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018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r>
              <a:rPr lang="en-US" sz="1800" b="1"/>
              <a:t>Actual and Projected Production</a:t>
            </a:r>
            <a:r>
              <a:rPr lang="en-US" sz="1800" b="1" baseline="0"/>
              <a:t> of Black Tea and Green Tea (thousand tonnes)</a:t>
            </a:r>
            <a:endParaRPr lang="en-US" sz="1800" b="1"/>
          </a:p>
        </c:rich>
      </c:tx>
      <c:layout>
        <c:manualLayout>
          <c:xMode val="edge"/>
          <c:yMode val="edge"/>
          <c:x val="0.11801540351497514"/>
          <c:y val="2.0408119871092062E-2"/>
        </c:manualLayout>
      </c:layout>
      <c:overlay val="0"/>
      <c:spPr>
        <a:noFill/>
        <a:ln w="25403">
          <a:noFill/>
        </a:ln>
      </c:spPr>
    </c:title>
    <c:autoTitleDeleted val="0"/>
    <c:view3D>
      <c:rotX val="15"/>
      <c:rotY val="20"/>
      <c:depthPercent val="100"/>
      <c:rAngAx val="1"/>
    </c:view3D>
    <c:floor>
      <c:thickness val="0"/>
      <c:spPr>
        <a:noFill/>
        <a:ln>
          <a:solidFill>
            <a:schemeClr val="bg1">
              <a:lumMod val="65000"/>
            </a:schemeClr>
          </a:solidFill>
        </a:ln>
        <a:effectLst/>
        <a:sp3d>
          <a:contourClr>
            <a:schemeClr val="bg1">
              <a:lumMod val="65000"/>
            </a:schemeClr>
          </a:contourClr>
        </a:sp3d>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'Final Charts'!$K$4</c:f>
              <c:strCache>
                <c:ptCount val="1"/>
                <c:pt idx="0">
                  <c:v>Black Tea</c:v>
                </c:pt>
              </c:strCache>
            </c:strRef>
          </c:tx>
          <c:spPr>
            <a:solidFill>
              <a:srgbClr val="FF0000"/>
            </a:solidFill>
            <a:ln w="25403">
              <a:noFill/>
            </a:ln>
          </c:spPr>
          <c:invertIfNegative val="0"/>
          <c:cat>
            <c:numRef>
              <c:f>'Final Charts'!$L$3:$M$3</c:f>
              <c:numCache>
                <c:formatCode>General</c:formatCode>
                <c:ptCount val="2"/>
                <c:pt idx="0">
                  <c:v>2014</c:v>
                </c:pt>
                <c:pt idx="1">
                  <c:v>2024</c:v>
                </c:pt>
              </c:numCache>
            </c:numRef>
          </c:cat>
          <c:val>
            <c:numRef>
              <c:f>'Final Charts'!$L$4:$M$4</c:f>
              <c:numCache>
                <c:formatCode>General</c:formatCode>
                <c:ptCount val="2"/>
                <c:pt idx="0">
                  <c:v>3101.9969999999998</c:v>
                </c:pt>
                <c:pt idx="1">
                  <c:v>4294.8150000000014</c:v>
                </c:pt>
              </c:numCache>
            </c:numRef>
          </c:val>
          <c:shape val="cylinder"/>
        </c:ser>
        <c:ser>
          <c:idx val="1"/>
          <c:order val="1"/>
          <c:tx>
            <c:strRef>
              <c:f>'Final Charts'!$K$5</c:f>
              <c:strCache>
                <c:ptCount val="1"/>
                <c:pt idx="0">
                  <c:v>Green Tea</c:v>
                </c:pt>
              </c:strCache>
            </c:strRef>
          </c:tx>
          <c:spPr>
            <a:solidFill>
              <a:srgbClr val="00B050"/>
            </a:solidFill>
            <a:ln w="25403">
              <a:noFill/>
            </a:ln>
          </c:spPr>
          <c:invertIfNegative val="0"/>
          <c:cat>
            <c:numRef>
              <c:f>'Final Charts'!$L$3:$M$3</c:f>
              <c:numCache>
                <c:formatCode>General</c:formatCode>
                <c:ptCount val="2"/>
                <c:pt idx="0">
                  <c:v>2014</c:v>
                </c:pt>
                <c:pt idx="1">
                  <c:v>2024</c:v>
                </c:pt>
              </c:numCache>
            </c:numRef>
          </c:cat>
          <c:val>
            <c:numRef>
              <c:f>'Final Charts'!$L$5:$M$5</c:f>
              <c:numCache>
                <c:formatCode>General</c:formatCode>
                <c:ptCount val="2"/>
                <c:pt idx="0">
                  <c:v>1633.241</c:v>
                </c:pt>
                <c:pt idx="1">
                  <c:v>3743.5659999999998</c:v>
                </c:pt>
              </c:numCache>
            </c:numRef>
          </c:val>
          <c:shape val="cylinder"/>
        </c:ser>
        <c:dLbls>
          <c:showLegendKey val="0"/>
          <c:showVal val="0"/>
          <c:showCatName val="0"/>
          <c:showSerName val="0"/>
          <c:showPercent val="0"/>
          <c:showBubbleSize val="0"/>
        </c:dLbls>
        <c:gapWidth val="150"/>
        <c:shape val="box"/>
        <c:axId val="128582784"/>
        <c:axId val="128584320"/>
        <c:axId val="0"/>
      </c:bar3DChart>
      <c:catAx>
        <c:axId val="128582784"/>
        <c:scaling>
          <c:orientation val="minMax"/>
        </c:scaling>
        <c:delete val="0"/>
        <c:axPos val="b"/>
        <c:numFmt formatCode="General" sourceLinked="1"/>
        <c:majorTickMark val="none"/>
        <c:minorTickMark val="none"/>
        <c:tickLblPos val="nextTo"/>
        <c:spPr>
          <a:ln w="9526">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8584320"/>
        <c:crosses val="autoZero"/>
        <c:auto val="1"/>
        <c:lblAlgn val="ctr"/>
        <c:lblOffset val="100"/>
        <c:noMultiLvlLbl val="0"/>
      </c:catAx>
      <c:valAx>
        <c:axId val="128584320"/>
        <c:scaling>
          <c:orientation val="minMax"/>
        </c:scaling>
        <c:delete val="0"/>
        <c:axPos val="l"/>
        <c:majorGridlines>
          <c:spPr>
            <a:ln w="9526" cap="flat" cmpd="sng" algn="ctr">
              <a:solidFill>
                <a:schemeClr val="bg1">
                  <a:lumMod val="65000"/>
                </a:schemeClr>
              </a:solidFill>
              <a:round/>
            </a:ln>
            <a:effectLst/>
          </c:spPr>
        </c:majorGridlines>
        <c:numFmt formatCode="General"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582784"/>
        <c:crosses val="autoZero"/>
        <c:crossBetween val="between"/>
      </c:valAx>
      <c:spPr>
        <a:noFill/>
        <a:ln w="25403">
          <a:noFill/>
        </a:ln>
      </c:spPr>
    </c:plotArea>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Actual and Projected</a:t>
            </a:r>
            <a:r>
              <a:rPr lang="en-US" baseline="0"/>
              <a:t> Black Tea Consumption (thousand tonnes)</a:t>
            </a:r>
            <a:endParaRPr lang="en-US"/>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9.6157736380513448E-2"/>
          <c:y val="0.20037749448723763"/>
          <c:w val="0.87796974158718211"/>
          <c:h val="0.67901311864606961"/>
        </c:manualLayout>
      </c:layout>
      <c:bar3DChart>
        <c:barDir val="col"/>
        <c:grouping val="stacked"/>
        <c:varyColors val="0"/>
        <c:ser>
          <c:idx val="0"/>
          <c:order val="0"/>
          <c:spPr>
            <a:solidFill>
              <a:srgbClr val="00B0F0"/>
            </a:solidFill>
            <a:ln>
              <a:solidFill>
                <a:schemeClr val="accent1">
                  <a:lumMod val="50000"/>
                </a:schemeClr>
              </a:solidFill>
            </a:ln>
          </c:spPr>
          <c:invertIfNegative val="0"/>
          <c:cat>
            <c:numRef>
              <c:f>'Final Charts'!$L$47:$M$47</c:f>
              <c:numCache>
                <c:formatCode>General</c:formatCode>
                <c:ptCount val="2"/>
                <c:pt idx="0">
                  <c:v>2014</c:v>
                </c:pt>
                <c:pt idx="1">
                  <c:v>2024</c:v>
                </c:pt>
              </c:numCache>
            </c:numRef>
          </c:cat>
          <c:val>
            <c:numRef>
              <c:f>'Final Charts'!$L$48:$M$48</c:f>
              <c:numCache>
                <c:formatCode>General</c:formatCode>
                <c:ptCount val="2"/>
                <c:pt idx="0">
                  <c:v>3062.7679999999987</c:v>
                </c:pt>
                <c:pt idx="1">
                  <c:v>4265.5060000000003</c:v>
                </c:pt>
              </c:numCache>
            </c:numRef>
          </c:val>
        </c:ser>
        <c:dLbls>
          <c:showLegendKey val="0"/>
          <c:showVal val="0"/>
          <c:showCatName val="0"/>
          <c:showSerName val="0"/>
          <c:showPercent val="0"/>
          <c:showBubbleSize val="0"/>
        </c:dLbls>
        <c:gapWidth val="150"/>
        <c:shape val="cylinder"/>
        <c:axId val="128604032"/>
        <c:axId val="128605568"/>
        <c:axId val="0"/>
      </c:bar3DChart>
      <c:catAx>
        <c:axId val="128604032"/>
        <c:scaling>
          <c:orientation val="minMax"/>
        </c:scaling>
        <c:delete val="0"/>
        <c:axPos val="b"/>
        <c:numFmt formatCode="General" sourceLinked="1"/>
        <c:majorTickMark val="out"/>
        <c:minorTickMark val="none"/>
        <c:tickLblPos val="nextTo"/>
        <c:txPr>
          <a:bodyPr/>
          <a:lstStyle/>
          <a:p>
            <a:pPr>
              <a:defRPr b="1"/>
            </a:pPr>
            <a:endParaRPr lang="en-US"/>
          </a:p>
        </c:txPr>
        <c:crossAx val="128605568"/>
        <c:crosses val="autoZero"/>
        <c:auto val="1"/>
        <c:lblAlgn val="ctr"/>
        <c:lblOffset val="100"/>
        <c:noMultiLvlLbl val="0"/>
      </c:catAx>
      <c:valAx>
        <c:axId val="128605568"/>
        <c:scaling>
          <c:orientation val="minMax"/>
          <c:max val="4500"/>
        </c:scaling>
        <c:delete val="0"/>
        <c:axPos val="l"/>
        <c:majorGridlines/>
        <c:numFmt formatCode="General" sourceLinked="1"/>
        <c:majorTickMark val="out"/>
        <c:minorTickMark val="none"/>
        <c:tickLblPos val="nextTo"/>
        <c:txPr>
          <a:bodyPr/>
          <a:lstStyle/>
          <a:p>
            <a:pPr>
              <a:defRPr b="1"/>
            </a:pPr>
            <a:endParaRPr lang="en-US"/>
          </a:p>
        </c:txPr>
        <c:crossAx val="12860403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r>
              <a:rPr lang="en-US" sz="1800" b="1"/>
              <a:t>Actual and Projected Exports</a:t>
            </a:r>
            <a:r>
              <a:rPr lang="en-US" sz="1800" b="1" baseline="0"/>
              <a:t> of Black Tea and Green Tea (thousand tonnes)</a:t>
            </a:r>
            <a:endParaRPr lang="en-US" sz="1800" b="1"/>
          </a:p>
        </c:rich>
      </c:tx>
      <c:layout>
        <c:manualLayout>
          <c:xMode val="edge"/>
          <c:yMode val="edge"/>
          <c:x val="0.11801544591098817"/>
          <c:y val="2.040816873109667E-2"/>
        </c:manualLayout>
      </c:layout>
      <c:overlay val="0"/>
      <c:spPr>
        <a:noFill/>
        <a:ln>
          <a:noFill/>
        </a:ln>
        <a:effectLst/>
      </c:spPr>
    </c:title>
    <c:autoTitleDeleted val="0"/>
    <c:view3D>
      <c:rotX val="15"/>
      <c:rotY val="20"/>
      <c:depthPercent val="100"/>
      <c:rAngAx val="1"/>
    </c:view3D>
    <c:floor>
      <c:thickness val="0"/>
      <c:spPr>
        <a:noFill/>
        <a:ln>
          <a:solidFill>
            <a:schemeClr val="bg1">
              <a:lumMod val="65000"/>
            </a:schemeClr>
          </a:solidFill>
        </a:ln>
        <a:effectLst/>
        <a:sp3d>
          <a:contourClr>
            <a:schemeClr val="bg1">
              <a:lumMod val="6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'Final Charts'!$K$73</c:f>
              <c:strCache>
                <c:ptCount val="1"/>
                <c:pt idx="0">
                  <c:v>Black Tea </c:v>
                </c:pt>
              </c:strCache>
            </c:strRef>
          </c:tx>
          <c:spPr>
            <a:solidFill>
              <a:srgbClr val="FF0000"/>
            </a:solidFill>
            <a:ln>
              <a:noFill/>
            </a:ln>
            <a:effectLst/>
            <a:sp3d/>
          </c:spPr>
          <c:invertIfNegative val="0"/>
          <c:cat>
            <c:strRef>
              <c:f>'Final Charts'!$L$71:$M$72</c:f>
              <c:strCache>
                <c:ptCount val="2"/>
                <c:pt idx="0">
                  <c:v>2014</c:v>
                </c:pt>
                <c:pt idx="1">
                  <c:v>2024</c:v>
                </c:pt>
              </c:strCache>
            </c:strRef>
          </c:cat>
          <c:val>
            <c:numRef>
              <c:f>'Final Charts'!$L$73:$M$73</c:f>
              <c:numCache>
                <c:formatCode>General</c:formatCode>
                <c:ptCount val="2"/>
                <c:pt idx="0">
                  <c:v>1359.1869999999999</c:v>
                </c:pt>
                <c:pt idx="1">
                  <c:v>1702.336</c:v>
                </c:pt>
              </c:numCache>
            </c:numRef>
          </c:val>
          <c:shape val="cylinder"/>
        </c:ser>
        <c:ser>
          <c:idx val="1"/>
          <c:order val="1"/>
          <c:tx>
            <c:strRef>
              <c:f>'Final Charts'!$K$74</c:f>
              <c:strCache>
                <c:ptCount val="1"/>
                <c:pt idx="0">
                  <c:v>Green Tea</c:v>
                </c:pt>
              </c:strCache>
            </c:strRef>
          </c:tx>
          <c:spPr>
            <a:solidFill>
              <a:srgbClr val="00B050"/>
            </a:solidFill>
            <a:ln>
              <a:noFill/>
            </a:ln>
            <a:effectLst/>
            <a:sp3d/>
          </c:spPr>
          <c:invertIfNegative val="0"/>
          <c:cat>
            <c:strRef>
              <c:f>'Final Charts'!$L$71:$M$72</c:f>
              <c:strCache>
                <c:ptCount val="2"/>
                <c:pt idx="0">
                  <c:v>2014</c:v>
                </c:pt>
                <c:pt idx="1">
                  <c:v>2024</c:v>
                </c:pt>
              </c:strCache>
            </c:strRef>
          </c:cat>
          <c:val>
            <c:numRef>
              <c:f>'Final Charts'!$L$74:$M$74</c:f>
              <c:numCache>
                <c:formatCode>General</c:formatCode>
                <c:ptCount val="2"/>
                <c:pt idx="0">
                  <c:v>337.25200000000001</c:v>
                </c:pt>
                <c:pt idx="1">
                  <c:v>804.3</c:v>
                </c:pt>
              </c:numCache>
            </c:numRef>
          </c:val>
          <c:shape val="cylinder"/>
        </c:ser>
        <c:dLbls>
          <c:showLegendKey val="0"/>
          <c:showVal val="0"/>
          <c:showCatName val="0"/>
          <c:showSerName val="0"/>
          <c:showPercent val="0"/>
          <c:showBubbleSize val="0"/>
        </c:dLbls>
        <c:gapWidth val="150"/>
        <c:shape val="box"/>
        <c:axId val="128205184"/>
        <c:axId val="128206720"/>
        <c:axId val="0"/>
      </c:bar3DChart>
      <c:catAx>
        <c:axId val="128205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8206720"/>
        <c:crosses val="autoZero"/>
        <c:auto val="1"/>
        <c:lblAlgn val="ctr"/>
        <c:lblOffset val="100"/>
        <c:noMultiLvlLbl val="0"/>
      </c:catAx>
      <c:valAx>
        <c:axId val="128206720"/>
        <c:scaling>
          <c:orientation val="minMax"/>
        </c:scaling>
        <c:delete val="0"/>
        <c:axPos val="l"/>
        <c:majorGridlines>
          <c:spPr>
            <a:ln w="9525" cap="flat" cmpd="sng" algn="ctr">
              <a:solidFill>
                <a:schemeClr val="bg1">
                  <a:lumMod val="65000"/>
                </a:schemeClr>
              </a:solidFill>
              <a:round/>
            </a:ln>
            <a:effectLst/>
          </c:spPr>
        </c:majorGridlines>
        <c:numFmt formatCode="General"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820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r>
              <a:rPr lang="en-US" sz="1600" b="1"/>
              <a:t>FAO Tea Prices</a:t>
            </a:r>
            <a:r>
              <a:rPr lang="en-US" sz="1600" b="1" baseline="0"/>
              <a:t> USD/Kg Baseline Projections</a:t>
            </a:r>
            <a:endParaRPr lang="en-US" sz="1600" b="1"/>
          </a:p>
        </c:rich>
      </c:tx>
      <c:layout>
        <c:manualLayout>
          <c:xMode val="edge"/>
          <c:yMode val="edge"/>
          <c:x val="0.15119873474309331"/>
          <c:y val="2.1306818181818211E-2"/>
        </c:manualLayout>
      </c:layout>
      <c:overlay val="0"/>
      <c:spPr>
        <a:noFill/>
        <a:ln>
          <a:noFill/>
        </a:ln>
        <a:effectLst/>
      </c:spPr>
    </c:title>
    <c:autoTitleDeleted val="0"/>
    <c:plotArea>
      <c:layout>
        <c:manualLayout>
          <c:layoutTarget val="inner"/>
          <c:xMode val="edge"/>
          <c:yMode val="edge"/>
          <c:x val="7.0660786831639524E-2"/>
          <c:y val="0.12460937499999999"/>
          <c:w val="0.89767216951307915"/>
          <c:h val="0.67891212195776385"/>
        </c:manualLayout>
      </c:layout>
      <c:lineChart>
        <c:grouping val="standard"/>
        <c:varyColors val="0"/>
        <c:ser>
          <c:idx val="0"/>
          <c:order val="0"/>
          <c:tx>
            <c:strRef>
              <c:f>'REAL TERMS'!$B$4</c:f>
              <c:strCache>
                <c:ptCount val="1"/>
                <c:pt idx="0">
                  <c:v>nominal price</c:v>
                </c:pt>
              </c:strCache>
            </c:strRef>
          </c:tx>
          <c:spPr>
            <a:ln w="28575" cap="rnd">
              <a:solidFill>
                <a:schemeClr val="accent1"/>
              </a:solidFill>
              <a:round/>
            </a:ln>
            <a:effectLst/>
          </c:spPr>
          <c:marker>
            <c:symbol val="none"/>
          </c:marker>
          <c:cat>
            <c:numRef>
              <c:f>'REAL TERMS'!$C$2:$V$2</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'REAL TERMS'!$C$4:$V$4</c:f>
              <c:numCache>
                <c:formatCode>0.00</c:formatCode>
                <c:ptCount val="20"/>
                <c:pt idx="0">
                  <c:v>1.6400000000000001</c:v>
                </c:pt>
                <c:pt idx="1">
                  <c:v>1.83</c:v>
                </c:pt>
                <c:pt idx="2">
                  <c:v>1.9500000000000044</c:v>
                </c:pt>
                <c:pt idx="3">
                  <c:v>2.3899999999999997</c:v>
                </c:pt>
                <c:pt idx="4">
                  <c:v>2.69</c:v>
                </c:pt>
                <c:pt idx="5">
                  <c:v>2.8120429832100338</c:v>
                </c:pt>
                <c:pt idx="6">
                  <c:v>2.8523425586900233</c:v>
                </c:pt>
                <c:pt idx="7">
                  <c:v>2.8645818188958012</c:v>
                </c:pt>
                <c:pt idx="8">
                  <c:v>2.7941053907071218</c:v>
                </c:pt>
                <c:pt idx="9">
                  <c:v>2.6452865417057412</c:v>
                </c:pt>
                <c:pt idx="10">
                  <c:v>2.6926783005559947</c:v>
                </c:pt>
                <c:pt idx="11">
                  <c:v>2.6004178072380002</c:v>
                </c:pt>
                <c:pt idx="12">
                  <c:v>2.6144383217636187</c:v>
                </c:pt>
                <c:pt idx="13">
                  <c:v>2.6359214040512398</c:v>
                </c:pt>
                <c:pt idx="14">
                  <c:v>2.6754014635203198</c:v>
                </c:pt>
                <c:pt idx="15">
                  <c:v>2.6811949423832098</c:v>
                </c:pt>
                <c:pt idx="16">
                  <c:v>2.7250715277009632</c:v>
                </c:pt>
                <c:pt idx="17">
                  <c:v>2.7747380784402198</c:v>
                </c:pt>
                <c:pt idx="18">
                  <c:v>2.8136483714513587</c:v>
                </c:pt>
                <c:pt idx="19">
                  <c:v>2.8333439100515188</c:v>
                </c:pt>
              </c:numCache>
            </c:numRef>
          </c:val>
          <c:smooth val="0"/>
        </c:ser>
        <c:ser>
          <c:idx val="1"/>
          <c:order val="1"/>
          <c:tx>
            <c:strRef>
              <c:f>'REAL TERMS'!$B$5</c:f>
              <c:strCache>
                <c:ptCount val="1"/>
                <c:pt idx="0">
                  <c:v>real prices</c:v>
                </c:pt>
              </c:strCache>
            </c:strRef>
          </c:tx>
          <c:spPr>
            <a:ln w="28575" cap="rnd">
              <a:solidFill>
                <a:schemeClr val="accent2"/>
              </a:solidFill>
              <a:prstDash val="sysDash"/>
              <a:round/>
            </a:ln>
            <a:effectLst/>
          </c:spPr>
          <c:marker>
            <c:symbol val="none"/>
          </c:marker>
          <c:cat>
            <c:numRef>
              <c:f>'REAL TERMS'!$C$2:$V$2</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'REAL TERMS'!$C$5:$V$5</c:f>
              <c:numCache>
                <c:formatCode>0.00</c:formatCode>
                <c:ptCount val="20"/>
                <c:pt idx="0">
                  <c:v>1.6400000000000001</c:v>
                </c:pt>
                <c:pt idx="1">
                  <c:v>1.7728822975450158</c:v>
                </c:pt>
                <c:pt idx="2">
                  <c:v>1.836419911324312</c:v>
                </c:pt>
                <c:pt idx="3">
                  <c:v>2.168071032712644</c:v>
                </c:pt>
                <c:pt idx="4">
                  <c:v>2.4480611007074442</c:v>
                </c:pt>
                <c:pt idx="5">
                  <c:v>2.5178219364951184</c:v>
                </c:pt>
                <c:pt idx="6">
                  <c:v>2.4761083083234867</c:v>
                </c:pt>
                <c:pt idx="7">
                  <c:v>2.4387575023392714</c:v>
                </c:pt>
                <c:pt idx="8">
                  <c:v>2.3374128804622187</c:v>
                </c:pt>
                <c:pt idx="9">
                  <c:v>2.1748658632389768</c:v>
                </c:pt>
                <c:pt idx="10">
                  <c:v>2.1743441870123807</c:v>
                </c:pt>
                <c:pt idx="11">
                  <c:v>2.0581638741309582</c:v>
                </c:pt>
                <c:pt idx="12">
                  <c:v>2.0267239714704681</c:v>
                </c:pt>
                <c:pt idx="13">
                  <c:v>2.0048392146998966</c:v>
                </c:pt>
                <c:pt idx="14">
                  <c:v>1.9964890866266651</c:v>
                </c:pt>
                <c:pt idx="15">
                  <c:v>1.9630766624229514</c:v>
                </c:pt>
                <c:pt idx="16">
                  <c:v>1.9575716340624778</c:v>
                </c:pt>
                <c:pt idx="17">
                  <c:v>1.9556567878982467</c:v>
                </c:pt>
                <c:pt idx="18">
                  <c:v>1.9456797349869341</c:v>
                </c:pt>
                <c:pt idx="19">
                  <c:v>1.9406465137339217</c:v>
                </c:pt>
              </c:numCache>
            </c:numRef>
          </c:val>
          <c:smooth val="0"/>
        </c:ser>
        <c:dLbls>
          <c:showLegendKey val="0"/>
          <c:showVal val="0"/>
          <c:showCatName val="0"/>
          <c:showSerName val="0"/>
          <c:showPercent val="0"/>
          <c:showBubbleSize val="0"/>
        </c:dLbls>
        <c:marker val="1"/>
        <c:smooth val="0"/>
        <c:axId val="128623360"/>
        <c:axId val="128124032"/>
      </c:lineChart>
      <c:catAx>
        <c:axId val="12862336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124032"/>
        <c:crosses val="autoZero"/>
        <c:auto val="0"/>
        <c:lblAlgn val="ctr"/>
        <c:lblOffset val="100"/>
        <c:noMultiLvlLbl val="0"/>
      </c:catAx>
      <c:valAx>
        <c:axId val="128124032"/>
        <c:scaling>
          <c:orientation val="minMax"/>
        </c:scaling>
        <c:delete val="0"/>
        <c:axPos val="l"/>
        <c:majorGridlines>
          <c:spPr>
            <a:ln w="9525" cap="flat" cmpd="sng" algn="ctr">
              <a:noFill/>
              <a:round/>
            </a:ln>
            <a:effectLst/>
          </c:spPr>
        </c:majorGridlines>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2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FAO Tea Prices USD/kg</a:t>
            </a:r>
          </a:p>
          <a:p>
            <a:pPr>
              <a:defRPr/>
            </a:pPr>
            <a:r>
              <a:rPr lang="en-US" sz="1600"/>
              <a:t>5 percent increase in</a:t>
            </a:r>
            <a:r>
              <a:rPr lang="en-US" sz="1600" baseline="0"/>
              <a:t> World Production</a:t>
            </a:r>
            <a:endParaRPr lang="en-US" sz="1600"/>
          </a:p>
        </c:rich>
      </c:tx>
      <c:overlay val="1"/>
    </c:title>
    <c:autoTitleDeleted val="0"/>
    <c:plotArea>
      <c:layout>
        <c:manualLayout>
          <c:layoutTarget val="inner"/>
          <c:xMode val="edge"/>
          <c:yMode val="edge"/>
          <c:x val="7.14145234085935E-2"/>
          <c:y val="0.18941326710689427"/>
          <c:w val="0.91048592621400792"/>
          <c:h val="0.67950432846260966"/>
        </c:manualLayout>
      </c:layout>
      <c:lineChart>
        <c:grouping val="standard"/>
        <c:varyColors val="0"/>
        <c:ser>
          <c:idx val="0"/>
          <c:order val="0"/>
          <c:tx>
            <c:strRef>
              <c:f>Sheet1!$B$8</c:f>
              <c:strCache>
                <c:ptCount val="1"/>
                <c:pt idx="0">
                  <c:v>Base</c:v>
                </c:pt>
              </c:strCache>
            </c:strRef>
          </c:tx>
          <c:marker>
            <c:symbol val="none"/>
          </c:marker>
          <c:cat>
            <c:numRef>
              <c:f>Sheet1!$C$2:$V$2</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Sheet1!$C$8:$V$8</c:f>
              <c:numCache>
                <c:formatCode>0.00</c:formatCode>
                <c:ptCount val="20"/>
                <c:pt idx="0">
                  <c:v>1.6400000000000001</c:v>
                </c:pt>
                <c:pt idx="1">
                  <c:v>1.83</c:v>
                </c:pt>
                <c:pt idx="2">
                  <c:v>1.9500000000000044</c:v>
                </c:pt>
                <c:pt idx="3">
                  <c:v>2.3899999999999997</c:v>
                </c:pt>
                <c:pt idx="4">
                  <c:v>2.69</c:v>
                </c:pt>
                <c:pt idx="5">
                  <c:v>2.8120429832100338</c:v>
                </c:pt>
                <c:pt idx="6">
                  <c:v>2.8523425586900233</c:v>
                </c:pt>
                <c:pt idx="7">
                  <c:v>2.8645818188958012</c:v>
                </c:pt>
                <c:pt idx="8">
                  <c:v>2.7941053907071218</c:v>
                </c:pt>
                <c:pt idx="9">
                  <c:v>2.6452865417057412</c:v>
                </c:pt>
                <c:pt idx="10">
                  <c:v>2.6926783005559947</c:v>
                </c:pt>
                <c:pt idx="11">
                  <c:v>2.6004178072380002</c:v>
                </c:pt>
                <c:pt idx="12">
                  <c:v>2.6144383217636187</c:v>
                </c:pt>
                <c:pt idx="13">
                  <c:v>2.6359214040512398</c:v>
                </c:pt>
                <c:pt idx="14">
                  <c:v>2.6754014635203198</c:v>
                </c:pt>
                <c:pt idx="15">
                  <c:v>2.6811949423832098</c:v>
                </c:pt>
                <c:pt idx="16">
                  <c:v>2.7250715277009632</c:v>
                </c:pt>
                <c:pt idx="17">
                  <c:v>2.7747380784402198</c:v>
                </c:pt>
                <c:pt idx="18">
                  <c:v>2.8136483714513587</c:v>
                </c:pt>
                <c:pt idx="19">
                  <c:v>2.8333439100515188</c:v>
                </c:pt>
              </c:numCache>
            </c:numRef>
          </c:val>
          <c:smooth val="0"/>
        </c:ser>
        <c:ser>
          <c:idx val="1"/>
          <c:order val="1"/>
          <c:tx>
            <c:strRef>
              <c:f>Sheet1!$B$9</c:f>
              <c:strCache>
                <c:ptCount val="1"/>
                <c:pt idx="0">
                  <c:v>Simulation</c:v>
                </c:pt>
              </c:strCache>
            </c:strRef>
          </c:tx>
          <c:marker>
            <c:symbol val="none"/>
          </c:marker>
          <c:cat>
            <c:numRef>
              <c:f>Sheet1!$C$2:$V$2</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Sheet1!$C$9:$V$9</c:f>
              <c:numCache>
                <c:formatCode>General</c:formatCode>
                <c:ptCount val="20"/>
                <c:pt idx="0">
                  <c:v>1.6400000000000001</c:v>
                </c:pt>
                <c:pt idx="1">
                  <c:v>1.83</c:v>
                </c:pt>
                <c:pt idx="2">
                  <c:v>1.9500000000000044</c:v>
                </c:pt>
                <c:pt idx="3">
                  <c:v>2.3899999999999997</c:v>
                </c:pt>
                <c:pt idx="4">
                  <c:v>2.69</c:v>
                </c:pt>
                <c:pt idx="5">
                  <c:v>2.8099999999999987</c:v>
                </c:pt>
                <c:pt idx="6">
                  <c:v>2.8499999999999988</c:v>
                </c:pt>
                <c:pt idx="7">
                  <c:v>2.86</c:v>
                </c:pt>
                <c:pt idx="8">
                  <c:v>2.79</c:v>
                </c:pt>
                <c:pt idx="9">
                  <c:v>1.5192217836235498</c:v>
                </c:pt>
                <c:pt idx="10">
                  <c:v>1.46254508173035</c:v>
                </c:pt>
                <c:pt idx="11">
                  <c:v>1.3433036282523898</c:v>
                </c:pt>
                <c:pt idx="12">
                  <c:v>1.4054436398805998</c:v>
                </c:pt>
                <c:pt idx="13">
                  <c:v>1.4861044050864498</c:v>
                </c:pt>
                <c:pt idx="14">
                  <c:v>1.65637039631008</c:v>
                </c:pt>
                <c:pt idx="15">
                  <c:v>1.7114860453703298</c:v>
                </c:pt>
                <c:pt idx="16">
                  <c:v>1.7784565845314149</c:v>
                </c:pt>
                <c:pt idx="17">
                  <c:v>1.8078478320083899</c:v>
                </c:pt>
                <c:pt idx="18">
                  <c:v>1.8202266979507855</c:v>
                </c:pt>
                <c:pt idx="19">
                  <c:v>1.778426697950785</c:v>
                </c:pt>
              </c:numCache>
            </c:numRef>
          </c:val>
          <c:smooth val="0"/>
        </c:ser>
        <c:dLbls>
          <c:showLegendKey val="0"/>
          <c:showVal val="0"/>
          <c:showCatName val="0"/>
          <c:showSerName val="0"/>
          <c:showPercent val="0"/>
          <c:showBubbleSize val="0"/>
        </c:dLbls>
        <c:marker val="1"/>
        <c:smooth val="0"/>
        <c:axId val="128272256"/>
        <c:axId val="128273792"/>
      </c:lineChart>
      <c:catAx>
        <c:axId val="128272256"/>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8273792"/>
        <c:crosses val="autoZero"/>
        <c:auto val="1"/>
        <c:lblAlgn val="ctr"/>
        <c:lblOffset val="100"/>
        <c:noMultiLvlLbl val="0"/>
      </c:catAx>
      <c:valAx>
        <c:axId val="128273792"/>
        <c:scaling>
          <c:orientation val="minMax"/>
        </c:scaling>
        <c:delete val="0"/>
        <c:axPos val="l"/>
        <c:numFmt formatCode="0.0" sourceLinked="0"/>
        <c:majorTickMark val="out"/>
        <c:minorTickMark val="none"/>
        <c:tickLblPos val="nextTo"/>
        <c:crossAx val="128272256"/>
        <c:crosses val="autoZero"/>
        <c:crossBetween val="between"/>
      </c:valAx>
    </c:plotArea>
    <c:legend>
      <c:legendPos val="b"/>
      <c:layout>
        <c:manualLayout>
          <c:xMode val="edge"/>
          <c:yMode val="edge"/>
          <c:x val="0.46261663385826901"/>
          <c:y val="0.61696030766688492"/>
          <c:w val="0.364350065616799"/>
          <c:h val="0.13104600862650759"/>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FAO Tea Prices USD/kg</a:t>
            </a:r>
          </a:p>
          <a:p>
            <a:pPr>
              <a:defRPr/>
            </a:pPr>
            <a:r>
              <a:rPr lang="en-US" sz="1600"/>
              <a:t>5 percent decline in</a:t>
            </a:r>
            <a:r>
              <a:rPr lang="en-US" sz="1600" baseline="0"/>
              <a:t> World Production</a:t>
            </a:r>
            <a:endParaRPr lang="en-US" sz="1600"/>
          </a:p>
        </c:rich>
      </c:tx>
      <c:layout>
        <c:manualLayout>
          <c:xMode val="edge"/>
          <c:yMode val="edge"/>
          <c:x val="0.26627083333333335"/>
          <c:y val="2.3289670549730211E-2"/>
        </c:manualLayout>
      </c:layout>
      <c:overlay val="1"/>
    </c:title>
    <c:autoTitleDeleted val="0"/>
    <c:plotArea>
      <c:layout>
        <c:manualLayout>
          <c:layoutTarget val="inner"/>
          <c:xMode val="edge"/>
          <c:yMode val="edge"/>
          <c:x val="8.0788557817937909E-2"/>
          <c:y val="0.17664242323988907"/>
          <c:w val="0.87066757624460223"/>
          <c:h val="0.68895674055265366"/>
        </c:manualLayout>
      </c:layout>
      <c:lineChart>
        <c:grouping val="standard"/>
        <c:varyColors val="0"/>
        <c:ser>
          <c:idx val="0"/>
          <c:order val="0"/>
          <c:tx>
            <c:strRef>
              <c:f>Sheet1!$B$18</c:f>
              <c:strCache>
                <c:ptCount val="1"/>
                <c:pt idx="0">
                  <c:v>Base</c:v>
                </c:pt>
              </c:strCache>
            </c:strRef>
          </c:tx>
          <c:marker>
            <c:symbol val="none"/>
          </c:marker>
          <c:cat>
            <c:numRef>
              <c:f>Sheet1!$C$12:$V$12</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Sheet1!$C$18:$V$18</c:f>
              <c:numCache>
                <c:formatCode>0.00</c:formatCode>
                <c:ptCount val="20"/>
                <c:pt idx="0">
                  <c:v>1.6400000000000001</c:v>
                </c:pt>
                <c:pt idx="1">
                  <c:v>1.83</c:v>
                </c:pt>
                <c:pt idx="2">
                  <c:v>1.9500000000000044</c:v>
                </c:pt>
                <c:pt idx="3">
                  <c:v>2.3899999999999997</c:v>
                </c:pt>
                <c:pt idx="4">
                  <c:v>2.69</c:v>
                </c:pt>
                <c:pt idx="5">
                  <c:v>2.8120429832100338</c:v>
                </c:pt>
                <c:pt idx="6">
                  <c:v>2.8523425586900233</c:v>
                </c:pt>
                <c:pt idx="7">
                  <c:v>2.8645818188958012</c:v>
                </c:pt>
                <c:pt idx="8">
                  <c:v>2.7941053907071218</c:v>
                </c:pt>
                <c:pt idx="9">
                  <c:v>2.6452865417057412</c:v>
                </c:pt>
                <c:pt idx="10">
                  <c:v>2.6926783005559947</c:v>
                </c:pt>
                <c:pt idx="11">
                  <c:v>2.6004178072380002</c:v>
                </c:pt>
                <c:pt idx="12">
                  <c:v>2.6144383217636187</c:v>
                </c:pt>
                <c:pt idx="13">
                  <c:v>2.6359214040512398</c:v>
                </c:pt>
                <c:pt idx="14">
                  <c:v>2.6754014635203198</c:v>
                </c:pt>
                <c:pt idx="15">
                  <c:v>2.6811949423832098</c:v>
                </c:pt>
                <c:pt idx="16">
                  <c:v>2.7250715277009632</c:v>
                </c:pt>
                <c:pt idx="17">
                  <c:v>2.7747380784402198</c:v>
                </c:pt>
                <c:pt idx="18">
                  <c:v>2.8136483714513587</c:v>
                </c:pt>
                <c:pt idx="19">
                  <c:v>2.8333439100515188</c:v>
                </c:pt>
              </c:numCache>
            </c:numRef>
          </c:val>
          <c:smooth val="0"/>
        </c:ser>
        <c:ser>
          <c:idx val="1"/>
          <c:order val="1"/>
          <c:tx>
            <c:strRef>
              <c:f>Sheet1!$B$19</c:f>
              <c:strCache>
                <c:ptCount val="1"/>
                <c:pt idx="0">
                  <c:v>Simulation</c:v>
                </c:pt>
              </c:strCache>
            </c:strRef>
          </c:tx>
          <c:marker>
            <c:symbol val="none"/>
          </c:marker>
          <c:cat>
            <c:numRef>
              <c:f>Sheet1!$C$12:$V$12</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Sheet1!$C$19:$V$19</c:f>
              <c:numCache>
                <c:formatCode>General</c:formatCode>
                <c:ptCount val="20"/>
                <c:pt idx="0">
                  <c:v>1.6400000000000001</c:v>
                </c:pt>
                <c:pt idx="1">
                  <c:v>1.83</c:v>
                </c:pt>
                <c:pt idx="2">
                  <c:v>1.9500000000000044</c:v>
                </c:pt>
                <c:pt idx="3">
                  <c:v>2.3899999999999997</c:v>
                </c:pt>
                <c:pt idx="4">
                  <c:v>2.69</c:v>
                </c:pt>
                <c:pt idx="5">
                  <c:v>2.8099999999999987</c:v>
                </c:pt>
                <c:pt idx="6">
                  <c:v>2.8499999999999988</c:v>
                </c:pt>
                <c:pt idx="7">
                  <c:v>2.86</c:v>
                </c:pt>
                <c:pt idx="8">
                  <c:v>2.79</c:v>
                </c:pt>
                <c:pt idx="9">
                  <c:v>4.0932388575065355</c:v>
                </c:pt>
                <c:pt idx="10">
                  <c:v>3.4385867002714998</c:v>
                </c:pt>
                <c:pt idx="11">
                  <c:v>3.4592999014868213</c:v>
                </c:pt>
                <c:pt idx="12">
                  <c:v>3.2511659438112277</c:v>
                </c:pt>
                <c:pt idx="13">
                  <c:v>3.3454247612454417</c:v>
                </c:pt>
                <c:pt idx="14">
                  <c:v>3.1707062581272232</c:v>
                </c:pt>
                <c:pt idx="15">
                  <c:v>3.2359764801969599</c:v>
                </c:pt>
                <c:pt idx="16">
                  <c:v>3.26020687902529</c:v>
                </c:pt>
                <c:pt idx="17">
                  <c:v>3.3517599014147157</c:v>
                </c:pt>
                <c:pt idx="18">
                  <c:v>3.3791858681976898</c:v>
                </c:pt>
                <c:pt idx="19">
                  <c:v>3.4433903996934458</c:v>
                </c:pt>
              </c:numCache>
            </c:numRef>
          </c:val>
          <c:smooth val="0"/>
        </c:ser>
        <c:dLbls>
          <c:showLegendKey val="0"/>
          <c:showVal val="0"/>
          <c:showCatName val="0"/>
          <c:showSerName val="0"/>
          <c:showPercent val="0"/>
          <c:showBubbleSize val="0"/>
        </c:dLbls>
        <c:marker val="1"/>
        <c:smooth val="0"/>
        <c:axId val="128729472"/>
        <c:axId val="128731008"/>
      </c:lineChart>
      <c:catAx>
        <c:axId val="128729472"/>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8731008"/>
        <c:crosses val="autoZero"/>
        <c:auto val="1"/>
        <c:lblAlgn val="ctr"/>
        <c:lblOffset val="100"/>
        <c:noMultiLvlLbl val="0"/>
      </c:catAx>
      <c:valAx>
        <c:axId val="128731008"/>
        <c:scaling>
          <c:orientation val="minMax"/>
        </c:scaling>
        <c:delete val="0"/>
        <c:axPos val="l"/>
        <c:numFmt formatCode="0.0" sourceLinked="0"/>
        <c:majorTickMark val="out"/>
        <c:minorTickMark val="none"/>
        <c:tickLblPos val="nextTo"/>
        <c:crossAx val="128729472"/>
        <c:crosses val="autoZero"/>
        <c:crossBetween val="between"/>
      </c:valAx>
    </c:plotArea>
    <c:legend>
      <c:legendPos val="b"/>
      <c:layout>
        <c:manualLayout>
          <c:xMode val="edge"/>
          <c:yMode val="edge"/>
          <c:x val="0.46261663385826912"/>
          <c:y val="0.61696030766688514"/>
          <c:w val="0.36435006561679911"/>
          <c:h val="0.1310460086265075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942EB-B210-4AEB-96EC-FFA6ABDC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15</Pages>
  <Words>3461</Words>
  <Characters>19730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23145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Giordano DiNicola (CPAM)</dc:creator>
  <cp:lastModifiedBy>Margarita Brattlof (EST)</cp:lastModifiedBy>
  <cp:revision>17</cp:revision>
  <dcterms:created xsi:type="dcterms:W3CDTF">2016-04-29T07:42:00Z</dcterms:created>
  <dcterms:modified xsi:type="dcterms:W3CDTF">2016-05-02T14:21:00Z</dcterms:modified>
</cp:coreProperties>
</file>