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69D58" w14:textId="77777777" w:rsidR="00991714" w:rsidRPr="00D871E3" w:rsidRDefault="00991714" w:rsidP="00991714">
      <w:pPr>
        <w:pStyle w:val="CoverTitle"/>
        <w:shd w:val="clear" w:color="auto" w:fill="auto"/>
        <w:rPr>
          <w:rFonts w:asciiTheme="majorHAnsi" w:hAnsiTheme="majorHAnsi"/>
          <w:color w:val="auto"/>
          <w:sz w:val="40"/>
          <w:szCs w:val="40"/>
        </w:rPr>
      </w:pPr>
    </w:p>
    <w:p w14:paraId="73BF06F7" w14:textId="77777777" w:rsidR="001F711F" w:rsidRPr="00D871E3" w:rsidRDefault="001F711F" w:rsidP="006363D7">
      <w:pPr>
        <w:pStyle w:val="CoverTitle"/>
        <w:shd w:val="clear" w:color="auto" w:fill="auto"/>
        <w:ind w:left="-284" w:right="-424"/>
        <w:rPr>
          <w:rFonts w:asciiTheme="majorHAnsi" w:hAnsiTheme="majorHAnsi"/>
          <w:color w:val="auto"/>
          <w:sz w:val="72"/>
          <w:szCs w:val="72"/>
        </w:rPr>
      </w:pPr>
    </w:p>
    <w:p w14:paraId="027B354F" w14:textId="77777777" w:rsidR="00055BCF" w:rsidRPr="00D871E3" w:rsidRDefault="00363922" w:rsidP="006363D7">
      <w:pPr>
        <w:pStyle w:val="CoverTitle"/>
        <w:shd w:val="clear" w:color="auto" w:fill="auto"/>
        <w:ind w:left="-284" w:right="-424"/>
        <w:rPr>
          <w:rFonts w:asciiTheme="majorHAnsi" w:hAnsiTheme="majorHAnsi"/>
          <w:color w:val="auto"/>
          <w:sz w:val="72"/>
          <w:szCs w:val="72"/>
        </w:rPr>
      </w:pPr>
      <w:r w:rsidRPr="00D871E3">
        <w:rPr>
          <w:rFonts w:asciiTheme="majorHAnsi" w:hAnsiTheme="majorHAnsi"/>
          <w:color w:val="auto"/>
          <w:sz w:val="72"/>
          <w:szCs w:val="72"/>
        </w:rPr>
        <w:t>INTERGOVERNMENTAL GROUP ON TEA</w:t>
      </w:r>
    </w:p>
    <w:p w14:paraId="4BB8C9AD" w14:textId="77777777" w:rsidR="00055BCF" w:rsidRPr="00D871E3" w:rsidRDefault="00991714" w:rsidP="006363D7">
      <w:pPr>
        <w:pStyle w:val="CoverTitle"/>
        <w:shd w:val="clear" w:color="auto" w:fill="auto"/>
        <w:ind w:left="-284" w:right="-424"/>
        <w:rPr>
          <w:rFonts w:asciiTheme="majorHAnsi" w:hAnsiTheme="majorHAnsi"/>
          <w:color w:val="auto"/>
          <w:sz w:val="48"/>
          <w:szCs w:val="48"/>
        </w:rPr>
      </w:pPr>
      <w:r w:rsidRPr="00D871E3">
        <w:rPr>
          <w:rFonts w:asciiTheme="majorHAnsi" w:hAnsiTheme="majorHAnsi"/>
          <w:color w:val="auto"/>
          <w:sz w:val="48"/>
          <w:szCs w:val="48"/>
        </w:rPr>
        <w:t xml:space="preserve">INTERSESSIONAL MEETING </w:t>
      </w:r>
    </w:p>
    <w:p w14:paraId="0B1DD19D" w14:textId="4E2156B2" w:rsidR="00011165" w:rsidRPr="00D871E3" w:rsidRDefault="00874916" w:rsidP="009927B5">
      <w:pPr>
        <w:pStyle w:val="CoverTitle"/>
        <w:shd w:val="clear" w:color="auto" w:fill="auto"/>
        <w:ind w:left="-284" w:right="-424"/>
        <w:rPr>
          <w:rFonts w:asciiTheme="majorHAnsi" w:hAnsiTheme="majorHAnsi"/>
          <w:color w:val="auto"/>
          <w:sz w:val="72"/>
          <w:szCs w:val="72"/>
        </w:rPr>
      </w:pPr>
      <w:r w:rsidRPr="00D871E3">
        <w:rPr>
          <w:rFonts w:asciiTheme="majorHAnsi" w:hAnsiTheme="majorHAnsi"/>
          <w:color w:val="auto"/>
          <w:sz w:val="72"/>
          <w:szCs w:val="72"/>
        </w:rPr>
        <w:t xml:space="preserve">Report of the </w:t>
      </w:r>
      <w:r w:rsidR="00D871E3" w:rsidRPr="00D871E3">
        <w:rPr>
          <w:rFonts w:asciiTheme="majorHAnsi" w:hAnsiTheme="majorHAnsi"/>
          <w:color w:val="auto"/>
          <w:sz w:val="72"/>
          <w:szCs w:val="72"/>
        </w:rPr>
        <w:t>Working Group on Climate Change</w:t>
      </w:r>
      <w:r w:rsidRPr="00D871E3">
        <w:rPr>
          <w:rStyle w:val="FootnoteReference"/>
          <w:rFonts w:asciiTheme="majorHAnsi" w:hAnsiTheme="majorHAnsi"/>
          <w:color w:val="auto"/>
          <w:sz w:val="72"/>
          <w:szCs w:val="72"/>
        </w:rPr>
        <w:footnoteReference w:id="1"/>
      </w:r>
    </w:p>
    <w:p w14:paraId="11FF1D66" w14:textId="77777777" w:rsidR="003A063A" w:rsidRPr="00D871E3" w:rsidRDefault="003A063A" w:rsidP="003A063A">
      <w:pPr>
        <w:rPr>
          <w:rFonts w:asciiTheme="majorHAnsi" w:hAnsiTheme="majorHAnsi"/>
        </w:rPr>
      </w:pPr>
    </w:p>
    <w:p w14:paraId="03178FBA" w14:textId="77777777" w:rsidR="003A063A" w:rsidRPr="00D871E3" w:rsidRDefault="003A063A" w:rsidP="003A063A">
      <w:pPr>
        <w:rPr>
          <w:rFonts w:asciiTheme="majorHAnsi" w:hAnsiTheme="majorHAnsi"/>
        </w:rPr>
      </w:pPr>
    </w:p>
    <w:p w14:paraId="39F1727E" w14:textId="77777777" w:rsidR="003A063A" w:rsidRPr="00D871E3" w:rsidRDefault="003A063A" w:rsidP="003A063A">
      <w:pPr>
        <w:rPr>
          <w:rFonts w:asciiTheme="majorHAnsi" w:hAnsiTheme="majorHAnsi"/>
        </w:rPr>
      </w:pPr>
    </w:p>
    <w:p w14:paraId="7EC20DC9" w14:textId="77777777" w:rsidR="001F711F" w:rsidRPr="00D871E3" w:rsidRDefault="001F711F" w:rsidP="001F711F">
      <w:pPr>
        <w:pStyle w:val="CoverTitle"/>
        <w:shd w:val="clear" w:color="auto" w:fill="auto"/>
        <w:spacing w:before="0" w:after="0"/>
        <w:ind w:right="-418"/>
        <w:rPr>
          <w:rFonts w:asciiTheme="majorHAnsi" w:hAnsiTheme="majorHAnsi"/>
          <w:b w:val="0"/>
          <w:color w:val="auto"/>
          <w:kern w:val="0"/>
          <w:sz w:val="24"/>
        </w:rPr>
      </w:pPr>
    </w:p>
    <w:p w14:paraId="7597C9D5" w14:textId="77777777" w:rsidR="001F711F" w:rsidRPr="00D871E3" w:rsidRDefault="001F711F" w:rsidP="001F711F">
      <w:pPr>
        <w:pStyle w:val="CoverTitle"/>
        <w:shd w:val="clear" w:color="auto" w:fill="auto"/>
        <w:spacing w:before="0" w:after="0"/>
        <w:ind w:right="-418"/>
        <w:rPr>
          <w:rFonts w:asciiTheme="majorHAnsi" w:hAnsiTheme="majorHAnsi"/>
          <w:b w:val="0"/>
          <w:color w:val="auto"/>
          <w:kern w:val="0"/>
          <w:sz w:val="24"/>
        </w:rPr>
      </w:pPr>
    </w:p>
    <w:p w14:paraId="5B26ED48" w14:textId="77777777" w:rsidR="001F711F" w:rsidRPr="00D871E3" w:rsidRDefault="001F711F" w:rsidP="001F711F">
      <w:pPr>
        <w:pStyle w:val="CoverTitle"/>
        <w:shd w:val="clear" w:color="auto" w:fill="auto"/>
        <w:spacing w:before="0" w:after="0"/>
        <w:ind w:right="-418"/>
        <w:rPr>
          <w:rFonts w:asciiTheme="majorHAnsi" w:hAnsiTheme="majorHAnsi"/>
          <w:b w:val="0"/>
          <w:color w:val="auto"/>
          <w:kern w:val="0"/>
          <w:sz w:val="24"/>
        </w:rPr>
      </w:pPr>
    </w:p>
    <w:p w14:paraId="7F69DB90" w14:textId="77777777" w:rsidR="001F711F" w:rsidRPr="00D871E3" w:rsidRDefault="001F711F" w:rsidP="001F711F">
      <w:pPr>
        <w:pStyle w:val="CoverTitle"/>
        <w:shd w:val="clear" w:color="auto" w:fill="auto"/>
        <w:spacing w:before="0" w:after="0"/>
        <w:ind w:right="-418"/>
        <w:rPr>
          <w:rFonts w:asciiTheme="majorHAnsi" w:hAnsiTheme="majorHAnsi"/>
          <w:color w:val="auto"/>
          <w:sz w:val="40"/>
          <w:szCs w:val="40"/>
        </w:rPr>
      </w:pPr>
    </w:p>
    <w:p w14:paraId="1B191F8C" w14:textId="77777777" w:rsidR="001F711F" w:rsidRPr="00D871E3" w:rsidRDefault="001F711F" w:rsidP="001F711F">
      <w:pPr>
        <w:pStyle w:val="CoverTitle"/>
        <w:shd w:val="clear" w:color="auto" w:fill="auto"/>
        <w:spacing w:before="0" w:after="0"/>
        <w:ind w:right="-418"/>
        <w:rPr>
          <w:rFonts w:asciiTheme="majorHAnsi" w:hAnsiTheme="majorHAnsi"/>
          <w:color w:val="auto"/>
          <w:sz w:val="40"/>
          <w:szCs w:val="40"/>
        </w:rPr>
      </w:pPr>
    </w:p>
    <w:p w14:paraId="2DDBF7A1" w14:textId="77777777" w:rsidR="001F711F" w:rsidRPr="00D871E3" w:rsidRDefault="001F711F" w:rsidP="001F711F">
      <w:pPr>
        <w:pStyle w:val="CoverTitle"/>
        <w:shd w:val="clear" w:color="auto" w:fill="auto"/>
        <w:spacing w:before="0" w:after="0"/>
        <w:ind w:right="-418"/>
        <w:rPr>
          <w:rFonts w:asciiTheme="majorHAnsi" w:hAnsiTheme="majorHAnsi"/>
          <w:color w:val="auto"/>
          <w:sz w:val="40"/>
          <w:szCs w:val="40"/>
        </w:rPr>
      </w:pPr>
    </w:p>
    <w:p w14:paraId="24F64637" w14:textId="13E7FB0A" w:rsidR="003A063A" w:rsidRPr="00D871E3" w:rsidRDefault="003A063A" w:rsidP="003A063A">
      <w:pPr>
        <w:pStyle w:val="CoverTitle"/>
        <w:shd w:val="clear" w:color="auto" w:fill="auto"/>
        <w:spacing w:before="0" w:after="0"/>
        <w:ind w:left="-288" w:right="-418"/>
        <w:rPr>
          <w:rFonts w:asciiTheme="majorHAnsi" w:hAnsiTheme="majorHAnsi"/>
          <w:color w:val="auto"/>
          <w:sz w:val="40"/>
          <w:szCs w:val="40"/>
        </w:rPr>
      </w:pPr>
    </w:p>
    <w:p w14:paraId="16F07351" w14:textId="77777777" w:rsidR="003A063A" w:rsidRPr="00D871E3" w:rsidRDefault="003A063A" w:rsidP="003A063A">
      <w:pPr>
        <w:rPr>
          <w:rFonts w:asciiTheme="majorHAnsi" w:hAnsiTheme="majorHAnsi"/>
        </w:rPr>
      </w:pPr>
    </w:p>
    <w:p w14:paraId="21849AE8" w14:textId="77777777" w:rsidR="009927B5" w:rsidRPr="00D871E3" w:rsidRDefault="009927B5" w:rsidP="009927B5">
      <w:pPr>
        <w:rPr>
          <w:rFonts w:asciiTheme="majorHAnsi" w:hAnsiTheme="majorHAnsi"/>
          <w:sz w:val="72"/>
          <w:szCs w:val="72"/>
        </w:rPr>
        <w:sectPr w:rsidR="009927B5" w:rsidRPr="00D871E3" w:rsidSect="00011165">
          <w:headerReference w:type="even" r:id="rId8"/>
          <w:headerReference w:type="default" r:id="rId9"/>
          <w:footerReference w:type="even" r:id="rId10"/>
          <w:footerReference w:type="default" r:id="rId11"/>
          <w:headerReference w:type="first" r:id="rId12"/>
          <w:footerReference w:type="first" r:id="rId13"/>
          <w:pgSz w:w="12242" w:h="15842" w:code="1"/>
          <w:pgMar w:top="1240" w:right="1797" w:bottom="1582" w:left="1797" w:header="567" w:footer="283" w:gutter="0"/>
          <w:pgNumType w:fmt="lowerRoman" w:start="1"/>
          <w:cols w:space="720"/>
          <w:titlePg/>
          <w:docGrid w:linePitch="326"/>
        </w:sectPr>
      </w:pPr>
    </w:p>
    <w:p w14:paraId="20A5DC28" w14:textId="5FAAD2D1" w:rsidR="00D871E3" w:rsidRPr="000323D1" w:rsidRDefault="00D871E3" w:rsidP="00D84698">
      <w:pPr>
        <w:pStyle w:val="ListParagraph"/>
        <w:numPr>
          <w:ilvl w:val="0"/>
          <w:numId w:val="17"/>
        </w:numPr>
        <w:spacing w:after="240"/>
        <w:ind w:left="360" w:hanging="360"/>
        <w:rPr>
          <w:rFonts w:asciiTheme="majorHAnsi" w:eastAsia="+mn-ea" w:hAnsiTheme="majorHAnsi"/>
          <w:b/>
          <w:sz w:val="24"/>
          <w:szCs w:val="24"/>
          <w:lang w:val="en-US"/>
        </w:rPr>
      </w:pPr>
      <w:r w:rsidRPr="000323D1">
        <w:rPr>
          <w:rFonts w:asciiTheme="majorHAnsi" w:eastAsia="+mn-ea" w:hAnsiTheme="majorHAnsi"/>
          <w:b/>
          <w:sz w:val="24"/>
          <w:szCs w:val="24"/>
          <w:lang w:val="en-US"/>
        </w:rPr>
        <w:lastRenderedPageBreak/>
        <w:t>Introduction</w:t>
      </w:r>
    </w:p>
    <w:p w14:paraId="42341C36" w14:textId="51DC962C" w:rsidR="00D871E3" w:rsidRPr="000323D1" w:rsidRDefault="00014B1B" w:rsidP="000323D1">
      <w:pPr>
        <w:pStyle w:val="BoxNewPara"/>
        <w:numPr>
          <w:ilvl w:val="0"/>
          <w:numId w:val="0"/>
        </w:numPr>
        <w:spacing w:before="240" w:after="240"/>
        <w:rPr>
          <w:rFonts w:asciiTheme="majorHAnsi" w:hAnsiTheme="majorHAnsi" w:cs="Times New Roman"/>
          <w:sz w:val="24"/>
          <w:szCs w:val="24"/>
        </w:rPr>
      </w:pPr>
      <w:r>
        <w:rPr>
          <w:rFonts w:asciiTheme="majorHAnsi" w:hAnsiTheme="majorHAnsi"/>
          <w:sz w:val="24"/>
          <w:szCs w:val="24"/>
        </w:rPr>
        <w:t>At t</w:t>
      </w:r>
      <w:r w:rsidR="00D871E3" w:rsidRPr="000323D1">
        <w:rPr>
          <w:rFonts w:asciiTheme="majorHAnsi" w:hAnsiTheme="majorHAnsi"/>
          <w:sz w:val="24"/>
          <w:szCs w:val="24"/>
        </w:rPr>
        <w:t xml:space="preserve">he 22nd Session of the Intergovernmental Group on Tea (IGG/Tea) </w:t>
      </w:r>
      <w:r>
        <w:rPr>
          <w:rFonts w:asciiTheme="majorHAnsi" w:hAnsiTheme="majorHAnsi"/>
          <w:sz w:val="24"/>
          <w:szCs w:val="24"/>
        </w:rPr>
        <w:t xml:space="preserve">which took place </w:t>
      </w:r>
      <w:r w:rsidR="00D871E3" w:rsidRPr="000323D1">
        <w:rPr>
          <w:rFonts w:asciiTheme="majorHAnsi" w:hAnsiTheme="majorHAnsi"/>
          <w:sz w:val="24"/>
          <w:szCs w:val="24"/>
        </w:rPr>
        <w:t>on 25</w:t>
      </w:r>
      <w:r>
        <w:rPr>
          <w:rFonts w:asciiTheme="majorHAnsi" w:hAnsiTheme="majorHAnsi"/>
          <w:sz w:val="24"/>
          <w:szCs w:val="24"/>
        </w:rPr>
        <w:noBreakHyphen/>
      </w:r>
      <w:r w:rsidR="00D871E3" w:rsidRPr="000323D1">
        <w:rPr>
          <w:rFonts w:asciiTheme="majorHAnsi" w:hAnsiTheme="majorHAnsi"/>
          <w:sz w:val="24"/>
          <w:szCs w:val="24"/>
        </w:rPr>
        <w:t xml:space="preserve">27 May 2016 in </w:t>
      </w:r>
      <w:proofErr w:type="spellStart"/>
      <w:r w:rsidR="00D871E3" w:rsidRPr="000323D1">
        <w:rPr>
          <w:rFonts w:asciiTheme="majorHAnsi" w:hAnsiTheme="majorHAnsi"/>
          <w:sz w:val="24"/>
          <w:szCs w:val="24"/>
        </w:rPr>
        <w:t>Naivasha</w:t>
      </w:r>
      <w:proofErr w:type="spellEnd"/>
      <w:r w:rsidR="00D871E3" w:rsidRPr="000323D1">
        <w:rPr>
          <w:rFonts w:asciiTheme="majorHAnsi" w:hAnsiTheme="majorHAnsi"/>
          <w:sz w:val="24"/>
          <w:szCs w:val="24"/>
        </w:rPr>
        <w:t xml:space="preserve">, Kenya, </w:t>
      </w:r>
      <w:r>
        <w:rPr>
          <w:rFonts w:asciiTheme="majorHAnsi" w:hAnsiTheme="majorHAnsi"/>
          <w:sz w:val="24"/>
          <w:szCs w:val="24"/>
        </w:rPr>
        <w:t xml:space="preserve">and </w:t>
      </w:r>
      <w:r w:rsidR="00D871E3" w:rsidRPr="000323D1">
        <w:rPr>
          <w:rFonts w:asciiTheme="majorHAnsi" w:hAnsiTheme="majorHAnsi"/>
          <w:sz w:val="24"/>
          <w:szCs w:val="24"/>
        </w:rPr>
        <w:t>as per the decisions taken at the intersessional meeting in October 2015</w:t>
      </w:r>
      <w:r>
        <w:rPr>
          <w:rFonts w:asciiTheme="majorHAnsi" w:hAnsiTheme="majorHAnsi"/>
          <w:sz w:val="24"/>
          <w:szCs w:val="24"/>
        </w:rPr>
        <w:t>,</w:t>
      </w:r>
      <w:r w:rsidR="00D871E3" w:rsidRPr="000323D1">
        <w:rPr>
          <w:rFonts w:asciiTheme="majorHAnsi" w:hAnsiTheme="majorHAnsi"/>
          <w:sz w:val="24"/>
          <w:szCs w:val="24"/>
        </w:rPr>
        <w:t xml:space="preserve"> the WG presented a publication entitled: "Research Report of Adaptation to Climate Change". </w:t>
      </w:r>
      <w:r w:rsidR="00D871E3" w:rsidRPr="000323D1">
        <w:rPr>
          <w:rFonts w:asciiTheme="majorHAnsi" w:hAnsiTheme="majorHAnsi" w:cs="Times New Roman"/>
          <w:sz w:val="24"/>
          <w:szCs w:val="24"/>
        </w:rPr>
        <w:t>The book was presented to the Secretary of the IGG/Tea, Mr Kaison Chang</w:t>
      </w:r>
      <w:r>
        <w:rPr>
          <w:rFonts w:asciiTheme="majorHAnsi" w:hAnsiTheme="majorHAnsi" w:cs="Times New Roman"/>
          <w:sz w:val="24"/>
          <w:szCs w:val="24"/>
        </w:rPr>
        <w:t>,</w:t>
      </w:r>
      <w:r w:rsidR="00D871E3" w:rsidRPr="000323D1">
        <w:rPr>
          <w:rFonts w:asciiTheme="majorHAnsi" w:hAnsiTheme="majorHAnsi" w:cs="Times New Roman"/>
          <w:sz w:val="24"/>
          <w:szCs w:val="24"/>
        </w:rPr>
        <w:t xml:space="preserve"> and </w:t>
      </w:r>
      <w:r>
        <w:rPr>
          <w:rFonts w:asciiTheme="majorHAnsi" w:hAnsiTheme="majorHAnsi" w:cs="Times New Roman"/>
          <w:sz w:val="24"/>
          <w:szCs w:val="24"/>
        </w:rPr>
        <w:t xml:space="preserve">was </w:t>
      </w:r>
      <w:r w:rsidR="00D871E3" w:rsidRPr="000323D1">
        <w:rPr>
          <w:rFonts w:asciiTheme="majorHAnsi" w:hAnsiTheme="majorHAnsi" w:cs="Times New Roman"/>
          <w:sz w:val="24"/>
          <w:szCs w:val="24"/>
        </w:rPr>
        <w:t xml:space="preserve">adopted by the IGG/Tea. </w:t>
      </w:r>
    </w:p>
    <w:p w14:paraId="642B1EF4" w14:textId="19E1CE93" w:rsidR="00D871E3" w:rsidRDefault="00D871E3" w:rsidP="000323D1">
      <w:pPr>
        <w:pStyle w:val="BoxNewPara"/>
        <w:numPr>
          <w:ilvl w:val="0"/>
          <w:numId w:val="0"/>
        </w:numPr>
        <w:spacing w:before="240" w:after="240"/>
        <w:rPr>
          <w:rFonts w:asciiTheme="majorHAnsi" w:hAnsiTheme="majorHAnsi" w:cs="Times New Roman"/>
          <w:sz w:val="24"/>
          <w:szCs w:val="24"/>
        </w:rPr>
      </w:pPr>
      <w:r w:rsidRPr="000323D1">
        <w:rPr>
          <w:rFonts w:asciiTheme="majorHAnsi" w:hAnsiTheme="majorHAnsi" w:cs="Times New Roman"/>
          <w:sz w:val="24"/>
          <w:szCs w:val="24"/>
        </w:rPr>
        <w:t>The Group commended the efforts of the WG in publishing the book and encouraged the other WGs to document their outputs in a similar manner</w:t>
      </w:r>
      <w:r w:rsidR="000323D1">
        <w:rPr>
          <w:rFonts w:asciiTheme="majorHAnsi" w:hAnsiTheme="majorHAnsi" w:cs="Times New Roman"/>
          <w:sz w:val="24"/>
          <w:szCs w:val="24"/>
        </w:rPr>
        <w:t>, and the f</w:t>
      </w:r>
      <w:r w:rsidRPr="000323D1">
        <w:rPr>
          <w:rFonts w:asciiTheme="majorHAnsi" w:hAnsiTheme="majorHAnsi" w:cs="Times New Roman"/>
          <w:sz w:val="24"/>
          <w:szCs w:val="24"/>
        </w:rPr>
        <w:t>ollowing action plan was proposed</w:t>
      </w:r>
      <w:r w:rsidR="000323D1">
        <w:rPr>
          <w:rFonts w:asciiTheme="majorHAnsi" w:hAnsiTheme="majorHAnsi" w:cs="Times New Roman"/>
          <w:sz w:val="24"/>
          <w:szCs w:val="24"/>
        </w:rPr>
        <w:t>:</w:t>
      </w:r>
    </w:p>
    <w:p w14:paraId="26124199" w14:textId="77777777" w:rsidR="00D871E3" w:rsidRPr="000323D1" w:rsidRDefault="00D871E3" w:rsidP="000323D1">
      <w:pPr>
        <w:pStyle w:val="BoxNewPara"/>
        <w:numPr>
          <w:ilvl w:val="0"/>
          <w:numId w:val="16"/>
        </w:numPr>
        <w:rPr>
          <w:rFonts w:asciiTheme="majorHAnsi" w:hAnsiTheme="majorHAnsi" w:cs="Times New Roman"/>
          <w:sz w:val="24"/>
          <w:szCs w:val="24"/>
        </w:rPr>
      </w:pPr>
      <w:r w:rsidRPr="000323D1">
        <w:rPr>
          <w:rFonts w:asciiTheme="majorHAnsi" w:hAnsiTheme="majorHAnsi" w:cs="Times New Roman"/>
          <w:sz w:val="24"/>
          <w:szCs w:val="24"/>
        </w:rPr>
        <w:t xml:space="preserve">The WG decided to work on vulnerability/suitability at micro scale for ease of implementation of adaptation strategies in different countries. </w:t>
      </w:r>
    </w:p>
    <w:p w14:paraId="256B6087" w14:textId="77777777" w:rsidR="00D871E3" w:rsidRPr="009C78C8" w:rsidRDefault="00D871E3" w:rsidP="00D84698">
      <w:pPr>
        <w:pStyle w:val="BoxNewPara"/>
        <w:numPr>
          <w:ilvl w:val="0"/>
          <w:numId w:val="16"/>
        </w:numPr>
        <w:spacing w:after="240"/>
        <w:rPr>
          <w:rFonts w:asciiTheme="majorHAnsi" w:hAnsiTheme="majorHAnsi"/>
          <w:sz w:val="24"/>
          <w:szCs w:val="24"/>
        </w:rPr>
      </w:pPr>
      <w:r w:rsidRPr="000323D1">
        <w:rPr>
          <w:rFonts w:asciiTheme="majorHAnsi" w:hAnsiTheme="majorHAnsi" w:cs="Times New Roman"/>
          <w:sz w:val="24"/>
          <w:szCs w:val="24"/>
        </w:rPr>
        <w:t>The trend analysis would be further strengthened using different statistical models in order to determine the significance of climate trends and comparing them with the baseline.</w:t>
      </w:r>
    </w:p>
    <w:p w14:paraId="4B67E5C1" w14:textId="77777777" w:rsidR="009C78C8" w:rsidRPr="000323D1" w:rsidRDefault="009C78C8" w:rsidP="009C78C8">
      <w:pPr>
        <w:pStyle w:val="BoxNewPara"/>
        <w:numPr>
          <w:ilvl w:val="0"/>
          <w:numId w:val="0"/>
        </w:numPr>
        <w:ind w:left="720" w:hanging="720"/>
        <w:rPr>
          <w:rFonts w:asciiTheme="majorHAnsi" w:hAnsiTheme="majorHAnsi"/>
          <w:sz w:val="24"/>
          <w:szCs w:val="24"/>
        </w:rPr>
      </w:pPr>
    </w:p>
    <w:p w14:paraId="6D44F14D" w14:textId="2AEC4261" w:rsidR="009C78C8" w:rsidRPr="00584927" w:rsidRDefault="009C78C8" w:rsidP="00584927">
      <w:pPr>
        <w:pStyle w:val="ListParagraph"/>
        <w:numPr>
          <w:ilvl w:val="0"/>
          <w:numId w:val="17"/>
        </w:numPr>
        <w:spacing w:after="240"/>
        <w:ind w:left="450" w:hanging="450"/>
        <w:rPr>
          <w:rFonts w:asciiTheme="majorHAnsi" w:eastAsia="+mn-ea" w:hAnsiTheme="majorHAnsi"/>
          <w:b/>
          <w:sz w:val="24"/>
          <w:szCs w:val="24"/>
          <w:lang w:val="en-US"/>
        </w:rPr>
      </w:pPr>
      <w:r w:rsidRPr="00D84698">
        <w:rPr>
          <w:rFonts w:asciiTheme="majorHAnsi" w:eastAsia="+mn-ea" w:hAnsiTheme="majorHAnsi"/>
          <w:b/>
          <w:sz w:val="24"/>
          <w:szCs w:val="24"/>
          <w:lang w:val="en-US"/>
        </w:rPr>
        <w:t>India</w:t>
      </w:r>
    </w:p>
    <w:p w14:paraId="4D4E5264" w14:textId="0E3C49ED" w:rsidR="009C78C8" w:rsidRPr="00584927" w:rsidRDefault="009C78C8" w:rsidP="00584927">
      <w:pPr>
        <w:rPr>
          <w:rFonts w:asciiTheme="majorHAnsi" w:hAnsiTheme="majorHAnsi"/>
          <w:b/>
          <w:bCs/>
          <w:lang w:val="en-GB"/>
        </w:rPr>
      </w:pPr>
      <w:r w:rsidRPr="00584927">
        <w:rPr>
          <w:rFonts w:asciiTheme="majorHAnsi" w:hAnsiTheme="majorHAnsi"/>
          <w:b/>
          <w:bCs/>
          <w:lang w:val="en-GB"/>
        </w:rPr>
        <w:t>Assessment of vulnerability/suitability at micro scale for ease of implementation of adaptation strategies</w:t>
      </w:r>
    </w:p>
    <w:p w14:paraId="08E9F90F" w14:textId="77777777" w:rsidR="009C78C8" w:rsidRPr="009C78C8" w:rsidRDefault="009C78C8" w:rsidP="009C78C8">
      <w:pPr>
        <w:pStyle w:val="ListParagraph"/>
        <w:spacing w:after="0" w:line="240" w:lineRule="auto"/>
        <w:ind w:left="360"/>
        <w:rPr>
          <w:rFonts w:asciiTheme="majorHAnsi" w:hAnsiTheme="majorHAnsi"/>
          <w:b/>
          <w:bCs/>
          <w:sz w:val="24"/>
          <w:szCs w:val="24"/>
          <w:lang w:val="en-GB"/>
        </w:rPr>
      </w:pPr>
    </w:p>
    <w:p w14:paraId="4827ACDD" w14:textId="44BB4EC4" w:rsidR="009C78C8" w:rsidRPr="009C78C8" w:rsidRDefault="009C78C8" w:rsidP="00D84698">
      <w:pPr>
        <w:spacing w:after="240"/>
        <w:ind w:left="450" w:hanging="450"/>
        <w:rPr>
          <w:rFonts w:asciiTheme="majorHAnsi" w:hAnsiTheme="majorHAnsi"/>
          <w:b/>
          <w:bCs/>
        </w:rPr>
      </w:pPr>
      <w:r w:rsidRPr="009C78C8">
        <w:rPr>
          <w:rFonts w:asciiTheme="majorHAnsi" w:hAnsiTheme="majorHAnsi"/>
          <w:b/>
          <w:bCs/>
        </w:rPr>
        <w:t>Database collection and analysis</w:t>
      </w:r>
    </w:p>
    <w:p w14:paraId="351F71BA" w14:textId="5B624FDB" w:rsidR="009C78C8" w:rsidRDefault="009C78C8" w:rsidP="009C78C8">
      <w:pPr>
        <w:pStyle w:val="ListParagraph"/>
        <w:spacing w:line="240" w:lineRule="auto"/>
        <w:ind w:left="0"/>
        <w:jc w:val="both"/>
        <w:rPr>
          <w:rFonts w:asciiTheme="majorHAnsi" w:hAnsiTheme="majorHAnsi"/>
          <w:sz w:val="24"/>
          <w:szCs w:val="24"/>
        </w:rPr>
      </w:pPr>
      <w:r w:rsidRPr="009C78C8">
        <w:rPr>
          <w:rFonts w:asciiTheme="majorHAnsi" w:eastAsia="+mn-ea" w:hAnsiTheme="majorHAnsi"/>
          <w:sz w:val="24"/>
          <w:szCs w:val="24"/>
        </w:rPr>
        <w:t>Data collection and analysis of meteorological parameters has been further updated and carried out till the year 2016.</w:t>
      </w:r>
      <w:r w:rsidRPr="009C78C8">
        <w:rPr>
          <w:rFonts w:asciiTheme="majorHAnsi" w:hAnsiTheme="majorHAnsi"/>
          <w:bCs/>
          <w:iCs/>
          <w:sz w:val="24"/>
          <w:szCs w:val="24"/>
        </w:rPr>
        <w:t xml:space="preserve"> The data in Fig 1 represent South bank region of Assam and the 98 years of rainfall data shows that it continues to exhibit an overall decline of more than 220 mm in the region.</w:t>
      </w:r>
      <w:r w:rsidRPr="009C78C8">
        <w:rPr>
          <w:rFonts w:asciiTheme="majorHAnsi" w:hAnsiTheme="majorHAnsi"/>
          <w:color w:val="000000" w:themeColor="text1"/>
          <w:sz w:val="24"/>
          <w:szCs w:val="24"/>
        </w:rPr>
        <w:t xml:space="preserve"> For minimum temperature it has been observed that a steep increase of </w:t>
      </w:r>
      <w:r w:rsidRPr="009C78C8">
        <w:rPr>
          <w:rFonts w:asciiTheme="majorHAnsi" w:hAnsiTheme="majorHAnsi"/>
          <w:sz w:val="24"/>
          <w:szCs w:val="24"/>
        </w:rPr>
        <w:t>1.3</w:t>
      </w:r>
      <w:r w:rsidRPr="009C78C8">
        <w:rPr>
          <w:rFonts w:asciiTheme="majorHAnsi" w:hAnsiTheme="majorHAnsi"/>
          <w:sz w:val="24"/>
          <w:szCs w:val="24"/>
          <w:vertAlign w:val="superscript"/>
        </w:rPr>
        <w:t>0</w:t>
      </w:r>
      <w:r w:rsidRPr="009C78C8">
        <w:rPr>
          <w:rFonts w:asciiTheme="majorHAnsi" w:hAnsiTheme="majorHAnsi"/>
          <w:sz w:val="24"/>
          <w:szCs w:val="24"/>
        </w:rPr>
        <w:t xml:space="preserve">C </w:t>
      </w:r>
      <w:r w:rsidRPr="009C78C8">
        <w:rPr>
          <w:rFonts w:asciiTheme="majorHAnsi" w:hAnsiTheme="majorHAnsi"/>
          <w:color w:val="000000" w:themeColor="text1"/>
          <w:sz w:val="24"/>
          <w:szCs w:val="24"/>
        </w:rPr>
        <w:t>has been observed in South Bank, Assam (Fig. 2) which is a</w:t>
      </w:r>
      <w:r w:rsidRPr="009C78C8">
        <w:rPr>
          <w:rFonts w:asciiTheme="majorHAnsi" w:hAnsiTheme="majorHAnsi"/>
          <w:sz w:val="24"/>
          <w:szCs w:val="24"/>
        </w:rPr>
        <w:t xml:space="preserve"> substantial increase and the trend is continuing.</w:t>
      </w:r>
    </w:p>
    <w:p w14:paraId="3F551D7F" w14:textId="77777777" w:rsidR="009C78C8" w:rsidRPr="009C78C8" w:rsidRDefault="009C78C8" w:rsidP="009C78C8">
      <w:pPr>
        <w:jc w:val="center"/>
        <w:rPr>
          <w:rFonts w:asciiTheme="majorHAnsi" w:hAnsiTheme="majorHAnsi"/>
          <w:bCs/>
          <w:iCs/>
        </w:rPr>
      </w:pPr>
      <w:r w:rsidRPr="009C78C8">
        <w:rPr>
          <w:rFonts w:asciiTheme="majorHAnsi" w:hAnsiTheme="majorHAnsi"/>
          <w:b/>
          <w:noProof/>
          <w:color w:val="000000"/>
        </w:rPr>
        <w:drawing>
          <wp:inline distT="0" distB="0" distL="0" distR="0" wp14:anchorId="744FBBE6" wp14:editId="7F29C30B">
            <wp:extent cx="3824710" cy="2246854"/>
            <wp:effectExtent l="19050" t="0" r="434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824710" cy="2246854"/>
                    </a:xfrm>
                    <a:prstGeom prst="rect">
                      <a:avLst/>
                    </a:prstGeom>
                    <a:noFill/>
                  </pic:spPr>
                </pic:pic>
              </a:graphicData>
            </a:graphic>
          </wp:inline>
        </w:drawing>
      </w:r>
    </w:p>
    <w:p w14:paraId="3F5979BD" w14:textId="77777777" w:rsidR="009C78C8" w:rsidRDefault="009C78C8" w:rsidP="009C78C8">
      <w:pPr>
        <w:jc w:val="center"/>
        <w:rPr>
          <w:rFonts w:asciiTheme="majorHAnsi" w:hAnsiTheme="majorHAnsi"/>
          <w:b/>
          <w:sz w:val="20"/>
          <w:szCs w:val="20"/>
        </w:rPr>
      </w:pPr>
      <w:r w:rsidRPr="009C78C8">
        <w:rPr>
          <w:rFonts w:asciiTheme="majorHAnsi" w:hAnsiTheme="majorHAnsi"/>
          <w:b/>
          <w:sz w:val="20"/>
          <w:szCs w:val="20"/>
        </w:rPr>
        <w:t>Fig 1. Annual total rainfall, 1918-2016 (South Bank, Assam, India)</w:t>
      </w:r>
    </w:p>
    <w:p w14:paraId="35132C55" w14:textId="77777777" w:rsidR="009C78C8" w:rsidRPr="009C78C8" w:rsidRDefault="009C78C8" w:rsidP="009C78C8">
      <w:pPr>
        <w:jc w:val="center"/>
        <w:rPr>
          <w:rFonts w:asciiTheme="majorHAnsi" w:hAnsiTheme="majorHAnsi"/>
          <w:b/>
          <w:sz w:val="20"/>
          <w:szCs w:val="20"/>
        </w:rPr>
      </w:pPr>
    </w:p>
    <w:p w14:paraId="66A01103" w14:textId="77777777" w:rsidR="009C78C8" w:rsidRPr="009C78C8" w:rsidRDefault="009C78C8" w:rsidP="009C78C8">
      <w:pPr>
        <w:jc w:val="center"/>
        <w:rPr>
          <w:rFonts w:asciiTheme="majorHAnsi" w:hAnsiTheme="majorHAnsi"/>
        </w:rPr>
      </w:pPr>
    </w:p>
    <w:p w14:paraId="25B999A0" w14:textId="77777777" w:rsidR="009C78C8" w:rsidRPr="009C78C8" w:rsidRDefault="009C78C8" w:rsidP="009C78C8">
      <w:pPr>
        <w:jc w:val="center"/>
        <w:rPr>
          <w:rFonts w:asciiTheme="majorHAnsi" w:hAnsiTheme="majorHAnsi"/>
        </w:rPr>
      </w:pPr>
      <w:r w:rsidRPr="009C78C8">
        <w:rPr>
          <w:rFonts w:asciiTheme="majorHAnsi" w:hAnsiTheme="majorHAnsi"/>
          <w:noProof/>
        </w:rPr>
        <w:drawing>
          <wp:inline distT="0" distB="0" distL="0" distR="0" wp14:anchorId="39CF6844" wp14:editId="64DFB9E4">
            <wp:extent cx="3712062" cy="2174817"/>
            <wp:effectExtent l="19050" t="0" r="2688"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720565" cy="2179799"/>
                    </a:xfrm>
                    <a:prstGeom prst="rect">
                      <a:avLst/>
                    </a:prstGeom>
                    <a:noFill/>
                  </pic:spPr>
                </pic:pic>
              </a:graphicData>
            </a:graphic>
          </wp:inline>
        </w:drawing>
      </w:r>
    </w:p>
    <w:p w14:paraId="5C475A6D" w14:textId="5670164B"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 2.</w:t>
      </w:r>
      <w:r>
        <w:rPr>
          <w:rFonts w:asciiTheme="majorHAnsi" w:hAnsiTheme="majorHAnsi"/>
          <w:b/>
          <w:sz w:val="20"/>
          <w:szCs w:val="20"/>
        </w:rPr>
        <w:t xml:space="preserve"> </w:t>
      </w:r>
      <w:r w:rsidRPr="009C78C8">
        <w:rPr>
          <w:rFonts w:asciiTheme="majorHAnsi" w:hAnsiTheme="majorHAnsi"/>
          <w:b/>
          <w:sz w:val="20"/>
          <w:szCs w:val="20"/>
        </w:rPr>
        <w:t>Annual average minimum temperature, 1923-2016 (South Bank, Assam, India)</w:t>
      </w:r>
    </w:p>
    <w:p w14:paraId="2EFEA42B" w14:textId="77777777" w:rsidR="009C78C8" w:rsidRDefault="009C78C8" w:rsidP="009C78C8">
      <w:pPr>
        <w:pStyle w:val="Default"/>
        <w:jc w:val="both"/>
        <w:rPr>
          <w:rFonts w:asciiTheme="majorHAnsi" w:hAnsiTheme="majorHAnsi"/>
          <w:lang w:val="en-US"/>
        </w:rPr>
      </w:pPr>
    </w:p>
    <w:p w14:paraId="3864F67E" w14:textId="77777777" w:rsidR="009C78C8" w:rsidRPr="009C78C8" w:rsidRDefault="009C78C8" w:rsidP="009C78C8">
      <w:pPr>
        <w:pStyle w:val="Default"/>
        <w:jc w:val="both"/>
        <w:rPr>
          <w:rFonts w:asciiTheme="majorHAnsi" w:hAnsiTheme="majorHAnsi"/>
          <w:color w:val="000000" w:themeColor="text1"/>
        </w:rPr>
      </w:pPr>
      <w:r w:rsidRPr="009C78C8">
        <w:rPr>
          <w:rFonts w:asciiTheme="majorHAnsi" w:hAnsiTheme="majorHAnsi"/>
          <w:lang w:val="en-US"/>
        </w:rPr>
        <w:t xml:space="preserve">Well distributed abundant rainfall is the essential factor for the commercial viability and sustainability of tea production. Apart from the substantial decrease of 220 mm rainfall more detailed analysis of the rainfall data reveals that </w:t>
      </w:r>
      <w:r w:rsidRPr="009C78C8">
        <w:rPr>
          <w:rFonts w:asciiTheme="majorHAnsi" w:hAnsiTheme="majorHAnsi"/>
          <w:color w:val="000000" w:themeColor="text1"/>
        </w:rPr>
        <w:t>there are yearly variations with occurrence of low and high rainfall which make some years wet and some droughty. Also the frequency of extreme rainfall events has increased in last about 30 years, which results in occurrence of more drought and flood period compared to past. The monthly total rainfall data of the last 30 years when compared with the long term normal during the growing season shows that each month has a deficit of rainfall which is detrimental for tea production in the long run (Fig. 3).</w:t>
      </w:r>
    </w:p>
    <w:p w14:paraId="14511306" w14:textId="77777777" w:rsidR="009C78C8" w:rsidRPr="009C78C8" w:rsidRDefault="009C78C8" w:rsidP="009C78C8">
      <w:pPr>
        <w:pStyle w:val="Default"/>
        <w:jc w:val="both"/>
        <w:rPr>
          <w:rFonts w:asciiTheme="majorHAnsi" w:hAnsiTheme="majorHAnsi"/>
          <w:color w:val="000000" w:themeColor="text1"/>
        </w:rPr>
      </w:pPr>
    </w:p>
    <w:p w14:paraId="05537917" w14:textId="77777777" w:rsidR="009C78C8" w:rsidRPr="009C78C8" w:rsidRDefault="009C78C8" w:rsidP="009C78C8">
      <w:pPr>
        <w:pStyle w:val="Default"/>
        <w:jc w:val="center"/>
        <w:rPr>
          <w:rFonts w:asciiTheme="majorHAnsi" w:hAnsiTheme="majorHAnsi"/>
          <w:lang w:val="en-US"/>
        </w:rPr>
      </w:pPr>
      <w:r w:rsidRPr="009C78C8">
        <w:rPr>
          <w:rFonts w:asciiTheme="majorHAnsi" w:hAnsiTheme="majorHAnsi"/>
          <w:noProof/>
          <w:lang w:val="en-US"/>
        </w:rPr>
        <w:drawing>
          <wp:inline distT="0" distB="0" distL="0" distR="0" wp14:anchorId="75EB3AB7" wp14:editId="5C3864FB">
            <wp:extent cx="3751545" cy="2476083"/>
            <wp:effectExtent l="19050" t="0" r="13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754062" cy="2477745"/>
                    </a:xfrm>
                    <a:prstGeom prst="rect">
                      <a:avLst/>
                    </a:prstGeom>
                    <a:noFill/>
                  </pic:spPr>
                </pic:pic>
              </a:graphicData>
            </a:graphic>
          </wp:inline>
        </w:drawing>
      </w:r>
    </w:p>
    <w:p w14:paraId="6E592BC3" w14:textId="77777777"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 3. Rainfall deficit in last 30 years during the growing season (South Bank, Assam, India)</w:t>
      </w:r>
    </w:p>
    <w:p w14:paraId="6DF0D1D2" w14:textId="77777777" w:rsidR="009C78C8" w:rsidRPr="009C78C8" w:rsidRDefault="009C78C8" w:rsidP="009C78C8">
      <w:pPr>
        <w:jc w:val="both"/>
        <w:rPr>
          <w:rFonts w:asciiTheme="majorHAnsi" w:hAnsiTheme="majorHAnsi"/>
        </w:rPr>
      </w:pPr>
    </w:p>
    <w:p w14:paraId="4AAE5A67" w14:textId="02D56C29" w:rsidR="009C78C8" w:rsidRPr="009C78C8" w:rsidRDefault="009C78C8" w:rsidP="009C78C8">
      <w:pPr>
        <w:jc w:val="both"/>
        <w:rPr>
          <w:rFonts w:asciiTheme="majorHAnsi" w:hAnsiTheme="majorHAnsi"/>
        </w:rPr>
      </w:pPr>
      <w:r w:rsidRPr="009C78C8">
        <w:rPr>
          <w:rFonts w:asciiTheme="majorHAnsi" w:hAnsiTheme="majorHAnsi"/>
        </w:rPr>
        <w:t>Adequate rainfall during winter and early spring is crucial for high yield. But when the rainfall pattern during this period was analyzed to see its deviation from the long term normal the result showed that there</w:t>
      </w:r>
      <w:r>
        <w:rPr>
          <w:rFonts w:asciiTheme="majorHAnsi" w:hAnsiTheme="majorHAnsi"/>
        </w:rPr>
        <w:t xml:space="preserve"> </w:t>
      </w:r>
      <w:r w:rsidRPr="009C78C8">
        <w:rPr>
          <w:rFonts w:asciiTheme="majorHAnsi" w:hAnsiTheme="majorHAnsi"/>
        </w:rPr>
        <w:t>is a complete absence of winter rains in the recent past. The data presented in Fig. 4 represents the South Bank region of Assam where</w:t>
      </w:r>
      <w:r>
        <w:rPr>
          <w:rFonts w:asciiTheme="majorHAnsi" w:hAnsiTheme="majorHAnsi"/>
        </w:rPr>
        <w:t xml:space="preserve"> </w:t>
      </w:r>
      <w:r w:rsidRPr="009C78C8">
        <w:rPr>
          <w:rFonts w:asciiTheme="majorHAnsi" w:hAnsiTheme="majorHAnsi"/>
        </w:rPr>
        <w:t xml:space="preserve">it can be seen that the </w:t>
      </w:r>
      <w:r w:rsidRPr="009C78C8">
        <w:rPr>
          <w:rFonts w:asciiTheme="majorHAnsi" w:hAnsiTheme="majorHAnsi"/>
        </w:rPr>
        <w:lastRenderedPageBreak/>
        <w:t>last three years had almost no rain for the period October to March and the rainfall has concentrated mostly from June to September. Not only this but</w:t>
      </w:r>
      <w:r>
        <w:rPr>
          <w:rFonts w:asciiTheme="majorHAnsi" w:hAnsiTheme="majorHAnsi"/>
        </w:rPr>
        <w:t xml:space="preserve"> </w:t>
      </w:r>
      <w:r w:rsidRPr="009C78C8">
        <w:rPr>
          <w:rFonts w:asciiTheme="majorHAnsi" w:hAnsiTheme="majorHAnsi"/>
        </w:rPr>
        <w:t>the early weather rainfall i.e. rainfall during March and April is also reduced currently.</w:t>
      </w:r>
      <w:r>
        <w:rPr>
          <w:rFonts w:asciiTheme="majorHAnsi" w:hAnsiTheme="majorHAnsi"/>
        </w:rPr>
        <w:t xml:space="preserve"> </w:t>
      </w:r>
      <w:r w:rsidRPr="009C78C8">
        <w:rPr>
          <w:rFonts w:asciiTheme="majorHAnsi" w:hAnsiTheme="majorHAnsi"/>
        </w:rPr>
        <w:t>Data in Fig.5 shows the comparison of long term normal rainfall data with last three years data (2014, 2015 &amp; 2016) for the period April to October, it is found that the year 2014 has a rainfall of 1489.8 mm which is 290.2 mm below normal. Whereas 2015 has 22.9 mm above the long term normal rainfall (1802.9 mm). The distribution was also uneven.</w:t>
      </w:r>
    </w:p>
    <w:p w14:paraId="1DCEF7AA" w14:textId="77777777" w:rsidR="009C78C8" w:rsidRPr="009C78C8" w:rsidRDefault="009C78C8" w:rsidP="009C78C8">
      <w:pPr>
        <w:jc w:val="both"/>
        <w:rPr>
          <w:rFonts w:asciiTheme="majorHAnsi" w:hAnsiTheme="majorHAnsi"/>
        </w:rPr>
      </w:pPr>
    </w:p>
    <w:p w14:paraId="27FFEADC" w14:textId="77777777" w:rsidR="009C78C8" w:rsidRPr="009C78C8" w:rsidRDefault="009C78C8" w:rsidP="009C78C8">
      <w:pPr>
        <w:jc w:val="center"/>
        <w:rPr>
          <w:rFonts w:asciiTheme="majorHAnsi" w:hAnsiTheme="majorHAnsi"/>
          <w:noProof/>
          <w:lang w:eastAsia="en-IN"/>
        </w:rPr>
      </w:pPr>
      <w:r w:rsidRPr="009C78C8">
        <w:rPr>
          <w:rFonts w:asciiTheme="majorHAnsi" w:hAnsiTheme="majorHAnsi"/>
          <w:noProof/>
        </w:rPr>
        <w:drawing>
          <wp:inline distT="0" distB="0" distL="0" distR="0" wp14:anchorId="7A86DD9A" wp14:editId="22F056C8">
            <wp:extent cx="3945699" cy="2469218"/>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949638" cy="2471683"/>
                    </a:xfrm>
                    <a:prstGeom prst="rect">
                      <a:avLst/>
                    </a:prstGeom>
                    <a:noFill/>
                  </pic:spPr>
                </pic:pic>
              </a:graphicData>
            </a:graphic>
          </wp:inline>
        </w:drawing>
      </w:r>
    </w:p>
    <w:p w14:paraId="1FE1B2F2" w14:textId="434558E5"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 4.</w:t>
      </w:r>
      <w:r>
        <w:rPr>
          <w:rFonts w:asciiTheme="majorHAnsi" w:hAnsiTheme="majorHAnsi"/>
          <w:b/>
          <w:sz w:val="20"/>
          <w:szCs w:val="20"/>
        </w:rPr>
        <w:t xml:space="preserve"> </w:t>
      </w:r>
      <w:r w:rsidRPr="009C78C8">
        <w:rPr>
          <w:rFonts w:asciiTheme="majorHAnsi" w:hAnsiTheme="majorHAnsi"/>
          <w:b/>
          <w:sz w:val="20"/>
          <w:szCs w:val="20"/>
        </w:rPr>
        <w:t>Rainfall, October to March, Long term normal vs. recent past years</w:t>
      </w:r>
    </w:p>
    <w:p w14:paraId="309AAA28" w14:textId="77777777" w:rsidR="009C78C8" w:rsidRPr="009C78C8" w:rsidRDefault="009C78C8" w:rsidP="009C78C8">
      <w:pPr>
        <w:jc w:val="both"/>
        <w:rPr>
          <w:rFonts w:asciiTheme="majorHAnsi" w:hAnsiTheme="majorHAnsi"/>
        </w:rPr>
      </w:pPr>
    </w:p>
    <w:p w14:paraId="387E9BDF" w14:textId="77777777" w:rsidR="009C78C8" w:rsidRPr="009C78C8" w:rsidRDefault="009C78C8" w:rsidP="009C78C8">
      <w:pPr>
        <w:jc w:val="center"/>
        <w:rPr>
          <w:rFonts w:asciiTheme="majorHAnsi" w:hAnsiTheme="majorHAnsi"/>
        </w:rPr>
      </w:pPr>
      <w:r w:rsidRPr="009C78C8">
        <w:rPr>
          <w:rFonts w:asciiTheme="majorHAnsi" w:hAnsiTheme="majorHAnsi"/>
          <w:noProof/>
        </w:rPr>
        <w:drawing>
          <wp:inline distT="0" distB="0" distL="0" distR="0" wp14:anchorId="793DF79E" wp14:editId="595154BE">
            <wp:extent cx="3983277" cy="2606704"/>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981326" cy="2605427"/>
                    </a:xfrm>
                    <a:prstGeom prst="rect">
                      <a:avLst/>
                    </a:prstGeom>
                    <a:noFill/>
                  </pic:spPr>
                </pic:pic>
              </a:graphicData>
            </a:graphic>
          </wp:inline>
        </w:drawing>
      </w:r>
    </w:p>
    <w:p w14:paraId="6C2E7D98" w14:textId="25141191"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w:t>
      </w:r>
      <w:r>
        <w:rPr>
          <w:rFonts w:asciiTheme="majorHAnsi" w:hAnsiTheme="majorHAnsi"/>
          <w:b/>
          <w:sz w:val="20"/>
          <w:szCs w:val="20"/>
        </w:rPr>
        <w:t xml:space="preserve"> </w:t>
      </w:r>
      <w:r w:rsidRPr="009C78C8">
        <w:rPr>
          <w:rFonts w:asciiTheme="majorHAnsi" w:hAnsiTheme="majorHAnsi"/>
          <w:b/>
          <w:sz w:val="20"/>
          <w:szCs w:val="20"/>
        </w:rPr>
        <w:t xml:space="preserve">5. Comparison with long term normal for the period April to October, </w:t>
      </w:r>
      <w:proofErr w:type="spellStart"/>
      <w:r w:rsidRPr="009C78C8">
        <w:rPr>
          <w:rFonts w:asciiTheme="majorHAnsi" w:hAnsiTheme="majorHAnsi"/>
          <w:b/>
          <w:sz w:val="20"/>
          <w:szCs w:val="20"/>
        </w:rPr>
        <w:t>Tocklai</w:t>
      </w:r>
      <w:proofErr w:type="spellEnd"/>
    </w:p>
    <w:p w14:paraId="4E952A47" w14:textId="77777777" w:rsidR="009C78C8" w:rsidRPr="009C78C8" w:rsidRDefault="009C78C8" w:rsidP="009C78C8">
      <w:pPr>
        <w:jc w:val="center"/>
        <w:rPr>
          <w:rFonts w:asciiTheme="majorHAnsi" w:hAnsiTheme="majorHAnsi"/>
        </w:rPr>
      </w:pPr>
    </w:p>
    <w:p w14:paraId="4B83BB96" w14:textId="60C992A3" w:rsidR="009C78C8" w:rsidRPr="009C78C8" w:rsidRDefault="009C78C8" w:rsidP="009C78C8">
      <w:pPr>
        <w:spacing w:after="240"/>
        <w:rPr>
          <w:rFonts w:asciiTheme="majorHAnsi" w:hAnsiTheme="majorHAnsi"/>
          <w:b/>
          <w:bCs/>
        </w:rPr>
      </w:pPr>
      <w:r w:rsidRPr="009C78C8">
        <w:rPr>
          <w:rFonts w:asciiTheme="majorHAnsi" w:hAnsiTheme="majorHAnsi"/>
          <w:b/>
          <w:bCs/>
        </w:rPr>
        <w:t>Work on interaction between Genotype (G) x Environment (E) x Management (M), the prime driver of productivity</w:t>
      </w:r>
    </w:p>
    <w:p w14:paraId="17C04283" w14:textId="77777777" w:rsidR="009C78C8" w:rsidRPr="009C78C8" w:rsidRDefault="009C78C8" w:rsidP="009C78C8">
      <w:pPr>
        <w:jc w:val="both"/>
        <w:rPr>
          <w:rFonts w:asciiTheme="majorHAnsi" w:hAnsiTheme="majorHAnsi"/>
        </w:rPr>
      </w:pPr>
      <w:r w:rsidRPr="009C78C8">
        <w:rPr>
          <w:rFonts w:asciiTheme="majorHAnsi" w:hAnsiTheme="majorHAnsi"/>
        </w:rPr>
        <w:t xml:space="preserve">An open top chamber (OTC) experiment was started in February, 2016 with a new batch of fifteen </w:t>
      </w:r>
      <w:proofErr w:type="spellStart"/>
      <w:r w:rsidRPr="009C78C8">
        <w:rPr>
          <w:rFonts w:asciiTheme="majorHAnsi" w:hAnsiTheme="majorHAnsi"/>
        </w:rPr>
        <w:t>Tocklai</w:t>
      </w:r>
      <w:proofErr w:type="spellEnd"/>
      <w:r w:rsidRPr="009C78C8">
        <w:rPr>
          <w:rFonts w:asciiTheme="majorHAnsi" w:hAnsiTheme="majorHAnsi"/>
        </w:rPr>
        <w:t xml:space="preserve"> released/recommended clones. The first and second phase of the experiment was completed and the third phase has been started. In the first phase the carbon dioxide </w:t>
      </w:r>
      <w:r w:rsidRPr="009C78C8">
        <w:rPr>
          <w:rFonts w:asciiTheme="majorHAnsi" w:hAnsiTheme="majorHAnsi"/>
        </w:rPr>
        <w:lastRenderedPageBreak/>
        <w:t>level was 450 ppm and enrichment was done for five hours per day up to 200 hours. In the second phase, the level of carbon dioxide increased to 500 ppm and in the third phase the level increased to 550ppm. This phase will be completed after 200 hours of enrichment. Inside temperature of the chambers were 3-5</w:t>
      </w:r>
      <w:r w:rsidRPr="009C78C8">
        <w:rPr>
          <w:rFonts w:asciiTheme="majorHAnsi" w:hAnsiTheme="majorHAnsi"/>
          <w:vertAlign w:val="superscript"/>
        </w:rPr>
        <w:t>0</w:t>
      </w:r>
      <w:r w:rsidRPr="009C78C8">
        <w:rPr>
          <w:rFonts w:asciiTheme="majorHAnsi" w:hAnsiTheme="majorHAnsi"/>
        </w:rPr>
        <w:t xml:space="preserve">more than ambient Sensor data of daily temperature, humidity, carbon dioxide level of both the OTC and temperature of ambient condition were monitored. Morphological, physiological and biochemical parameters of the plants were measured at regular interval to find out the impact of climate on the clones. Morphological parameters were plant height, collar diameter, branch number and leaf number. Physiological parameters were photosynthesis, stomatal conductance and transpiration. Biochemical parameter was chlorophyll.      </w:t>
      </w:r>
    </w:p>
    <w:p w14:paraId="45C446F9" w14:textId="77777777" w:rsidR="009C78C8" w:rsidRPr="009C78C8" w:rsidRDefault="009C78C8" w:rsidP="009C78C8">
      <w:pPr>
        <w:jc w:val="both"/>
        <w:rPr>
          <w:rFonts w:asciiTheme="majorHAnsi" w:hAnsiTheme="majorHAnsi"/>
        </w:rPr>
      </w:pPr>
    </w:p>
    <w:p w14:paraId="15E39ED1" w14:textId="77777777" w:rsidR="009C78C8" w:rsidRPr="009C78C8" w:rsidRDefault="009C78C8" w:rsidP="009C78C8">
      <w:pPr>
        <w:jc w:val="both"/>
        <w:rPr>
          <w:rFonts w:asciiTheme="majorHAnsi" w:hAnsiTheme="majorHAnsi"/>
        </w:rPr>
      </w:pPr>
      <w:r w:rsidRPr="009C78C8">
        <w:rPr>
          <w:rFonts w:asciiTheme="majorHAnsi" w:hAnsiTheme="majorHAnsi"/>
        </w:rPr>
        <w:t xml:space="preserve"> The impact of growing environment on increase of plant height was found to be significant (P=0.001) in the first phase of the experiment. Among the fifteen clones some of the clones showed significant increase in height when placed in the chambers with both temperature and carbon dioxide elevated and temperature elevated when compared to the increase in ambient condition. Some other clones showed significant increase of height when placed in chamber with temperature and carbon dioxide elevated as compared to ambient. Some clones showed significant increase when placed in temperature elevated chamber over ambient. One clone showed significant increase in temperature and carbon dioxide elevated condition compared to the other two conditions (Fig 6). </w:t>
      </w:r>
    </w:p>
    <w:p w14:paraId="58508207" w14:textId="77777777" w:rsidR="009C78C8" w:rsidRPr="009C78C8" w:rsidRDefault="009C78C8" w:rsidP="009C78C8">
      <w:pPr>
        <w:jc w:val="both"/>
        <w:rPr>
          <w:rFonts w:asciiTheme="majorHAnsi" w:hAnsiTheme="majorHAnsi"/>
        </w:rPr>
      </w:pPr>
    </w:p>
    <w:p w14:paraId="23993909" w14:textId="77777777" w:rsidR="009C78C8" w:rsidRPr="009C78C8" w:rsidRDefault="009C78C8" w:rsidP="009C78C8">
      <w:pPr>
        <w:jc w:val="center"/>
        <w:rPr>
          <w:rFonts w:asciiTheme="majorHAnsi" w:hAnsiTheme="majorHAnsi"/>
        </w:rPr>
      </w:pPr>
      <w:r w:rsidRPr="009C78C8">
        <w:rPr>
          <w:rFonts w:asciiTheme="majorHAnsi" w:hAnsiTheme="majorHAnsi"/>
          <w:noProof/>
        </w:rPr>
        <w:drawing>
          <wp:inline distT="0" distB="0" distL="0" distR="0" wp14:anchorId="202CF00A" wp14:editId="77018280">
            <wp:extent cx="3876805" cy="2104059"/>
            <wp:effectExtent l="19050" t="0" r="939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38140" t="20975" r="15577" b="27031"/>
                    <a:stretch>
                      <a:fillRect/>
                    </a:stretch>
                  </pic:blipFill>
                  <pic:spPr bwMode="auto">
                    <a:xfrm>
                      <a:off x="0" y="0"/>
                      <a:ext cx="3877808" cy="2104603"/>
                    </a:xfrm>
                    <a:prstGeom prst="rect">
                      <a:avLst/>
                    </a:prstGeom>
                    <a:noFill/>
                    <a:ln w="9525">
                      <a:noFill/>
                      <a:miter lim="800000"/>
                      <a:headEnd/>
                      <a:tailEnd/>
                    </a:ln>
                  </pic:spPr>
                </pic:pic>
              </a:graphicData>
            </a:graphic>
          </wp:inline>
        </w:drawing>
      </w:r>
    </w:p>
    <w:p w14:paraId="482DD6BA" w14:textId="0DF2A4BF"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 6.</w:t>
      </w:r>
      <w:r>
        <w:rPr>
          <w:rFonts w:asciiTheme="majorHAnsi" w:hAnsiTheme="majorHAnsi"/>
          <w:b/>
          <w:sz w:val="20"/>
          <w:szCs w:val="20"/>
        </w:rPr>
        <w:t xml:space="preserve"> </w:t>
      </w:r>
      <w:r w:rsidRPr="009C78C8">
        <w:rPr>
          <w:rFonts w:asciiTheme="majorHAnsi" w:hAnsiTheme="majorHAnsi"/>
          <w:b/>
          <w:sz w:val="20"/>
          <w:szCs w:val="20"/>
        </w:rPr>
        <w:t xml:space="preserve">Impact of environment on increase of plant height </w:t>
      </w:r>
    </w:p>
    <w:p w14:paraId="219369D9" w14:textId="77777777" w:rsidR="009C78C8" w:rsidRPr="009C78C8" w:rsidRDefault="009C78C8" w:rsidP="009C78C8">
      <w:pPr>
        <w:jc w:val="both"/>
        <w:rPr>
          <w:rFonts w:asciiTheme="majorHAnsi" w:hAnsiTheme="majorHAnsi"/>
        </w:rPr>
      </w:pPr>
    </w:p>
    <w:p w14:paraId="2F50803A" w14:textId="77777777" w:rsidR="009C78C8" w:rsidRPr="009C78C8" w:rsidRDefault="009C78C8" w:rsidP="009C78C8">
      <w:pPr>
        <w:jc w:val="both"/>
        <w:rPr>
          <w:rFonts w:asciiTheme="majorHAnsi" w:hAnsiTheme="majorHAnsi"/>
        </w:rPr>
      </w:pPr>
      <w:r w:rsidRPr="009C78C8">
        <w:rPr>
          <w:rFonts w:asciiTheme="majorHAnsi" w:hAnsiTheme="majorHAnsi"/>
        </w:rPr>
        <w:t xml:space="preserve">The impact of the three growing environment on increase of collar diameter was found to be significant (P=0.001) in the first phase of the experiment. In some of the </w:t>
      </w:r>
      <w:proofErr w:type="gramStart"/>
      <w:r w:rsidRPr="009C78C8">
        <w:rPr>
          <w:rFonts w:asciiTheme="majorHAnsi" w:hAnsiTheme="majorHAnsi"/>
        </w:rPr>
        <w:t>clones</w:t>
      </w:r>
      <w:proofErr w:type="gramEnd"/>
      <w:r w:rsidRPr="009C78C8">
        <w:rPr>
          <w:rFonts w:asciiTheme="majorHAnsi" w:hAnsiTheme="majorHAnsi"/>
        </w:rPr>
        <w:t xml:space="preserve"> maximum increase of collar diameter were found when they are placed in the chamber with elevated carbon dioxide and temperature followed by elevated temperature and minimum in ambient condition. In some clones increase was equal in both the elevated condition which was more than ambient (Fig 7).</w:t>
      </w:r>
    </w:p>
    <w:p w14:paraId="3E53F51B" w14:textId="77777777" w:rsidR="009C78C8" w:rsidRPr="009C78C8" w:rsidRDefault="009C78C8" w:rsidP="009C78C8">
      <w:pPr>
        <w:jc w:val="both"/>
        <w:rPr>
          <w:rFonts w:asciiTheme="majorHAnsi" w:hAnsiTheme="majorHAnsi"/>
        </w:rPr>
      </w:pPr>
    </w:p>
    <w:p w14:paraId="35EEE3F3" w14:textId="77777777" w:rsidR="009C78C8" w:rsidRPr="009C78C8" w:rsidRDefault="009C78C8" w:rsidP="009C78C8">
      <w:pPr>
        <w:jc w:val="center"/>
        <w:rPr>
          <w:rFonts w:asciiTheme="majorHAnsi" w:hAnsiTheme="majorHAnsi"/>
          <w:color w:val="FF0000"/>
        </w:rPr>
      </w:pPr>
      <w:r w:rsidRPr="009C78C8">
        <w:rPr>
          <w:rFonts w:asciiTheme="majorHAnsi" w:hAnsiTheme="majorHAnsi"/>
          <w:noProof/>
          <w:color w:val="FF0000"/>
        </w:rPr>
        <w:lastRenderedPageBreak/>
        <w:drawing>
          <wp:inline distT="0" distB="0" distL="0" distR="0" wp14:anchorId="0FF864A9" wp14:editId="473A5A1F">
            <wp:extent cx="3864279" cy="2229823"/>
            <wp:effectExtent l="19050" t="0" r="2871"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33711" t="25554" r="21311" b="23338"/>
                    <a:stretch>
                      <a:fillRect/>
                    </a:stretch>
                  </pic:blipFill>
                  <pic:spPr bwMode="auto">
                    <a:xfrm>
                      <a:off x="0" y="0"/>
                      <a:ext cx="3864513" cy="2229958"/>
                    </a:xfrm>
                    <a:prstGeom prst="rect">
                      <a:avLst/>
                    </a:prstGeom>
                    <a:noFill/>
                    <a:ln w="9525">
                      <a:noFill/>
                      <a:miter lim="800000"/>
                      <a:headEnd/>
                      <a:tailEnd/>
                    </a:ln>
                  </pic:spPr>
                </pic:pic>
              </a:graphicData>
            </a:graphic>
          </wp:inline>
        </w:drawing>
      </w:r>
    </w:p>
    <w:p w14:paraId="28ABC4A2" w14:textId="30A6E84A"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 7.</w:t>
      </w:r>
      <w:r>
        <w:rPr>
          <w:rFonts w:asciiTheme="majorHAnsi" w:hAnsiTheme="majorHAnsi"/>
          <w:b/>
          <w:sz w:val="20"/>
          <w:szCs w:val="20"/>
        </w:rPr>
        <w:t xml:space="preserve"> </w:t>
      </w:r>
      <w:r w:rsidRPr="009C78C8">
        <w:rPr>
          <w:rFonts w:asciiTheme="majorHAnsi" w:hAnsiTheme="majorHAnsi"/>
          <w:b/>
          <w:sz w:val="20"/>
          <w:szCs w:val="20"/>
        </w:rPr>
        <w:t>Impact of environment on increase of collar diameter</w:t>
      </w:r>
    </w:p>
    <w:p w14:paraId="60A34F25" w14:textId="77777777" w:rsidR="009C78C8" w:rsidRPr="009C78C8" w:rsidRDefault="009C78C8" w:rsidP="009C78C8">
      <w:pPr>
        <w:jc w:val="both"/>
        <w:rPr>
          <w:rFonts w:asciiTheme="majorHAnsi" w:hAnsiTheme="majorHAnsi"/>
          <w:color w:val="FF0000"/>
        </w:rPr>
      </w:pPr>
    </w:p>
    <w:p w14:paraId="7420258A" w14:textId="77777777" w:rsidR="009C78C8" w:rsidRDefault="009C78C8" w:rsidP="009C78C8">
      <w:pPr>
        <w:jc w:val="both"/>
        <w:rPr>
          <w:rFonts w:asciiTheme="majorHAnsi" w:hAnsiTheme="majorHAnsi"/>
        </w:rPr>
      </w:pPr>
      <w:r w:rsidRPr="009C78C8">
        <w:rPr>
          <w:rFonts w:asciiTheme="majorHAnsi" w:hAnsiTheme="majorHAnsi"/>
        </w:rPr>
        <w:t>The impact of growing environment on photosynthesis was found to be significant (P=0.001).Some clones showed significantly higher rate of photosynthesis compared to ambient when they are placed in chambers with temperature and carbon dioxide elevated and temperature elevated. Some other clones showed significantly higher rate when they are placed in both the chambers with elevated condition compared to ambient and difference of rate between the two elevated conditions is also significant. Some clones showed significantly higher rate in temperature and carbon dioxide over the rest of the two conditions (Fig. 8).</w:t>
      </w:r>
    </w:p>
    <w:p w14:paraId="57F5EEA0" w14:textId="77777777" w:rsidR="00584927" w:rsidRPr="009C78C8" w:rsidRDefault="00584927" w:rsidP="009C78C8">
      <w:pPr>
        <w:jc w:val="both"/>
        <w:rPr>
          <w:rFonts w:asciiTheme="majorHAnsi" w:hAnsiTheme="majorHAnsi"/>
        </w:rPr>
      </w:pPr>
    </w:p>
    <w:p w14:paraId="104D1CF1" w14:textId="77777777" w:rsidR="009C78C8" w:rsidRPr="009C78C8" w:rsidRDefault="009C78C8" w:rsidP="009C78C8">
      <w:pPr>
        <w:jc w:val="center"/>
        <w:rPr>
          <w:rFonts w:asciiTheme="majorHAnsi" w:hAnsiTheme="majorHAnsi"/>
        </w:rPr>
      </w:pPr>
      <w:r w:rsidRPr="009C78C8">
        <w:rPr>
          <w:rFonts w:asciiTheme="majorHAnsi" w:hAnsiTheme="majorHAnsi"/>
          <w:noProof/>
        </w:rPr>
        <w:drawing>
          <wp:inline distT="0" distB="0" distL="0" distR="0" wp14:anchorId="24A02FFB" wp14:editId="305D660F">
            <wp:extent cx="3706419" cy="2132656"/>
            <wp:effectExtent l="19050" t="0" r="8331"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l="28999" t="26440" r="25881" b="23043"/>
                    <a:stretch>
                      <a:fillRect/>
                    </a:stretch>
                  </pic:blipFill>
                  <pic:spPr bwMode="auto">
                    <a:xfrm>
                      <a:off x="0" y="0"/>
                      <a:ext cx="3710459" cy="2134981"/>
                    </a:xfrm>
                    <a:prstGeom prst="rect">
                      <a:avLst/>
                    </a:prstGeom>
                    <a:noFill/>
                    <a:ln w="9525">
                      <a:noFill/>
                      <a:miter lim="800000"/>
                      <a:headEnd/>
                      <a:tailEnd/>
                    </a:ln>
                  </pic:spPr>
                </pic:pic>
              </a:graphicData>
            </a:graphic>
          </wp:inline>
        </w:drawing>
      </w:r>
    </w:p>
    <w:p w14:paraId="795BFC20" w14:textId="0E2A1B81"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 8.</w:t>
      </w:r>
      <w:r>
        <w:rPr>
          <w:rFonts w:asciiTheme="majorHAnsi" w:hAnsiTheme="majorHAnsi"/>
          <w:b/>
          <w:sz w:val="20"/>
          <w:szCs w:val="20"/>
        </w:rPr>
        <w:t xml:space="preserve"> </w:t>
      </w:r>
      <w:r w:rsidRPr="009C78C8">
        <w:rPr>
          <w:rFonts w:asciiTheme="majorHAnsi" w:hAnsiTheme="majorHAnsi"/>
          <w:b/>
          <w:sz w:val="20"/>
          <w:szCs w:val="20"/>
        </w:rPr>
        <w:t>Impact of environment on rate of Photosynthesis</w:t>
      </w:r>
    </w:p>
    <w:p w14:paraId="58E448C4" w14:textId="77777777" w:rsidR="009C78C8" w:rsidRPr="009C78C8" w:rsidRDefault="009C78C8" w:rsidP="009C78C8">
      <w:pPr>
        <w:jc w:val="both"/>
        <w:rPr>
          <w:rFonts w:asciiTheme="majorHAnsi" w:hAnsiTheme="majorHAnsi"/>
        </w:rPr>
      </w:pPr>
    </w:p>
    <w:p w14:paraId="48C86BD5" w14:textId="77777777" w:rsidR="009C78C8" w:rsidRPr="009C78C8" w:rsidRDefault="009C78C8" w:rsidP="009C78C8">
      <w:pPr>
        <w:jc w:val="both"/>
        <w:rPr>
          <w:rFonts w:asciiTheme="majorHAnsi" w:hAnsiTheme="majorHAnsi"/>
        </w:rPr>
      </w:pPr>
      <w:r w:rsidRPr="009C78C8">
        <w:rPr>
          <w:rFonts w:asciiTheme="majorHAnsi" w:hAnsiTheme="majorHAnsi"/>
          <w:noProof/>
        </w:rPr>
        <w:lastRenderedPageBreak/>
        <w:drawing>
          <wp:inline distT="0" distB="0" distL="0" distR="0" wp14:anchorId="0A2117EE" wp14:editId="329FCE11">
            <wp:extent cx="1761517" cy="2484120"/>
            <wp:effectExtent l="38100" t="19050" r="10133" b="11430"/>
            <wp:docPr id="37" name="Picture 1" descr="C:\Users\GIS 6\Desktop\OTC\DSC0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S 6\Desktop\OTC\DSC09348.JPG"/>
                    <pic:cNvPicPr>
                      <a:picLocks noChangeAspect="1" noChangeArrowheads="1"/>
                    </pic:cNvPicPr>
                  </pic:nvPicPr>
                  <pic:blipFill>
                    <a:blip r:embed="rId22" cstate="print"/>
                    <a:srcRect/>
                    <a:stretch>
                      <a:fillRect/>
                    </a:stretch>
                  </pic:blipFill>
                  <pic:spPr bwMode="auto">
                    <a:xfrm>
                      <a:off x="0" y="0"/>
                      <a:ext cx="1762437" cy="2485417"/>
                    </a:xfrm>
                    <a:prstGeom prst="rect">
                      <a:avLst/>
                    </a:prstGeom>
                    <a:noFill/>
                    <a:ln w="9525">
                      <a:solidFill>
                        <a:srgbClr val="C00000"/>
                      </a:solidFill>
                      <a:miter lim="800000"/>
                      <a:headEnd/>
                      <a:tailEnd/>
                    </a:ln>
                  </pic:spPr>
                </pic:pic>
              </a:graphicData>
            </a:graphic>
          </wp:inline>
        </w:drawing>
      </w:r>
      <w:r w:rsidRPr="009C78C8">
        <w:rPr>
          <w:rFonts w:asciiTheme="majorHAnsi" w:hAnsiTheme="majorHAnsi"/>
          <w:noProof/>
        </w:rPr>
        <w:drawing>
          <wp:inline distT="0" distB="0" distL="0" distR="0" wp14:anchorId="37B13C64" wp14:editId="2566967B">
            <wp:extent cx="1804887" cy="2485417"/>
            <wp:effectExtent l="38100" t="19050" r="23913" b="10133"/>
            <wp:docPr id="38" name="Picture 2" descr="C:\Users\GIS 6\Desktop\OTC\DSC0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S 6\Desktop\OTC\DSC09355.JPG"/>
                    <pic:cNvPicPr>
                      <a:picLocks noChangeAspect="1" noChangeArrowheads="1"/>
                    </pic:cNvPicPr>
                  </pic:nvPicPr>
                  <pic:blipFill>
                    <a:blip r:embed="rId23" cstate="print"/>
                    <a:srcRect/>
                    <a:stretch>
                      <a:fillRect/>
                    </a:stretch>
                  </pic:blipFill>
                  <pic:spPr bwMode="auto">
                    <a:xfrm>
                      <a:off x="0" y="0"/>
                      <a:ext cx="1805676" cy="2486504"/>
                    </a:xfrm>
                    <a:prstGeom prst="rect">
                      <a:avLst/>
                    </a:prstGeom>
                    <a:noFill/>
                    <a:ln w="9525">
                      <a:solidFill>
                        <a:srgbClr val="C00000"/>
                      </a:solidFill>
                      <a:miter lim="800000"/>
                      <a:headEnd/>
                      <a:tailEnd/>
                    </a:ln>
                  </pic:spPr>
                </pic:pic>
              </a:graphicData>
            </a:graphic>
          </wp:inline>
        </w:drawing>
      </w:r>
      <w:r w:rsidRPr="009C78C8">
        <w:rPr>
          <w:rFonts w:asciiTheme="majorHAnsi" w:hAnsiTheme="majorHAnsi"/>
          <w:noProof/>
        </w:rPr>
        <w:drawing>
          <wp:inline distT="0" distB="0" distL="0" distR="0" wp14:anchorId="6BA7B177" wp14:editId="1B5018B2">
            <wp:extent cx="1717743" cy="2478382"/>
            <wp:effectExtent l="19050" t="19050" r="15807" b="17168"/>
            <wp:docPr id="39" name="Picture 3" descr="C:\Users\GIS 6\Desktop\OTC\DSC0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S 6\Desktop\OTC\DSC09360.JPG"/>
                    <pic:cNvPicPr>
                      <a:picLocks noChangeAspect="1" noChangeArrowheads="1"/>
                    </pic:cNvPicPr>
                  </pic:nvPicPr>
                  <pic:blipFill>
                    <a:blip r:embed="rId24" cstate="print"/>
                    <a:srcRect/>
                    <a:stretch>
                      <a:fillRect/>
                    </a:stretch>
                  </pic:blipFill>
                  <pic:spPr bwMode="auto">
                    <a:xfrm>
                      <a:off x="0" y="0"/>
                      <a:ext cx="1717743" cy="2478382"/>
                    </a:xfrm>
                    <a:prstGeom prst="rect">
                      <a:avLst/>
                    </a:prstGeom>
                    <a:noFill/>
                    <a:ln w="9525">
                      <a:solidFill>
                        <a:srgbClr val="C00000"/>
                      </a:solidFill>
                      <a:miter lim="800000"/>
                      <a:headEnd/>
                      <a:tailEnd/>
                    </a:ln>
                  </pic:spPr>
                </pic:pic>
              </a:graphicData>
            </a:graphic>
          </wp:inline>
        </w:drawing>
      </w:r>
    </w:p>
    <w:p w14:paraId="4BDDA20B" w14:textId="2DD7FB5C" w:rsidR="009C78C8" w:rsidRPr="009C78C8" w:rsidRDefault="009C78C8" w:rsidP="009C78C8">
      <w:pPr>
        <w:rPr>
          <w:rFonts w:asciiTheme="majorHAnsi" w:hAnsiTheme="majorHAnsi"/>
          <w:sz w:val="20"/>
          <w:szCs w:val="20"/>
        </w:rPr>
      </w:pPr>
      <w:r>
        <w:rPr>
          <w:rFonts w:asciiTheme="majorHAnsi" w:hAnsiTheme="majorHAnsi"/>
          <w:sz w:val="20"/>
          <w:szCs w:val="20"/>
        </w:rPr>
        <w:t xml:space="preserve">     </w:t>
      </w:r>
      <w:r w:rsidRPr="009C78C8">
        <w:rPr>
          <w:rFonts w:asciiTheme="majorHAnsi" w:hAnsiTheme="majorHAnsi"/>
          <w:sz w:val="20"/>
          <w:szCs w:val="20"/>
        </w:rPr>
        <w:t xml:space="preserve">Elevated temperature+CO2        </w:t>
      </w:r>
      <w:r>
        <w:rPr>
          <w:rFonts w:asciiTheme="majorHAnsi" w:hAnsiTheme="majorHAnsi"/>
          <w:sz w:val="20"/>
          <w:szCs w:val="20"/>
        </w:rPr>
        <w:tab/>
      </w:r>
      <w:r w:rsidRPr="009C78C8">
        <w:rPr>
          <w:rFonts w:asciiTheme="majorHAnsi" w:hAnsiTheme="majorHAnsi"/>
          <w:sz w:val="20"/>
          <w:szCs w:val="20"/>
        </w:rPr>
        <w:t xml:space="preserve">Elevated temperature                         Ambient </w:t>
      </w:r>
    </w:p>
    <w:p w14:paraId="109E6DC5" w14:textId="77777777" w:rsidR="009C78C8" w:rsidRPr="009C78C8" w:rsidRDefault="009C78C8" w:rsidP="009C78C8">
      <w:pPr>
        <w:rPr>
          <w:rFonts w:asciiTheme="majorHAnsi" w:hAnsiTheme="majorHAnsi"/>
          <w:sz w:val="20"/>
          <w:szCs w:val="20"/>
        </w:rPr>
      </w:pPr>
      <w:r w:rsidRPr="009C78C8">
        <w:rPr>
          <w:rFonts w:asciiTheme="majorHAnsi" w:hAnsiTheme="majorHAnsi"/>
          <w:sz w:val="20"/>
          <w:szCs w:val="20"/>
        </w:rPr>
        <w:t>Plate1: Photo showing the growth of the plants in the three growing condition</w:t>
      </w:r>
    </w:p>
    <w:p w14:paraId="28E5D604" w14:textId="77777777" w:rsidR="009C78C8" w:rsidRPr="009C78C8" w:rsidRDefault="009C78C8" w:rsidP="009C78C8">
      <w:pPr>
        <w:rPr>
          <w:rFonts w:asciiTheme="majorHAnsi" w:hAnsiTheme="majorHAnsi"/>
        </w:rPr>
      </w:pPr>
    </w:p>
    <w:p w14:paraId="14501AD1" w14:textId="51D2B5DD" w:rsidR="009C78C8" w:rsidRPr="009C78C8" w:rsidRDefault="009C78C8" w:rsidP="009C78C8">
      <w:pPr>
        <w:jc w:val="both"/>
        <w:rPr>
          <w:rFonts w:asciiTheme="majorHAnsi" w:hAnsiTheme="majorHAnsi"/>
          <w:b/>
        </w:rPr>
      </w:pPr>
      <w:r w:rsidRPr="009C78C8">
        <w:rPr>
          <w:rFonts w:asciiTheme="majorHAnsi" w:hAnsiTheme="majorHAnsi"/>
        </w:rPr>
        <w:t>Growth of a clone in the three growing condition was shown in the Plate1.</w:t>
      </w:r>
      <w:r>
        <w:rPr>
          <w:rFonts w:asciiTheme="majorHAnsi" w:hAnsiTheme="majorHAnsi"/>
        </w:rPr>
        <w:t xml:space="preserve"> </w:t>
      </w:r>
      <w:r w:rsidRPr="009C78C8">
        <w:rPr>
          <w:rFonts w:asciiTheme="majorHAnsi" w:hAnsiTheme="majorHAnsi"/>
        </w:rPr>
        <w:t>Maximum growth was observed in the elevated temperature and carbon dioxide condition followed by temperature elevated and ambient respectively.</w:t>
      </w:r>
    </w:p>
    <w:p w14:paraId="602182B7" w14:textId="77777777" w:rsidR="009C78C8" w:rsidRPr="009C78C8" w:rsidRDefault="009C78C8" w:rsidP="009C78C8">
      <w:pPr>
        <w:jc w:val="both"/>
        <w:rPr>
          <w:rFonts w:asciiTheme="majorHAnsi" w:hAnsiTheme="majorHAnsi"/>
          <w:b/>
        </w:rPr>
      </w:pPr>
    </w:p>
    <w:p w14:paraId="00A08891" w14:textId="300B6476" w:rsidR="009C78C8" w:rsidRPr="009C78C8" w:rsidRDefault="009C78C8" w:rsidP="009C78C8">
      <w:pPr>
        <w:spacing w:after="240"/>
        <w:rPr>
          <w:rFonts w:asciiTheme="majorHAnsi" w:hAnsiTheme="majorHAnsi"/>
          <w:b/>
          <w:bCs/>
        </w:rPr>
      </w:pPr>
      <w:r>
        <w:rPr>
          <w:rFonts w:asciiTheme="majorHAnsi" w:hAnsiTheme="majorHAnsi"/>
          <w:b/>
          <w:bCs/>
        </w:rPr>
        <w:t>Analysis of vulnerability</w:t>
      </w:r>
      <w:r w:rsidRPr="009C78C8">
        <w:rPr>
          <w:rFonts w:asciiTheme="majorHAnsi" w:hAnsiTheme="majorHAnsi"/>
          <w:b/>
          <w:bCs/>
        </w:rPr>
        <w:t xml:space="preserve">/suitability with IPCC AR5 scenarios </w:t>
      </w:r>
    </w:p>
    <w:p w14:paraId="29A3CD3D" w14:textId="77777777" w:rsidR="009C78C8" w:rsidRPr="009C78C8" w:rsidRDefault="009C78C8" w:rsidP="009C78C8">
      <w:pPr>
        <w:jc w:val="both"/>
        <w:rPr>
          <w:rFonts w:asciiTheme="majorHAnsi" w:hAnsiTheme="majorHAnsi"/>
        </w:rPr>
      </w:pPr>
      <w:r w:rsidRPr="009C78C8">
        <w:rPr>
          <w:rFonts w:asciiTheme="majorHAnsi" w:hAnsiTheme="majorHAnsi"/>
        </w:rPr>
        <w:t xml:space="preserve">It has already been reported in the earlier report that spatial analysis was carried out to understand the impact of predicted future climate change over the entire Assam using existing baseline data and combining this with the most recent IPCC, AR5 predictions to create likely scenarios of future suitability for tea growth by 2050. This study has been taken further by carrying out the study in a micro scale with inclusion of the analysis of suitability of tea growth by 2070 along with 2050. </w:t>
      </w:r>
    </w:p>
    <w:p w14:paraId="0C05573C" w14:textId="77777777" w:rsidR="009C78C8" w:rsidRPr="009C78C8" w:rsidRDefault="009C78C8" w:rsidP="009C78C8">
      <w:pPr>
        <w:jc w:val="both"/>
        <w:rPr>
          <w:rFonts w:asciiTheme="majorHAnsi" w:hAnsiTheme="majorHAnsi"/>
        </w:rPr>
      </w:pPr>
    </w:p>
    <w:p w14:paraId="43F04F02" w14:textId="77777777" w:rsidR="009C78C8" w:rsidRDefault="009C78C8" w:rsidP="009C78C8">
      <w:pPr>
        <w:jc w:val="both"/>
        <w:rPr>
          <w:rFonts w:asciiTheme="majorHAnsi" w:hAnsiTheme="majorHAnsi"/>
        </w:rPr>
      </w:pPr>
      <w:r w:rsidRPr="009C78C8">
        <w:rPr>
          <w:rFonts w:asciiTheme="majorHAnsi" w:hAnsiTheme="majorHAnsi"/>
        </w:rPr>
        <w:t>For this, preliminary analysis on a GIS platform has been carried out to figure out the climatically suitable/vulnerable tea areas in the South Bank Region of Assam, India based on the AR5 predictions of future scenarios. Firstly database of the locations of all the gardens that lie in the of the south bank region were collected and plotted on the map as shown in Fig 9. This map gives an idea about the distribution of tea gardens in the region and consequently when the future climate suitability/vulnerability is derived it helps in identifying the gardens which fall in either suitable or vulnerable areas. Depending upon the status of those gardens, appropriate adaptation strategies can be planned out which may help in combating the effects of climate change on tea.</w:t>
      </w:r>
    </w:p>
    <w:p w14:paraId="265555EB" w14:textId="77777777" w:rsidR="009C78C8" w:rsidRPr="009C78C8" w:rsidRDefault="009C78C8" w:rsidP="009C78C8">
      <w:pPr>
        <w:jc w:val="both"/>
        <w:rPr>
          <w:rFonts w:asciiTheme="majorHAnsi" w:hAnsiTheme="majorHAnsi"/>
        </w:rPr>
      </w:pPr>
    </w:p>
    <w:p w14:paraId="7513D661" w14:textId="77777777" w:rsidR="009C78C8" w:rsidRPr="009C78C8" w:rsidRDefault="009C78C8" w:rsidP="009C78C8">
      <w:pPr>
        <w:jc w:val="center"/>
        <w:rPr>
          <w:rFonts w:asciiTheme="majorHAnsi" w:hAnsiTheme="majorHAnsi"/>
          <w:color w:val="FF0000"/>
        </w:rPr>
      </w:pPr>
      <w:r w:rsidRPr="009C78C8">
        <w:rPr>
          <w:rFonts w:asciiTheme="majorHAnsi" w:hAnsiTheme="majorHAnsi"/>
          <w:noProof/>
          <w:color w:val="FF0000"/>
        </w:rPr>
        <w:lastRenderedPageBreak/>
        <w:drawing>
          <wp:inline distT="0" distB="0" distL="0" distR="0" wp14:anchorId="6AD01EE2" wp14:editId="15A2FC1E">
            <wp:extent cx="4718705" cy="3335731"/>
            <wp:effectExtent l="0" t="0" r="5715" b="0"/>
            <wp:docPr id="40" name="Picture 2" descr="C:\Users\GIS-WS-1\Desktop\study area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S-WS-1\Desktop\study area_final.jpg"/>
                    <pic:cNvPicPr>
                      <a:picLocks noChangeAspect="1" noChangeArrowheads="1"/>
                    </pic:cNvPicPr>
                  </pic:nvPicPr>
                  <pic:blipFill>
                    <a:blip r:embed="rId25" cstate="print"/>
                    <a:srcRect/>
                    <a:stretch>
                      <a:fillRect/>
                    </a:stretch>
                  </pic:blipFill>
                  <pic:spPr bwMode="auto">
                    <a:xfrm>
                      <a:off x="0" y="0"/>
                      <a:ext cx="4775945" cy="3376195"/>
                    </a:xfrm>
                    <a:prstGeom prst="rect">
                      <a:avLst/>
                    </a:prstGeom>
                    <a:noFill/>
                    <a:ln w="9525">
                      <a:noFill/>
                      <a:miter lim="800000"/>
                      <a:headEnd/>
                      <a:tailEnd/>
                    </a:ln>
                  </pic:spPr>
                </pic:pic>
              </a:graphicData>
            </a:graphic>
          </wp:inline>
        </w:drawing>
      </w:r>
    </w:p>
    <w:p w14:paraId="151436E2" w14:textId="5B69180B"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w:t>
      </w:r>
      <w:r>
        <w:rPr>
          <w:rFonts w:asciiTheme="majorHAnsi" w:hAnsiTheme="majorHAnsi"/>
          <w:b/>
          <w:sz w:val="20"/>
          <w:szCs w:val="20"/>
        </w:rPr>
        <w:t xml:space="preserve"> </w:t>
      </w:r>
      <w:r w:rsidRPr="009C78C8">
        <w:rPr>
          <w:rFonts w:asciiTheme="majorHAnsi" w:hAnsiTheme="majorHAnsi"/>
          <w:b/>
          <w:sz w:val="20"/>
          <w:szCs w:val="20"/>
        </w:rPr>
        <w:t xml:space="preserve">9.Study area map showing the distribution of tea gardens in the </w:t>
      </w:r>
    </w:p>
    <w:p w14:paraId="438A4874" w14:textId="77777777"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South Bank region of Assam, India</w:t>
      </w:r>
    </w:p>
    <w:p w14:paraId="2B0A6781" w14:textId="77777777" w:rsidR="009C78C8" w:rsidRPr="009C78C8" w:rsidRDefault="009C78C8" w:rsidP="009C78C8">
      <w:pPr>
        <w:jc w:val="center"/>
        <w:rPr>
          <w:rFonts w:asciiTheme="majorHAnsi" w:hAnsiTheme="majorHAnsi"/>
        </w:rPr>
      </w:pPr>
    </w:p>
    <w:p w14:paraId="0AFFCCD0" w14:textId="77777777" w:rsidR="009C78C8" w:rsidRPr="009C78C8" w:rsidRDefault="009C78C8" w:rsidP="009C78C8">
      <w:pPr>
        <w:jc w:val="both"/>
        <w:rPr>
          <w:rFonts w:asciiTheme="majorHAnsi" w:hAnsiTheme="majorHAnsi"/>
        </w:rPr>
      </w:pPr>
      <w:r w:rsidRPr="009C78C8">
        <w:rPr>
          <w:rFonts w:asciiTheme="majorHAnsi" w:hAnsiTheme="majorHAnsi"/>
        </w:rPr>
        <w:t xml:space="preserve">The Suitability/ Vulnerability analysis of tea areas in 2050 and 2070 in terms of temperature and precipitation were based on the </w:t>
      </w:r>
      <w:r w:rsidRPr="009C78C8">
        <w:rPr>
          <w:rFonts w:asciiTheme="majorHAnsi" w:hAnsiTheme="majorHAnsi"/>
          <w:color w:val="000000" w:themeColor="text1"/>
        </w:rPr>
        <w:t>most recent GCM climate projections that are used in the Fifth Assessment IPCC report (AR5). I</w:t>
      </w:r>
      <w:r w:rsidRPr="009C78C8">
        <w:rPr>
          <w:rFonts w:asciiTheme="majorHAnsi" w:hAnsiTheme="majorHAnsi"/>
        </w:rPr>
        <w:t>n this study two scenarios RCP 2.6 and RCP 4.5 were considered where RCP 2.6 defines a scenario where CO2 level are likely to reach 490 ppm by 2100 and RCP 4.5 scenario where CO2 levels are likely to increase further up to 650 ppm.</w:t>
      </w:r>
    </w:p>
    <w:p w14:paraId="12610109" w14:textId="77777777" w:rsidR="009C78C8" w:rsidRPr="009C78C8" w:rsidRDefault="009C78C8" w:rsidP="009C78C8">
      <w:pPr>
        <w:jc w:val="both"/>
        <w:rPr>
          <w:rFonts w:asciiTheme="majorHAnsi" w:hAnsiTheme="majorHAnsi"/>
          <w:i/>
        </w:rPr>
      </w:pPr>
    </w:p>
    <w:p w14:paraId="2E7175F6" w14:textId="77777777" w:rsidR="009C78C8" w:rsidRPr="009C78C8" w:rsidRDefault="009C78C8" w:rsidP="009C78C8">
      <w:pPr>
        <w:jc w:val="both"/>
        <w:rPr>
          <w:rFonts w:asciiTheme="majorHAnsi" w:hAnsiTheme="majorHAnsi"/>
          <w:i/>
          <w:u w:val="single"/>
        </w:rPr>
      </w:pPr>
      <w:r w:rsidRPr="009C78C8">
        <w:rPr>
          <w:rFonts w:asciiTheme="majorHAnsi" w:hAnsiTheme="majorHAnsi"/>
          <w:i/>
          <w:u w:val="single"/>
        </w:rPr>
        <w:t xml:space="preserve">Temperature Suitability/ Vulnerability </w:t>
      </w:r>
    </w:p>
    <w:p w14:paraId="51C720FA" w14:textId="77777777" w:rsidR="009C78C8" w:rsidRPr="009C78C8" w:rsidRDefault="009C78C8" w:rsidP="009C78C8">
      <w:pPr>
        <w:jc w:val="both"/>
        <w:rPr>
          <w:rFonts w:asciiTheme="majorHAnsi" w:hAnsiTheme="majorHAnsi"/>
        </w:rPr>
      </w:pPr>
    </w:p>
    <w:p w14:paraId="5F490304" w14:textId="77777777" w:rsidR="009C78C8" w:rsidRPr="009C78C8" w:rsidRDefault="009C78C8" w:rsidP="009C78C8">
      <w:pPr>
        <w:jc w:val="both"/>
        <w:rPr>
          <w:rFonts w:asciiTheme="majorHAnsi" w:hAnsiTheme="majorHAnsi"/>
        </w:rPr>
      </w:pPr>
      <w:r w:rsidRPr="009C78C8">
        <w:rPr>
          <w:rFonts w:asciiTheme="majorHAnsi" w:hAnsiTheme="majorHAnsi"/>
        </w:rPr>
        <w:t xml:space="preserve">The future temperature data extracted from the GCM were downscaled to regional level i.e. extracted for the South Bank region of Assam using HADGEM-ES model. The temperature distribution over this region in the year 2050 and 2070 under RCP 2.6 and 4.5 are shown in Fig. 10. </w:t>
      </w:r>
    </w:p>
    <w:p w14:paraId="0F059563" w14:textId="77777777" w:rsidR="009C78C8" w:rsidRPr="009C78C8" w:rsidRDefault="009C78C8" w:rsidP="009C78C8">
      <w:pPr>
        <w:jc w:val="center"/>
        <w:rPr>
          <w:rFonts w:asciiTheme="majorHAnsi" w:hAnsiTheme="majorHAnsi"/>
        </w:rPr>
      </w:pPr>
      <w:r w:rsidRPr="009C78C8">
        <w:rPr>
          <w:rFonts w:asciiTheme="majorHAnsi" w:hAnsiTheme="majorHAnsi"/>
          <w:noProof/>
        </w:rPr>
        <w:lastRenderedPageBreak/>
        <w:drawing>
          <wp:inline distT="0" distB="0" distL="0" distR="0" wp14:anchorId="50A74F4C" wp14:editId="597FB81B">
            <wp:extent cx="4381805" cy="5274123"/>
            <wp:effectExtent l="0" t="0" r="0" b="3175"/>
            <wp:docPr id="41" name="Picture 4" descr="C:\Users\GIS-WS-1\Desktop\FAO\suitibility_vulnerability_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S-WS-1\Desktop\FAO\suitibility_vulnerability_temp.jpg"/>
                    <pic:cNvPicPr>
                      <a:picLocks noChangeAspect="1" noChangeArrowheads="1"/>
                    </pic:cNvPicPr>
                  </pic:nvPicPr>
                  <pic:blipFill>
                    <a:blip r:embed="rId26" cstate="print"/>
                    <a:srcRect b="2012"/>
                    <a:stretch>
                      <a:fillRect/>
                    </a:stretch>
                  </pic:blipFill>
                  <pic:spPr bwMode="auto">
                    <a:xfrm>
                      <a:off x="0" y="0"/>
                      <a:ext cx="4400314" cy="5296401"/>
                    </a:xfrm>
                    <a:prstGeom prst="rect">
                      <a:avLst/>
                    </a:prstGeom>
                    <a:noFill/>
                    <a:ln w="9525">
                      <a:noFill/>
                      <a:miter lim="800000"/>
                      <a:headEnd/>
                      <a:tailEnd/>
                    </a:ln>
                  </pic:spPr>
                </pic:pic>
              </a:graphicData>
            </a:graphic>
          </wp:inline>
        </w:drawing>
      </w:r>
    </w:p>
    <w:p w14:paraId="64409DC7" w14:textId="77777777"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 10 Future suitability/vulnerability of tea in terms of temperature in the South bank region of Assam for 2050 and 2070 under RCP 2.6 and 4.5 scenario</w:t>
      </w:r>
    </w:p>
    <w:p w14:paraId="1DF1B895" w14:textId="77777777" w:rsidR="009C78C8" w:rsidRPr="009C78C8" w:rsidRDefault="009C78C8" w:rsidP="009C78C8">
      <w:pPr>
        <w:jc w:val="center"/>
        <w:rPr>
          <w:rFonts w:asciiTheme="majorHAnsi" w:hAnsiTheme="majorHAnsi"/>
          <w:b/>
          <w:sz w:val="20"/>
          <w:szCs w:val="20"/>
        </w:rPr>
      </w:pPr>
    </w:p>
    <w:p w14:paraId="5D42E513" w14:textId="77777777" w:rsidR="009C78C8" w:rsidRPr="009C78C8" w:rsidRDefault="009C78C8" w:rsidP="009C78C8">
      <w:pPr>
        <w:jc w:val="both"/>
        <w:rPr>
          <w:rFonts w:asciiTheme="majorHAnsi" w:hAnsiTheme="majorHAnsi"/>
        </w:rPr>
      </w:pPr>
      <w:r w:rsidRPr="009C78C8">
        <w:rPr>
          <w:rFonts w:asciiTheme="majorHAnsi" w:hAnsiTheme="majorHAnsi"/>
        </w:rPr>
        <w:t>The maps (Fig. 10) gives a clear understanding of the extent of the shift of temperature from current to future. So far as tea crop is concerned, it is already documented that the optimum leaf temperature for maximum productivity was found to be 25-30</w:t>
      </w:r>
      <w:r w:rsidRPr="009C78C8">
        <w:rPr>
          <w:rFonts w:asciiTheme="majorHAnsi" w:hAnsiTheme="majorHAnsi"/>
          <w:vertAlign w:val="superscript"/>
        </w:rPr>
        <w:t>0</w:t>
      </w:r>
      <w:r w:rsidRPr="009C78C8">
        <w:rPr>
          <w:rFonts w:asciiTheme="majorHAnsi" w:hAnsiTheme="majorHAnsi"/>
        </w:rPr>
        <w:t>C. The rate of photosynthesis declines fast above 37</w:t>
      </w:r>
      <w:r w:rsidRPr="009C78C8">
        <w:rPr>
          <w:rFonts w:asciiTheme="majorHAnsi" w:hAnsiTheme="majorHAnsi"/>
          <w:vertAlign w:val="superscript"/>
        </w:rPr>
        <w:t>0</w:t>
      </w:r>
      <w:r w:rsidRPr="009C78C8">
        <w:rPr>
          <w:rFonts w:asciiTheme="majorHAnsi" w:hAnsiTheme="majorHAnsi"/>
        </w:rPr>
        <w:t>C and there is no net photosynthesis at 42</w:t>
      </w:r>
      <w:r w:rsidRPr="009C78C8">
        <w:rPr>
          <w:rFonts w:asciiTheme="majorHAnsi" w:hAnsiTheme="majorHAnsi"/>
          <w:vertAlign w:val="superscript"/>
        </w:rPr>
        <w:t>0</w:t>
      </w:r>
      <w:r w:rsidRPr="009C78C8">
        <w:rPr>
          <w:rFonts w:asciiTheme="majorHAnsi" w:hAnsiTheme="majorHAnsi"/>
        </w:rPr>
        <w:t>C. Also the leaf temperature varies from 2-12</w:t>
      </w:r>
      <w:r w:rsidRPr="009C78C8">
        <w:rPr>
          <w:rFonts w:asciiTheme="majorHAnsi" w:hAnsiTheme="majorHAnsi"/>
          <w:vertAlign w:val="superscript"/>
        </w:rPr>
        <w:t>0</w:t>
      </w:r>
      <w:r w:rsidRPr="009C78C8">
        <w:rPr>
          <w:rFonts w:asciiTheme="majorHAnsi" w:hAnsiTheme="majorHAnsi"/>
        </w:rPr>
        <w:t xml:space="preserve">C more than ambient depending on the shade provided to the plant. </w:t>
      </w:r>
    </w:p>
    <w:p w14:paraId="3C24BE98" w14:textId="77777777" w:rsidR="009C78C8" w:rsidRPr="009C78C8" w:rsidRDefault="009C78C8" w:rsidP="009C78C8">
      <w:pPr>
        <w:jc w:val="both"/>
        <w:rPr>
          <w:rFonts w:asciiTheme="majorHAnsi" w:hAnsiTheme="majorHAnsi"/>
        </w:rPr>
      </w:pPr>
    </w:p>
    <w:p w14:paraId="68B0906D" w14:textId="77777777" w:rsidR="009C78C8" w:rsidRPr="009C78C8" w:rsidRDefault="009C78C8" w:rsidP="009C78C8">
      <w:pPr>
        <w:jc w:val="both"/>
        <w:rPr>
          <w:rFonts w:asciiTheme="majorHAnsi" w:hAnsiTheme="majorHAnsi"/>
        </w:rPr>
      </w:pPr>
      <w:r w:rsidRPr="009C78C8">
        <w:rPr>
          <w:rFonts w:asciiTheme="majorHAnsi" w:hAnsiTheme="majorHAnsi"/>
        </w:rPr>
        <w:t xml:space="preserve">It can be seen in Fig. 10 that few gardens which had </w:t>
      </w:r>
      <w:proofErr w:type="spellStart"/>
      <w:r w:rsidRPr="009C78C8">
        <w:rPr>
          <w:rFonts w:asciiTheme="majorHAnsi" w:hAnsiTheme="majorHAnsi"/>
        </w:rPr>
        <w:t>favourable</w:t>
      </w:r>
      <w:proofErr w:type="spellEnd"/>
      <w:r w:rsidRPr="009C78C8">
        <w:rPr>
          <w:rFonts w:asciiTheme="majorHAnsi" w:hAnsiTheme="majorHAnsi"/>
        </w:rPr>
        <w:t xml:space="preserve"> temperature requirement for growth of tea has shifted to the higher temperature zones when compared to current scenario. Those gardens which appears to be vulnerable in the map needs to be identified and consequently proper adaptation strategies may be planned well in advance so as to lessen its impacts in the growth of tea.</w:t>
      </w:r>
    </w:p>
    <w:p w14:paraId="58A1A32D" w14:textId="77777777" w:rsidR="009C78C8" w:rsidRPr="009C78C8" w:rsidRDefault="009C78C8" w:rsidP="009C78C8">
      <w:pPr>
        <w:jc w:val="both"/>
        <w:rPr>
          <w:rFonts w:asciiTheme="majorHAnsi" w:hAnsiTheme="majorHAnsi"/>
          <w:i/>
        </w:rPr>
      </w:pPr>
    </w:p>
    <w:p w14:paraId="4A9A18A6" w14:textId="77777777" w:rsidR="009C78C8" w:rsidRDefault="009C78C8">
      <w:pPr>
        <w:rPr>
          <w:rFonts w:asciiTheme="majorHAnsi" w:hAnsiTheme="majorHAnsi"/>
          <w:i/>
          <w:u w:val="single"/>
        </w:rPr>
      </w:pPr>
      <w:r>
        <w:rPr>
          <w:rFonts w:asciiTheme="majorHAnsi" w:hAnsiTheme="majorHAnsi"/>
          <w:i/>
          <w:u w:val="single"/>
        </w:rPr>
        <w:br w:type="page"/>
      </w:r>
    </w:p>
    <w:p w14:paraId="4BFDDFAC" w14:textId="13C6BF00" w:rsidR="009C78C8" w:rsidRPr="009C78C8" w:rsidRDefault="009C78C8" w:rsidP="009C78C8">
      <w:pPr>
        <w:jc w:val="both"/>
        <w:rPr>
          <w:rFonts w:asciiTheme="majorHAnsi" w:hAnsiTheme="majorHAnsi"/>
          <w:i/>
          <w:u w:val="single"/>
        </w:rPr>
      </w:pPr>
      <w:r w:rsidRPr="009C78C8">
        <w:rPr>
          <w:rFonts w:asciiTheme="majorHAnsi" w:hAnsiTheme="majorHAnsi"/>
          <w:i/>
          <w:u w:val="single"/>
        </w:rPr>
        <w:lastRenderedPageBreak/>
        <w:t xml:space="preserve">Precipitation Suitability/ Vulnerability </w:t>
      </w:r>
    </w:p>
    <w:p w14:paraId="657A99A8" w14:textId="77777777" w:rsidR="009C78C8" w:rsidRPr="009C78C8" w:rsidRDefault="009C78C8" w:rsidP="009C78C8">
      <w:pPr>
        <w:jc w:val="both"/>
        <w:rPr>
          <w:rFonts w:asciiTheme="majorHAnsi" w:hAnsiTheme="majorHAnsi"/>
          <w:i/>
          <w:u w:val="single"/>
        </w:rPr>
      </w:pPr>
    </w:p>
    <w:p w14:paraId="2B65A982" w14:textId="77777777" w:rsidR="009C78C8" w:rsidRPr="009C78C8" w:rsidRDefault="009C78C8" w:rsidP="009C78C8">
      <w:pPr>
        <w:jc w:val="both"/>
        <w:rPr>
          <w:rFonts w:asciiTheme="majorHAnsi" w:hAnsiTheme="majorHAnsi"/>
        </w:rPr>
      </w:pPr>
      <w:r w:rsidRPr="009C78C8">
        <w:rPr>
          <w:rFonts w:asciiTheme="majorHAnsi" w:hAnsiTheme="majorHAnsi"/>
        </w:rPr>
        <w:t xml:space="preserve">The distribution of Precipitation over this region in the year 2050 and 2070 under RCP 2.6 and 4.5 are shown in Fig 11. </w:t>
      </w:r>
    </w:p>
    <w:p w14:paraId="7624B425" w14:textId="77777777" w:rsidR="009C78C8" w:rsidRPr="009C78C8" w:rsidRDefault="009C78C8" w:rsidP="009C78C8">
      <w:pPr>
        <w:jc w:val="both"/>
        <w:rPr>
          <w:rFonts w:asciiTheme="majorHAnsi" w:hAnsiTheme="majorHAnsi"/>
        </w:rPr>
      </w:pPr>
    </w:p>
    <w:p w14:paraId="791FDA10" w14:textId="77777777" w:rsidR="009C78C8" w:rsidRPr="009C78C8" w:rsidRDefault="009C78C8" w:rsidP="009C78C8">
      <w:pPr>
        <w:jc w:val="both"/>
        <w:rPr>
          <w:rFonts w:asciiTheme="majorHAnsi" w:hAnsiTheme="majorHAnsi"/>
          <w:color w:val="333333"/>
          <w:shd w:val="clear" w:color="auto" w:fill="FFFFFF"/>
        </w:rPr>
      </w:pPr>
      <w:r w:rsidRPr="009C78C8">
        <w:rPr>
          <w:rFonts w:asciiTheme="majorHAnsi" w:hAnsiTheme="majorHAnsi"/>
        </w:rPr>
        <w:t xml:space="preserve">From Fig.11 it can be seen that the variability in precipitation in this region does not show much variation from current to future. Also the total rainfall requirement by tea crop is within range in the future years. </w:t>
      </w:r>
      <w:r w:rsidRPr="009C78C8">
        <w:rPr>
          <w:rFonts w:asciiTheme="majorHAnsi" w:hAnsiTheme="majorHAnsi"/>
          <w:shd w:val="clear" w:color="auto" w:fill="FFFFFF"/>
        </w:rPr>
        <w:t>However</w:t>
      </w:r>
      <w:r w:rsidRPr="009C78C8">
        <w:rPr>
          <w:rFonts w:asciiTheme="majorHAnsi" w:hAnsiTheme="majorHAnsi"/>
          <w:color w:val="333333"/>
          <w:shd w:val="clear" w:color="auto" w:fill="FFFFFF"/>
        </w:rPr>
        <w:t>, more than the total amount, the distribution of rainfall matters a lot for sustained high yield of tea throughout the season. Therefore further study needs to be carried out in terms of the variation in monthly rainfall which will bring out the distribution pattern of rainfall.</w:t>
      </w:r>
    </w:p>
    <w:p w14:paraId="55FD83EF" w14:textId="77777777" w:rsidR="009C78C8" w:rsidRPr="009C78C8" w:rsidRDefault="009C78C8" w:rsidP="009C78C8">
      <w:pPr>
        <w:jc w:val="both"/>
        <w:rPr>
          <w:rFonts w:asciiTheme="majorHAnsi" w:hAnsiTheme="majorHAnsi"/>
          <w:b/>
        </w:rPr>
      </w:pPr>
    </w:p>
    <w:p w14:paraId="79BB45DB" w14:textId="74E65485" w:rsidR="009C78C8" w:rsidRPr="009C78C8" w:rsidRDefault="009C78C8" w:rsidP="009C78C8">
      <w:pPr>
        <w:jc w:val="both"/>
        <w:rPr>
          <w:rFonts w:asciiTheme="majorHAnsi" w:hAnsiTheme="majorHAnsi"/>
        </w:rPr>
      </w:pPr>
      <w:r w:rsidRPr="009C78C8">
        <w:rPr>
          <w:rFonts w:asciiTheme="majorHAnsi" w:hAnsiTheme="majorHAnsi"/>
        </w:rPr>
        <w:t>Based on the outputs of this study it can be inferred that the extent of vulnerability in the South bank region can be very well mitigated if adequate a</w:t>
      </w:r>
      <w:r>
        <w:rPr>
          <w:rFonts w:asciiTheme="majorHAnsi" w:hAnsiTheme="majorHAnsi"/>
        </w:rPr>
        <w:t>daptation strategies are practic</w:t>
      </w:r>
      <w:r w:rsidRPr="009C78C8">
        <w:rPr>
          <w:rFonts w:asciiTheme="majorHAnsi" w:hAnsiTheme="majorHAnsi"/>
        </w:rPr>
        <w:t xml:space="preserve">ed at appropriate time with proper planning. </w:t>
      </w:r>
    </w:p>
    <w:p w14:paraId="2073E131" w14:textId="77777777" w:rsidR="009C78C8" w:rsidRPr="009C78C8" w:rsidRDefault="009C78C8" w:rsidP="009C78C8">
      <w:pPr>
        <w:jc w:val="both"/>
        <w:rPr>
          <w:rFonts w:asciiTheme="majorHAnsi" w:hAnsiTheme="majorHAnsi"/>
          <w:b/>
        </w:rPr>
      </w:pPr>
    </w:p>
    <w:p w14:paraId="51F79F04" w14:textId="77777777" w:rsidR="009C78C8" w:rsidRPr="009C78C8" w:rsidRDefault="009C78C8" w:rsidP="009C78C8">
      <w:pPr>
        <w:jc w:val="center"/>
        <w:rPr>
          <w:rFonts w:asciiTheme="majorHAnsi" w:hAnsiTheme="majorHAnsi"/>
          <w:color w:val="FF0000"/>
        </w:rPr>
      </w:pPr>
      <w:r w:rsidRPr="009C78C8">
        <w:rPr>
          <w:rFonts w:asciiTheme="majorHAnsi" w:hAnsiTheme="majorHAnsi"/>
          <w:noProof/>
          <w:color w:val="FF0000"/>
        </w:rPr>
        <w:drawing>
          <wp:inline distT="0" distB="0" distL="0" distR="0" wp14:anchorId="58FA374C" wp14:editId="3E9FC793">
            <wp:extent cx="4096512" cy="5040481"/>
            <wp:effectExtent l="0" t="0" r="0" b="8255"/>
            <wp:docPr id="42" name="Picture 3" descr="C:\Users\GIS-WS-1\Desktop\FAO\suitibility_vulnerability_precip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S-WS-1\Desktop\FAO\suitibility_vulnerability_precipitation.jpg"/>
                    <pic:cNvPicPr>
                      <a:picLocks noChangeAspect="1" noChangeArrowheads="1"/>
                    </pic:cNvPicPr>
                  </pic:nvPicPr>
                  <pic:blipFill>
                    <a:blip r:embed="rId27" cstate="print"/>
                    <a:srcRect/>
                    <a:stretch>
                      <a:fillRect/>
                    </a:stretch>
                  </pic:blipFill>
                  <pic:spPr bwMode="auto">
                    <a:xfrm>
                      <a:off x="0" y="0"/>
                      <a:ext cx="4118132" cy="5067083"/>
                    </a:xfrm>
                    <a:prstGeom prst="rect">
                      <a:avLst/>
                    </a:prstGeom>
                    <a:noFill/>
                    <a:ln w="9525">
                      <a:noFill/>
                      <a:miter lim="800000"/>
                      <a:headEnd/>
                      <a:tailEnd/>
                    </a:ln>
                  </pic:spPr>
                </pic:pic>
              </a:graphicData>
            </a:graphic>
          </wp:inline>
        </w:drawing>
      </w:r>
    </w:p>
    <w:p w14:paraId="239C40EF" w14:textId="77777777" w:rsidR="009C78C8" w:rsidRPr="009C78C8" w:rsidRDefault="009C78C8" w:rsidP="009C78C8">
      <w:pPr>
        <w:jc w:val="center"/>
        <w:rPr>
          <w:rFonts w:asciiTheme="majorHAnsi" w:hAnsiTheme="majorHAnsi"/>
          <w:b/>
          <w:sz w:val="20"/>
          <w:szCs w:val="20"/>
        </w:rPr>
      </w:pPr>
      <w:r w:rsidRPr="009C78C8">
        <w:rPr>
          <w:rFonts w:asciiTheme="majorHAnsi" w:hAnsiTheme="majorHAnsi"/>
          <w:b/>
          <w:sz w:val="20"/>
          <w:szCs w:val="20"/>
        </w:rPr>
        <w:t>Fig. 11 Future suitability/vulnerability of tea in terms of precipitation in the</w:t>
      </w:r>
    </w:p>
    <w:p w14:paraId="3C73DA8E" w14:textId="13981018" w:rsidR="009C78C8" w:rsidRPr="009C78C8" w:rsidRDefault="009C78C8" w:rsidP="009C78C8">
      <w:pPr>
        <w:jc w:val="center"/>
        <w:rPr>
          <w:rFonts w:asciiTheme="majorHAnsi" w:hAnsiTheme="majorHAnsi"/>
        </w:rPr>
      </w:pPr>
      <w:r w:rsidRPr="009C78C8">
        <w:rPr>
          <w:rFonts w:asciiTheme="majorHAnsi" w:hAnsiTheme="majorHAnsi"/>
          <w:b/>
          <w:sz w:val="20"/>
          <w:szCs w:val="20"/>
        </w:rPr>
        <w:t>South bank region of Assam for 2050 and 2070 under RCP 2.6 and 4.5 scenario</w:t>
      </w:r>
    </w:p>
    <w:p w14:paraId="45B3B1A4" w14:textId="1C51CBDC" w:rsidR="009C78C8" w:rsidRPr="00584927" w:rsidRDefault="009C78C8" w:rsidP="00584927">
      <w:pPr>
        <w:pStyle w:val="ListParagraph"/>
        <w:numPr>
          <w:ilvl w:val="0"/>
          <w:numId w:val="17"/>
        </w:numPr>
        <w:spacing w:after="240"/>
        <w:ind w:left="450" w:hanging="450"/>
        <w:rPr>
          <w:rFonts w:asciiTheme="majorHAnsi" w:eastAsia="+mn-ea" w:hAnsiTheme="majorHAnsi"/>
          <w:b/>
          <w:sz w:val="24"/>
          <w:szCs w:val="24"/>
          <w:lang w:val="en-US"/>
        </w:rPr>
      </w:pPr>
      <w:r w:rsidRPr="00584927">
        <w:rPr>
          <w:rFonts w:asciiTheme="majorHAnsi" w:eastAsia="+mn-ea" w:hAnsiTheme="majorHAnsi"/>
          <w:b/>
          <w:sz w:val="24"/>
          <w:szCs w:val="24"/>
          <w:lang w:val="en-US"/>
        </w:rPr>
        <w:lastRenderedPageBreak/>
        <w:t>Sri Lanka</w:t>
      </w:r>
    </w:p>
    <w:p w14:paraId="19B2A8E3" w14:textId="77777777" w:rsidR="009C78C8" w:rsidRPr="009C78C8" w:rsidRDefault="009C78C8" w:rsidP="009C78C8">
      <w:pPr>
        <w:jc w:val="both"/>
        <w:rPr>
          <w:rFonts w:asciiTheme="majorHAnsi" w:hAnsiTheme="majorHAnsi" w:cstheme="minorHAnsi"/>
          <w:b/>
          <w:lang w:val="en-GB"/>
        </w:rPr>
      </w:pPr>
      <w:r w:rsidRPr="009C78C8">
        <w:rPr>
          <w:rFonts w:asciiTheme="majorHAnsi" w:hAnsiTheme="majorHAnsi" w:cstheme="minorHAnsi"/>
          <w:b/>
          <w:lang w:val="en-GB"/>
        </w:rPr>
        <w:t>Assessment of vulnerability/suitability at micro scale for ease of implementation of adaptation strategies</w:t>
      </w:r>
    </w:p>
    <w:p w14:paraId="7605CACD" w14:textId="77777777" w:rsidR="009C78C8" w:rsidRPr="009C78C8" w:rsidRDefault="009C78C8" w:rsidP="009C78C8">
      <w:pPr>
        <w:jc w:val="both"/>
        <w:rPr>
          <w:rFonts w:asciiTheme="majorHAnsi" w:hAnsiTheme="majorHAnsi" w:cstheme="minorHAnsi"/>
          <w:lang w:val="en-GB"/>
        </w:rPr>
      </w:pPr>
    </w:p>
    <w:p w14:paraId="57421F78" w14:textId="77777777" w:rsidR="009C78C8" w:rsidRPr="009C78C8" w:rsidRDefault="009C78C8" w:rsidP="009C78C8">
      <w:pPr>
        <w:jc w:val="both"/>
        <w:rPr>
          <w:rFonts w:asciiTheme="majorHAnsi" w:hAnsiTheme="majorHAnsi" w:cstheme="minorHAnsi"/>
          <w:lang w:val="en-GB"/>
        </w:rPr>
      </w:pPr>
      <w:r w:rsidRPr="009C78C8">
        <w:rPr>
          <w:rFonts w:asciiTheme="majorHAnsi" w:hAnsiTheme="majorHAnsi" w:cstheme="minorHAnsi"/>
          <w:lang w:val="en-GB"/>
        </w:rPr>
        <w:t>The vulnerability map has already been developed for tea in Sri Lanka on the basis of agro-ecological region which is supposed to be the most relevant and micro scale region for implementing adaptation measures in Sri Lanka. These agro-ecological regions have been classified based on climatic and soil conditions. Further, the adaptation measures proposed are largely applicable to all tea growing regions in the country as discussed in the report of the working group on climate change released during the last FAO-IGG session.</w:t>
      </w:r>
    </w:p>
    <w:p w14:paraId="1EBE2852" w14:textId="77777777" w:rsidR="009C78C8" w:rsidRPr="009C78C8" w:rsidRDefault="009C78C8" w:rsidP="009C78C8">
      <w:pPr>
        <w:jc w:val="both"/>
        <w:rPr>
          <w:rFonts w:asciiTheme="majorHAnsi" w:hAnsiTheme="majorHAnsi" w:cstheme="minorHAnsi"/>
          <w:b/>
        </w:rPr>
      </w:pPr>
    </w:p>
    <w:p w14:paraId="001D9095" w14:textId="77777777" w:rsidR="009C78C8" w:rsidRPr="009C78C8" w:rsidRDefault="009C78C8" w:rsidP="009C78C8">
      <w:pPr>
        <w:jc w:val="both"/>
        <w:rPr>
          <w:rFonts w:asciiTheme="majorHAnsi" w:hAnsiTheme="majorHAnsi" w:cstheme="minorHAnsi"/>
          <w:b/>
        </w:rPr>
      </w:pPr>
      <w:r w:rsidRPr="009C78C8">
        <w:rPr>
          <w:rFonts w:asciiTheme="majorHAnsi" w:hAnsiTheme="majorHAnsi" w:cstheme="minorHAnsi"/>
          <w:b/>
        </w:rPr>
        <w:t>Seasonal weather forecast</w:t>
      </w:r>
    </w:p>
    <w:p w14:paraId="09405FDA" w14:textId="77777777" w:rsidR="009C78C8" w:rsidRPr="009C78C8" w:rsidRDefault="009C78C8" w:rsidP="009C78C8">
      <w:pPr>
        <w:jc w:val="both"/>
        <w:rPr>
          <w:rFonts w:asciiTheme="majorHAnsi" w:hAnsiTheme="majorHAnsi" w:cstheme="minorHAnsi"/>
          <w:b/>
        </w:rPr>
      </w:pPr>
    </w:p>
    <w:p w14:paraId="05A9D8C3" w14:textId="77777777" w:rsidR="009C78C8" w:rsidRPr="009C78C8" w:rsidRDefault="009C78C8" w:rsidP="009C78C8">
      <w:pPr>
        <w:jc w:val="both"/>
        <w:rPr>
          <w:rFonts w:asciiTheme="majorHAnsi" w:hAnsiTheme="majorHAnsi" w:cstheme="minorHAnsi"/>
        </w:rPr>
      </w:pPr>
      <w:r w:rsidRPr="009C78C8">
        <w:rPr>
          <w:rFonts w:asciiTheme="majorHAnsi" w:hAnsiTheme="majorHAnsi" w:cstheme="minorHAnsi"/>
        </w:rPr>
        <w:t>The seasonal weather forecasts (monsoons) for tea growing districts are being released to the stakeholders through the TRI website and other extension programmes organized by the TRI. Additionally, such information is planned to be sent to the growers/extension staff through SMS Gateway developed by the TRI. The latest forecast for July-September 2017 shows that below normal rainfall is expected in all tea growing regions.</w:t>
      </w:r>
    </w:p>
    <w:p w14:paraId="5FED52EC" w14:textId="77777777" w:rsidR="009C78C8" w:rsidRPr="009C78C8" w:rsidRDefault="009C78C8" w:rsidP="009C78C8">
      <w:pPr>
        <w:jc w:val="both"/>
        <w:rPr>
          <w:rFonts w:asciiTheme="majorHAnsi" w:hAnsiTheme="majorHAnsi" w:cstheme="minorHAnsi"/>
          <w:b/>
        </w:rPr>
      </w:pPr>
    </w:p>
    <w:p w14:paraId="2E930B1E" w14:textId="77777777" w:rsidR="009C78C8" w:rsidRPr="009C78C8" w:rsidRDefault="009C78C8" w:rsidP="009C78C8">
      <w:pPr>
        <w:jc w:val="both"/>
        <w:rPr>
          <w:rFonts w:asciiTheme="majorHAnsi" w:hAnsiTheme="majorHAnsi" w:cstheme="minorHAnsi"/>
          <w:b/>
        </w:rPr>
      </w:pPr>
      <w:r w:rsidRPr="009C78C8">
        <w:rPr>
          <w:rFonts w:asciiTheme="majorHAnsi" w:hAnsiTheme="majorHAnsi" w:cstheme="minorHAnsi"/>
          <w:b/>
        </w:rPr>
        <w:t>Carbon balance of tea plantations in Sri Lanka</w:t>
      </w:r>
    </w:p>
    <w:p w14:paraId="5A1E599C" w14:textId="77777777" w:rsidR="009C78C8" w:rsidRPr="009C78C8" w:rsidRDefault="009C78C8" w:rsidP="009C78C8">
      <w:pPr>
        <w:jc w:val="both"/>
        <w:rPr>
          <w:rFonts w:asciiTheme="majorHAnsi" w:hAnsiTheme="majorHAnsi" w:cstheme="minorHAnsi"/>
          <w:b/>
        </w:rPr>
      </w:pPr>
    </w:p>
    <w:p w14:paraId="59609C19" w14:textId="77777777" w:rsidR="009C78C8" w:rsidRPr="009C78C8" w:rsidRDefault="009C78C8" w:rsidP="009C78C8">
      <w:pPr>
        <w:jc w:val="both"/>
        <w:rPr>
          <w:rFonts w:asciiTheme="majorHAnsi" w:hAnsiTheme="majorHAnsi" w:cstheme="minorHAnsi"/>
        </w:rPr>
      </w:pPr>
      <w:r w:rsidRPr="009C78C8">
        <w:rPr>
          <w:rFonts w:asciiTheme="majorHAnsi" w:hAnsiTheme="majorHAnsi" w:cstheme="minorHAnsi"/>
        </w:rPr>
        <w:t xml:space="preserve">Carbon balance (carbon footprint) of tea plantations in different tea growing regions of Sri Lanka has been estimated by the Tea Research Institute of Sri Lanka in collaboration with the Faculty of Agriculture, University of Peradeniya. Results of the study showed that the Sri Lanka tea industry is a net carbon absorber, with an annual absorption of 7.837 million </w:t>
      </w:r>
      <w:proofErr w:type="spellStart"/>
      <w:r w:rsidRPr="009C78C8">
        <w:rPr>
          <w:rFonts w:asciiTheme="majorHAnsi" w:hAnsiTheme="majorHAnsi" w:cstheme="minorHAnsi"/>
        </w:rPr>
        <w:t>tonnes</w:t>
      </w:r>
      <w:proofErr w:type="spellEnd"/>
      <w:r w:rsidRPr="009C78C8">
        <w:rPr>
          <w:rFonts w:asciiTheme="majorHAnsi" w:hAnsiTheme="majorHAnsi" w:cstheme="minorHAnsi"/>
        </w:rPr>
        <w:t xml:space="preserve"> of CO</w:t>
      </w:r>
      <w:r w:rsidRPr="009C78C8">
        <w:rPr>
          <w:rFonts w:asciiTheme="majorHAnsi" w:hAnsiTheme="majorHAnsi" w:cstheme="minorHAnsi"/>
          <w:vertAlign w:val="subscript"/>
        </w:rPr>
        <w:t>2</w:t>
      </w:r>
      <w:r w:rsidRPr="009C78C8">
        <w:rPr>
          <w:rFonts w:asciiTheme="majorHAnsi" w:hAnsiTheme="majorHAnsi" w:cstheme="minorHAnsi"/>
        </w:rPr>
        <w:t xml:space="preserve">, thus providing a strong foundation for marketing tea as an eco-friendly product. The annual carbon absorptions in up-, mid- and low-country regions in Sri Lanka were 0.874, 1.278 and 1.426 million tons respectively.  The corresponding emissions were only 0.430, 0.334 and 0.677 million </w:t>
      </w:r>
      <w:proofErr w:type="spellStart"/>
      <w:r w:rsidRPr="009C78C8">
        <w:rPr>
          <w:rFonts w:asciiTheme="majorHAnsi" w:hAnsiTheme="majorHAnsi" w:cstheme="minorHAnsi"/>
        </w:rPr>
        <w:t>tonnes</w:t>
      </w:r>
      <w:proofErr w:type="spellEnd"/>
      <w:r w:rsidRPr="009C78C8">
        <w:rPr>
          <w:rFonts w:asciiTheme="majorHAnsi" w:hAnsiTheme="majorHAnsi" w:cstheme="minorHAnsi"/>
        </w:rPr>
        <w:t xml:space="preserve"> per year for the three respective regions.  Accordingly, the net carbon balances of the three regions were 0.444, 0.944 and 0.750 million </w:t>
      </w:r>
      <w:proofErr w:type="spellStart"/>
      <w:r w:rsidRPr="009C78C8">
        <w:rPr>
          <w:rFonts w:asciiTheme="majorHAnsi" w:hAnsiTheme="majorHAnsi" w:cstheme="minorHAnsi"/>
        </w:rPr>
        <w:t>tonnes</w:t>
      </w:r>
      <w:proofErr w:type="spellEnd"/>
      <w:r w:rsidRPr="009C78C8">
        <w:rPr>
          <w:rFonts w:asciiTheme="majorHAnsi" w:hAnsiTheme="majorHAnsi" w:cstheme="minorHAnsi"/>
        </w:rPr>
        <w:t xml:space="preserve"> yr</w:t>
      </w:r>
      <w:r w:rsidRPr="009C78C8">
        <w:rPr>
          <w:rFonts w:asciiTheme="majorHAnsi" w:hAnsiTheme="majorHAnsi" w:cstheme="minorHAnsi"/>
          <w:vertAlign w:val="superscript"/>
        </w:rPr>
        <w:t>-1</w:t>
      </w:r>
      <w:r w:rsidRPr="009C78C8">
        <w:rPr>
          <w:rFonts w:asciiTheme="majorHAnsi" w:hAnsiTheme="majorHAnsi" w:cstheme="minorHAnsi"/>
        </w:rPr>
        <w:t>, making-up the total carbon balance to be2.137 million t yr</w:t>
      </w:r>
      <w:r w:rsidRPr="009C78C8">
        <w:rPr>
          <w:rFonts w:asciiTheme="majorHAnsi" w:hAnsiTheme="majorHAnsi" w:cstheme="minorHAnsi"/>
          <w:vertAlign w:val="superscript"/>
        </w:rPr>
        <w:t>-1</w:t>
      </w:r>
      <w:r w:rsidRPr="009C78C8">
        <w:rPr>
          <w:rFonts w:asciiTheme="majorHAnsi" w:hAnsiTheme="majorHAnsi" w:cstheme="minorHAnsi"/>
        </w:rPr>
        <w:t xml:space="preserve">.     </w:t>
      </w:r>
    </w:p>
    <w:p w14:paraId="6A515088" w14:textId="77777777" w:rsidR="009C78C8" w:rsidRPr="009C78C8" w:rsidRDefault="009C78C8" w:rsidP="009C78C8">
      <w:pPr>
        <w:jc w:val="both"/>
        <w:rPr>
          <w:rFonts w:asciiTheme="majorHAnsi" w:hAnsiTheme="majorHAnsi" w:cstheme="minorHAnsi"/>
        </w:rPr>
      </w:pPr>
    </w:p>
    <w:p w14:paraId="4C8B6F5C" w14:textId="77777777" w:rsidR="009C78C8" w:rsidRPr="009C78C8" w:rsidRDefault="009C78C8" w:rsidP="009C78C8">
      <w:pPr>
        <w:jc w:val="both"/>
        <w:rPr>
          <w:rFonts w:asciiTheme="majorHAnsi" w:hAnsiTheme="majorHAnsi" w:cstheme="minorHAnsi"/>
        </w:rPr>
      </w:pPr>
    </w:p>
    <w:p w14:paraId="1C3C033A" w14:textId="77777777" w:rsidR="009C78C8" w:rsidRPr="009C78C8" w:rsidRDefault="009C78C8" w:rsidP="00584927">
      <w:pPr>
        <w:jc w:val="center"/>
        <w:rPr>
          <w:rFonts w:asciiTheme="majorHAnsi" w:hAnsiTheme="majorHAnsi" w:cstheme="minorHAnsi"/>
        </w:rPr>
      </w:pPr>
      <w:r w:rsidRPr="009C78C8">
        <w:rPr>
          <w:rFonts w:asciiTheme="majorHAnsi" w:hAnsiTheme="majorHAnsi"/>
          <w:noProof/>
        </w:rPr>
        <w:lastRenderedPageBreak/>
        <w:drawing>
          <wp:inline distT="0" distB="0" distL="0" distR="0" wp14:anchorId="2DC231AA" wp14:editId="0DF80F71">
            <wp:extent cx="4752975" cy="2914650"/>
            <wp:effectExtent l="0" t="0" r="9525"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5483A3" w14:textId="77777777" w:rsidR="009C78C8" w:rsidRPr="009C78C8" w:rsidRDefault="009C78C8" w:rsidP="00584927">
      <w:pPr>
        <w:jc w:val="center"/>
        <w:rPr>
          <w:rFonts w:asciiTheme="majorHAnsi" w:hAnsiTheme="majorHAnsi" w:cstheme="minorHAnsi"/>
        </w:rPr>
      </w:pPr>
    </w:p>
    <w:p w14:paraId="564AED90" w14:textId="458787B1" w:rsidR="009C78C8" w:rsidRPr="009C78C8" w:rsidRDefault="009C78C8" w:rsidP="00584927">
      <w:pPr>
        <w:ind w:left="630" w:hanging="630"/>
        <w:jc w:val="center"/>
        <w:rPr>
          <w:rFonts w:asciiTheme="majorHAnsi" w:hAnsiTheme="majorHAnsi"/>
        </w:rPr>
      </w:pPr>
      <w:r w:rsidRPr="00584927">
        <w:rPr>
          <w:rFonts w:asciiTheme="majorHAnsi" w:hAnsiTheme="majorHAnsi"/>
          <w:b/>
          <w:sz w:val="20"/>
          <w:szCs w:val="20"/>
        </w:rPr>
        <w:t>Fig</w:t>
      </w:r>
      <w:r w:rsidR="00584927">
        <w:rPr>
          <w:rFonts w:asciiTheme="majorHAnsi" w:hAnsiTheme="majorHAnsi"/>
          <w:b/>
          <w:sz w:val="20"/>
          <w:szCs w:val="20"/>
        </w:rPr>
        <w:t xml:space="preserve"> </w:t>
      </w:r>
      <w:r w:rsidRPr="00584927">
        <w:rPr>
          <w:rFonts w:asciiTheme="majorHAnsi" w:hAnsiTheme="majorHAnsi"/>
          <w:b/>
          <w:sz w:val="20"/>
          <w:szCs w:val="20"/>
        </w:rPr>
        <w:t>12</w:t>
      </w:r>
      <w:r w:rsidR="00584927">
        <w:rPr>
          <w:rFonts w:asciiTheme="majorHAnsi" w:hAnsiTheme="majorHAnsi"/>
          <w:b/>
          <w:sz w:val="20"/>
          <w:szCs w:val="20"/>
        </w:rPr>
        <w:t>.</w:t>
      </w:r>
      <w:r w:rsidRPr="00584927">
        <w:rPr>
          <w:rFonts w:asciiTheme="majorHAnsi" w:hAnsiTheme="majorHAnsi"/>
          <w:b/>
          <w:sz w:val="20"/>
          <w:szCs w:val="20"/>
        </w:rPr>
        <w:t xml:space="preserve"> Net carbon absorptions of different components of a tea plantation in different elevation zones</w:t>
      </w:r>
    </w:p>
    <w:p w14:paraId="138895FE" w14:textId="77777777" w:rsidR="009C78C8" w:rsidRPr="009C78C8" w:rsidRDefault="009C78C8" w:rsidP="00584927">
      <w:pPr>
        <w:jc w:val="center"/>
        <w:rPr>
          <w:rFonts w:asciiTheme="majorHAnsi" w:hAnsiTheme="majorHAnsi"/>
          <w:b/>
        </w:rPr>
      </w:pPr>
    </w:p>
    <w:p w14:paraId="79EEDB3B" w14:textId="77777777" w:rsidR="009C78C8" w:rsidRPr="009C78C8" w:rsidRDefault="009C78C8" w:rsidP="00584927">
      <w:pPr>
        <w:jc w:val="center"/>
        <w:rPr>
          <w:rFonts w:asciiTheme="majorHAnsi" w:hAnsiTheme="majorHAnsi"/>
          <w:b/>
        </w:rPr>
      </w:pPr>
      <w:r w:rsidRPr="009C78C8">
        <w:rPr>
          <w:rFonts w:asciiTheme="majorHAnsi" w:hAnsiTheme="majorHAnsi"/>
          <w:noProof/>
        </w:rPr>
        <w:drawing>
          <wp:inline distT="0" distB="0" distL="0" distR="0" wp14:anchorId="00751CE0" wp14:editId="27E1610B">
            <wp:extent cx="4819650" cy="293370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5D5BD8" w14:textId="54425E45" w:rsidR="009C78C8" w:rsidRPr="00584927" w:rsidRDefault="00584927" w:rsidP="00584927">
      <w:pPr>
        <w:ind w:left="630" w:hanging="630"/>
        <w:jc w:val="center"/>
        <w:rPr>
          <w:rFonts w:asciiTheme="majorHAnsi" w:hAnsiTheme="majorHAnsi"/>
          <w:b/>
          <w:sz w:val="20"/>
          <w:szCs w:val="20"/>
        </w:rPr>
      </w:pPr>
      <w:r>
        <w:rPr>
          <w:rFonts w:asciiTheme="majorHAnsi" w:hAnsiTheme="majorHAnsi"/>
          <w:b/>
          <w:sz w:val="20"/>
          <w:szCs w:val="20"/>
        </w:rPr>
        <w:t xml:space="preserve">Fig </w:t>
      </w:r>
      <w:r w:rsidR="009C78C8" w:rsidRPr="00584927">
        <w:rPr>
          <w:rFonts w:asciiTheme="majorHAnsi" w:hAnsiTheme="majorHAnsi"/>
          <w:b/>
          <w:sz w:val="20"/>
          <w:szCs w:val="20"/>
        </w:rPr>
        <w:t>13</w:t>
      </w:r>
      <w:r>
        <w:rPr>
          <w:rFonts w:asciiTheme="majorHAnsi" w:hAnsiTheme="majorHAnsi"/>
          <w:b/>
          <w:sz w:val="20"/>
          <w:szCs w:val="20"/>
        </w:rPr>
        <w:t>.</w:t>
      </w:r>
      <w:r w:rsidR="009C78C8" w:rsidRPr="00584927">
        <w:rPr>
          <w:rFonts w:asciiTheme="majorHAnsi" w:hAnsiTheme="majorHAnsi"/>
          <w:b/>
          <w:sz w:val="20"/>
          <w:szCs w:val="20"/>
        </w:rPr>
        <w:t xml:space="preserve"> Carbon emissions from different processes of the tea industr</w:t>
      </w:r>
      <w:r>
        <w:rPr>
          <w:rFonts w:asciiTheme="majorHAnsi" w:hAnsiTheme="majorHAnsi"/>
          <w:b/>
          <w:sz w:val="20"/>
          <w:szCs w:val="20"/>
        </w:rPr>
        <w:t>y in different elevation zones</w:t>
      </w:r>
    </w:p>
    <w:p w14:paraId="27995F96" w14:textId="77777777" w:rsidR="009C78C8" w:rsidRPr="009C78C8" w:rsidRDefault="009C78C8" w:rsidP="009C78C8">
      <w:pPr>
        <w:jc w:val="both"/>
        <w:rPr>
          <w:rFonts w:asciiTheme="majorHAnsi" w:hAnsiTheme="majorHAnsi"/>
          <w:b/>
        </w:rPr>
      </w:pPr>
    </w:p>
    <w:p w14:paraId="41F4C978" w14:textId="77777777" w:rsidR="009C78C8" w:rsidRPr="009C78C8" w:rsidRDefault="009C78C8" w:rsidP="00584927">
      <w:pPr>
        <w:jc w:val="center"/>
        <w:rPr>
          <w:rFonts w:asciiTheme="majorHAnsi" w:hAnsiTheme="majorHAnsi"/>
          <w:b/>
        </w:rPr>
      </w:pPr>
      <w:r w:rsidRPr="009C78C8">
        <w:rPr>
          <w:rFonts w:asciiTheme="majorHAnsi" w:hAnsiTheme="majorHAnsi"/>
          <w:noProof/>
        </w:rPr>
        <w:lastRenderedPageBreak/>
        <w:drawing>
          <wp:inline distT="0" distB="0" distL="0" distR="0" wp14:anchorId="0C54A829" wp14:editId="26C3DE9C">
            <wp:extent cx="5610225" cy="3419475"/>
            <wp:effectExtent l="0" t="0" r="952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E1E179" w14:textId="224FAA21" w:rsidR="009C78C8" w:rsidRPr="00584927" w:rsidRDefault="009C78C8" w:rsidP="00584927">
      <w:pPr>
        <w:ind w:left="630" w:hanging="630"/>
        <w:jc w:val="center"/>
        <w:rPr>
          <w:rFonts w:asciiTheme="majorHAnsi" w:hAnsiTheme="majorHAnsi"/>
          <w:b/>
          <w:sz w:val="20"/>
          <w:szCs w:val="20"/>
        </w:rPr>
      </w:pPr>
      <w:r w:rsidRPr="00584927">
        <w:rPr>
          <w:rFonts w:asciiTheme="majorHAnsi" w:hAnsiTheme="majorHAnsi"/>
          <w:b/>
          <w:sz w:val="20"/>
          <w:szCs w:val="20"/>
        </w:rPr>
        <w:t>Fig</w:t>
      </w:r>
      <w:r w:rsidR="00584927">
        <w:rPr>
          <w:rFonts w:asciiTheme="majorHAnsi" w:hAnsiTheme="majorHAnsi"/>
          <w:b/>
          <w:sz w:val="20"/>
          <w:szCs w:val="20"/>
        </w:rPr>
        <w:t xml:space="preserve"> </w:t>
      </w:r>
      <w:r w:rsidRPr="00584927">
        <w:rPr>
          <w:rFonts w:asciiTheme="majorHAnsi" w:hAnsiTheme="majorHAnsi"/>
          <w:b/>
          <w:sz w:val="20"/>
          <w:szCs w:val="20"/>
        </w:rPr>
        <w:t>14</w:t>
      </w:r>
      <w:r w:rsidR="00584927">
        <w:rPr>
          <w:rFonts w:asciiTheme="majorHAnsi" w:hAnsiTheme="majorHAnsi"/>
          <w:b/>
          <w:sz w:val="20"/>
          <w:szCs w:val="20"/>
        </w:rPr>
        <w:t>.</w:t>
      </w:r>
      <w:r w:rsidRPr="00584927">
        <w:rPr>
          <w:rFonts w:asciiTheme="majorHAnsi" w:hAnsiTheme="majorHAnsi"/>
          <w:b/>
          <w:sz w:val="20"/>
          <w:szCs w:val="20"/>
        </w:rPr>
        <w:t xml:space="preserve"> Carbon balance of tea plantations in the dif</w:t>
      </w:r>
      <w:r w:rsidR="00584927">
        <w:rPr>
          <w:rFonts w:asciiTheme="majorHAnsi" w:hAnsiTheme="majorHAnsi"/>
          <w:b/>
          <w:sz w:val="20"/>
          <w:szCs w:val="20"/>
        </w:rPr>
        <w:t>ferent elevation zones</w:t>
      </w:r>
    </w:p>
    <w:p w14:paraId="0293D9D8" w14:textId="77777777" w:rsidR="009C78C8" w:rsidRPr="009C78C8" w:rsidRDefault="009C78C8" w:rsidP="009C78C8">
      <w:pPr>
        <w:jc w:val="both"/>
        <w:rPr>
          <w:rFonts w:asciiTheme="majorHAnsi" w:hAnsiTheme="majorHAnsi"/>
          <w:b/>
        </w:rPr>
      </w:pPr>
    </w:p>
    <w:p w14:paraId="7D18E2BF" w14:textId="77777777" w:rsidR="009C78C8" w:rsidRPr="009C78C8" w:rsidRDefault="009C78C8" w:rsidP="009C78C8">
      <w:pPr>
        <w:jc w:val="both"/>
        <w:rPr>
          <w:rFonts w:asciiTheme="majorHAnsi" w:hAnsiTheme="majorHAnsi" w:cstheme="minorHAnsi"/>
          <w:b/>
        </w:rPr>
      </w:pPr>
      <w:r w:rsidRPr="009C78C8">
        <w:rPr>
          <w:rFonts w:asciiTheme="majorHAnsi" w:hAnsiTheme="majorHAnsi" w:cstheme="minorHAnsi"/>
          <w:b/>
        </w:rPr>
        <w:t>Effect of high temperatures on growth and yield of tea in the low country</w:t>
      </w:r>
    </w:p>
    <w:p w14:paraId="3EBFAAD5" w14:textId="77777777" w:rsidR="009C78C8" w:rsidRPr="009C78C8" w:rsidRDefault="009C78C8" w:rsidP="009C78C8">
      <w:pPr>
        <w:jc w:val="both"/>
        <w:rPr>
          <w:rFonts w:asciiTheme="majorHAnsi" w:hAnsiTheme="majorHAnsi" w:cstheme="minorHAnsi"/>
          <w:b/>
        </w:rPr>
      </w:pPr>
    </w:p>
    <w:p w14:paraId="5A097815" w14:textId="77777777" w:rsidR="009C78C8" w:rsidRPr="009C78C8" w:rsidRDefault="009C78C8" w:rsidP="009C78C8">
      <w:pPr>
        <w:jc w:val="both"/>
        <w:rPr>
          <w:rFonts w:asciiTheme="majorHAnsi" w:hAnsiTheme="majorHAnsi" w:cstheme="minorHAnsi"/>
        </w:rPr>
      </w:pPr>
      <w:r w:rsidRPr="009C78C8">
        <w:rPr>
          <w:rFonts w:asciiTheme="majorHAnsi" w:hAnsiTheme="majorHAnsi" w:cstheme="minorHAnsi"/>
        </w:rPr>
        <w:t>Field investigations in the low country have shown that the increase in present ambient mean temperatures (28</w:t>
      </w:r>
      <w:r w:rsidRPr="009C78C8">
        <w:rPr>
          <w:rFonts w:asciiTheme="majorHAnsi" w:hAnsiTheme="majorHAnsi" w:cstheme="minorHAnsi"/>
          <w:vertAlign w:val="superscript"/>
        </w:rPr>
        <w:t>o</w:t>
      </w:r>
      <w:r w:rsidRPr="009C78C8">
        <w:rPr>
          <w:rFonts w:asciiTheme="majorHAnsi" w:hAnsiTheme="majorHAnsi" w:cstheme="minorHAnsi"/>
        </w:rPr>
        <w:t>C) by around 2</w:t>
      </w:r>
      <w:r w:rsidRPr="009C78C8">
        <w:rPr>
          <w:rFonts w:asciiTheme="majorHAnsi" w:hAnsiTheme="majorHAnsi" w:cstheme="minorHAnsi"/>
          <w:vertAlign w:val="superscript"/>
        </w:rPr>
        <w:t>o</w:t>
      </w:r>
      <w:r w:rsidRPr="009C78C8">
        <w:rPr>
          <w:rFonts w:asciiTheme="majorHAnsi" w:hAnsiTheme="majorHAnsi" w:cstheme="minorHAnsi"/>
        </w:rPr>
        <w:t xml:space="preserve">C (by erecting poly tunnels in the field) in the low country tea fields reduces population density and growth rate of tea shoots. Bud break is also extended and some axillary buds fail to produce new shoots under the elevated temperature condition. Consequently, the tea yield in the experimental plots was reduced by about 40%. The impacts can vary depending on the genetic constitution of the cultivar.  Hence, new observations are planned to study the variation of cultivar response to rising temperatures. </w:t>
      </w:r>
    </w:p>
    <w:p w14:paraId="38509B24" w14:textId="77777777" w:rsidR="009C78C8" w:rsidRPr="009C78C8" w:rsidRDefault="009C78C8" w:rsidP="009C78C8">
      <w:pPr>
        <w:jc w:val="both"/>
        <w:rPr>
          <w:rFonts w:asciiTheme="majorHAnsi" w:hAnsiTheme="majorHAnsi" w:cstheme="minorHAnsi"/>
        </w:rPr>
      </w:pPr>
    </w:p>
    <w:p w14:paraId="075C81EF" w14:textId="77777777" w:rsidR="009C78C8" w:rsidRPr="009C78C8" w:rsidRDefault="009C78C8" w:rsidP="00584927">
      <w:pPr>
        <w:jc w:val="center"/>
        <w:rPr>
          <w:rFonts w:asciiTheme="majorHAnsi" w:hAnsiTheme="majorHAnsi" w:cstheme="minorHAnsi"/>
        </w:rPr>
      </w:pPr>
      <w:r w:rsidRPr="009C78C8">
        <w:rPr>
          <w:rFonts w:asciiTheme="majorHAnsi" w:hAnsiTheme="majorHAnsi"/>
          <w:noProof/>
        </w:rPr>
        <w:drawing>
          <wp:inline distT="0" distB="0" distL="0" distR="0" wp14:anchorId="433FE139" wp14:editId="04B02209">
            <wp:extent cx="3876675" cy="2209800"/>
            <wp:effectExtent l="0" t="0" r="9525"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994AE0" w14:textId="78D24D54" w:rsidR="009C78C8" w:rsidRPr="00584927" w:rsidRDefault="009C78C8" w:rsidP="00584927">
      <w:pPr>
        <w:ind w:left="630" w:hanging="630"/>
        <w:jc w:val="center"/>
        <w:rPr>
          <w:rFonts w:asciiTheme="majorHAnsi" w:hAnsiTheme="majorHAnsi"/>
          <w:b/>
          <w:sz w:val="20"/>
          <w:szCs w:val="20"/>
        </w:rPr>
      </w:pPr>
      <w:r w:rsidRPr="00584927">
        <w:rPr>
          <w:rFonts w:asciiTheme="majorHAnsi" w:hAnsiTheme="majorHAnsi"/>
          <w:b/>
          <w:sz w:val="20"/>
          <w:szCs w:val="20"/>
        </w:rPr>
        <w:t>Fig 15</w:t>
      </w:r>
      <w:r w:rsidR="00584927">
        <w:rPr>
          <w:rFonts w:asciiTheme="majorHAnsi" w:hAnsiTheme="majorHAnsi"/>
          <w:b/>
          <w:sz w:val="20"/>
          <w:szCs w:val="20"/>
        </w:rPr>
        <w:t>.</w:t>
      </w:r>
      <w:r w:rsidRPr="00584927">
        <w:rPr>
          <w:rFonts w:asciiTheme="majorHAnsi" w:hAnsiTheme="majorHAnsi"/>
          <w:b/>
          <w:sz w:val="20"/>
          <w:szCs w:val="20"/>
        </w:rPr>
        <w:t xml:space="preserve"> Effect of high temperature on density </w:t>
      </w:r>
      <w:r w:rsidR="00584927">
        <w:rPr>
          <w:rFonts w:asciiTheme="majorHAnsi" w:hAnsiTheme="majorHAnsi"/>
          <w:b/>
          <w:sz w:val="20"/>
          <w:szCs w:val="20"/>
        </w:rPr>
        <w:t xml:space="preserve">and </w:t>
      </w:r>
      <w:r w:rsidRPr="00584927">
        <w:rPr>
          <w:rFonts w:asciiTheme="majorHAnsi" w:hAnsiTheme="majorHAnsi"/>
          <w:b/>
          <w:sz w:val="20"/>
          <w:szCs w:val="20"/>
        </w:rPr>
        <w:t>growth rate of shoots</w:t>
      </w:r>
    </w:p>
    <w:p w14:paraId="36DA78C0" w14:textId="77777777" w:rsidR="009C78C8" w:rsidRPr="009C78C8" w:rsidRDefault="009C78C8" w:rsidP="00584927">
      <w:pPr>
        <w:jc w:val="center"/>
        <w:rPr>
          <w:rFonts w:asciiTheme="majorHAnsi" w:hAnsiTheme="majorHAnsi" w:cstheme="minorHAnsi"/>
        </w:rPr>
      </w:pPr>
      <w:r w:rsidRPr="009C78C8">
        <w:rPr>
          <w:rFonts w:asciiTheme="majorHAnsi" w:hAnsiTheme="majorHAnsi"/>
          <w:noProof/>
        </w:rPr>
        <w:lastRenderedPageBreak/>
        <w:drawing>
          <wp:inline distT="0" distB="0" distL="0" distR="0" wp14:anchorId="741678A6" wp14:editId="1D1F8027">
            <wp:extent cx="3914775" cy="2076450"/>
            <wp:effectExtent l="0" t="0" r="9525" b="190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573497" w14:textId="77777777" w:rsidR="009C78C8" w:rsidRPr="009C78C8" w:rsidRDefault="009C78C8" w:rsidP="009C78C8">
      <w:pPr>
        <w:jc w:val="both"/>
        <w:rPr>
          <w:rFonts w:asciiTheme="majorHAnsi" w:hAnsiTheme="majorHAnsi" w:cstheme="minorHAnsi"/>
        </w:rPr>
      </w:pPr>
    </w:p>
    <w:p w14:paraId="0A8972B4" w14:textId="43F74816" w:rsidR="009C78C8" w:rsidRPr="00584927" w:rsidRDefault="009C78C8" w:rsidP="00584927">
      <w:pPr>
        <w:ind w:left="630" w:hanging="630"/>
        <w:jc w:val="center"/>
        <w:rPr>
          <w:rFonts w:asciiTheme="majorHAnsi" w:hAnsiTheme="majorHAnsi"/>
          <w:b/>
          <w:sz w:val="20"/>
          <w:szCs w:val="20"/>
        </w:rPr>
      </w:pPr>
      <w:r w:rsidRPr="00584927">
        <w:rPr>
          <w:rFonts w:asciiTheme="majorHAnsi" w:hAnsiTheme="majorHAnsi"/>
          <w:b/>
          <w:sz w:val="20"/>
          <w:szCs w:val="20"/>
        </w:rPr>
        <w:t>Fig</w:t>
      </w:r>
      <w:r w:rsidR="00584927">
        <w:rPr>
          <w:rFonts w:asciiTheme="majorHAnsi" w:hAnsiTheme="majorHAnsi"/>
          <w:b/>
          <w:sz w:val="20"/>
          <w:szCs w:val="20"/>
        </w:rPr>
        <w:t xml:space="preserve"> </w:t>
      </w:r>
      <w:r w:rsidRPr="00584927">
        <w:rPr>
          <w:rFonts w:asciiTheme="majorHAnsi" w:hAnsiTheme="majorHAnsi"/>
          <w:b/>
          <w:sz w:val="20"/>
          <w:szCs w:val="20"/>
        </w:rPr>
        <w:t>16</w:t>
      </w:r>
      <w:r w:rsidR="00584927">
        <w:rPr>
          <w:rFonts w:asciiTheme="majorHAnsi" w:hAnsiTheme="majorHAnsi"/>
          <w:b/>
          <w:sz w:val="20"/>
          <w:szCs w:val="20"/>
        </w:rPr>
        <w:t>.</w:t>
      </w:r>
      <w:r w:rsidRPr="00584927">
        <w:rPr>
          <w:rFonts w:asciiTheme="majorHAnsi" w:hAnsiTheme="majorHAnsi"/>
          <w:b/>
          <w:sz w:val="20"/>
          <w:szCs w:val="20"/>
        </w:rPr>
        <w:t xml:space="preserve"> Effect of high temperature on tea yield</w:t>
      </w:r>
    </w:p>
    <w:p w14:paraId="560221F4" w14:textId="77777777" w:rsidR="009C78C8" w:rsidRPr="009C78C8" w:rsidRDefault="009C78C8" w:rsidP="009C78C8">
      <w:pPr>
        <w:jc w:val="both"/>
        <w:rPr>
          <w:rFonts w:asciiTheme="majorHAnsi" w:hAnsiTheme="majorHAnsi" w:cstheme="minorHAnsi"/>
        </w:rPr>
      </w:pPr>
    </w:p>
    <w:p w14:paraId="2ADD812F" w14:textId="77777777" w:rsidR="009C78C8" w:rsidRPr="00584927" w:rsidRDefault="009C78C8" w:rsidP="00584927">
      <w:pPr>
        <w:jc w:val="both"/>
        <w:rPr>
          <w:rFonts w:asciiTheme="majorHAnsi" w:hAnsiTheme="majorHAnsi" w:cstheme="minorHAnsi"/>
          <w:b/>
        </w:rPr>
      </w:pPr>
      <w:r w:rsidRPr="00584927">
        <w:rPr>
          <w:rFonts w:asciiTheme="majorHAnsi" w:hAnsiTheme="majorHAnsi" w:cstheme="minorHAnsi"/>
          <w:b/>
        </w:rPr>
        <w:t>Studies on physiological responses of tea to global climate change</w:t>
      </w:r>
    </w:p>
    <w:p w14:paraId="1D05AC73" w14:textId="77777777" w:rsidR="00584927" w:rsidRDefault="00584927" w:rsidP="009C78C8">
      <w:pPr>
        <w:jc w:val="both"/>
        <w:rPr>
          <w:rFonts w:asciiTheme="majorHAnsi" w:hAnsiTheme="majorHAnsi" w:cstheme="minorHAnsi"/>
          <w:lang w:bidi="ta-IN"/>
        </w:rPr>
      </w:pPr>
    </w:p>
    <w:p w14:paraId="0EB19F00" w14:textId="77777777" w:rsidR="009C78C8" w:rsidRPr="009C78C8" w:rsidRDefault="009C78C8" w:rsidP="009C78C8">
      <w:pPr>
        <w:jc w:val="both"/>
        <w:rPr>
          <w:rFonts w:asciiTheme="majorHAnsi" w:hAnsiTheme="majorHAnsi" w:cstheme="minorHAnsi"/>
          <w:lang w:bidi="ta-IN"/>
        </w:rPr>
      </w:pPr>
      <w:r w:rsidRPr="009C78C8">
        <w:rPr>
          <w:rFonts w:asciiTheme="majorHAnsi" w:hAnsiTheme="majorHAnsi" w:cstheme="minorHAnsi"/>
          <w:lang w:bidi="ta-IN"/>
        </w:rPr>
        <w:t xml:space="preserve">The studies conducted to determine the biomass distribution and carbon sequestration potential of bi-clonal seedling tea have shown that significantly a higher biomass content of bi-clonal seedling tea was partitioned towards the roots and stems followed by the collar and it was the lowest towards the leaves where as in VP </w:t>
      </w:r>
      <w:proofErr w:type="gramStart"/>
      <w:r w:rsidRPr="009C78C8">
        <w:rPr>
          <w:rFonts w:asciiTheme="majorHAnsi" w:hAnsiTheme="majorHAnsi" w:cstheme="minorHAnsi"/>
          <w:lang w:bidi="ta-IN"/>
        </w:rPr>
        <w:t>tea(</w:t>
      </w:r>
      <w:proofErr w:type="gramEnd"/>
      <w:r w:rsidRPr="009C78C8">
        <w:rPr>
          <w:rFonts w:asciiTheme="majorHAnsi" w:hAnsiTheme="majorHAnsi" w:cstheme="minorHAnsi"/>
          <w:lang w:bidi="ta-IN"/>
        </w:rPr>
        <w:t xml:space="preserve">TRI 2025), significantly a higher biomass content was partitioned towards the stems followed by collar, roots and it was the lowest towards the leaves.  Carbon sequestration potential the bi-clonal seedling tea was higher than that of the TRI 2025. These results highlight the suitability of bi-clonal seedling tea under changing climates and also for climate change mitigation. </w:t>
      </w:r>
    </w:p>
    <w:p w14:paraId="4F2D7BF2" w14:textId="77777777" w:rsidR="009C78C8" w:rsidRPr="009C78C8" w:rsidRDefault="009C78C8" w:rsidP="009C78C8">
      <w:pPr>
        <w:jc w:val="both"/>
        <w:rPr>
          <w:rFonts w:asciiTheme="majorHAnsi" w:hAnsiTheme="majorHAnsi"/>
        </w:rPr>
      </w:pPr>
    </w:p>
    <w:p w14:paraId="1EF8CE8E" w14:textId="77777777" w:rsidR="009C78C8" w:rsidRPr="00584927" w:rsidRDefault="009C78C8" w:rsidP="00584927">
      <w:pPr>
        <w:pStyle w:val="ListParagraph"/>
        <w:numPr>
          <w:ilvl w:val="0"/>
          <w:numId w:val="17"/>
        </w:numPr>
        <w:spacing w:after="240"/>
        <w:ind w:left="450" w:hanging="450"/>
        <w:rPr>
          <w:rFonts w:asciiTheme="majorHAnsi" w:eastAsia="+mn-ea" w:hAnsiTheme="majorHAnsi"/>
          <w:b/>
          <w:sz w:val="24"/>
          <w:szCs w:val="24"/>
          <w:lang w:val="en-US"/>
        </w:rPr>
      </w:pPr>
      <w:r w:rsidRPr="00584927">
        <w:rPr>
          <w:rFonts w:asciiTheme="majorHAnsi" w:eastAsia="+mn-ea" w:hAnsiTheme="majorHAnsi"/>
          <w:b/>
          <w:sz w:val="24"/>
          <w:szCs w:val="24"/>
          <w:lang w:val="en-US"/>
        </w:rPr>
        <w:t xml:space="preserve">Kenya </w:t>
      </w:r>
    </w:p>
    <w:p w14:paraId="35F0BAC9" w14:textId="77777777" w:rsidR="009C78C8" w:rsidRPr="009C78C8" w:rsidRDefault="009C78C8" w:rsidP="009C78C8">
      <w:pPr>
        <w:jc w:val="both"/>
        <w:rPr>
          <w:rFonts w:asciiTheme="majorHAnsi" w:hAnsiTheme="majorHAnsi" w:cstheme="minorHAnsi"/>
          <w:lang w:bidi="ta-IN"/>
        </w:rPr>
      </w:pPr>
      <w:r w:rsidRPr="009C78C8">
        <w:rPr>
          <w:rFonts w:asciiTheme="majorHAnsi" w:hAnsiTheme="majorHAnsi" w:cstheme="minorHAnsi"/>
          <w:lang w:bidi="ta-IN"/>
        </w:rPr>
        <w:t>The Tea Research Institute of Kenya is involved in monitoring weather parameters and relating to tea crop cultivation. From the data gathered, there is fluctuation in annual rainfall; however, rain days are on decline resulting into soil water deficits. There are also increasing warming conditions which when coupled with increasing dry days reduces crop yields. Also, there are occasional hail and frost incidences resulting into crop losses in the West of Rift Valley. Some of the proposed mitigation and adaptation strategies include farm forestry, crop diversification, appropriate clonal selection and judicious application of fertilizers</w:t>
      </w:r>
    </w:p>
    <w:p w14:paraId="6F3A883C" w14:textId="77777777" w:rsidR="009C78C8" w:rsidRPr="009C78C8" w:rsidRDefault="009C78C8" w:rsidP="009C78C8">
      <w:pPr>
        <w:jc w:val="center"/>
        <w:rPr>
          <w:rFonts w:asciiTheme="majorHAnsi" w:hAnsiTheme="majorHAnsi"/>
          <w:b/>
          <w:u w:val="single"/>
        </w:rPr>
      </w:pPr>
    </w:p>
    <w:p w14:paraId="3389501F" w14:textId="1948AD33" w:rsidR="009C78C8" w:rsidRPr="009C78C8" w:rsidRDefault="009C78C8" w:rsidP="009C78C8">
      <w:pPr>
        <w:rPr>
          <w:rFonts w:asciiTheme="majorHAnsi" w:hAnsiTheme="majorHAnsi" w:cstheme="minorHAnsi"/>
          <w:b/>
        </w:rPr>
      </w:pPr>
      <w:r w:rsidRPr="009C78C8">
        <w:rPr>
          <w:rFonts w:asciiTheme="majorHAnsi" w:hAnsiTheme="majorHAnsi" w:cstheme="minorHAnsi"/>
          <w:b/>
        </w:rPr>
        <w:t xml:space="preserve">Weather </w:t>
      </w:r>
      <w:r w:rsidR="00584927">
        <w:rPr>
          <w:rFonts w:asciiTheme="majorHAnsi" w:hAnsiTheme="majorHAnsi" w:cstheme="minorHAnsi"/>
          <w:b/>
        </w:rPr>
        <w:t xml:space="preserve">and </w:t>
      </w:r>
      <w:r w:rsidRPr="009C78C8">
        <w:rPr>
          <w:rFonts w:asciiTheme="majorHAnsi" w:hAnsiTheme="majorHAnsi" w:cstheme="minorHAnsi"/>
          <w:b/>
        </w:rPr>
        <w:t>tea yields</w:t>
      </w:r>
    </w:p>
    <w:p w14:paraId="35D38583" w14:textId="77777777" w:rsidR="009C78C8" w:rsidRPr="009C78C8" w:rsidRDefault="009C78C8" w:rsidP="009C78C8">
      <w:pPr>
        <w:rPr>
          <w:rFonts w:asciiTheme="majorHAnsi" w:hAnsiTheme="majorHAnsi"/>
          <w:b/>
          <w:i/>
        </w:rPr>
      </w:pPr>
    </w:p>
    <w:p w14:paraId="0EB5BAAD" w14:textId="77777777" w:rsidR="009C78C8" w:rsidRPr="009C78C8" w:rsidRDefault="009C78C8" w:rsidP="009C78C8">
      <w:pPr>
        <w:jc w:val="both"/>
        <w:rPr>
          <w:rFonts w:asciiTheme="majorHAnsi" w:hAnsiTheme="majorHAnsi" w:cstheme="minorHAnsi"/>
          <w:lang w:bidi="ta-IN"/>
        </w:rPr>
      </w:pPr>
      <w:r w:rsidRPr="009C78C8">
        <w:rPr>
          <w:rFonts w:asciiTheme="majorHAnsi" w:hAnsiTheme="majorHAnsi" w:cstheme="minorHAnsi"/>
          <w:lang w:bidi="ta-IN"/>
        </w:rPr>
        <w:t xml:space="preserve">Tea (Camellia </w:t>
      </w:r>
      <w:proofErr w:type="spellStart"/>
      <w:r w:rsidRPr="009C78C8">
        <w:rPr>
          <w:rFonts w:asciiTheme="majorHAnsi" w:hAnsiTheme="majorHAnsi" w:cstheme="minorHAnsi"/>
          <w:i/>
          <w:lang w:bidi="ta-IN"/>
        </w:rPr>
        <w:t>sinensis</w:t>
      </w:r>
      <w:proofErr w:type="spellEnd"/>
      <w:r w:rsidRPr="009C78C8">
        <w:rPr>
          <w:rFonts w:asciiTheme="majorHAnsi" w:hAnsiTheme="majorHAnsi" w:cstheme="minorHAnsi"/>
          <w:lang w:bidi="ta-IN"/>
        </w:rPr>
        <w:t xml:space="preserve"> (L) O. </w:t>
      </w:r>
      <w:proofErr w:type="spellStart"/>
      <w:r w:rsidRPr="009C78C8">
        <w:rPr>
          <w:rFonts w:asciiTheme="majorHAnsi" w:hAnsiTheme="majorHAnsi" w:cstheme="minorHAnsi"/>
          <w:lang w:bidi="ta-IN"/>
        </w:rPr>
        <w:t>Kuntze</w:t>
      </w:r>
      <w:proofErr w:type="spellEnd"/>
      <w:r w:rsidRPr="009C78C8">
        <w:rPr>
          <w:rFonts w:asciiTheme="majorHAnsi" w:hAnsiTheme="majorHAnsi" w:cstheme="minorHAnsi"/>
          <w:lang w:bidi="ta-IN"/>
        </w:rPr>
        <w:t xml:space="preserve">) is grown in Kenya under rain-fed conditions which are highly vulnerable to environmental instabilities. Tea Research has been observing weather parameters related to tea production such as rainfall, temperature, soil water deficits, hail incidences, frost incidences and associated crop losses in the tea production counties. It has agrometeorological stations at </w:t>
      </w:r>
      <w:proofErr w:type="spellStart"/>
      <w:r w:rsidRPr="009C78C8">
        <w:rPr>
          <w:rFonts w:asciiTheme="majorHAnsi" w:hAnsiTheme="majorHAnsi" w:cstheme="minorHAnsi"/>
          <w:lang w:bidi="ta-IN"/>
        </w:rPr>
        <w:t>Timbilil</w:t>
      </w:r>
      <w:proofErr w:type="spellEnd"/>
      <w:r w:rsidRPr="009C78C8">
        <w:rPr>
          <w:rFonts w:asciiTheme="majorHAnsi" w:hAnsiTheme="majorHAnsi" w:cstheme="minorHAnsi"/>
          <w:lang w:bidi="ta-IN"/>
        </w:rPr>
        <w:t xml:space="preserve"> (35⁰ 21´ E, 0⁰ 22´S 2180m </w:t>
      </w:r>
      <w:proofErr w:type="spellStart"/>
      <w:r w:rsidRPr="009C78C8">
        <w:rPr>
          <w:rFonts w:asciiTheme="majorHAnsi" w:hAnsiTheme="majorHAnsi" w:cstheme="minorHAnsi"/>
          <w:lang w:bidi="ta-IN"/>
        </w:rPr>
        <w:t>a.m.s.l</w:t>
      </w:r>
      <w:proofErr w:type="spellEnd"/>
      <w:r w:rsidRPr="009C78C8">
        <w:rPr>
          <w:rFonts w:asciiTheme="majorHAnsi" w:hAnsiTheme="majorHAnsi" w:cstheme="minorHAnsi"/>
          <w:lang w:bidi="ta-IN"/>
        </w:rPr>
        <w:t xml:space="preserve">) and </w:t>
      </w:r>
      <w:proofErr w:type="spellStart"/>
      <w:proofErr w:type="gramStart"/>
      <w:r w:rsidRPr="009C78C8">
        <w:rPr>
          <w:rFonts w:asciiTheme="majorHAnsi" w:hAnsiTheme="majorHAnsi" w:cstheme="minorHAnsi"/>
          <w:lang w:bidi="ta-IN"/>
        </w:rPr>
        <w:t>Kangaita</w:t>
      </w:r>
      <w:proofErr w:type="spellEnd"/>
      <w:r w:rsidRPr="009C78C8">
        <w:rPr>
          <w:rFonts w:asciiTheme="majorHAnsi" w:hAnsiTheme="majorHAnsi" w:cstheme="minorHAnsi"/>
          <w:lang w:bidi="ta-IN"/>
        </w:rPr>
        <w:t>(</w:t>
      </w:r>
      <w:proofErr w:type="gramEnd"/>
      <w:r w:rsidRPr="009C78C8">
        <w:rPr>
          <w:rFonts w:asciiTheme="majorHAnsi" w:hAnsiTheme="majorHAnsi" w:cstheme="minorHAnsi"/>
          <w:lang w:bidi="ta-IN"/>
        </w:rPr>
        <w:t xml:space="preserve">37⁰ 17.8´E; 0⁰ 19.8´S; 2030m </w:t>
      </w:r>
      <w:proofErr w:type="spellStart"/>
      <w:r w:rsidRPr="009C78C8">
        <w:rPr>
          <w:rFonts w:asciiTheme="majorHAnsi" w:hAnsiTheme="majorHAnsi" w:cstheme="minorHAnsi"/>
          <w:lang w:bidi="ta-IN"/>
        </w:rPr>
        <w:t>a.m.s.l</w:t>
      </w:r>
      <w:proofErr w:type="spellEnd"/>
      <w:r w:rsidRPr="009C78C8">
        <w:rPr>
          <w:rFonts w:asciiTheme="majorHAnsi" w:hAnsiTheme="majorHAnsi" w:cstheme="minorHAnsi"/>
          <w:lang w:bidi="ta-IN"/>
        </w:rPr>
        <w:t>). Below is a summary of the trends:</w:t>
      </w:r>
    </w:p>
    <w:p w14:paraId="6CC72848" w14:textId="77777777" w:rsidR="009C78C8" w:rsidRPr="009C78C8" w:rsidRDefault="009C78C8" w:rsidP="009C78C8">
      <w:pPr>
        <w:jc w:val="both"/>
        <w:rPr>
          <w:rFonts w:asciiTheme="majorHAnsi" w:hAnsiTheme="majorHAnsi"/>
          <w:b/>
          <w:i/>
        </w:rPr>
      </w:pPr>
    </w:p>
    <w:p w14:paraId="0D776BF3" w14:textId="77777777" w:rsidR="00584927" w:rsidRDefault="00584927">
      <w:pPr>
        <w:rPr>
          <w:rFonts w:asciiTheme="majorHAnsi" w:hAnsiTheme="majorHAnsi" w:cstheme="minorHAnsi"/>
          <w:b/>
          <w:i/>
        </w:rPr>
      </w:pPr>
      <w:r>
        <w:rPr>
          <w:rFonts w:asciiTheme="majorHAnsi" w:hAnsiTheme="majorHAnsi" w:cstheme="minorHAnsi"/>
          <w:b/>
          <w:i/>
        </w:rPr>
        <w:br w:type="page"/>
      </w:r>
    </w:p>
    <w:p w14:paraId="2F613D28" w14:textId="14293F8B" w:rsidR="009C78C8" w:rsidRPr="009C78C8" w:rsidRDefault="009C78C8" w:rsidP="009C78C8">
      <w:pPr>
        <w:jc w:val="both"/>
        <w:rPr>
          <w:rFonts w:asciiTheme="majorHAnsi" w:hAnsiTheme="majorHAnsi" w:cstheme="minorHAnsi"/>
          <w:b/>
          <w:i/>
        </w:rPr>
      </w:pPr>
      <w:r w:rsidRPr="009C78C8">
        <w:rPr>
          <w:rFonts w:asciiTheme="majorHAnsi" w:hAnsiTheme="majorHAnsi" w:cstheme="minorHAnsi"/>
          <w:b/>
          <w:i/>
        </w:rPr>
        <w:lastRenderedPageBreak/>
        <w:t xml:space="preserve">Rainfall </w:t>
      </w:r>
    </w:p>
    <w:p w14:paraId="4073E9B1" w14:textId="77777777" w:rsidR="009C78C8" w:rsidRPr="009C78C8" w:rsidRDefault="009C78C8" w:rsidP="009C78C8">
      <w:pPr>
        <w:jc w:val="both"/>
        <w:rPr>
          <w:rFonts w:asciiTheme="majorHAnsi" w:hAnsiTheme="majorHAnsi"/>
        </w:rPr>
      </w:pPr>
    </w:p>
    <w:p w14:paraId="39D9140D" w14:textId="45D4AA9F" w:rsidR="009C78C8" w:rsidRPr="009C78C8" w:rsidRDefault="009C78C8" w:rsidP="009C78C8">
      <w:pPr>
        <w:jc w:val="both"/>
        <w:rPr>
          <w:rFonts w:asciiTheme="majorHAnsi" w:hAnsiTheme="majorHAnsi" w:cstheme="minorHAnsi"/>
          <w:lang w:bidi="ta-IN"/>
        </w:rPr>
      </w:pPr>
      <w:r w:rsidRPr="009C78C8">
        <w:rPr>
          <w:rFonts w:asciiTheme="majorHAnsi" w:hAnsiTheme="majorHAnsi" w:cstheme="minorHAnsi"/>
          <w:lang w:bidi="ta-IN"/>
        </w:rPr>
        <w:t>Tea requires minimum annual rainfall of 1</w:t>
      </w:r>
      <w:r w:rsidR="00584927">
        <w:rPr>
          <w:rFonts w:asciiTheme="majorHAnsi" w:hAnsiTheme="majorHAnsi" w:cstheme="minorHAnsi"/>
          <w:lang w:bidi="ta-IN"/>
        </w:rPr>
        <w:t xml:space="preserve"> </w:t>
      </w:r>
      <w:r w:rsidRPr="009C78C8">
        <w:rPr>
          <w:rFonts w:asciiTheme="majorHAnsi" w:hAnsiTheme="majorHAnsi" w:cstheme="minorHAnsi"/>
          <w:lang w:bidi="ta-IN"/>
        </w:rPr>
        <w:t>270</w:t>
      </w:r>
      <w:r w:rsidR="00584927">
        <w:rPr>
          <w:rFonts w:asciiTheme="majorHAnsi" w:hAnsiTheme="majorHAnsi" w:cstheme="minorHAnsi"/>
          <w:lang w:bidi="ta-IN"/>
        </w:rPr>
        <w:t xml:space="preserve"> </w:t>
      </w:r>
      <w:r w:rsidRPr="009C78C8">
        <w:rPr>
          <w:rFonts w:asciiTheme="majorHAnsi" w:hAnsiTheme="majorHAnsi" w:cstheme="minorHAnsi"/>
          <w:lang w:bidi="ta-IN"/>
        </w:rPr>
        <w:t>mm</w:t>
      </w:r>
      <w:r w:rsidR="00584927">
        <w:rPr>
          <w:rFonts w:asciiTheme="majorHAnsi" w:hAnsiTheme="majorHAnsi" w:cstheme="minorHAnsi"/>
          <w:lang w:bidi="ta-IN"/>
        </w:rPr>
        <w:t xml:space="preserve"> </w:t>
      </w:r>
      <w:r w:rsidRPr="009C78C8">
        <w:rPr>
          <w:rFonts w:asciiTheme="majorHAnsi" w:hAnsiTheme="majorHAnsi" w:cstheme="minorHAnsi"/>
          <w:lang w:bidi="ta-IN"/>
        </w:rPr>
        <w:t>which is supposed to be well distributed throughout the year. Rainfall distribution in the course of the year matters most for sustainable tea production. Fig.</w:t>
      </w:r>
      <w:r w:rsidR="00584927">
        <w:rPr>
          <w:rFonts w:asciiTheme="majorHAnsi" w:hAnsiTheme="majorHAnsi" w:cstheme="minorHAnsi"/>
          <w:lang w:bidi="ta-IN"/>
        </w:rPr>
        <w:t xml:space="preserve"> </w:t>
      </w:r>
      <w:r w:rsidRPr="009C78C8">
        <w:rPr>
          <w:rFonts w:asciiTheme="majorHAnsi" w:hAnsiTheme="majorHAnsi" w:cstheme="minorHAnsi"/>
          <w:lang w:bidi="ta-IN"/>
        </w:rPr>
        <w:t>17 shows the highest, lowest and rainfall trend at the institute.</w:t>
      </w:r>
    </w:p>
    <w:p w14:paraId="006CCDA8" w14:textId="77777777" w:rsidR="009C78C8" w:rsidRPr="009C78C8" w:rsidRDefault="009C78C8" w:rsidP="009C78C8">
      <w:pPr>
        <w:jc w:val="center"/>
        <w:rPr>
          <w:rFonts w:asciiTheme="majorHAnsi" w:hAnsiTheme="majorHAnsi" w:cstheme="minorHAnsi"/>
        </w:rPr>
      </w:pPr>
    </w:p>
    <w:p w14:paraId="691A6784" w14:textId="77777777" w:rsidR="009C78C8" w:rsidRPr="009C78C8" w:rsidRDefault="009C78C8" w:rsidP="009C78C8">
      <w:pPr>
        <w:jc w:val="center"/>
        <w:rPr>
          <w:rFonts w:asciiTheme="majorHAnsi" w:hAnsiTheme="majorHAnsi" w:cstheme="minorHAnsi"/>
        </w:rPr>
      </w:pPr>
      <w:r w:rsidRPr="009C78C8">
        <w:rPr>
          <w:rFonts w:asciiTheme="majorHAnsi" w:hAnsiTheme="majorHAnsi"/>
          <w:noProof/>
        </w:rPr>
        <w:drawing>
          <wp:inline distT="0" distB="0" distL="0" distR="0" wp14:anchorId="5C8417C8" wp14:editId="105535F0">
            <wp:extent cx="5903671" cy="3438525"/>
            <wp:effectExtent l="0" t="0" r="1905" b="9525"/>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0732F7" w14:textId="16C66C47" w:rsidR="009C78C8" w:rsidRPr="00584927" w:rsidRDefault="009C78C8" w:rsidP="00584927">
      <w:pPr>
        <w:ind w:left="630" w:hanging="630"/>
        <w:jc w:val="center"/>
        <w:rPr>
          <w:rFonts w:asciiTheme="majorHAnsi" w:hAnsiTheme="majorHAnsi"/>
          <w:b/>
          <w:sz w:val="20"/>
          <w:szCs w:val="20"/>
        </w:rPr>
      </w:pPr>
      <w:r w:rsidRPr="00584927">
        <w:rPr>
          <w:rFonts w:asciiTheme="majorHAnsi" w:hAnsiTheme="majorHAnsi"/>
          <w:b/>
          <w:sz w:val="20"/>
          <w:szCs w:val="20"/>
        </w:rPr>
        <w:t>Fig</w:t>
      </w:r>
      <w:r w:rsidR="00584927" w:rsidRPr="00584927">
        <w:rPr>
          <w:rFonts w:asciiTheme="majorHAnsi" w:hAnsiTheme="majorHAnsi"/>
          <w:b/>
          <w:sz w:val="20"/>
          <w:szCs w:val="20"/>
        </w:rPr>
        <w:t xml:space="preserve"> </w:t>
      </w:r>
      <w:r w:rsidRPr="00584927">
        <w:rPr>
          <w:rFonts w:asciiTheme="majorHAnsi" w:hAnsiTheme="majorHAnsi"/>
          <w:b/>
          <w:sz w:val="20"/>
          <w:szCs w:val="20"/>
        </w:rPr>
        <w:fldChar w:fldCharType="begin"/>
      </w:r>
      <w:r w:rsidRPr="00584927">
        <w:rPr>
          <w:rFonts w:asciiTheme="majorHAnsi" w:hAnsiTheme="majorHAnsi"/>
          <w:b/>
          <w:sz w:val="20"/>
          <w:szCs w:val="20"/>
        </w:rPr>
        <w:instrText xml:space="preserve"> SEQ Figure \* ARABIC </w:instrText>
      </w:r>
      <w:r w:rsidRPr="00584927">
        <w:rPr>
          <w:rFonts w:asciiTheme="majorHAnsi" w:hAnsiTheme="majorHAnsi"/>
          <w:b/>
          <w:sz w:val="20"/>
          <w:szCs w:val="20"/>
        </w:rPr>
        <w:fldChar w:fldCharType="separate"/>
      </w:r>
      <w:r w:rsidRPr="00584927">
        <w:rPr>
          <w:rFonts w:asciiTheme="majorHAnsi" w:hAnsiTheme="majorHAnsi"/>
          <w:b/>
          <w:sz w:val="20"/>
          <w:szCs w:val="20"/>
        </w:rPr>
        <w:t>1</w:t>
      </w:r>
      <w:r w:rsidRPr="00584927">
        <w:rPr>
          <w:rFonts w:asciiTheme="majorHAnsi" w:hAnsiTheme="majorHAnsi"/>
          <w:b/>
          <w:sz w:val="20"/>
          <w:szCs w:val="20"/>
        </w:rPr>
        <w:fldChar w:fldCharType="end"/>
      </w:r>
      <w:r w:rsidRPr="00584927">
        <w:rPr>
          <w:rFonts w:asciiTheme="majorHAnsi" w:hAnsiTheme="majorHAnsi"/>
          <w:b/>
          <w:sz w:val="20"/>
          <w:szCs w:val="20"/>
        </w:rPr>
        <w:t>7</w:t>
      </w:r>
      <w:r w:rsidR="00584927" w:rsidRPr="00584927">
        <w:rPr>
          <w:rFonts w:asciiTheme="majorHAnsi" w:hAnsiTheme="majorHAnsi"/>
          <w:b/>
          <w:sz w:val="20"/>
          <w:szCs w:val="20"/>
        </w:rPr>
        <w:t>.</w:t>
      </w:r>
      <w:r w:rsidRPr="00584927">
        <w:rPr>
          <w:rFonts w:asciiTheme="majorHAnsi" w:hAnsiTheme="majorHAnsi"/>
          <w:b/>
          <w:sz w:val="20"/>
          <w:szCs w:val="20"/>
        </w:rPr>
        <w:t xml:space="preserve"> Rainfall trend at </w:t>
      </w:r>
      <w:proofErr w:type="spellStart"/>
      <w:r w:rsidRPr="00584927">
        <w:rPr>
          <w:rFonts w:asciiTheme="majorHAnsi" w:hAnsiTheme="majorHAnsi"/>
          <w:b/>
          <w:sz w:val="20"/>
          <w:szCs w:val="20"/>
        </w:rPr>
        <w:t>Timbilil</w:t>
      </w:r>
      <w:proofErr w:type="spellEnd"/>
      <w:r w:rsidRPr="00584927">
        <w:rPr>
          <w:rFonts w:asciiTheme="majorHAnsi" w:hAnsiTheme="majorHAnsi"/>
          <w:b/>
          <w:sz w:val="20"/>
          <w:szCs w:val="20"/>
        </w:rPr>
        <w:t xml:space="preserve"> Agro-meteorological station</w:t>
      </w:r>
    </w:p>
    <w:p w14:paraId="423AED45" w14:textId="77777777" w:rsidR="009C78C8" w:rsidRPr="009C78C8" w:rsidRDefault="009C78C8" w:rsidP="009C78C8">
      <w:pPr>
        <w:rPr>
          <w:rFonts w:asciiTheme="majorHAnsi" w:hAnsiTheme="majorHAnsi"/>
        </w:rPr>
      </w:pPr>
    </w:p>
    <w:p w14:paraId="69AD4B1A" w14:textId="77777777" w:rsidR="009C78C8" w:rsidRPr="009C78C8" w:rsidRDefault="009C78C8" w:rsidP="009C78C8">
      <w:pPr>
        <w:rPr>
          <w:rFonts w:asciiTheme="majorHAnsi" w:hAnsiTheme="majorHAnsi"/>
        </w:rPr>
      </w:pPr>
    </w:p>
    <w:p w14:paraId="382718E2" w14:textId="77777777" w:rsidR="009C78C8" w:rsidRPr="009C78C8" w:rsidRDefault="009C78C8" w:rsidP="009C78C8">
      <w:pPr>
        <w:jc w:val="both"/>
        <w:rPr>
          <w:rFonts w:asciiTheme="majorHAnsi" w:hAnsiTheme="majorHAnsi" w:cstheme="minorHAnsi"/>
          <w:lang w:bidi="ta-IN"/>
        </w:rPr>
      </w:pPr>
      <w:r w:rsidRPr="009C78C8">
        <w:rPr>
          <w:rFonts w:asciiTheme="majorHAnsi" w:hAnsiTheme="majorHAnsi" w:cstheme="minorHAnsi"/>
          <w:lang w:bidi="ta-IN"/>
        </w:rPr>
        <w:t xml:space="preserve">Even though there is no significant trend in annual rainfall, the rain days are indicating significantly decreasing trends as depicted in Fig.18. Up to 45.45% of the variation in rain days is attributed to change in time. Currently, we receive heavy rainfall within a short period of time hence equating with the previous totals which were rather well distributed throughout the year.   </w:t>
      </w:r>
    </w:p>
    <w:p w14:paraId="4EF27A48" w14:textId="77777777" w:rsidR="009C78C8" w:rsidRPr="009C78C8" w:rsidRDefault="009C78C8" w:rsidP="009C78C8">
      <w:pPr>
        <w:pStyle w:val="Caption"/>
        <w:rPr>
          <w:rFonts w:asciiTheme="majorHAnsi" w:hAnsiTheme="majorHAnsi"/>
          <w:b/>
          <w:sz w:val="24"/>
        </w:rPr>
      </w:pPr>
    </w:p>
    <w:p w14:paraId="4749F060" w14:textId="77777777" w:rsidR="009C78C8" w:rsidRPr="009C78C8" w:rsidRDefault="009C78C8" w:rsidP="009C78C8">
      <w:pPr>
        <w:pStyle w:val="Caption"/>
        <w:rPr>
          <w:rFonts w:asciiTheme="majorHAnsi" w:hAnsiTheme="majorHAnsi"/>
          <w:b/>
          <w:sz w:val="24"/>
        </w:rPr>
      </w:pPr>
      <w:r w:rsidRPr="009C78C8">
        <w:rPr>
          <w:rFonts w:asciiTheme="majorHAnsi" w:hAnsiTheme="majorHAnsi"/>
          <w:noProof/>
          <w:sz w:val="24"/>
        </w:rPr>
        <w:lastRenderedPageBreak/>
        <w:drawing>
          <wp:inline distT="0" distB="0" distL="0" distR="0" wp14:anchorId="27C484B7" wp14:editId="39241EAC">
            <wp:extent cx="5866410" cy="3108399"/>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1323" cy="3105703"/>
                    </a:xfrm>
                    <a:prstGeom prst="rect">
                      <a:avLst/>
                    </a:prstGeom>
                    <a:noFill/>
                  </pic:spPr>
                </pic:pic>
              </a:graphicData>
            </a:graphic>
          </wp:inline>
        </w:drawing>
      </w:r>
    </w:p>
    <w:p w14:paraId="7A977301" w14:textId="00F0EB90" w:rsidR="009C78C8" w:rsidRPr="00584927" w:rsidRDefault="009C78C8" w:rsidP="00584927">
      <w:pPr>
        <w:ind w:left="630" w:hanging="630"/>
        <w:jc w:val="center"/>
        <w:rPr>
          <w:rFonts w:asciiTheme="majorHAnsi" w:hAnsiTheme="majorHAnsi"/>
          <w:b/>
          <w:sz w:val="20"/>
          <w:szCs w:val="20"/>
        </w:rPr>
      </w:pPr>
      <w:r w:rsidRPr="00584927">
        <w:rPr>
          <w:rFonts w:asciiTheme="majorHAnsi" w:hAnsiTheme="majorHAnsi"/>
          <w:b/>
          <w:sz w:val="20"/>
          <w:szCs w:val="20"/>
        </w:rPr>
        <w:t>Fig</w:t>
      </w:r>
      <w:r w:rsidR="00584927" w:rsidRPr="00584927">
        <w:rPr>
          <w:rFonts w:asciiTheme="majorHAnsi" w:hAnsiTheme="majorHAnsi"/>
          <w:b/>
          <w:sz w:val="20"/>
          <w:szCs w:val="20"/>
        </w:rPr>
        <w:t xml:space="preserve"> </w:t>
      </w:r>
      <w:r w:rsidRPr="00584927">
        <w:rPr>
          <w:rFonts w:asciiTheme="majorHAnsi" w:hAnsiTheme="majorHAnsi"/>
          <w:b/>
          <w:sz w:val="20"/>
          <w:szCs w:val="20"/>
        </w:rPr>
        <w:t>18</w:t>
      </w:r>
      <w:r w:rsidR="00584927" w:rsidRPr="00584927">
        <w:rPr>
          <w:rFonts w:asciiTheme="majorHAnsi" w:hAnsiTheme="majorHAnsi"/>
          <w:b/>
          <w:sz w:val="20"/>
          <w:szCs w:val="20"/>
        </w:rPr>
        <w:t>.</w:t>
      </w:r>
      <w:r w:rsidRPr="00584927">
        <w:rPr>
          <w:rFonts w:asciiTheme="majorHAnsi" w:hAnsiTheme="majorHAnsi"/>
          <w:b/>
          <w:sz w:val="20"/>
          <w:szCs w:val="20"/>
        </w:rPr>
        <w:t xml:space="preserve"> Annual rain days at </w:t>
      </w:r>
      <w:proofErr w:type="spellStart"/>
      <w:r w:rsidRPr="00584927">
        <w:rPr>
          <w:rFonts w:asciiTheme="majorHAnsi" w:hAnsiTheme="majorHAnsi"/>
          <w:b/>
          <w:sz w:val="20"/>
          <w:szCs w:val="20"/>
        </w:rPr>
        <w:t>Timbilil</w:t>
      </w:r>
      <w:proofErr w:type="spellEnd"/>
      <w:r w:rsidRPr="00584927">
        <w:rPr>
          <w:rFonts w:asciiTheme="majorHAnsi" w:hAnsiTheme="majorHAnsi"/>
          <w:b/>
          <w:sz w:val="20"/>
          <w:szCs w:val="20"/>
        </w:rPr>
        <w:t xml:space="preserve"> Agro-meteorological station</w:t>
      </w:r>
    </w:p>
    <w:p w14:paraId="409FC286" w14:textId="24EBBDCD" w:rsidR="009C78C8" w:rsidRPr="00584927" w:rsidRDefault="009C78C8" w:rsidP="009C78C8">
      <w:pPr>
        <w:pStyle w:val="Caption"/>
        <w:rPr>
          <w:rFonts w:asciiTheme="majorHAnsi" w:hAnsiTheme="majorHAnsi" w:cstheme="minorHAnsi"/>
          <w:b/>
          <w:sz w:val="24"/>
        </w:rPr>
      </w:pPr>
      <w:r w:rsidRPr="00584927">
        <w:rPr>
          <w:rFonts w:asciiTheme="majorHAnsi" w:hAnsiTheme="majorHAnsi" w:cstheme="minorHAnsi"/>
          <w:b/>
          <w:sz w:val="24"/>
        </w:rPr>
        <w:t>Temperature</w:t>
      </w:r>
      <w:r w:rsidR="00584927">
        <w:rPr>
          <w:rFonts w:asciiTheme="majorHAnsi" w:hAnsiTheme="majorHAnsi" w:cstheme="minorHAnsi"/>
          <w:b/>
          <w:sz w:val="24"/>
        </w:rPr>
        <w:t>s</w:t>
      </w:r>
    </w:p>
    <w:p w14:paraId="4BF663F3" w14:textId="77777777" w:rsidR="009C78C8" w:rsidRPr="009C78C8" w:rsidRDefault="009C78C8" w:rsidP="009C78C8">
      <w:pPr>
        <w:jc w:val="both"/>
        <w:rPr>
          <w:rFonts w:asciiTheme="majorHAnsi" w:hAnsiTheme="majorHAnsi" w:cstheme="minorHAnsi"/>
        </w:rPr>
      </w:pPr>
      <w:r w:rsidRPr="009C78C8">
        <w:rPr>
          <w:rFonts w:asciiTheme="majorHAnsi" w:hAnsiTheme="majorHAnsi" w:cstheme="minorHAnsi"/>
        </w:rPr>
        <w:t>Tea requires temperature range of 13⁰C to 30⁰C provided moisture is not limiting with optimal temperature at 24⁰C. However, the long term data analysis of temperature indicated that high tea yields occur in environments of temperature of above 16.25⁰C. There is evidence of warming conditions in Kenya over time and this is evident from the long-term data which indicates an increase of 0.02⁰C. The year 2016 demonstrated the warmest year with mean annual temperature of 17.5⁰C (Fig.19). With such prevailing conditions coupled with minimal rainfall received in the same year (Fig.12), then there is a likely scenario that could suppress crop yields.</w:t>
      </w:r>
    </w:p>
    <w:p w14:paraId="46652FE1" w14:textId="77777777" w:rsidR="009C78C8" w:rsidRPr="009C78C8" w:rsidRDefault="009C78C8" w:rsidP="009C78C8">
      <w:pPr>
        <w:jc w:val="both"/>
        <w:rPr>
          <w:rFonts w:asciiTheme="majorHAnsi" w:hAnsiTheme="majorHAnsi"/>
          <w:b/>
          <w:i/>
          <w:noProof/>
        </w:rPr>
      </w:pPr>
    </w:p>
    <w:p w14:paraId="32EA92F8" w14:textId="77777777" w:rsidR="009C78C8" w:rsidRPr="009C78C8" w:rsidRDefault="009C78C8" w:rsidP="009C78C8">
      <w:pPr>
        <w:jc w:val="both"/>
        <w:rPr>
          <w:rFonts w:asciiTheme="majorHAnsi" w:hAnsiTheme="majorHAnsi"/>
        </w:rPr>
      </w:pPr>
      <w:r w:rsidRPr="009C78C8">
        <w:rPr>
          <w:rFonts w:asciiTheme="majorHAnsi" w:hAnsiTheme="majorHAnsi"/>
          <w:b/>
          <w:i/>
          <w:noProof/>
        </w:rPr>
        <w:drawing>
          <wp:inline distT="0" distB="0" distL="0" distR="0" wp14:anchorId="39B97D2F" wp14:editId="1C043F9B">
            <wp:extent cx="5545777" cy="2449337"/>
            <wp:effectExtent l="0" t="0" r="0" b="8255"/>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5081" cy="2462280"/>
                    </a:xfrm>
                    <a:prstGeom prst="rect">
                      <a:avLst/>
                    </a:prstGeom>
                    <a:noFill/>
                  </pic:spPr>
                </pic:pic>
              </a:graphicData>
            </a:graphic>
          </wp:inline>
        </w:drawing>
      </w:r>
    </w:p>
    <w:p w14:paraId="6C1511D4" w14:textId="3E7C4F9D" w:rsidR="009C78C8" w:rsidRPr="00584927" w:rsidRDefault="009C78C8" w:rsidP="00584927">
      <w:pPr>
        <w:ind w:left="630" w:hanging="630"/>
        <w:jc w:val="center"/>
        <w:rPr>
          <w:rFonts w:asciiTheme="majorHAnsi" w:hAnsiTheme="majorHAnsi"/>
          <w:b/>
          <w:sz w:val="20"/>
          <w:szCs w:val="20"/>
        </w:rPr>
      </w:pPr>
      <w:r w:rsidRPr="00584927">
        <w:rPr>
          <w:rFonts w:asciiTheme="majorHAnsi" w:hAnsiTheme="majorHAnsi"/>
          <w:b/>
          <w:sz w:val="20"/>
          <w:szCs w:val="20"/>
        </w:rPr>
        <w:t>Fig</w:t>
      </w:r>
      <w:r w:rsidR="00584927">
        <w:rPr>
          <w:rFonts w:asciiTheme="majorHAnsi" w:hAnsiTheme="majorHAnsi"/>
          <w:b/>
          <w:sz w:val="20"/>
          <w:szCs w:val="20"/>
        </w:rPr>
        <w:t xml:space="preserve"> </w:t>
      </w:r>
      <w:r w:rsidRPr="00584927">
        <w:rPr>
          <w:rFonts w:asciiTheme="majorHAnsi" w:hAnsiTheme="majorHAnsi"/>
          <w:b/>
          <w:sz w:val="20"/>
          <w:szCs w:val="20"/>
        </w:rPr>
        <w:t>19</w:t>
      </w:r>
      <w:r w:rsidR="00584927">
        <w:rPr>
          <w:rFonts w:asciiTheme="majorHAnsi" w:hAnsiTheme="majorHAnsi"/>
          <w:b/>
          <w:sz w:val="20"/>
          <w:szCs w:val="20"/>
        </w:rPr>
        <w:t>.</w:t>
      </w:r>
      <w:r w:rsidRPr="00584927">
        <w:rPr>
          <w:rFonts w:asciiTheme="majorHAnsi" w:hAnsiTheme="majorHAnsi"/>
          <w:b/>
          <w:sz w:val="20"/>
          <w:szCs w:val="20"/>
        </w:rPr>
        <w:t xml:space="preserve"> Annual mean air temperature at </w:t>
      </w:r>
      <w:proofErr w:type="spellStart"/>
      <w:r w:rsidRPr="00584927">
        <w:rPr>
          <w:rFonts w:asciiTheme="majorHAnsi" w:hAnsiTheme="majorHAnsi"/>
          <w:b/>
          <w:sz w:val="20"/>
          <w:szCs w:val="20"/>
        </w:rPr>
        <w:t>Timbilil</w:t>
      </w:r>
      <w:proofErr w:type="spellEnd"/>
      <w:r w:rsidRPr="00584927">
        <w:rPr>
          <w:rFonts w:asciiTheme="majorHAnsi" w:hAnsiTheme="majorHAnsi"/>
          <w:b/>
          <w:sz w:val="20"/>
          <w:szCs w:val="20"/>
        </w:rPr>
        <w:t xml:space="preserve"> Agro-meteorological station</w:t>
      </w:r>
    </w:p>
    <w:p w14:paraId="7F59D4C5" w14:textId="77777777" w:rsidR="009C78C8" w:rsidRPr="009C78C8" w:rsidRDefault="009C78C8" w:rsidP="009C78C8">
      <w:pPr>
        <w:rPr>
          <w:rFonts w:asciiTheme="majorHAnsi" w:hAnsiTheme="majorHAnsi" w:cstheme="minorHAnsi"/>
          <w:b/>
          <w:i/>
        </w:rPr>
      </w:pPr>
    </w:p>
    <w:p w14:paraId="344472FE" w14:textId="77777777" w:rsidR="009C78C8" w:rsidRPr="009C78C8" w:rsidRDefault="009C78C8" w:rsidP="009C78C8">
      <w:pPr>
        <w:rPr>
          <w:rFonts w:asciiTheme="majorHAnsi" w:hAnsiTheme="majorHAnsi" w:cstheme="minorHAnsi"/>
          <w:b/>
          <w:i/>
        </w:rPr>
      </w:pPr>
    </w:p>
    <w:p w14:paraId="40FC43A1" w14:textId="04434CF3" w:rsidR="009C78C8" w:rsidRPr="009C78C8" w:rsidRDefault="009C78C8" w:rsidP="009C78C8">
      <w:pPr>
        <w:rPr>
          <w:rFonts w:asciiTheme="majorHAnsi" w:hAnsiTheme="majorHAnsi" w:cstheme="minorHAnsi"/>
          <w:b/>
          <w:i/>
        </w:rPr>
      </w:pPr>
      <w:r w:rsidRPr="009C78C8">
        <w:rPr>
          <w:rFonts w:asciiTheme="majorHAnsi" w:hAnsiTheme="majorHAnsi" w:cstheme="minorHAnsi"/>
          <w:b/>
          <w:i/>
        </w:rPr>
        <w:t xml:space="preserve">Soil </w:t>
      </w:r>
      <w:r w:rsidR="00584927">
        <w:rPr>
          <w:rFonts w:asciiTheme="majorHAnsi" w:hAnsiTheme="majorHAnsi" w:cstheme="minorHAnsi"/>
          <w:b/>
          <w:i/>
        </w:rPr>
        <w:t>w</w:t>
      </w:r>
      <w:r w:rsidRPr="009C78C8">
        <w:rPr>
          <w:rFonts w:asciiTheme="majorHAnsi" w:hAnsiTheme="majorHAnsi" w:cstheme="minorHAnsi"/>
          <w:b/>
          <w:i/>
        </w:rPr>
        <w:t xml:space="preserve">ater </w:t>
      </w:r>
      <w:r w:rsidR="00584927">
        <w:rPr>
          <w:rFonts w:asciiTheme="majorHAnsi" w:hAnsiTheme="majorHAnsi" w:cstheme="minorHAnsi"/>
          <w:b/>
          <w:i/>
        </w:rPr>
        <w:t>d</w:t>
      </w:r>
      <w:r w:rsidRPr="009C78C8">
        <w:rPr>
          <w:rFonts w:asciiTheme="majorHAnsi" w:hAnsiTheme="majorHAnsi" w:cstheme="minorHAnsi"/>
          <w:b/>
          <w:i/>
        </w:rPr>
        <w:t>eficits</w:t>
      </w:r>
    </w:p>
    <w:p w14:paraId="28BB4AA9" w14:textId="77777777" w:rsidR="009C78C8" w:rsidRPr="009C78C8" w:rsidRDefault="009C78C8" w:rsidP="009C78C8">
      <w:pPr>
        <w:rPr>
          <w:rFonts w:asciiTheme="majorHAnsi" w:hAnsiTheme="majorHAnsi" w:cstheme="minorHAnsi"/>
          <w:b/>
          <w:i/>
        </w:rPr>
      </w:pPr>
    </w:p>
    <w:p w14:paraId="342C00B3" w14:textId="77777777" w:rsidR="009C78C8" w:rsidRPr="009C78C8" w:rsidRDefault="009C78C8" w:rsidP="009C78C8">
      <w:pPr>
        <w:jc w:val="both"/>
        <w:rPr>
          <w:rFonts w:asciiTheme="majorHAnsi" w:hAnsiTheme="majorHAnsi" w:cstheme="minorHAnsi"/>
        </w:rPr>
      </w:pPr>
      <w:r w:rsidRPr="009C78C8">
        <w:rPr>
          <w:rFonts w:asciiTheme="majorHAnsi" w:hAnsiTheme="majorHAnsi" w:cstheme="minorHAnsi"/>
        </w:rPr>
        <w:t>This is an indicator of dryness of the soil. Deficiency of water in the soil may lead to water stress in the plant since water loss from the leaves will be higher than absorption rates hence thwarting various physiological. There has been increasing trend in the dryness of the soil with time though not statistically significant. With declining rain days (Fig.18) and increasing temperatures (Fig.19), the effects of increasing dryness of the soil (Fig.20) is likely to result into serious crop yield decline in the tea growing regions.</w:t>
      </w:r>
    </w:p>
    <w:p w14:paraId="17239B90" w14:textId="77777777" w:rsidR="009C78C8" w:rsidRPr="009C78C8" w:rsidRDefault="009C78C8" w:rsidP="009C78C8">
      <w:pPr>
        <w:jc w:val="both"/>
        <w:rPr>
          <w:rFonts w:asciiTheme="majorHAnsi" w:hAnsiTheme="majorHAnsi"/>
        </w:rPr>
      </w:pPr>
    </w:p>
    <w:p w14:paraId="4C139032" w14:textId="77777777" w:rsidR="009C78C8" w:rsidRPr="009C78C8" w:rsidRDefault="009C78C8" w:rsidP="009C78C8">
      <w:pPr>
        <w:jc w:val="both"/>
        <w:rPr>
          <w:rFonts w:asciiTheme="majorHAnsi" w:hAnsiTheme="majorHAnsi"/>
        </w:rPr>
      </w:pPr>
      <w:r w:rsidRPr="009C78C8">
        <w:rPr>
          <w:rFonts w:asciiTheme="majorHAnsi" w:hAnsiTheme="majorHAnsi"/>
          <w:noProof/>
        </w:rPr>
        <w:drawing>
          <wp:inline distT="0" distB="0" distL="0" distR="0" wp14:anchorId="6A08D461" wp14:editId="6FC87A7B">
            <wp:extent cx="5948897" cy="2612572"/>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8332" cy="2621107"/>
                    </a:xfrm>
                    <a:prstGeom prst="rect">
                      <a:avLst/>
                    </a:prstGeom>
                    <a:noFill/>
                  </pic:spPr>
                </pic:pic>
              </a:graphicData>
            </a:graphic>
          </wp:inline>
        </w:drawing>
      </w:r>
    </w:p>
    <w:p w14:paraId="258FA070" w14:textId="597849A1" w:rsidR="009C78C8" w:rsidRPr="00584927" w:rsidRDefault="009C78C8" w:rsidP="00584927">
      <w:pPr>
        <w:ind w:left="630" w:hanging="630"/>
        <w:jc w:val="center"/>
        <w:rPr>
          <w:rFonts w:asciiTheme="majorHAnsi" w:hAnsiTheme="majorHAnsi"/>
          <w:b/>
          <w:sz w:val="20"/>
          <w:szCs w:val="20"/>
        </w:rPr>
      </w:pPr>
      <w:r w:rsidRPr="00584927">
        <w:rPr>
          <w:rFonts w:asciiTheme="majorHAnsi" w:hAnsiTheme="majorHAnsi"/>
          <w:b/>
          <w:sz w:val="20"/>
          <w:szCs w:val="20"/>
        </w:rPr>
        <w:t>Fig</w:t>
      </w:r>
      <w:r w:rsidR="00584927">
        <w:rPr>
          <w:rFonts w:asciiTheme="majorHAnsi" w:hAnsiTheme="majorHAnsi"/>
          <w:b/>
          <w:sz w:val="20"/>
          <w:szCs w:val="20"/>
        </w:rPr>
        <w:t xml:space="preserve"> </w:t>
      </w:r>
      <w:r w:rsidRPr="00584927">
        <w:rPr>
          <w:rFonts w:asciiTheme="majorHAnsi" w:hAnsiTheme="majorHAnsi"/>
          <w:b/>
          <w:sz w:val="20"/>
          <w:szCs w:val="20"/>
        </w:rPr>
        <w:t>20</w:t>
      </w:r>
      <w:r w:rsidR="00584927">
        <w:rPr>
          <w:rFonts w:asciiTheme="majorHAnsi" w:hAnsiTheme="majorHAnsi"/>
          <w:b/>
          <w:sz w:val="20"/>
          <w:szCs w:val="20"/>
        </w:rPr>
        <w:t>.</w:t>
      </w:r>
      <w:r w:rsidRPr="00584927">
        <w:rPr>
          <w:rFonts w:asciiTheme="majorHAnsi" w:hAnsiTheme="majorHAnsi"/>
          <w:b/>
          <w:sz w:val="20"/>
          <w:szCs w:val="20"/>
        </w:rPr>
        <w:t xml:space="preserve"> SWD (mm) at </w:t>
      </w:r>
      <w:proofErr w:type="spellStart"/>
      <w:r w:rsidRPr="00584927">
        <w:rPr>
          <w:rFonts w:asciiTheme="majorHAnsi" w:hAnsiTheme="majorHAnsi"/>
          <w:b/>
          <w:sz w:val="20"/>
          <w:szCs w:val="20"/>
        </w:rPr>
        <w:t>Timbilil</w:t>
      </w:r>
      <w:proofErr w:type="spellEnd"/>
      <w:r w:rsidRPr="00584927">
        <w:rPr>
          <w:rFonts w:asciiTheme="majorHAnsi" w:hAnsiTheme="majorHAnsi"/>
          <w:b/>
          <w:sz w:val="20"/>
          <w:szCs w:val="20"/>
        </w:rPr>
        <w:t xml:space="preserve"> Agro-meteorological station</w:t>
      </w:r>
    </w:p>
    <w:p w14:paraId="120AAD1A" w14:textId="77777777" w:rsidR="009C78C8" w:rsidRPr="009C78C8" w:rsidRDefault="009C78C8" w:rsidP="009C78C8">
      <w:pPr>
        <w:rPr>
          <w:rFonts w:asciiTheme="majorHAnsi" w:hAnsiTheme="majorHAnsi"/>
        </w:rPr>
      </w:pPr>
    </w:p>
    <w:p w14:paraId="3E9F6BB4" w14:textId="0C5DACE1" w:rsidR="009C78C8" w:rsidRPr="009C78C8" w:rsidRDefault="00584927" w:rsidP="009C78C8">
      <w:pPr>
        <w:jc w:val="both"/>
        <w:rPr>
          <w:rFonts w:asciiTheme="majorHAnsi" w:hAnsiTheme="majorHAnsi" w:cstheme="minorHAnsi"/>
          <w:b/>
          <w:i/>
        </w:rPr>
      </w:pPr>
      <w:r>
        <w:rPr>
          <w:rFonts w:asciiTheme="majorHAnsi" w:hAnsiTheme="majorHAnsi" w:cstheme="minorHAnsi"/>
          <w:b/>
          <w:i/>
        </w:rPr>
        <w:t>Frost, hail incidences and c</w:t>
      </w:r>
      <w:r w:rsidR="009C78C8" w:rsidRPr="009C78C8">
        <w:rPr>
          <w:rFonts w:asciiTheme="majorHAnsi" w:hAnsiTheme="majorHAnsi" w:cstheme="minorHAnsi"/>
          <w:b/>
          <w:i/>
        </w:rPr>
        <w:t>rop losses</w:t>
      </w:r>
    </w:p>
    <w:p w14:paraId="04F3A725" w14:textId="77777777" w:rsidR="009C78C8" w:rsidRPr="009C78C8" w:rsidRDefault="009C78C8" w:rsidP="009C78C8">
      <w:pPr>
        <w:jc w:val="both"/>
        <w:rPr>
          <w:rFonts w:asciiTheme="majorHAnsi" w:hAnsiTheme="majorHAnsi" w:cstheme="minorHAnsi"/>
        </w:rPr>
      </w:pPr>
    </w:p>
    <w:p w14:paraId="125FE640" w14:textId="77777777" w:rsidR="009C78C8" w:rsidRPr="009C78C8" w:rsidRDefault="009C78C8" w:rsidP="009C78C8">
      <w:pPr>
        <w:jc w:val="both"/>
        <w:rPr>
          <w:rFonts w:asciiTheme="majorHAnsi" w:hAnsiTheme="majorHAnsi" w:cstheme="minorHAnsi"/>
        </w:rPr>
      </w:pPr>
      <w:r w:rsidRPr="009C78C8">
        <w:rPr>
          <w:rFonts w:asciiTheme="majorHAnsi" w:hAnsiTheme="majorHAnsi" w:cstheme="minorHAnsi"/>
        </w:rPr>
        <w:t xml:space="preserve">There have been irregular frost incidences in the Western part of Kenya, with Nandi County having the highest incidences of up to 84 while </w:t>
      </w:r>
      <w:proofErr w:type="spellStart"/>
      <w:r w:rsidRPr="009C78C8">
        <w:rPr>
          <w:rFonts w:asciiTheme="majorHAnsi" w:hAnsiTheme="majorHAnsi" w:cstheme="minorHAnsi"/>
        </w:rPr>
        <w:t>Kericho</w:t>
      </w:r>
      <w:proofErr w:type="spellEnd"/>
      <w:r w:rsidRPr="009C78C8">
        <w:rPr>
          <w:rFonts w:asciiTheme="majorHAnsi" w:hAnsiTheme="majorHAnsi" w:cstheme="minorHAnsi"/>
        </w:rPr>
        <w:t xml:space="preserve"> had 19. Crop loss as a result of frost in </w:t>
      </w:r>
      <w:proofErr w:type="spellStart"/>
      <w:r w:rsidRPr="009C78C8">
        <w:rPr>
          <w:rFonts w:asciiTheme="majorHAnsi" w:hAnsiTheme="majorHAnsi" w:cstheme="minorHAnsi"/>
        </w:rPr>
        <w:t>Kericho</w:t>
      </w:r>
      <w:proofErr w:type="spellEnd"/>
      <w:r w:rsidRPr="009C78C8">
        <w:rPr>
          <w:rFonts w:asciiTheme="majorHAnsi" w:hAnsiTheme="majorHAnsi" w:cstheme="minorHAnsi"/>
        </w:rPr>
        <w:t xml:space="preserve"> is slightly higher than Nandi with 780,627.50 Kg </w:t>
      </w:r>
      <w:proofErr w:type="spellStart"/>
      <w:r w:rsidRPr="009C78C8">
        <w:rPr>
          <w:rFonts w:asciiTheme="majorHAnsi" w:hAnsiTheme="majorHAnsi" w:cstheme="minorHAnsi"/>
        </w:rPr>
        <w:t>mt</w:t>
      </w:r>
      <w:proofErr w:type="spellEnd"/>
      <w:r w:rsidRPr="009C78C8">
        <w:rPr>
          <w:rFonts w:asciiTheme="majorHAnsi" w:hAnsiTheme="majorHAnsi" w:cstheme="minorHAnsi"/>
        </w:rPr>
        <w:t xml:space="preserve"> and 721,463.30 Kg </w:t>
      </w:r>
      <w:proofErr w:type="spellStart"/>
      <w:r w:rsidRPr="009C78C8">
        <w:rPr>
          <w:rFonts w:asciiTheme="majorHAnsi" w:hAnsiTheme="majorHAnsi" w:cstheme="minorHAnsi"/>
        </w:rPr>
        <w:t>mt</w:t>
      </w:r>
      <w:proofErr w:type="spellEnd"/>
      <w:r w:rsidRPr="009C78C8">
        <w:rPr>
          <w:rFonts w:asciiTheme="majorHAnsi" w:hAnsiTheme="majorHAnsi" w:cstheme="minorHAnsi"/>
        </w:rPr>
        <w:t xml:space="preserve"> lost, respectively (Fig.21). This differential in crop losses can be due to the higher area under tea in </w:t>
      </w:r>
      <w:proofErr w:type="spellStart"/>
      <w:r w:rsidRPr="009C78C8">
        <w:rPr>
          <w:rFonts w:asciiTheme="majorHAnsi" w:hAnsiTheme="majorHAnsi" w:cstheme="minorHAnsi"/>
        </w:rPr>
        <w:t>Kericho</w:t>
      </w:r>
      <w:proofErr w:type="spellEnd"/>
      <w:r w:rsidRPr="009C78C8">
        <w:rPr>
          <w:rFonts w:asciiTheme="majorHAnsi" w:hAnsiTheme="majorHAnsi" w:cstheme="minorHAnsi"/>
        </w:rPr>
        <w:t>.</w:t>
      </w:r>
    </w:p>
    <w:p w14:paraId="0410D462" w14:textId="77777777" w:rsidR="009C78C8" w:rsidRPr="009C78C8" w:rsidRDefault="009C78C8" w:rsidP="009C78C8">
      <w:pPr>
        <w:jc w:val="both"/>
        <w:rPr>
          <w:rFonts w:asciiTheme="majorHAnsi" w:hAnsiTheme="majorHAnsi" w:cstheme="minorHAnsi"/>
        </w:rPr>
      </w:pPr>
    </w:p>
    <w:p w14:paraId="14B070BF" w14:textId="77777777" w:rsidR="009C78C8" w:rsidRPr="009C78C8" w:rsidRDefault="009C78C8" w:rsidP="009C78C8">
      <w:pPr>
        <w:jc w:val="both"/>
        <w:rPr>
          <w:rFonts w:asciiTheme="majorHAnsi" w:hAnsiTheme="majorHAnsi"/>
        </w:rPr>
      </w:pPr>
      <w:r w:rsidRPr="009C78C8">
        <w:rPr>
          <w:rFonts w:asciiTheme="majorHAnsi" w:hAnsiTheme="majorHAnsi"/>
          <w:noProof/>
        </w:rPr>
        <w:lastRenderedPageBreak/>
        <w:drawing>
          <wp:inline distT="0" distB="0" distL="0" distR="0" wp14:anchorId="790FBA70" wp14:editId="6B706155">
            <wp:extent cx="5958729" cy="2924175"/>
            <wp:effectExtent l="19050" t="0" r="3921"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4623" cy="2927067"/>
                    </a:xfrm>
                    <a:prstGeom prst="rect">
                      <a:avLst/>
                    </a:prstGeom>
                    <a:noFill/>
                  </pic:spPr>
                </pic:pic>
              </a:graphicData>
            </a:graphic>
          </wp:inline>
        </w:drawing>
      </w:r>
    </w:p>
    <w:p w14:paraId="4FE20B41" w14:textId="33361DCC" w:rsidR="009C78C8" w:rsidRPr="00584927" w:rsidRDefault="009C78C8" w:rsidP="00584927">
      <w:pPr>
        <w:ind w:left="630" w:hanging="630"/>
        <w:jc w:val="center"/>
        <w:rPr>
          <w:rFonts w:asciiTheme="majorHAnsi" w:hAnsiTheme="majorHAnsi"/>
          <w:b/>
          <w:sz w:val="20"/>
          <w:szCs w:val="20"/>
        </w:rPr>
      </w:pPr>
      <w:r w:rsidRPr="00584927">
        <w:rPr>
          <w:rFonts w:asciiTheme="majorHAnsi" w:hAnsiTheme="majorHAnsi"/>
          <w:b/>
          <w:sz w:val="20"/>
          <w:szCs w:val="20"/>
        </w:rPr>
        <w:t>Fig</w:t>
      </w:r>
      <w:r w:rsidR="00584927">
        <w:rPr>
          <w:rFonts w:asciiTheme="majorHAnsi" w:hAnsiTheme="majorHAnsi"/>
          <w:b/>
          <w:sz w:val="20"/>
          <w:szCs w:val="20"/>
        </w:rPr>
        <w:t xml:space="preserve"> </w:t>
      </w:r>
      <w:r w:rsidRPr="00584927">
        <w:rPr>
          <w:rFonts w:asciiTheme="majorHAnsi" w:hAnsiTheme="majorHAnsi"/>
          <w:b/>
          <w:sz w:val="20"/>
          <w:szCs w:val="20"/>
        </w:rPr>
        <w:t>21</w:t>
      </w:r>
      <w:r w:rsidR="00584927">
        <w:rPr>
          <w:rFonts w:asciiTheme="majorHAnsi" w:hAnsiTheme="majorHAnsi"/>
          <w:b/>
          <w:sz w:val="20"/>
          <w:szCs w:val="20"/>
        </w:rPr>
        <w:t>.</w:t>
      </w:r>
      <w:r w:rsidRPr="00584927">
        <w:rPr>
          <w:rFonts w:asciiTheme="majorHAnsi" w:hAnsiTheme="majorHAnsi"/>
          <w:b/>
          <w:sz w:val="20"/>
          <w:szCs w:val="20"/>
        </w:rPr>
        <w:t xml:space="preserve"> Frost incidences and associated crop loss in Western Kenya</w:t>
      </w:r>
    </w:p>
    <w:p w14:paraId="2DD69B79" w14:textId="77777777" w:rsidR="009C78C8" w:rsidRPr="009C78C8" w:rsidRDefault="009C78C8" w:rsidP="009C78C8">
      <w:pPr>
        <w:jc w:val="center"/>
        <w:rPr>
          <w:rFonts w:asciiTheme="majorHAnsi" w:hAnsiTheme="majorHAnsi"/>
        </w:rPr>
      </w:pPr>
    </w:p>
    <w:p w14:paraId="1D174926" w14:textId="77777777" w:rsidR="009C78C8" w:rsidRPr="009C78C8" w:rsidRDefault="009C78C8" w:rsidP="009C78C8">
      <w:pPr>
        <w:jc w:val="both"/>
        <w:rPr>
          <w:rFonts w:asciiTheme="majorHAnsi" w:hAnsiTheme="majorHAnsi" w:cstheme="minorHAnsi"/>
        </w:rPr>
      </w:pPr>
      <w:r w:rsidRPr="009C78C8">
        <w:rPr>
          <w:rFonts w:asciiTheme="majorHAnsi" w:hAnsiTheme="majorHAnsi" w:cstheme="minorHAnsi"/>
        </w:rPr>
        <w:t xml:space="preserve">Hail is another great challenge to tea cultivation in the western Kenya (Fig.22). However, both incidences and crop losses are on the decline. When compared with crop losses due to frost, hail results into ten times more crop loss. Nonetheless, by breaking the leaves and branches of the plant, hail acts as a light </w:t>
      </w:r>
      <w:proofErr w:type="spellStart"/>
      <w:r w:rsidRPr="009C78C8">
        <w:rPr>
          <w:rFonts w:asciiTheme="majorHAnsi" w:hAnsiTheme="majorHAnsi" w:cstheme="minorHAnsi"/>
        </w:rPr>
        <w:t>skiffing</w:t>
      </w:r>
      <w:proofErr w:type="spellEnd"/>
      <w:r w:rsidRPr="009C78C8">
        <w:rPr>
          <w:rFonts w:asciiTheme="majorHAnsi" w:hAnsiTheme="majorHAnsi" w:cstheme="minorHAnsi"/>
        </w:rPr>
        <w:t xml:space="preserve"> operation on the bushes and the following yields will be adequate to compensate for the missed plucking rounds as opposed to frost damage. The size of hail stones and duration of each incident also determines the crop loss. The tiny pellets of hail are more destructive to tea leaves than the large sized pieces.</w:t>
      </w:r>
    </w:p>
    <w:p w14:paraId="215E08A1" w14:textId="77777777" w:rsidR="009C78C8" w:rsidRPr="009C78C8" w:rsidRDefault="009C78C8" w:rsidP="009C78C8">
      <w:pPr>
        <w:jc w:val="both"/>
        <w:rPr>
          <w:rFonts w:asciiTheme="majorHAnsi" w:hAnsiTheme="majorHAnsi"/>
        </w:rPr>
      </w:pPr>
    </w:p>
    <w:p w14:paraId="2F7DC974" w14:textId="77777777" w:rsidR="009C78C8" w:rsidRPr="009C78C8" w:rsidRDefault="009C78C8" w:rsidP="009C78C8">
      <w:pPr>
        <w:jc w:val="both"/>
        <w:rPr>
          <w:rFonts w:asciiTheme="majorHAnsi" w:hAnsiTheme="majorHAnsi"/>
        </w:rPr>
      </w:pPr>
      <w:r w:rsidRPr="009C78C8">
        <w:rPr>
          <w:rFonts w:asciiTheme="majorHAnsi" w:hAnsiTheme="majorHAnsi"/>
          <w:noProof/>
        </w:rPr>
        <w:drawing>
          <wp:inline distT="0" distB="0" distL="0" distR="0" wp14:anchorId="5152E374" wp14:editId="73ECB06E">
            <wp:extent cx="6110605" cy="274320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8081" cy="2760024"/>
                    </a:xfrm>
                    <a:prstGeom prst="rect">
                      <a:avLst/>
                    </a:prstGeom>
                    <a:noFill/>
                  </pic:spPr>
                </pic:pic>
              </a:graphicData>
            </a:graphic>
          </wp:inline>
        </w:drawing>
      </w:r>
    </w:p>
    <w:p w14:paraId="07A62D21" w14:textId="57624EF8" w:rsidR="009C78C8" w:rsidRPr="00584927" w:rsidRDefault="009C78C8" w:rsidP="00584927">
      <w:pPr>
        <w:ind w:left="630" w:hanging="630"/>
        <w:jc w:val="center"/>
        <w:rPr>
          <w:rFonts w:asciiTheme="majorHAnsi" w:hAnsiTheme="majorHAnsi"/>
          <w:b/>
          <w:sz w:val="20"/>
          <w:szCs w:val="20"/>
        </w:rPr>
      </w:pPr>
      <w:r w:rsidRPr="00584927">
        <w:rPr>
          <w:rFonts w:asciiTheme="majorHAnsi" w:hAnsiTheme="majorHAnsi"/>
          <w:b/>
          <w:sz w:val="20"/>
          <w:szCs w:val="20"/>
        </w:rPr>
        <w:t>Fig</w:t>
      </w:r>
      <w:r w:rsidR="00584927">
        <w:rPr>
          <w:rFonts w:asciiTheme="majorHAnsi" w:hAnsiTheme="majorHAnsi"/>
          <w:b/>
          <w:sz w:val="20"/>
          <w:szCs w:val="20"/>
        </w:rPr>
        <w:t xml:space="preserve"> </w:t>
      </w:r>
      <w:r w:rsidRPr="00584927">
        <w:rPr>
          <w:rFonts w:asciiTheme="majorHAnsi" w:hAnsiTheme="majorHAnsi"/>
          <w:b/>
          <w:sz w:val="20"/>
          <w:szCs w:val="20"/>
        </w:rPr>
        <w:t>22</w:t>
      </w:r>
      <w:r w:rsidR="00584927">
        <w:rPr>
          <w:rFonts w:asciiTheme="majorHAnsi" w:hAnsiTheme="majorHAnsi"/>
          <w:b/>
          <w:sz w:val="20"/>
          <w:szCs w:val="20"/>
        </w:rPr>
        <w:t xml:space="preserve">. Hail </w:t>
      </w:r>
      <w:r w:rsidRPr="00584927">
        <w:rPr>
          <w:rFonts w:asciiTheme="majorHAnsi" w:hAnsiTheme="majorHAnsi"/>
          <w:b/>
          <w:sz w:val="20"/>
          <w:szCs w:val="20"/>
        </w:rPr>
        <w:t>damage and associated crop losses in the West of Rift Valley.</w:t>
      </w:r>
    </w:p>
    <w:p w14:paraId="0D1DF121" w14:textId="77777777" w:rsidR="009C78C8" w:rsidRPr="009C78C8" w:rsidRDefault="009C78C8" w:rsidP="009C78C8">
      <w:pPr>
        <w:rPr>
          <w:rFonts w:asciiTheme="majorHAnsi" w:hAnsiTheme="majorHAnsi"/>
        </w:rPr>
      </w:pPr>
    </w:p>
    <w:p w14:paraId="50B843EC" w14:textId="77777777" w:rsidR="009C78C8" w:rsidRPr="009C78C8" w:rsidRDefault="009C78C8" w:rsidP="009C78C8">
      <w:pPr>
        <w:jc w:val="both"/>
        <w:rPr>
          <w:rFonts w:asciiTheme="majorHAnsi" w:hAnsiTheme="majorHAnsi" w:cstheme="minorHAnsi"/>
          <w:b/>
          <w:i/>
        </w:rPr>
      </w:pPr>
    </w:p>
    <w:p w14:paraId="4C33C4BE" w14:textId="77777777" w:rsidR="00584927" w:rsidRDefault="00584927">
      <w:pPr>
        <w:rPr>
          <w:rFonts w:asciiTheme="majorHAnsi" w:hAnsiTheme="majorHAnsi" w:cstheme="minorHAnsi"/>
          <w:b/>
          <w:i/>
        </w:rPr>
      </w:pPr>
      <w:r>
        <w:rPr>
          <w:rFonts w:asciiTheme="majorHAnsi" w:hAnsiTheme="majorHAnsi" w:cstheme="minorHAnsi"/>
          <w:b/>
          <w:i/>
        </w:rPr>
        <w:br w:type="page"/>
      </w:r>
    </w:p>
    <w:p w14:paraId="481292C5" w14:textId="717C64CB" w:rsidR="009C78C8" w:rsidRPr="009C78C8" w:rsidRDefault="009C78C8" w:rsidP="009C78C8">
      <w:pPr>
        <w:jc w:val="both"/>
        <w:rPr>
          <w:rFonts w:asciiTheme="majorHAnsi" w:hAnsiTheme="majorHAnsi" w:cstheme="minorHAnsi"/>
          <w:b/>
          <w:i/>
        </w:rPr>
      </w:pPr>
      <w:r w:rsidRPr="009C78C8">
        <w:rPr>
          <w:rFonts w:asciiTheme="majorHAnsi" w:hAnsiTheme="majorHAnsi" w:cstheme="minorHAnsi"/>
          <w:b/>
          <w:i/>
        </w:rPr>
        <w:lastRenderedPageBreak/>
        <w:t>Mitigation and adaptation strategies</w:t>
      </w:r>
    </w:p>
    <w:p w14:paraId="0B9567D6" w14:textId="77777777" w:rsidR="009C78C8" w:rsidRPr="009C78C8" w:rsidRDefault="009C78C8" w:rsidP="009C78C8">
      <w:pPr>
        <w:jc w:val="both"/>
        <w:rPr>
          <w:rFonts w:asciiTheme="majorHAnsi" w:hAnsiTheme="majorHAnsi" w:cstheme="minorHAnsi"/>
        </w:rPr>
      </w:pPr>
    </w:p>
    <w:p w14:paraId="7DBD2F2A" w14:textId="77777777" w:rsidR="009C78C8" w:rsidRPr="009C78C8" w:rsidRDefault="009C78C8" w:rsidP="009C78C8">
      <w:pPr>
        <w:jc w:val="both"/>
        <w:rPr>
          <w:rFonts w:asciiTheme="majorHAnsi" w:hAnsiTheme="majorHAnsi" w:cstheme="minorHAnsi"/>
        </w:rPr>
      </w:pPr>
      <w:r w:rsidRPr="009C78C8">
        <w:rPr>
          <w:rFonts w:asciiTheme="majorHAnsi" w:hAnsiTheme="majorHAnsi" w:cstheme="minorHAnsi"/>
        </w:rPr>
        <w:t>In order to assist tea farmers adapt to the changing trends in weather parameters within the tea producing regions, Tea Research Institute has been involved in various activities and programmes as outlined below:</w:t>
      </w:r>
    </w:p>
    <w:p w14:paraId="5DC767D3" w14:textId="77777777" w:rsidR="009C78C8" w:rsidRPr="009C78C8" w:rsidRDefault="009C78C8" w:rsidP="009C78C8">
      <w:pPr>
        <w:pStyle w:val="ListParagraph"/>
        <w:spacing w:line="240" w:lineRule="auto"/>
        <w:jc w:val="both"/>
        <w:rPr>
          <w:rFonts w:asciiTheme="majorHAnsi" w:hAnsiTheme="majorHAnsi" w:cstheme="minorHAnsi"/>
          <w:i/>
          <w:sz w:val="24"/>
          <w:szCs w:val="24"/>
        </w:rPr>
      </w:pPr>
    </w:p>
    <w:p w14:paraId="45E6F660" w14:textId="77777777" w:rsidR="009C78C8" w:rsidRPr="009C78C8" w:rsidRDefault="009C78C8" w:rsidP="009C78C8">
      <w:pPr>
        <w:pStyle w:val="ListParagraph"/>
        <w:spacing w:line="240" w:lineRule="auto"/>
        <w:jc w:val="both"/>
        <w:rPr>
          <w:rFonts w:asciiTheme="majorHAnsi" w:hAnsiTheme="majorHAnsi" w:cstheme="minorHAnsi"/>
          <w:sz w:val="24"/>
          <w:szCs w:val="24"/>
        </w:rPr>
      </w:pPr>
      <w:r w:rsidRPr="009C78C8">
        <w:rPr>
          <w:rFonts w:asciiTheme="majorHAnsi" w:hAnsiTheme="majorHAnsi" w:cstheme="minorHAnsi"/>
          <w:i/>
          <w:sz w:val="24"/>
          <w:szCs w:val="24"/>
        </w:rPr>
        <w:t>Trainings</w:t>
      </w:r>
      <w:r w:rsidRPr="009C78C8">
        <w:rPr>
          <w:rFonts w:asciiTheme="majorHAnsi" w:hAnsiTheme="majorHAnsi" w:cstheme="minorHAnsi"/>
          <w:sz w:val="24"/>
          <w:szCs w:val="24"/>
        </w:rPr>
        <w:t>: There have been trainings offered to farmers within and outside the institute on the best agronomic practices to engage in for sustainable tea production. Farm forestry with tea friendly trees and fertilizer application timing is emphasized. Water harvesting and nature conservation are also demonstrated.</w:t>
      </w:r>
    </w:p>
    <w:p w14:paraId="488689DB" w14:textId="77777777" w:rsidR="009C78C8" w:rsidRPr="009C78C8" w:rsidRDefault="009C78C8" w:rsidP="009C78C8">
      <w:pPr>
        <w:pStyle w:val="ListParagraph"/>
        <w:spacing w:line="240" w:lineRule="auto"/>
        <w:jc w:val="both"/>
        <w:rPr>
          <w:rFonts w:asciiTheme="majorHAnsi" w:hAnsiTheme="majorHAnsi" w:cstheme="minorHAnsi"/>
          <w:sz w:val="24"/>
          <w:szCs w:val="24"/>
        </w:rPr>
      </w:pPr>
      <w:r w:rsidRPr="009C78C8">
        <w:rPr>
          <w:rFonts w:asciiTheme="majorHAnsi" w:hAnsiTheme="majorHAnsi" w:cstheme="minorHAnsi"/>
          <w:sz w:val="24"/>
          <w:szCs w:val="24"/>
        </w:rPr>
        <w:t>County Agricultural officers have also been trained on the best practices to combat adverse effects of climate change and variability within the tea growing areas.</w:t>
      </w:r>
    </w:p>
    <w:p w14:paraId="6C636D40" w14:textId="77777777" w:rsidR="009C78C8" w:rsidRPr="009C78C8" w:rsidRDefault="009C78C8" w:rsidP="009C78C8">
      <w:pPr>
        <w:pStyle w:val="ListParagraph"/>
        <w:spacing w:line="240" w:lineRule="auto"/>
        <w:jc w:val="both"/>
        <w:rPr>
          <w:rFonts w:asciiTheme="majorHAnsi" w:hAnsiTheme="majorHAnsi" w:cstheme="minorHAnsi"/>
          <w:sz w:val="24"/>
          <w:szCs w:val="24"/>
        </w:rPr>
      </w:pPr>
    </w:p>
    <w:p w14:paraId="3D631029" w14:textId="77777777" w:rsidR="009C78C8" w:rsidRPr="009C78C8" w:rsidRDefault="009C78C8" w:rsidP="009C78C8">
      <w:pPr>
        <w:pStyle w:val="ListParagraph"/>
        <w:spacing w:line="240" w:lineRule="auto"/>
        <w:jc w:val="both"/>
        <w:rPr>
          <w:rFonts w:asciiTheme="majorHAnsi" w:hAnsiTheme="majorHAnsi" w:cstheme="minorHAnsi"/>
          <w:sz w:val="24"/>
          <w:szCs w:val="24"/>
        </w:rPr>
      </w:pPr>
      <w:r w:rsidRPr="009C78C8">
        <w:rPr>
          <w:rFonts w:asciiTheme="majorHAnsi" w:hAnsiTheme="majorHAnsi" w:cstheme="minorHAnsi"/>
          <w:i/>
          <w:sz w:val="24"/>
          <w:szCs w:val="24"/>
        </w:rPr>
        <w:t>Crop Diversification</w:t>
      </w:r>
      <w:r w:rsidRPr="009C78C8">
        <w:rPr>
          <w:rFonts w:asciiTheme="majorHAnsi" w:hAnsiTheme="majorHAnsi" w:cstheme="minorHAnsi"/>
          <w:sz w:val="24"/>
          <w:szCs w:val="24"/>
        </w:rPr>
        <w:t xml:space="preserve">: We have also encouraged tea farmers to engage in crop diversification in order to sustain livelihood in case of damage to the crop by occasional adverse effects of weather. </w:t>
      </w:r>
    </w:p>
    <w:p w14:paraId="1C6FBB8E" w14:textId="77777777" w:rsidR="009C78C8" w:rsidRPr="009C78C8" w:rsidRDefault="009C78C8" w:rsidP="009C78C8">
      <w:pPr>
        <w:pStyle w:val="ListParagraph"/>
        <w:spacing w:line="240" w:lineRule="auto"/>
        <w:jc w:val="both"/>
        <w:rPr>
          <w:rFonts w:asciiTheme="majorHAnsi" w:hAnsiTheme="majorHAnsi"/>
          <w:sz w:val="24"/>
          <w:szCs w:val="24"/>
        </w:rPr>
      </w:pPr>
    </w:p>
    <w:p w14:paraId="057AF514" w14:textId="77777777" w:rsidR="009C78C8" w:rsidRPr="009C78C8" w:rsidRDefault="009C78C8" w:rsidP="009C78C8">
      <w:pPr>
        <w:pStyle w:val="ListParagraph"/>
        <w:spacing w:line="240" w:lineRule="auto"/>
        <w:jc w:val="both"/>
        <w:rPr>
          <w:rFonts w:asciiTheme="majorHAnsi" w:hAnsiTheme="majorHAnsi" w:cstheme="minorHAnsi"/>
          <w:sz w:val="24"/>
          <w:szCs w:val="24"/>
        </w:rPr>
      </w:pPr>
      <w:r w:rsidRPr="009C78C8">
        <w:rPr>
          <w:rFonts w:asciiTheme="majorHAnsi" w:hAnsiTheme="majorHAnsi" w:cstheme="minorHAnsi"/>
          <w:i/>
          <w:sz w:val="24"/>
          <w:szCs w:val="24"/>
        </w:rPr>
        <w:t>Drought tolerant clones</w:t>
      </w:r>
      <w:r w:rsidRPr="009C78C8">
        <w:rPr>
          <w:rFonts w:asciiTheme="majorHAnsi" w:hAnsiTheme="majorHAnsi" w:cstheme="minorHAnsi"/>
          <w:sz w:val="24"/>
          <w:szCs w:val="24"/>
        </w:rPr>
        <w:t xml:space="preserve">: Tea Research Institute has also developed several tea cultivars that are capable of tolerating some of the extreme weather events especially drought and frost as well as emerging pests and diseases linked to climate variability. Some of the cultivars include TRFK 430/90 and TRFK 371/3 which are tolerant to drought and out-yields TRFK 31/8 which is TRI’s baseline clone by over 68%. TRFK 301/4 and 301/5 are also tolerant to drought, high yielding and in addition resistant to numerous biotic and abiotic stresses. TRFK 306/1 (Purple tea) is also preferred candidate for extreme weather events and has additional health benefits above green teas. </w:t>
      </w:r>
    </w:p>
    <w:p w14:paraId="08725BB9" w14:textId="77777777" w:rsidR="009C78C8" w:rsidRPr="009C78C8" w:rsidRDefault="009C78C8" w:rsidP="009C78C8">
      <w:pPr>
        <w:jc w:val="both"/>
        <w:rPr>
          <w:rFonts w:asciiTheme="majorHAnsi" w:hAnsiTheme="majorHAnsi"/>
        </w:rPr>
      </w:pPr>
      <w:r w:rsidRPr="009C78C8">
        <w:rPr>
          <w:rFonts w:asciiTheme="majorHAnsi" w:hAnsiTheme="majorHAnsi"/>
          <w:b/>
        </w:rPr>
        <w:t>China</w:t>
      </w:r>
    </w:p>
    <w:p w14:paraId="26358101" w14:textId="77777777" w:rsidR="009C78C8" w:rsidRPr="009C78C8" w:rsidRDefault="009C78C8" w:rsidP="009C78C8">
      <w:pPr>
        <w:jc w:val="both"/>
        <w:rPr>
          <w:rFonts w:asciiTheme="majorHAnsi" w:hAnsiTheme="majorHAnsi"/>
        </w:rPr>
      </w:pPr>
    </w:p>
    <w:p w14:paraId="6DA2D110" w14:textId="77777777" w:rsidR="009C78C8" w:rsidRPr="009C78C8" w:rsidRDefault="009C78C8" w:rsidP="009C78C8">
      <w:pPr>
        <w:widowControl w:val="0"/>
        <w:tabs>
          <w:tab w:val="left" w:pos="6480"/>
        </w:tabs>
        <w:autoSpaceDE w:val="0"/>
        <w:autoSpaceDN w:val="0"/>
        <w:adjustRightInd w:val="0"/>
        <w:rPr>
          <w:rFonts w:asciiTheme="majorHAnsi" w:hAnsiTheme="majorHAnsi" w:cstheme="minorHAnsi"/>
          <w:b/>
        </w:rPr>
      </w:pPr>
      <w:r w:rsidRPr="009C78C8">
        <w:rPr>
          <w:rFonts w:asciiTheme="majorHAnsi" w:hAnsiTheme="majorHAnsi" w:cstheme="minorHAnsi"/>
          <w:b/>
        </w:rPr>
        <w:t xml:space="preserve">Estimation of the effect of climate change on tea production in China using a yield response model </w:t>
      </w:r>
    </w:p>
    <w:p w14:paraId="1A3B3A84" w14:textId="77777777" w:rsidR="009C78C8" w:rsidRPr="009C78C8" w:rsidRDefault="009C78C8" w:rsidP="009C78C8">
      <w:pPr>
        <w:jc w:val="both"/>
        <w:rPr>
          <w:rFonts w:asciiTheme="majorHAnsi" w:hAnsiTheme="majorHAnsi"/>
        </w:rPr>
      </w:pPr>
    </w:p>
    <w:p w14:paraId="6D409C69" w14:textId="77777777" w:rsidR="009C78C8" w:rsidRPr="009C78C8" w:rsidRDefault="009C78C8" w:rsidP="009C78C8">
      <w:pPr>
        <w:pStyle w:val="ListParagraph"/>
        <w:spacing w:line="240" w:lineRule="auto"/>
        <w:ind w:left="0"/>
        <w:jc w:val="both"/>
        <w:rPr>
          <w:rFonts w:asciiTheme="majorHAnsi" w:hAnsiTheme="majorHAnsi" w:cstheme="minorHAnsi"/>
          <w:sz w:val="24"/>
          <w:szCs w:val="24"/>
        </w:rPr>
      </w:pPr>
      <w:r w:rsidRPr="009C78C8">
        <w:rPr>
          <w:rFonts w:asciiTheme="majorHAnsi" w:hAnsiTheme="majorHAnsi" w:cstheme="minorHAnsi"/>
          <w:sz w:val="24"/>
          <w:szCs w:val="24"/>
        </w:rPr>
        <w:t>In a recently published report Boehm et al. (2016)  demonstrated the association between empirically estimated monsoon dynamics and other weather factors with tea yields in 15 tea producing provinces in China using a yield response model.</w:t>
      </w:r>
    </w:p>
    <w:p w14:paraId="62BD6CC4" w14:textId="77777777" w:rsidR="009C78C8" w:rsidRPr="009C78C8" w:rsidRDefault="009C78C8" w:rsidP="009C78C8">
      <w:pPr>
        <w:widowControl w:val="0"/>
        <w:tabs>
          <w:tab w:val="left" w:pos="6480"/>
        </w:tabs>
        <w:autoSpaceDE w:val="0"/>
        <w:autoSpaceDN w:val="0"/>
        <w:adjustRightInd w:val="0"/>
        <w:rPr>
          <w:rFonts w:asciiTheme="majorHAnsi" w:hAnsiTheme="majorHAnsi" w:cstheme="minorHAnsi"/>
        </w:rPr>
      </w:pPr>
    </w:p>
    <w:p w14:paraId="18028887" w14:textId="77777777" w:rsidR="009C78C8" w:rsidRPr="009C78C8" w:rsidRDefault="009C78C8" w:rsidP="009C78C8">
      <w:pPr>
        <w:pStyle w:val="ListParagraph"/>
        <w:spacing w:line="240" w:lineRule="auto"/>
        <w:ind w:left="0"/>
        <w:jc w:val="both"/>
        <w:rPr>
          <w:rFonts w:asciiTheme="majorHAnsi" w:hAnsiTheme="majorHAnsi" w:cstheme="minorHAnsi"/>
          <w:sz w:val="24"/>
          <w:szCs w:val="24"/>
        </w:rPr>
      </w:pPr>
      <w:r w:rsidRPr="009C78C8">
        <w:rPr>
          <w:rFonts w:asciiTheme="majorHAnsi" w:hAnsiTheme="majorHAnsi" w:cstheme="minorHAnsi"/>
          <w:sz w:val="24"/>
          <w:szCs w:val="24"/>
        </w:rPr>
        <w:t xml:space="preserve">This study was carried to assess the effect of climate change on tea production in China by using historical weather and production data from 1980 to 2011 to construct a yield response model that estimates the partial effect of weather factors on tea yields in China, with a specific focus on East Asian Monsoon dynamics. </w:t>
      </w:r>
    </w:p>
    <w:p w14:paraId="343C570B" w14:textId="77777777" w:rsidR="009C78C8" w:rsidRPr="009C78C8" w:rsidRDefault="009C78C8" w:rsidP="009C78C8">
      <w:pPr>
        <w:pStyle w:val="ListParagraph"/>
        <w:spacing w:line="240" w:lineRule="auto"/>
        <w:ind w:left="0"/>
        <w:jc w:val="both"/>
        <w:rPr>
          <w:rFonts w:asciiTheme="majorHAnsi" w:hAnsiTheme="majorHAnsi" w:cstheme="minorHAnsi"/>
          <w:sz w:val="24"/>
          <w:szCs w:val="24"/>
        </w:rPr>
      </w:pPr>
    </w:p>
    <w:p w14:paraId="09E41D16" w14:textId="77777777" w:rsidR="009C78C8" w:rsidRPr="009C78C8" w:rsidRDefault="009C78C8" w:rsidP="009C78C8">
      <w:pPr>
        <w:pStyle w:val="ListParagraph"/>
        <w:spacing w:line="240" w:lineRule="auto"/>
        <w:ind w:left="0"/>
        <w:jc w:val="both"/>
        <w:rPr>
          <w:rFonts w:asciiTheme="majorHAnsi" w:hAnsiTheme="majorHAnsi" w:cstheme="minorHAnsi"/>
          <w:sz w:val="24"/>
          <w:szCs w:val="24"/>
          <w:lang w:val="en-IN"/>
        </w:rPr>
      </w:pPr>
      <w:r w:rsidRPr="009C78C8">
        <w:rPr>
          <w:rFonts w:asciiTheme="majorHAnsi" w:hAnsiTheme="majorHAnsi" w:cstheme="minorHAnsi"/>
          <w:sz w:val="24"/>
          <w:szCs w:val="24"/>
          <w:lang w:val="en-IN"/>
        </w:rPr>
        <w:t xml:space="preserve">A yield response model uses Ordinary Least Squares (OLS) linear regression to model yield as a function of various exogenous weather factors. This analysis focused on quantifying the association between the East Asian Monsoon onset, duration, and retreat and tea yields. How other weather factors are associated with tea yields, including minimum temperatures, </w:t>
      </w:r>
      <w:r w:rsidRPr="009C78C8">
        <w:rPr>
          <w:rFonts w:asciiTheme="majorHAnsi" w:hAnsiTheme="majorHAnsi" w:cstheme="minorHAnsi"/>
          <w:sz w:val="24"/>
          <w:szCs w:val="24"/>
          <w:lang w:val="en-IN"/>
        </w:rPr>
        <w:lastRenderedPageBreak/>
        <w:t xml:space="preserve">precipitation before, during and after the estimated monsoon period, and solar radiation was also examined in the study.  </w:t>
      </w:r>
    </w:p>
    <w:p w14:paraId="0F3C918A" w14:textId="77777777" w:rsidR="009C78C8" w:rsidRPr="009C78C8" w:rsidRDefault="009C78C8" w:rsidP="009C78C8">
      <w:pPr>
        <w:pStyle w:val="ListParagraph"/>
        <w:spacing w:line="240" w:lineRule="auto"/>
        <w:ind w:left="0"/>
        <w:jc w:val="both"/>
        <w:rPr>
          <w:rFonts w:asciiTheme="majorHAnsi" w:hAnsiTheme="majorHAnsi" w:cstheme="minorHAnsi"/>
          <w:sz w:val="24"/>
          <w:szCs w:val="24"/>
          <w:lang w:val="en-IN"/>
        </w:rPr>
      </w:pPr>
    </w:p>
    <w:p w14:paraId="21A8059F" w14:textId="77777777" w:rsidR="009C78C8" w:rsidRPr="009C78C8" w:rsidRDefault="009C78C8" w:rsidP="009C78C8">
      <w:pPr>
        <w:pStyle w:val="ListParagraph"/>
        <w:spacing w:line="240" w:lineRule="auto"/>
        <w:ind w:left="0"/>
        <w:jc w:val="both"/>
        <w:rPr>
          <w:rFonts w:asciiTheme="majorHAnsi" w:hAnsiTheme="majorHAnsi" w:cstheme="minorHAnsi"/>
          <w:sz w:val="24"/>
          <w:szCs w:val="24"/>
          <w:lang w:val="en-IN"/>
        </w:rPr>
      </w:pPr>
      <w:r w:rsidRPr="009C78C8">
        <w:rPr>
          <w:rFonts w:asciiTheme="majorHAnsi" w:hAnsiTheme="majorHAnsi" w:cstheme="minorHAnsi"/>
          <w:sz w:val="24"/>
          <w:szCs w:val="24"/>
        </w:rPr>
        <w:t>T</w:t>
      </w:r>
      <w:r w:rsidRPr="009C78C8">
        <w:rPr>
          <w:rFonts w:asciiTheme="majorHAnsi" w:hAnsiTheme="majorHAnsi" w:cstheme="minorHAnsi"/>
          <w:sz w:val="24"/>
          <w:szCs w:val="24"/>
          <w:lang w:val="en-IN"/>
        </w:rPr>
        <w:t xml:space="preserve">he timing of rains is important to tea productivity and management decisions. </w:t>
      </w:r>
      <w:r w:rsidRPr="009C78C8">
        <w:rPr>
          <w:rFonts w:asciiTheme="majorHAnsi" w:hAnsiTheme="majorHAnsi" w:cstheme="minorHAnsi"/>
          <w:sz w:val="24"/>
          <w:szCs w:val="24"/>
        </w:rPr>
        <w:t xml:space="preserve">The authors </w:t>
      </w:r>
      <w:r w:rsidRPr="009C78C8">
        <w:rPr>
          <w:rFonts w:asciiTheme="majorHAnsi" w:hAnsiTheme="majorHAnsi" w:cstheme="minorHAnsi"/>
          <w:sz w:val="24"/>
          <w:szCs w:val="24"/>
          <w:lang w:val="en-IN"/>
        </w:rPr>
        <w:t>hypothesize</w:t>
      </w:r>
      <w:r w:rsidRPr="009C78C8">
        <w:rPr>
          <w:rFonts w:asciiTheme="majorHAnsi" w:hAnsiTheme="majorHAnsi" w:cstheme="minorHAnsi"/>
          <w:sz w:val="24"/>
          <w:szCs w:val="24"/>
        </w:rPr>
        <w:t xml:space="preserve">d </w:t>
      </w:r>
      <w:r w:rsidRPr="009C78C8">
        <w:rPr>
          <w:rFonts w:asciiTheme="majorHAnsi" w:hAnsiTheme="majorHAnsi" w:cstheme="minorHAnsi"/>
          <w:sz w:val="24"/>
          <w:szCs w:val="24"/>
          <w:lang w:val="en-IN"/>
        </w:rPr>
        <w:t xml:space="preserve">the monsoon period to be non-stationary over the study period and so the onset and retreat should be estimated empirically. To do this </w:t>
      </w:r>
      <w:r w:rsidRPr="009C78C8">
        <w:rPr>
          <w:rFonts w:asciiTheme="majorHAnsi" w:hAnsiTheme="majorHAnsi" w:cstheme="minorHAnsi"/>
          <w:sz w:val="24"/>
          <w:szCs w:val="24"/>
        </w:rPr>
        <w:t>they</w:t>
      </w:r>
      <w:r w:rsidRPr="009C78C8">
        <w:rPr>
          <w:rFonts w:asciiTheme="majorHAnsi" w:hAnsiTheme="majorHAnsi" w:cstheme="minorHAnsi"/>
          <w:sz w:val="24"/>
          <w:szCs w:val="24"/>
          <w:lang w:val="en-IN"/>
        </w:rPr>
        <w:t xml:space="preserve"> f</w:t>
      </w:r>
      <w:r w:rsidRPr="009C78C8">
        <w:rPr>
          <w:rFonts w:asciiTheme="majorHAnsi" w:hAnsiTheme="majorHAnsi" w:cstheme="minorHAnsi"/>
          <w:sz w:val="24"/>
          <w:szCs w:val="24"/>
        </w:rPr>
        <w:t>found</w:t>
      </w:r>
      <w:r w:rsidRPr="009C78C8">
        <w:rPr>
          <w:rFonts w:asciiTheme="majorHAnsi" w:hAnsiTheme="majorHAnsi" w:cstheme="minorHAnsi"/>
          <w:sz w:val="24"/>
          <w:szCs w:val="24"/>
          <w:lang w:val="en-IN"/>
        </w:rPr>
        <w:t xml:space="preserve"> the break-points in the linear daily year-by-province cumulative precipitation function to arrive at approximate East Asian Monsoon onset and retreat dates for the study period in the tea growing provinces of China (Fig.23). This method provide</w:t>
      </w:r>
      <w:r w:rsidRPr="009C78C8">
        <w:rPr>
          <w:rFonts w:asciiTheme="majorHAnsi" w:hAnsiTheme="majorHAnsi" w:cstheme="minorHAnsi"/>
          <w:sz w:val="24"/>
          <w:szCs w:val="24"/>
        </w:rPr>
        <w:t>d</w:t>
      </w:r>
      <w:r w:rsidRPr="009C78C8">
        <w:rPr>
          <w:rFonts w:asciiTheme="majorHAnsi" w:hAnsiTheme="majorHAnsi" w:cstheme="minorHAnsi"/>
          <w:sz w:val="24"/>
          <w:szCs w:val="24"/>
          <w:lang w:val="en-IN"/>
        </w:rPr>
        <w:t xml:space="preserve"> new insights into how climate change affects tea yields through changes in the timing of seasonal rains.</w:t>
      </w:r>
    </w:p>
    <w:p w14:paraId="45EC57DD" w14:textId="77777777" w:rsidR="009C78C8" w:rsidRPr="009C78C8" w:rsidRDefault="009C78C8" w:rsidP="009C78C8">
      <w:pPr>
        <w:pStyle w:val="ListParagraph"/>
        <w:spacing w:line="240" w:lineRule="auto"/>
        <w:ind w:left="0"/>
        <w:jc w:val="both"/>
        <w:rPr>
          <w:rFonts w:asciiTheme="majorHAnsi" w:hAnsiTheme="majorHAnsi" w:cstheme="minorHAnsi"/>
          <w:sz w:val="24"/>
          <w:szCs w:val="24"/>
        </w:rPr>
      </w:pPr>
    </w:p>
    <w:p w14:paraId="16F38E7B"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theme="minorHAnsi"/>
          <w:b/>
        </w:rPr>
      </w:pPr>
      <w:r w:rsidRPr="009C78C8">
        <w:rPr>
          <w:rFonts w:asciiTheme="majorHAnsi" w:hAnsiTheme="majorHAnsi" w:cstheme="minorHAnsi"/>
          <w:b/>
          <w:noProof/>
        </w:rPr>
        <w:drawing>
          <wp:anchor distT="0" distB="0" distL="114300" distR="114300" simplePos="0" relativeHeight="251662336" behindDoc="1" locked="0" layoutInCell="0" allowOverlap="1" wp14:anchorId="5A395D40" wp14:editId="65BB52AA">
            <wp:simplePos x="0" y="0"/>
            <wp:positionH relativeFrom="column">
              <wp:posOffset>476250</wp:posOffset>
            </wp:positionH>
            <wp:positionV relativeFrom="paragraph">
              <wp:posOffset>161925</wp:posOffset>
            </wp:positionV>
            <wp:extent cx="4676775" cy="2837815"/>
            <wp:effectExtent l="19050" t="0" r="9525" b="0"/>
            <wp:wrapTight wrapText="bothSides">
              <wp:wrapPolygon edited="0">
                <wp:start x="-88" y="0"/>
                <wp:lineTo x="-88" y="21460"/>
                <wp:lineTo x="21644" y="21460"/>
                <wp:lineTo x="21644" y="0"/>
                <wp:lineTo x="-88" y="0"/>
              </wp:wrapPolygon>
            </wp:wrapTight>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30000"/>
                    </a:blip>
                    <a:stretch>
                      <a:fillRect/>
                    </a:stretch>
                  </pic:blipFill>
                  <pic:spPr bwMode="auto">
                    <a:xfrm>
                      <a:off x="0" y="0"/>
                      <a:ext cx="4676775" cy="2837815"/>
                    </a:xfrm>
                    <a:prstGeom prst="rect">
                      <a:avLst/>
                    </a:prstGeom>
                    <a:noFill/>
                    <a:ln>
                      <a:noFill/>
                    </a:ln>
                  </pic:spPr>
                </pic:pic>
              </a:graphicData>
            </a:graphic>
          </wp:anchor>
        </w:drawing>
      </w:r>
    </w:p>
    <w:p w14:paraId="18ADCC51"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theme="minorHAnsi"/>
          <w:b/>
        </w:rPr>
      </w:pPr>
    </w:p>
    <w:p w14:paraId="5E840BC7"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0AC4AEA8"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366D22F2"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r w:rsidRPr="009C78C8">
        <w:rPr>
          <w:rFonts w:asciiTheme="majorHAnsi" w:hAnsiTheme="majorHAnsi" w:cs="Arial"/>
          <w:b/>
          <w:bCs/>
          <w:color w:val="000000"/>
        </w:rPr>
        <w:br/>
      </w:r>
      <w:r w:rsidRPr="009C78C8">
        <w:rPr>
          <w:rFonts w:asciiTheme="majorHAnsi" w:hAnsiTheme="majorHAnsi" w:cs="Arial"/>
          <w:b/>
          <w:bCs/>
          <w:color w:val="000000"/>
        </w:rPr>
        <w:br/>
      </w:r>
    </w:p>
    <w:p w14:paraId="13E2756F"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71BFDCCB"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68863DCC"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00FDA43D"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1D926592"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144F485E"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4097F136"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200D8983"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42611D23"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22A7AA8C"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154686BE"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4DABDE3F" w14:textId="77777777" w:rsidR="009C78C8" w:rsidRPr="009C78C8" w:rsidRDefault="009C78C8" w:rsidP="009C78C8">
      <w:pPr>
        <w:widowControl w:val="0"/>
        <w:overflowPunct w:val="0"/>
        <w:autoSpaceDE w:val="0"/>
        <w:autoSpaceDN w:val="0"/>
        <w:adjustRightInd w:val="0"/>
        <w:ind w:firstLine="6"/>
        <w:jc w:val="both"/>
        <w:rPr>
          <w:rFonts w:asciiTheme="majorHAnsi" w:hAnsiTheme="majorHAnsi" w:cs="Arial"/>
          <w:b/>
          <w:bCs/>
          <w:color w:val="000000"/>
        </w:rPr>
      </w:pPr>
    </w:p>
    <w:p w14:paraId="59A42A3D" w14:textId="77777777" w:rsidR="009C78C8" w:rsidRPr="009C78C8" w:rsidRDefault="009C78C8" w:rsidP="009C78C8">
      <w:pPr>
        <w:widowControl w:val="0"/>
        <w:overflowPunct w:val="0"/>
        <w:autoSpaceDE w:val="0"/>
        <w:autoSpaceDN w:val="0"/>
        <w:adjustRightInd w:val="0"/>
        <w:ind w:left="630"/>
        <w:jc w:val="both"/>
        <w:rPr>
          <w:rFonts w:asciiTheme="majorHAnsi" w:hAnsiTheme="majorHAnsi" w:cstheme="minorHAnsi"/>
        </w:rPr>
      </w:pPr>
      <w:r w:rsidRPr="009C78C8">
        <w:rPr>
          <w:rFonts w:asciiTheme="majorHAnsi" w:hAnsiTheme="majorHAnsi" w:cstheme="minorHAnsi"/>
          <w:bCs/>
          <w:color w:val="000000"/>
        </w:rPr>
        <w:t>Fig. 23</w:t>
      </w:r>
      <w:r w:rsidRPr="009C78C8">
        <w:rPr>
          <w:rFonts w:asciiTheme="majorHAnsi" w:hAnsiTheme="majorHAnsi" w:cstheme="minorHAnsi"/>
          <w:b/>
          <w:bCs/>
          <w:color w:val="000000"/>
        </w:rPr>
        <w:t xml:space="preserve"> </w:t>
      </w:r>
      <w:proofErr w:type="gramStart"/>
      <w:r w:rsidRPr="009C78C8">
        <w:rPr>
          <w:rFonts w:asciiTheme="majorHAnsi" w:hAnsiTheme="majorHAnsi" w:cstheme="minorHAnsi"/>
          <w:color w:val="000000"/>
        </w:rPr>
        <w:t>This</w:t>
      </w:r>
      <w:proofErr w:type="gramEnd"/>
      <w:r w:rsidRPr="009C78C8">
        <w:rPr>
          <w:rFonts w:asciiTheme="majorHAnsi" w:hAnsiTheme="majorHAnsi" w:cstheme="minorHAnsi"/>
          <w:color w:val="000000"/>
        </w:rPr>
        <w:t xml:space="preserve"> graph illustrates how the cumulative precipitation function is used to estimate the onset and retreat dates of the monsoon for each province in each year from 1980 to 2011. It shows the onset (dashed grey vertical line) and retreat (dotted grey vertical line) of the monsoon in Yunnan province in 1990. The slope of the cumulative precipitation function changes significantly at these two points. These two points mark the estimated onset and retreat of the East Asian monsoon in Yunnan province in the example year 1990. The dashed lines overlaid on top of the cumulative precipitation function show the slope of each section of the function as estimated by “Segmented”.   [</w:t>
      </w:r>
      <w:r w:rsidRPr="009C78C8">
        <w:rPr>
          <w:rFonts w:asciiTheme="majorHAnsi" w:hAnsiTheme="majorHAnsi" w:cstheme="minorHAnsi"/>
          <w:i/>
          <w:color w:val="000000"/>
        </w:rPr>
        <w:t xml:space="preserve">Taken from the </w:t>
      </w:r>
      <w:r w:rsidRPr="009C78C8">
        <w:rPr>
          <w:rFonts w:asciiTheme="majorHAnsi" w:hAnsiTheme="majorHAnsi" w:cstheme="minorHAnsi"/>
          <w:bCs/>
          <w:i/>
          <w:color w:val="000000"/>
        </w:rPr>
        <w:t>Boehm et al. (2016)</w:t>
      </w:r>
      <w:r w:rsidRPr="009C78C8">
        <w:rPr>
          <w:rFonts w:asciiTheme="majorHAnsi" w:hAnsiTheme="majorHAnsi" w:cstheme="minorHAnsi"/>
          <w:bCs/>
          <w:color w:val="000000"/>
        </w:rPr>
        <w:t>]</w:t>
      </w:r>
    </w:p>
    <w:p w14:paraId="71B0E677"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theme="minorHAnsi"/>
          <w:b/>
        </w:rPr>
      </w:pPr>
    </w:p>
    <w:p w14:paraId="2A866010" w14:textId="77777777" w:rsidR="009C78C8" w:rsidRPr="009C78C8" w:rsidRDefault="009C78C8" w:rsidP="009C78C8">
      <w:pPr>
        <w:widowControl w:val="0"/>
        <w:overflowPunct w:val="0"/>
        <w:autoSpaceDE w:val="0"/>
        <w:autoSpaceDN w:val="0"/>
        <w:adjustRightInd w:val="0"/>
        <w:ind w:left="20" w:right="20"/>
        <w:jc w:val="both"/>
        <w:rPr>
          <w:rFonts w:asciiTheme="majorHAnsi" w:hAnsiTheme="majorHAnsi" w:cstheme="minorHAnsi"/>
        </w:rPr>
      </w:pPr>
      <w:r w:rsidRPr="009C78C8">
        <w:rPr>
          <w:rFonts w:asciiTheme="majorHAnsi" w:hAnsiTheme="majorHAnsi" w:cstheme="minorHAnsi"/>
        </w:rPr>
        <w:t xml:space="preserve">The yield response model used by the authors was based on the model used in </w:t>
      </w:r>
      <w:proofErr w:type="spellStart"/>
      <w:r w:rsidRPr="009C78C8">
        <w:rPr>
          <w:rFonts w:asciiTheme="majorHAnsi" w:hAnsiTheme="majorHAnsi" w:cstheme="minorHAnsi"/>
        </w:rPr>
        <w:t>Auffhammer</w:t>
      </w:r>
      <w:proofErr w:type="spellEnd"/>
      <w:r w:rsidRPr="009C78C8">
        <w:rPr>
          <w:rFonts w:asciiTheme="majorHAnsi" w:hAnsiTheme="majorHAnsi" w:cstheme="minorHAnsi"/>
        </w:rPr>
        <w:t xml:space="preserve"> et al. (2006) and </w:t>
      </w:r>
      <w:proofErr w:type="spellStart"/>
      <w:r w:rsidRPr="009C78C8">
        <w:rPr>
          <w:rFonts w:asciiTheme="majorHAnsi" w:hAnsiTheme="majorHAnsi" w:cstheme="minorHAnsi"/>
        </w:rPr>
        <w:t>Auffhammer</w:t>
      </w:r>
      <w:proofErr w:type="spellEnd"/>
      <w:r w:rsidRPr="009C78C8">
        <w:rPr>
          <w:rFonts w:asciiTheme="majorHAnsi" w:hAnsiTheme="majorHAnsi" w:cstheme="minorHAnsi"/>
        </w:rPr>
        <w:t xml:space="preserve"> et al. (2013) and is specified as follows:</w:t>
      </w:r>
    </w:p>
    <w:p w14:paraId="6937B4AF" w14:textId="77777777" w:rsidR="009C78C8" w:rsidRPr="009C78C8" w:rsidRDefault="009C78C8" w:rsidP="009C78C8">
      <w:pPr>
        <w:widowControl w:val="0"/>
        <w:autoSpaceDE w:val="0"/>
        <w:autoSpaceDN w:val="0"/>
        <w:adjustRightInd w:val="0"/>
        <w:rPr>
          <w:rFonts w:asciiTheme="majorHAnsi" w:hAnsiTheme="majorHAnsi" w:cstheme="minorHAnsi"/>
        </w:rPr>
      </w:pPr>
    </w:p>
    <w:p w14:paraId="191B9F6E" w14:textId="77777777" w:rsidR="009C78C8" w:rsidRPr="009C78C8" w:rsidRDefault="009C78C8" w:rsidP="009C78C8">
      <w:pPr>
        <w:widowControl w:val="0"/>
        <w:autoSpaceDE w:val="0"/>
        <w:autoSpaceDN w:val="0"/>
        <w:adjustRightInd w:val="0"/>
        <w:ind w:left="3180"/>
        <w:rPr>
          <w:rFonts w:asciiTheme="majorHAnsi" w:hAnsiTheme="majorHAnsi" w:cstheme="minorHAnsi"/>
        </w:rPr>
      </w:pPr>
      <w:proofErr w:type="gramStart"/>
      <w:r w:rsidRPr="009C78C8">
        <w:rPr>
          <w:rFonts w:asciiTheme="majorHAnsi" w:hAnsiTheme="majorHAnsi" w:cstheme="minorHAnsi"/>
        </w:rPr>
        <w:t>ln</w:t>
      </w:r>
      <w:proofErr w:type="gramEnd"/>
      <w:r w:rsidRPr="009C78C8">
        <w:rPr>
          <w:rFonts w:asciiTheme="majorHAnsi" w:hAnsiTheme="majorHAnsi" w:cstheme="minorHAnsi"/>
        </w:rPr>
        <w:t xml:space="preserve"> </w:t>
      </w:r>
      <w:proofErr w:type="spellStart"/>
      <w:r w:rsidRPr="009C78C8">
        <w:rPr>
          <w:rFonts w:asciiTheme="majorHAnsi" w:hAnsiTheme="majorHAnsi" w:cstheme="minorHAnsi"/>
        </w:rPr>
        <w:t>py</w:t>
      </w:r>
      <w:r w:rsidRPr="009C78C8">
        <w:rPr>
          <w:rFonts w:asciiTheme="majorHAnsi" w:hAnsiTheme="majorHAnsi" w:cstheme="minorHAnsi"/>
          <w:vertAlign w:val="subscript"/>
        </w:rPr>
        <w:t>it</w:t>
      </w:r>
      <w:r w:rsidRPr="009C78C8">
        <w:rPr>
          <w:rFonts w:asciiTheme="majorHAnsi" w:hAnsiTheme="majorHAnsi" w:cstheme="minorHAnsi"/>
        </w:rPr>
        <w:t>q</w:t>
      </w:r>
      <w:proofErr w:type="spellEnd"/>
      <w:r w:rsidRPr="009C78C8">
        <w:rPr>
          <w:rFonts w:asciiTheme="majorHAnsi" w:hAnsiTheme="majorHAnsi" w:cstheme="minorHAnsi"/>
        </w:rPr>
        <w:t xml:space="preserve"> “ p</w:t>
      </w:r>
      <w:r w:rsidRPr="009C78C8">
        <w:rPr>
          <w:rFonts w:asciiTheme="majorHAnsi" w:hAnsiTheme="majorHAnsi" w:cstheme="minorHAnsi"/>
          <w:vertAlign w:val="subscript"/>
        </w:rPr>
        <w:t>i</w:t>
      </w:r>
      <w:r w:rsidRPr="009C78C8">
        <w:rPr>
          <w:rFonts w:asciiTheme="majorHAnsi" w:hAnsiTheme="majorHAnsi" w:cstheme="minorHAnsi"/>
        </w:rPr>
        <w:t xml:space="preserve"> ` </w:t>
      </w:r>
      <w:proofErr w:type="spellStart"/>
      <w:r w:rsidRPr="009C78C8">
        <w:rPr>
          <w:rFonts w:asciiTheme="majorHAnsi" w:hAnsiTheme="majorHAnsi" w:cstheme="minorHAnsi"/>
          <w:i/>
          <w:iCs/>
        </w:rPr>
        <w:t>b</w:t>
      </w:r>
      <w:r w:rsidRPr="009C78C8">
        <w:rPr>
          <w:rFonts w:asciiTheme="majorHAnsi" w:hAnsiTheme="majorHAnsi" w:cstheme="minorHAnsi"/>
          <w:b/>
          <w:bCs/>
        </w:rPr>
        <w:t>X</w:t>
      </w:r>
      <w:r w:rsidRPr="009C78C8">
        <w:rPr>
          <w:rFonts w:asciiTheme="majorHAnsi" w:hAnsiTheme="majorHAnsi" w:cstheme="minorHAnsi"/>
          <w:b/>
          <w:bCs/>
          <w:vertAlign w:val="subscript"/>
        </w:rPr>
        <w:t>it</w:t>
      </w:r>
      <w:proofErr w:type="spellEnd"/>
      <w:r w:rsidRPr="009C78C8">
        <w:rPr>
          <w:rFonts w:asciiTheme="majorHAnsi" w:hAnsiTheme="majorHAnsi" w:cstheme="minorHAnsi"/>
        </w:rPr>
        <w:t xml:space="preserve"> ` t ` </w:t>
      </w:r>
      <w:r w:rsidRPr="009C78C8">
        <w:rPr>
          <w:rFonts w:asciiTheme="majorHAnsi" w:hAnsiTheme="majorHAnsi" w:cstheme="minorHAnsi"/>
          <w:i/>
          <w:iCs/>
        </w:rPr>
        <w:t>#</w:t>
      </w:r>
      <w:r w:rsidRPr="009C78C8">
        <w:rPr>
          <w:rFonts w:asciiTheme="majorHAnsi" w:hAnsiTheme="majorHAnsi" w:cstheme="minorHAnsi"/>
          <w:vertAlign w:val="subscript"/>
        </w:rPr>
        <w:t>it</w:t>
      </w:r>
    </w:p>
    <w:p w14:paraId="53BFF881" w14:textId="77777777" w:rsidR="009C78C8" w:rsidRPr="009C78C8" w:rsidRDefault="009C78C8" w:rsidP="009C78C8">
      <w:pPr>
        <w:widowControl w:val="0"/>
        <w:autoSpaceDE w:val="0"/>
        <w:autoSpaceDN w:val="0"/>
        <w:adjustRightInd w:val="0"/>
        <w:rPr>
          <w:rFonts w:asciiTheme="majorHAnsi" w:hAnsiTheme="majorHAnsi" w:cstheme="minorHAnsi"/>
        </w:rPr>
      </w:pPr>
    </w:p>
    <w:p w14:paraId="06AD59E3"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theme="minorHAnsi"/>
        </w:rPr>
      </w:pPr>
      <w:proofErr w:type="gramStart"/>
      <w:r w:rsidRPr="009C78C8">
        <w:rPr>
          <w:rFonts w:asciiTheme="majorHAnsi" w:hAnsiTheme="majorHAnsi" w:cstheme="minorHAnsi"/>
        </w:rPr>
        <w:t>where</w:t>
      </w:r>
      <w:proofErr w:type="gramEnd"/>
      <w:r w:rsidRPr="009C78C8">
        <w:rPr>
          <w:rFonts w:asciiTheme="majorHAnsi" w:hAnsiTheme="majorHAnsi" w:cstheme="minorHAnsi"/>
        </w:rPr>
        <w:t xml:space="preserve"> </w:t>
      </w:r>
      <w:proofErr w:type="spellStart"/>
      <w:r w:rsidRPr="009C78C8">
        <w:rPr>
          <w:rFonts w:asciiTheme="majorHAnsi" w:hAnsiTheme="majorHAnsi" w:cstheme="minorHAnsi"/>
        </w:rPr>
        <w:t>y</w:t>
      </w:r>
      <w:r w:rsidRPr="009C78C8">
        <w:rPr>
          <w:rFonts w:asciiTheme="majorHAnsi" w:hAnsiTheme="majorHAnsi" w:cstheme="minorHAnsi"/>
          <w:vertAlign w:val="subscript"/>
        </w:rPr>
        <w:t>it</w:t>
      </w:r>
      <w:proofErr w:type="spellEnd"/>
      <w:r w:rsidRPr="009C78C8">
        <w:rPr>
          <w:rFonts w:asciiTheme="majorHAnsi" w:hAnsiTheme="majorHAnsi" w:cstheme="minorHAnsi"/>
        </w:rPr>
        <w:t xml:space="preserve"> is the yield in province </w:t>
      </w:r>
      <w:proofErr w:type="spellStart"/>
      <w:r w:rsidRPr="009C78C8">
        <w:rPr>
          <w:rFonts w:asciiTheme="majorHAnsi" w:hAnsiTheme="majorHAnsi" w:cstheme="minorHAnsi"/>
        </w:rPr>
        <w:t>i</w:t>
      </w:r>
      <w:proofErr w:type="spellEnd"/>
      <w:r w:rsidRPr="009C78C8">
        <w:rPr>
          <w:rFonts w:asciiTheme="majorHAnsi" w:hAnsiTheme="majorHAnsi" w:cstheme="minorHAnsi"/>
        </w:rPr>
        <w:t xml:space="preserve"> in year t in tons per hectare; and p </w:t>
      </w:r>
      <w:proofErr w:type="spellStart"/>
      <w:r w:rsidRPr="009C78C8">
        <w:rPr>
          <w:rFonts w:asciiTheme="majorHAnsi" w:hAnsiTheme="majorHAnsi" w:cstheme="minorHAnsi"/>
          <w:vertAlign w:val="subscript"/>
        </w:rPr>
        <w:t>i</w:t>
      </w:r>
      <w:proofErr w:type="spellEnd"/>
      <w:r w:rsidRPr="009C78C8">
        <w:rPr>
          <w:rFonts w:asciiTheme="majorHAnsi" w:hAnsiTheme="majorHAnsi" w:cstheme="minorHAnsi"/>
        </w:rPr>
        <w:t xml:space="preserve"> is the province fixed-</w:t>
      </w:r>
      <w:r w:rsidRPr="009C78C8">
        <w:rPr>
          <w:rFonts w:asciiTheme="majorHAnsi" w:hAnsiTheme="majorHAnsi" w:cstheme="minorHAnsi"/>
        </w:rPr>
        <w:lastRenderedPageBreak/>
        <w:t xml:space="preserve">effects term to account for unobservable provincial factors affecting tea yield. This fixed-effect term is important because we do not account for non-weather factors that might explain the difference in yields across provinces. These factors include soil quality, </w:t>
      </w:r>
      <w:proofErr w:type="spellStart"/>
      <w:r w:rsidRPr="009C78C8">
        <w:rPr>
          <w:rFonts w:asciiTheme="majorHAnsi" w:hAnsiTheme="majorHAnsi" w:cstheme="minorHAnsi"/>
        </w:rPr>
        <w:t>labour</w:t>
      </w:r>
      <w:proofErr w:type="spellEnd"/>
      <w:r w:rsidRPr="009C78C8">
        <w:rPr>
          <w:rFonts w:asciiTheme="majorHAnsi" w:hAnsiTheme="majorHAnsi" w:cstheme="minorHAnsi"/>
        </w:rPr>
        <w:t xml:space="preserve">, fertilizer, or pesticide use. </w:t>
      </w:r>
      <w:proofErr w:type="spellStart"/>
      <w:r w:rsidRPr="009C78C8">
        <w:rPr>
          <w:rFonts w:asciiTheme="majorHAnsi" w:hAnsiTheme="majorHAnsi" w:cstheme="minorHAnsi"/>
          <w:b/>
          <w:bCs/>
        </w:rPr>
        <w:t>X</w:t>
      </w:r>
      <w:r w:rsidRPr="009C78C8">
        <w:rPr>
          <w:rFonts w:asciiTheme="majorHAnsi" w:hAnsiTheme="majorHAnsi" w:cstheme="minorHAnsi"/>
          <w:b/>
          <w:bCs/>
          <w:vertAlign w:val="subscript"/>
        </w:rPr>
        <w:t>it</w:t>
      </w:r>
      <w:proofErr w:type="spellEnd"/>
      <w:r w:rsidRPr="009C78C8">
        <w:rPr>
          <w:rFonts w:asciiTheme="majorHAnsi" w:hAnsiTheme="majorHAnsi" w:cstheme="minorHAnsi"/>
        </w:rPr>
        <w:t xml:space="preserve"> is a vector of weather variables including monsoon characteristics such as onset, retreat, and duration; </w:t>
      </w:r>
      <w:r w:rsidRPr="009C78C8">
        <w:rPr>
          <w:rFonts w:asciiTheme="majorHAnsi" w:hAnsiTheme="majorHAnsi" w:cstheme="minorHAnsi"/>
          <w:i/>
          <w:iCs/>
        </w:rPr>
        <w:t>b</w:t>
      </w:r>
      <w:r w:rsidRPr="009C78C8">
        <w:rPr>
          <w:rFonts w:asciiTheme="majorHAnsi" w:hAnsiTheme="majorHAnsi" w:cstheme="minorHAnsi"/>
        </w:rPr>
        <w:t xml:space="preserve">are parameter estimates for each weather variable; t is the time trend to account for a linear change over time in yield due to technological advances; and </w:t>
      </w:r>
      <w:r w:rsidRPr="009C78C8">
        <w:rPr>
          <w:rFonts w:asciiTheme="majorHAnsi" w:hAnsiTheme="majorHAnsi" w:cstheme="minorHAnsi"/>
          <w:i/>
          <w:iCs/>
        </w:rPr>
        <w:t>#</w:t>
      </w:r>
      <w:r w:rsidRPr="009C78C8">
        <w:rPr>
          <w:rFonts w:asciiTheme="majorHAnsi" w:hAnsiTheme="majorHAnsi" w:cstheme="minorHAnsi"/>
          <w:vertAlign w:val="subscript"/>
        </w:rPr>
        <w:t>it</w:t>
      </w:r>
      <w:r w:rsidRPr="009C78C8">
        <w:rPr>
          <w:rFonts w:asciiTheme="majorHAnsi" w:hAnsiTheme="majorHAnsi" w:cstheme="minorHAnsi"/>
        </w:rPr>
        <w:t xml:space="preserve"> is the error term. Both the fixed-effects and time trend terms are standard econometric methods for accounting for unobservable factors that may influence the estimates of each </w:t>
      </w:r>
      <w:r w:rsidRPr="009C78C8">
        <w:rPr>
          <w:rFonts w:asciiTheme="majorHAnsi" w:hAnsiTheme="majorHAnsi" w:cstheme="minorHAnsi"/>
          <w:i/>
          <w:iCs/>
        </w:rPr>
        <w:t>b</w:t>
      </w:r>
      <w:r w:rsidRPr="009C78C8">
        <w:rPr>
          <w:rFonts w:asciiTheme="majorHAnsi" w:hAnsiTheme="majorHAnsi" w:cstheme="minorHAnsi"/>
        </w:rPr>
        <w:t xml:space="preserve">. </w:t>
      </w:r>
      <w:proofErr w:type="spellStart"/>
      <w:r w:rsidRPr="009C78C8">
        <w:rPr>
          <w:rFonts w:asciiTheme="majorHAnsi" w:hAnsiTheme="majorHAnsi" w:cstheme="minorHAnsi"/>
          <w:b/>
          <w:bCs/>
        </w:rPr>
        <w:t>X</w:t>
      </w:r>
      <w:r w:rsidRPr="009C78C8">
        <w:rPr>
          <w:rFonts w:asciiTheme="majorHAnsi" w:hAnsiTheme="majorHAnsi" w:cstheme="minorHAnsi"/>
          <w:b/>
          <w:bCs/>
          <w:vertAlign w:val="subscript"/>
        </w:rPr>
        <w:t>it</w:t>
      </w:r>
      <w:proofErr w:type="spellEnd"/>
      <w:r w:rsidRPr="009C78C8">
        <w:rPr>
          <w:rFonts w:asciiTheme="majorHAnsi" w:hAnsiTheme="majorHAnsi" w:cstheme="minorHAnsi"/>
        </w:rPr>
        <w:t xml:space="preserve"> also contains one-year lags for each weather variable. Lagged weather variables account for the fact that tea is a perennial crop and harvests in the current year may be impacted by weather in the previous year. All variables are transformed with the logarithmic function so that they can be interpreted as elasticities and because the functional form of these variables is inherently logarithmic in nature. The panel is strongly balanced and fifteen tea-producing provinces are included in the analysis.  These provinces include Guangxi, Jiangsu, Shandong, Shaanxi, </w:t>
      </w:r>
      <w:proofErr w:type="spellStart"/>
      <w:r w:rsidRPr="009C78C8">
        <w:rPr>
          <w:rFonts w:asciiTheme="majorHAnsi" w:hAnsiTheme="majorHAnsi" w:cstheme="minorHAnsi"/>
        </w:rPr>
        <w:t>Guizhou</w:t>
      </w:r>
      <w:proofErr w:type="spellEnd"/>
      <w:r w:rsidRPr="009C78C8">
        <w:rPr>
          <w:rFonts w:asciiTheme="majorHAnsi" w:hAnsiTheme="majorHAnsi" w:cstheme="minorHAnsi"/>
        </w:rPr>
        <w:t xml:space="preserve">, Fujian, Yunnan, Sichuan, Anhui, Hubei, Henan, Hunan, </w:t>
      </w:r>
      <w:proofErr w:type="spellStart"/>
      <w:r w:rsidRPr="009C78C8">
        <w:rPr>
          <w:rFonts w:asciiTheme="majorHAnsi" w:hAnsiTheme="majorHAnsi" w:cstheme="minorHAnsi"/>
        </w:rPr>
        <w:t>Zheijiang</w:t>
      </w:r>
      <w:proofErr w:type="spellEnd"/>
      <w:r w:rsidRPr="009C78C8">
        <w:rPr>
          <w:rFonts w:asciiTheme="majorHAnsi" w:hAnsiTheme="majorHAnsi" w:cstheme="minorHAnsi"/>
        </w:rPr>
        <w:t xml:space="preserve">, Jiangxi, and </w:t>
      </w:r>
      <w:proofErr w:type="spellStart"/>
      <w:r w:rsidRPr="009C78C8">
        <w:rPr>
          <w:rFonts w:asciiTheme="majorHAnsi" w:hAnsiTheme="majorHAnsi" w:cstheme="minorHAnsi"/>
        </w:rPr>
        <w:t>Guandong</w:t>
      </w:r>
      <w:proofErr w:type="spellEnd"/>
      <w:r w:rsidRPr="009C78C8">
        <w:rPr>
          <w:rFonts w:asciiTheme="majorHAnsi" w:hAnsiTheme="majorHAnsi" w:cstheme="minorHAnsi"/>
        </w:rPr>
        <w:t xml:space="preserve">.  The construction of weather variables contained in </w:t>
      </w:r>
      <w:proofErr w:type="spellStart"/>
      <w:r w:rsidRPr="009C78C8">
        <w:rPr>
          <w:rFonts w:asciiTheme="majorHAnsi" w:hAnsiTheme="majorHAnsi" w:cstheme="minorHAnsi"/>
          <w:b/>
          <w:bCs/>
        </w:rPr>
        <w:t>X</w:t>
      </w:r>
      <w:r w:rsidRPr="009C78C8">
        <w:rPr>
          <w:rFonts w:asciiTheme="majorHAnsi" w:hAnsiTheme="majorHAnsi" w:cstheme="minorHAnsi"/>
          <w:b/>
          <w:bCs/>
          <w:vertAlign w:val="subscript"/>
        </w:rPr>
        <w:t>it</w:t>
      </w:r>
      <w:proofErr w:type="spellEnd"/>
      <w:r w:rsidRPr="009C78C8">
        <w:rPr>
          <w:rFonts w:asciiTheme="majorHAnsi" w:hAnsiTheme="majorHAnsi" w:cstheme="minorHAnsi"/>
        </w:rPr>
        <w:t xml:space="preserve"> is described in Table 1.</w:t>
      </w:r>
    </w:p>
    <w:p w14:paraId="0BC9D837" w14:textId="77777777" w:rsidR="009C78C8" w:rsidRPr="009C78C8" w:rsidRDefault="009C78C8" w:rsidP="009C78C8">
      <w:pPr>
        <w:widowControl w:val="0"/>
        <w:overflowPunct w:val="0"/>
        <w:autoSpaceDE w:val="0"/>
        <w:autoSpaceDN w:val="0"/>
        <w:adjustRightInd w:val="0"/>
        <w:ind w:left="720" w:right="300" w:firstLine="720"/>
        <w:jc w:val="both"/>
        <w:rPr>
          <w:rFonts w:asciiTheme="majorHAnsi" w:hAnsiTheme="majorHAnsi" w:cstheme="minorHAnsi"/>
          <w:b/>
        </w:rPr>
      </w:pPr>
    </w:p>
    <w:p w14:paraId="59787106" w14:textId="31B07ABD" w:rsidR="009C78C8" w:rsidRPr="009C78C8" w:rsidRDefault="009C78C8" w:rsidP="0033441A">
      <w:pPr>
        <w:widowControl w:val="0"/>
        <w:overflowPunct w:val="0"/>
        <w:autoSpaceDE w:val="0"/>
        <w:autoSpaceDN w:val="0"/>
        <w:adjustRightInd w:val="0"/>
        <w:ind w:right="300"/>
        <w:jc w:val="both"/>
        <w:rPr>
          <w:rFonts w:asciiTheme="majorHAnsi" w:hAnsiTheme="majorHAnsi" w:cstheme="minorHAnsi"/>
          <w:b/>
        </w:rPr>
      </w:pPr>
      <w:r w:rsidRPr="009C78C8">
        <w:rPr>
          <w:rFonts w:asciiTheme="majorHAnsi" w:hAnsiTheme="majorHAnsi" w:cstheme="minorHAnsi"/>
          <w:b/>
        </w:rPr>
        <w:t>Table 1.</w:t>
      </w:r>
      <w:r w:rsidR="0033441A">
        <w:rPr>
          <w:rFonts w:asciiTheme="majorHAnsi" w:hAnsiTheme="majorHAnsi" w:cstheme="minorHAnsi"/>
          <w:b/>
        </w:rPr>
        <w:t xml:space="preserve"> </w:t>
      </w:r>
      <w:r w:rsidRPr="009C78C8">
        <w:rPr>
          <w:rFonts w:asciiTheme="majorHAnsi" w:hAnsiTheme="majorHAnsi" w:cstheme="minorHAnsi"/>
          <w:b/>
        </w:rPr>
        <w:t>Description of weather variables</w:t>
      </w:r>
      <w:r w:rsidR="0033441A">
        <w:rPr>
          <w:rFonts w:asciiTheme="majorHAnsi" w:hAnsiTheme="majorHAnsi" w:cstheme="minorHAnsi"/>
          <w:b/>
        </w:rPr>
        <w:t>*</w:t>
      </w:r>
    </w:p>
    <w:tbl>
      <w:tblPr>
        <w:tblStyle w:val="TableGrid"/>
        <w:tblW w:w="9332" w:type="dxa"/>
        <w:tblLook w:val="04A0" w:firstRow="1" w:lastRow="0" w:firstColumn="1" w:lastColumn="0" w:noHBand="0" w:noVBand="1"/>
      </w:tblPr>
      <w:tblGrid>
        <w:gridCol w:w="2093"/>
        <w:gridCol w:w="7239"/>
      </w:tblGrid>
      <w:tr w:rsidR="009C78C8" w:rsidRPr="009C78C8" w14:paraId="481C3E91" w14:textId="77777777" w:rsidTr="00603E09">
        <w:tc>
          <w:tcPr>
            <w:tcW w:w="2093" w:type="dxa"/>
          </w:tcPr>
          <w:p w14:paraId="1CAB324E"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Arial"/>
              </w:rPr>
            </w:pPr>
            <w:r w:rsidRPr="009C78C8">
              <w:rPr>
                <w:rFonts w:asciiTheme="majorHAnsi" w:hAnsiTheme="majorHAnsi" w:cs="Arial"/>
                <w:b/>
                <w:bCs/>
                <w:color w:val="000000"/>
              </w:rPr>
              <w:t>Variable</w:t>
            </w:r>
          </w:p>
        </w:tc>
        <w:tc>
          <w:tcPr>
            <w:tcW w:w="7239" w:type="dxa"/>
          </w:tcPr>
          <w:p w14:paraId="6EB59B85"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Arial"/>
              </w:rPr>
            </w:pPr>
            <w:r w:rsidRPr="009C78C8">
              <w:rPr>
                <w:rFonts w:asciiTheme="majorHAnsi" w:hAnsiTheme="majorHAnsi" w:cs="Arial"/>
                <w:b/>
                <w:bCs/>
                <w:color w:val="000000"/>
              </w:rPr>
              <w:t>Description of Construction</w:t>
            </w:r>
          </w:p>
        </w:tc>
      </w:tr>
      <w:tr w:rsidR="009C78C8" w:rsidRPr="009C78C8" w14:paraId="1C486B13" w14:textId="77777777" w:rsidTr="00603E09">
        <w:tc>
          <w:tcPr>
            <w:tcW w:w="2093" w:type="dxa"/>
            <w:vMerge w:val="restart"/>
          </w:tcPr>
          <w:p w14:paraId="7E992740" w14:textId="77777777" w:rsidR="009C78C8" w:rsidRPr="009C78C8" w:rsidRDefault="009C78C8" w:rsidP="009C78C8">
            <w:pPr>
              <w:autoSpaceDE w:val="0"/>
              <w:autoSpaceDN w:val="0"/>
              <w:adjustRightInd w:val="0"/>
              <w:rPr>
                <w:rFonts w:asciiTheme="majorHAnsi" w:hAnsiTheme="majorHAnsi" w:cs="URWPalladioL-Roma"/>
              </w:rPr>
            </w:pPr>
          </w:p>
          <w:p w14:paraId="5483B5A3" w14:textId="77777777" w:rsidR="009C78C8" w:rsidRPr="009C78C8" w:rsidRDefault="009C78C8" w:rsidP="009C78C8">
            <w:pPr>
              <w:autoSpaceDE w:val="0"/>
              <w:autoSpaceDN w:val="0"/>
              <w:adjustRightInd w:val="0"/>
              <w:rPr>
                <w:rFonts w:asciiTheme="majorHAnsi" w:hAnsiTheme="majorHAnsi" w:cs="URWPalladioL-Roma"/>
              </w:rPr>
            </w:pPr>
          </w:p>
          <w:p w14:paraId="5BDC23ED" w14:textId="77777777" w:rsidR="009C78C8" w:rsidRPr="009C78C8" w:rsidRDefault="009C78C8" w:rsidP="009C78C8">
            <w:pPr>
              <w:autoSpaceDE w:val="0"/>
              <w:autoSpaceDN w:val="0"/>
              <w:adjustRightInd w:val="0"/>
              <w:rPr>
                <w:rFonts w:asciiTheme="majorHAnsi" w:hAnsiTheme="majorHAnsi" w:cs="URWPalladioL-Roma"/>
              </w:rPr>
            </w:pPr>
          </w:p>
          <w:p w14:paraId="275B22A6" w14:textId="77777777" w:rsidR="009C78C8" w:rsidRPr="009C78C8" w:rsidRDefault="009C78C8" w:rsidP="009C78C8">
            <w:pPr>
              <w:autoSpaceDE w:val="0"/>
              <w:autoSpaceDN w:val="0"/>
              <w:adjustRightInd w:val="0"/>
              <w:rPr>
                <w:rFonts w:asciiTheme="majorHAnsi" w:hAnsiTheme="majorHAnsi" w:cs="URWPalladioL-Roma"/>
              </w:rPr>
            </w:pPr>
          </w:p>
          <w:p w14:paraId="6E4D1531" w14:textId="77777777" w:rsidR="009C78C8" w:rsidRPr="009C78C8" w:rsidRDefault="009C78C8" w:rsidP="009C78C8">
            <w:pPr>
              <w:autoSpaceDE w:val="0"/>
              <w:autoSpaceDN w:val="0"/>
              <w:adjustRightInd w:val="0"/>
              <w:rPr>
                <w:rFonts w:asciiTheme="majorHAnsi" w:hAnsiTheme="majorHAnsi" w:cs="URWPalladioL-Roma"/>
              </w:rPr>
            </w:pPr>
          </w:p>
          <w:p w14:paraId="1E32DF4E" w14:textId="77777777" w:rsidR="009C78C8" w:rsidRPr="009C78C8" w:rsidRDefault="009C78C8" w:rsidP="009C78C8">
            <w:pPr>
              <w:autoSpaceDE w:val="0"/>
              <w:autoSpaceDN w:val="0"/>
              <w:adjustRightInd w:val="0"/>
              <w:rPr>
                <w:rFonts w:asciiTheme="majorHAnsi" w:hAnsiTheme="majorHAnsi" w:cs="URWPalladioL-Roma"/>
              </w:rPr>
            </w:pPr>
            <w:r w:rsidRPr="009C78C8">
              <w:rPr>
                <w:rFonts w:asciiTheme="majorHAnsi" w:hAnsiTheme="majorHAnsi" w:cs="URWPalladioL-Roma"/>
              </w:rPr>
              <w:t>Monsoon</w:t>
            </w:r>
          </w:p>
          <w:p w14:paraId="20AD7965"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Arial"/>
              </w:rPr>
            </w:pPr>
            <w:r w:rsidRPr="009C78C8">
              <w:rPr>
                <w:rFonts w:asciiTheme="majorHAnsi" w:hAnsiTheme="majorHAnsi" w:cs="URWPalladioL-Roma"/>
              </w:rPr>
              <w:t>duration (days)</w:t>
            </w:r>
          </w:p>
        </w:tc>
        <w:tc>
          <w:tcPr>
            <w:tcW w:w="7239" w:type="dxa"/>
          </w:tcPr>
          <w:p w14:paraId="3A16EB2A" w14:textId="77777777" w:rsidR="009C78C8" w:rsidRPr="009C78C8" w:rsidRDefault="009C78C8" w:rsidP="009C78C8">
            <w:pPr>
              <w:widowControl w:val="0"/>
              <w:overflowPunct w:val="0"/>
              <w:autoSpaceDE w:val="0"/>
              <w:autoSpaceDN w:val="0"/>
              <w:adjustRightInd w:val="0"/>
              <w:ind w:left="34"/>
              <w:rPr>
                <w:rFonts w:asciiTheme="majorHAnsi" w:hAnsiTheme="majorHAnsi" w:cs="Arial"/>
                <w:color w:val="000000"/>
              </w:rPr>
            </w:pPr>
            <w:r w:rsidRPr="009C78C8">
              <w:rPr>
                <w:rFonts w:asciiTheme="majorHAnsi" w:hAnsiTheme="majorHAnsi" w:cs="Arial"/>
                <w:color w:val="000000"/>
              </w:rPr>
              <w:t>1.Averaged daily gridded precipitation data (0.5˝ ˆ 0.66˝) across grid cells within the tea-growing region of each province</w:t>
            </w:r>
          </w:p>
        </w:tc>
      </w:tr>
      <w:tr w:rsidR="009C78C8" w:rsidRPr="009C78C8" w14:paraId="49D5B45D" w14:textId="77777777" w:rsidTr="00603E09">
        <w:tc>
          <w:tcPr>
            <w:tcW w:w="2093" w:type="dxa"/>
            <w:vMerge/>
          </w:tcPr>
          <w:p w14:paraId="21406FF3"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Arial"/>
              </w:rPr>
            </w:pPr>
          </w:p>
        </w:tc>
        <w:tc>
          <w:tcPr>
            <w:tcW w:w="7239" w:type="dxa"/>
          </w:tcPr>
          <w:p w14:paraId="40139206" w14:textId="77777777" w:rsidR="009C78C8" w:rsidRPr="009C78C8" w:rsidRDefault="009C78C8" w:rsidP="009C78C8">
            <w:pPr>
              <w:widowControl w:val="0"/>
              <w:overflowPunct w:val="0"/>
              <w:autoSpaceDE w:val="0"/>
              <w:autoSpaceDN w:val="0"/>
              <w:adjustRightInd w:val="0"/>
              <w:ind w:left="34"/>
              <w:rPr>
                <w:rFonts w:asciiTheme="majorHAnsi" w:hAnsiTheme="majorHAnsi" w:cs="Arial"/>
                <w:color w:val="000000"/>
              </w:rPr>
            </w:pPr>
            <w:proofErr w:type="gramStart"/>
            <w:r w:rsidRPr="009C78C8">
              <w:rPr>
                <w:rFonts w:asciiTheme="majorHAnsi" w:hAnsiTheme="majorHAnsi" w:cs="Arial"/>
                <w:color w:val="000000"/>
              </w:rPr>
              <w:t>2.Input</w:t>
            </w:r>
            <w:proofErr w:type="gramEnd"/>
            <w:r w:rsidRPr="009C78C8">
              <w:rPr>
                <w:rFonts w:asciiTheme="majorHAnsi" w:hAnsiTheme="majorHAnsi" w:cs="Arial"/>
                <w:color w:val="000000"/>
              </w:rPr>
              <w:t xml:space="preserve"> the daily cumulative precipitation function into R’s “Segmented” package. </w:t>
            </w:r>
          </w:p>
        </w:tc>
      </w:tr>
      <w:tr w:rsidR="009C78C8" w:rsidRPr="009C78C8" w14:paraId="77EB643D" w14:textId="77777777" w:rsidTr="00603E09">
        <w:tc>
          <w:tcPr>
            <w:tcW w:w="2093" w:type="dxa"/>
            <w:vMerge/>
          </w:tcPr>
          <w:p w14:paraId="267538DE"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Arial"/>
              </w:rPr>
            </w:pPr>
          </w:p>
        </w:tc>
        <w:tc>
          <w:tcPr>
            <w:tcW w:w="7239" w:type="dxa"/>
          </w:tcPr>
          <w:p w14:paraId="7A135165" w14:textId="77777777" w:rsidR="009C78C8" w:rsidRPr="009C78C8" w:rsidRDefault="009C78C8" w:rsidP="009C78C8">
            <w:pPr>
              <w:widowControl w:val="0"/>
              <w:overflowPunct w:val="0"/>
              <w:autoSpaceDE w:val="0"/>
              <w:autoSpaceDN w:val="0"/>
              <w:adjustRightInd w:val="0"/>
              <w:jc w:val="both"/>
              <w:rPr>
                <w:rFonts w:asciiTheme="majorHAnsi" w:hAnsiTheme="majorHAnsi" w:cs="Arial"/>
                <w:color w:val="000000"/>
              </w:rPr>
            </w:pPr>
            <w:r w:rsidRPr="009C78C8">
              <w:rPr>
                <w:rFonts w:asciiTheme="majorHAnsi" w:hAnsiTheme="majorHAnsi" w:cs="Arial"/>
                <w:color w:val="000000"/>
              </w:rPr>
              <w:t xml:space="preserve">3. “Segmented” requires a starting point from which to approximate the monsoon onset and retreat </w:t>
            </w:r>
          </w:p>
          <w:p w14:paraId="52268B19" w14:textId="77777777" w:rsidR="009C78C8" w:rsidRPr="009C78C8" w:rsidRDefault="009C78C8" w:rsidP="009C78C8">
            <w:pPr>
              <w:widowControl w:val="0"/>
              <w:autoSpaceDE w:val="0"/>
              <w:autoSpaceDN w:val="0"/>
              <w:adjustRightInd w:val="0"/>
              <w:ind w:left="318" w:hanging="252"/>
              <w:rPr>
                <w:rFonts w:asciiTheme="majorHAnsi" w:hAnsiTheme="majorHAnsi"/>
              </w:rPr>
            </w:pPr>
          </w:p>
          <w:p w14:paraId="2BB31E37" w14:textId="77777777" w:rsidR="009C78C8" w:rsidRPr="009C78C8" w:rsidRDefault="009C78C8" w:rsidP="009C78C8">
            <w:pPr>
              <w:widowControl w:val="0"/>
              <w:overflowPunct w:val="0"/>
              <w:autoSpaceDE w:val="0"/>
              <w:autoSpaceDN w:val="0"/>
              <w:adjustRightInd w:val="0"/>
              <w:ind w:left="34"/>
              <w:rPr>
                <w:rFonts w:asciiTheme="majorHAnsi" w:hAnsiTheme="majorHAnsi"/>
              </w:rPr>
            </w:pPr>
            <w:proofErr w:type="gramStart"/>
            <w:r w:rsidRPr="009C78C8">
              <w:rPr>
                <w:rFonts w:asciiTheme="majorHAnsi" w:hAnsiTheme="majorHAnsi" w:cs="Arial"/>
                <w:color w:val="000000"/>
              </w:rPr>
              <w:t>dates</w:t>
            </w:r>
            <w:proofErr w:type="gramEnd"/>
            <w:r w:rsidRPr="009C78C8">
              <w:rPr>
                <w:rFonts w:asciiTheme="majorHAnsi" w:hAnsiTheme="majorHAnsi" w:cs="Arial"/>
                <w:color w:val="000000"/>
              </w:rPr>
              <w:t>. The average historical monsoon onset and retreat dates across China’s major tea producing regions are used for this purpose. 1 May is the 121st day of the year representing the monsoon onset and 31 August is the 234th day of year representing the end of the monsoon</w:t>
            </w:r>
          </w:p>
          <w:p w14:paraId="119AFF8C" w14:textId="77777777" w:rsidR="009C78C8" w:rsidRPr="009C78C8" w:rsidRDefault="009C78C8" w:rsidP="009C78C8">
            <w:pPr>
              <w:widowControl w:val="0"/>
              <w:autoSpaceDE w:val="0"/>
              <w:autoSpaceDN w:val="0"/>
              <w:adjustRightInd w:val="0"/>
              <w:ind w:left="34"/>
              <w:rPr>
                <w:rFonts w:asciiTheme="majorHAnsi" w:hAnsiTheme="majorHAnsi"/>
              </w:rPr>
            </w:pPr>
          </w:p>
          <w:p w14:paraId="024A4FFE" w14:textId="77777777" w:rsidR="009C78C8" w:rsidRPr="009C78C8" w:rsidRDefault="009C78C8" w:rsidP="009C78C8">
            <w:pPr>
              <w:widowControl w:val="0"/>
              <w:autoSpaceDE w:val="0"/>
              <w:autoSpaceDN w:val="0"/>
              <w:adjustRightInd w:val="0"/>
              <w:ind w:left="318" w:hanging="252"/>
              <w:rPr>
                <w:rFonts w:asciiTheme="majorHAnsi" w:hAnsiTheme="majorHAnsi"/>
              </w:rPr>
            </w:pPr>
            <w:r w:rsidRPr="009C78C8">
              <w:rPr>
                <w:rFonts w:asciiTheme="majorHAnsi" w:hAnsiTheme="majorHAnsi" w:cs="Arial"/>
                <w:color w:val="000000"/>
              </w:rPr>
              <w:t>(</w:t>
            </w:r>
            <w:proofErr w:type="spellStart"/>
            <w:r w:rsidRPr="009C78C8">
              <w:rPr>
                <w:rFonts w:asciiTheme="majorHAnsi" w:hAnsiTheme="majorHAnsi" w:cs="Arial"/>
                <w:color w:val="000000"/>
              </w:rPr>
              <w:t>Zhai</w:t>
            </w:r>
            <w:proofErr w:type="spellEnd"/>
            <w:r w:rsidRPr="009C78C8">
              <w:rPr>
                <w:rFonts w:asciiTheme="majorHAnsi" w:hAnsiTheme="majorHAnsi" w:cs="Arial"/>
                <w:color w:val="000000"/>
              </w:rPr>
              <w:t xml:space="preserve"> et al. 2005) </w:t>
            </w:r>
          </w:p>
        </w:tc>
      </w:tr>
      <w:tr w:rsidR="009C78C8" w:rsidRPr="009C78C8" w14:paraId="579DA390" w14:textId="77777777" w:rsidTr="00603E09">
        <w:tc>
          <w:tcPr>
            <w:tcW w:w="2093" w:type="dxa"/>
            <w:vMerge/>
          </w:tcPr>
          <w:p w14:paraId="1C71755F"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Arial"/>
              </w:rPr>
            </w:pPr>
          </w:p>
        </w:tc>
        <w:tc>
          <w:tcPr>
            <w:tcW w:w="7239" w:type="dxa"/>
          </w:tcPr>
          <w:p w14:paraId="47B075A2" w14:textId="77777777" w:rsidR="009C78C8" w:rsidRPr="009C78C8" w:rsidRDefault="009C78C8" w:rsidP="009C78C8">
            <w:pPr>
              <w:widowControl w:val="0"/>
              <w:autoSpaceDE w:val="0"/>
              <w:autoSpaceDN w:val="0"/>
              <w:adjustRightInd w:val="0"/>
              <w:ind w:left="176" w:hanging="252"/>
              <w:rPr>
                <w:rFonts w:asciiTheme="majorHAnsi" w:hAnsiTheme="majorHAnsi" w:cs="Arial"/>
                <w:color w:val="000000"/>
              </w:rPr>
            </w:pPr>
            <w:r w:rsidRPr="009C78C8">
              <w:rPr>
                <w:rFonts w:asciiTheme="majorHAnsi" w:hAnsiTheme="majorHAnsi" w:cs="URWPalladioL-Roma"/>
              </w:rPr>
              <w:t>4. “</w:t>
            </w:r>
            <w:r w:rsidRPr="009C78C8">
              <w:rPr>
                <w:rFonts w:asciiTheme="majorHAnsi" w:hAnsiTheme="majorHAnsi" w:cs="Arial"/>
                <w:color w:val="000000"/>
              </w:rPr>
              <w:t>Segmented” approximates the unknown breakpoints in the slope of the cumulative precipitation function, providing an approximate start and end date of the monsoon, which is then used to calculate the duration of the monsoon by province and year.</w:t>
            </w:r>
          </w:p>
        </w:tc>
      </w:tr>
      <w:tr w:rsidR="009C78C8" w:rsidRPr="009C78C8" w14:paraId="5F936664" w14:textId="77777777" w:rsidTr="00603E09">
        <w:tc>
          <w:tcPr>
            <w:tcW w:w="2093" w:type="dxa"/>
          </w:tcPr>
          <w:p w14:paraId="5598B1BD" w14:textId="77777777" w:rsidR="009C78C8" w:rsidRPr="009C78C8" w:rsidRDefault="009C78C8" w:rsidP="009C78C8">
            <w:pPr>
              <w:widowControl w:val="0"/>
              <w:autoSpaceDE w:val="0"/>
              <w:autoSpaceDN w:val="0"/>
              <w:adjustRightInd w:val="0"/>
              <w:jc w:val="both"/>
              <w:rPr>
                <w:rFonts w:asciiTheme="majorHAnsi" w:hAnsiTheme="majorHAnsi"/>
              </w:rPr>
            </w:pPr>
            <w:r w:rsidRPr="009C78C8">
              <w:rPr>
                <w:rFonts w:asciiTheme="majorHAnsi" w:hAnsiTheme="majorHAnsi" w:cs="Arial"/>
              </w:rPr>
              <w:t>Monsoon</w:t>
            </w:r>
          </w:p>
          <w:p w14:paraId="5DE7851D" w14:textId="77777777" w:rsidR="009C78C8" w:rsidRPr="009C78C8" w:rsidRDefault="009C78C8" w:rsidP="009C78C8">
            <w:pPr>
              <w:widowControl w:val="0"/>
              <w:autoSpaceDE w:val="0"/>
              <w:autoSpaceDN w:val="0"/>
              <w:adjustRightInd w:val="0"/>
              <w:jc w:val="both"/>
              <w:rPr>
                <w:rFonts w:asciiTheme="majorHAnsi" w:hAnsiTheme="majorHAnsi"/>
              </w:rPr>
            </w:pPr>
          </w:p>
          <w:p w14:paraId="15EA8121" w14:textId="77777777" w:rsidR="009C78C8" w:rsidRPr="009C78C8" w:rsidRDefault="009C78C8" w:rsidP="009C78C8">
            <w:pPr>
              <w:widowControl w:val="0"/>
              <w:overflowPunct w:val="0"/>
              <w:autoSpaceDE w:val="0"/>
              <w:autoSpaceDN w:val="0"/>
              <w:adjustRightInd w:val="0"/>
              <w:jc w:val="both"/>
              <w:rPr>
                <w:rFonts w:asciiTheme="majorHAnsi" w:hAnsiTheme="majorHAnsi" w:cs="Arial"/>
              </w:rPr>
            </w:pPr>
            <w:r w:rsidRPr="009C78C8">
              <w:rPr>
                <w:rFonts w:asciiTheme="majorHAnsi" w:hAnsiTheme="majorHAnsi" w:cs="Arial"/>
              </w:rPr>
              <w:t xml:space="preserve">onset/retreat date  </w:t>
            </w:r>
          </w:p>
          <w:p w14:paraId="60688F6D"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Arial"/>
              </w:rPr>
            </w:pPr>
            <w:r w:rsidRPr="009C78C8">
              <w:rPr>
                <w:rFonts w:asciiTheme="majorHAnsi" w:hAnsiTheme="majorHAnsi" w:cs="Arial"/>
              </w:rPr>
              <w:t>(Julian day)</w:t>
            </w:r>
          </w:p>
        </w:tc>
        <w:tc>
          <w:tcPr>
            <w:tcW w:w="7239" w:type="dxa"/>
          </w:tcPr>
          <w:p w14:paraId="26532A88"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Arial"/>
              </w:rPr>
            </w:pPr>
            <w:r w:rsidRPr="009C78C8">
              <w:rPr>
                <w:rFonts w:asciiTheme="majorHAnsi" w:hAnsiTheme="majorHAnsi" w:cs="Arial"/>
              </w:rPr>
              <w:t>Estimated date upon which the monsoon onset/retreat occurs.</w:t>
            </w:r>
          </w:p>
        </w:tc>
      </w:tr>
    </w:tbl>
    <w:p w14:paraId="7514DA2A" w14:textId="22E73E87" w:rsidR="0033441A" w:rsidRPr="0033441A" w:rsidRDefault="0033441A">
      <w:pPr>
        <w:rPr>
          <w:rFonts w:asciiTheme="majorHAnsi" w:hAnsiTheme="majorHAnsi" w:cs="Arial"/>
          <w:bCs/>
          <w:color w:val="000000"/>
          <w:sz w:val="20"/>
          <w:szCs w:val="20"/>
        </w:rPr>
      </w:pPr>
      <w:r w:rsidRPr="0033441A">
        <w:rPr>
          <w:sz w:val="20"/>
          <w:szCs w:val="20"/>
        </w:rPr>
        <w:t>*</w:t>
      </w:r>
      <w:r w:rsidRPr="0033441A">
        <w:rPr>
          <w:rFonts w:asciiTheme="majorHAnsi" w:hAnsiTheme="majorHAnsi" w:cs="Arial"/>
          <w:color w:val="000000"/>
          <w:sz w:val="20"/>
          <w:szCs w:val="20"/>
        </w:rPr>
        <w:t xml:space="preserve"> </w:t>
      </w:r>
      <w:r w:rsidRPr="0033441A">
        <w:rPr>
          <w:rFonts w:asciiTheme="majorHAnsi" w:hAnsiTheme="majorHAnsi" w:cs="Arial"/>
          <w:color w:val="000000"/>
          <w:sz w:val="20"/>
          <w:szCs w:val="20"/>
        </w:rPr>
        <w:t xml:space="preserve">Adapted from the </w:t>
      </w:r>
      <w:r w:rsidRPr="0033441A">
        <w:rPr>
          <w:rFonts w:asciiTheme="majorHAnsi" w:hAnsiTheme="majorHAnsi" w:cs="Arial"/>
          <w:bCs/>
          <w:color w:val="000000"/>
          <w:sz w:val="20"/>
          <w:szCs w:val="20"/>
        </w:rPr>
        <w:t xml:space="preserve">Boehm </w:t>
      </w:r>
      <w:r w:rsidRPr="0033441A">
        <w:rPr>
          <w:rFonts w:asciiTheme="majorHAnsi" w:hAnsiTheme="majorHAnsi" w:cs="Arial"/>
          <w:bCs/>
          <w:i/>
          <w:color w:val="000000"/>
          <w:sz w:val="20"/>
          <w:szCs w:val="20"/>
        </w:rPr>
        <w:t>et al</w:t>
      </w:r>
      <w:r w:rsidRPr="0033441A">
        <w:rPr>
          <w:rFonts w:asciiTheme="majorHAnsi" w:hAnsiTheme="majorHAnsi" w:cs="Arial"/>
          <w:bCs/>
          <w:color w:val="000000"/>
          <w:sz w:val="20"/>
          <w:szCs w:val="20"/>
        </w:rPr>
        <w:t>. (2016)</w:t>
      </w:r>
      <w:r>
        <w:rPr>
          <w:rFonts w:asciiTheme="majorHAnsi" w:hAnsiTheme="majorHAnsi" w:cs="Arial"/>
          <w:bCs/>
          <w:color w:val="000000"/>
          <w:sz w:val="20"/>
          <w:szCs w:val="20"/>
        </w:rPr>
        <w:t>.</w:t>
      </w:r>
    </w:p>
    <w:p w14:paraId="17AF7F23" w14:textId="3C0267E2" w:rsidR="0033441A" w:rsidRDefault="0033441A">
      <w:r>
        <w:br w:type="page"/>
      </w:r>
    </w:p>
    <w:p w14:paraId="2EA06FC7" w14:textId="005267DF" w:rsidR="0033441A" w:rsidRPr="0033441A" w:rsidRDefault="0033441A" w:rsidP="0033441A">
      <w:pPr>
        <w:widowControl w:val="0"/>
        <w:overflowPunct w:val="0"/>
        <w:autoSpaceDE w:val="0"/>
        <w:autoSpaceDN w:val="0"/>
        <w:adjustRightInd w:val="0"/>
        <w:ind w:right="300"/>
        <w:jc w:val="both"/>
        <w:rPr>
          <w:rFonts w:asciiTheme="majorHAnsi" w:hAnsiTheme="majorHAnsi" w:cstheme="minorHAnsi"/>
          <w:b/>
        </w:rPr>
      </w:pPr>
      <w:r w:rsidRPr="009C78C8">
        <w:rPr>
          <w:rFonts w:asciiTheme="majorHAnsi" w:hAnsiTheme="majorHAnsi" w:cstheme="minorHAnsi"/>
          <w:b/>
        </w:rPr>
        <w:lastRenderedPageBreak/>
        <w:t>Table 1.</w:t>
      </w:r>
      <w:r>
        <w:rPr>
          <w:rFonts w:asciiTheme="majorHAnsi" w:hAnsiTheme="majorHAnsi" w:cstheme="minorHAnsi"/>
          <w:b/>
        </w:rPr>
        <w:t xml:space="preserve"> </w:t>
      </w:r>
      <w:r w:rsidRPr="009C78C8">
        <w:rPr>
          <w:rFonts w:asciiTheme="majorHAnsi" w:hAnsiTheme="majorHAnsi" w:cstheme="minorHAnsi"/>
          <w:b/>
        </w:rPr>
        <w:t>Description of weather variables</w:t>
      </w:r>
      <w:r>
        <w:rPr>
          <w:rFonts w:asciiTheme="majorHAnsi" w:hAnsiTheme="majorHAnsi" w:cstheme="minorHAnsi"/>
          <w:b/>
        </w:rPr>
        <w:t xml:space="preserve"> (cont’d)</w:t>
      </w:r>
    </w:p>
    <w:tbl>
      <w:tblPr>
        <w:tblStyle w:val="TableGrid"/>
        <w:tblW w:w="9332" w:type="dxa"/>
        <w:tblLook w:val="04A0" w:firstRow="1" w:lastRow="0" w:firstColumn="1" w:lastColumn="0" w:noHBand="0" w:noVBand="1"/>
      </w:tblPr>
      <w:tblGrid>
        <w:gridCol w:w="2093"/>
        <w:gridCol w:w="7239"/>
      </w:tblGrid>
      <w:tr w:rsidR="009C78C8" w:rsidRPr="009C78C8" w14:paraId="78FF8449" w14:textId="77777777" w:rsidTr="00603E09">
        <w:tc>
          <w:tcPr>
            <w:tcW w:w="2093" w:type="dxa"/>
            <w:vAlign w:val="bottom"/>
          </w:tcPr>
          <w:p w14:paraId="34CBF301" w14:textId="792B92E6" w:rsidR="009C78C8" w:rsidRPr="009C78C8" w:rsidRDefault="009C78C8" w:rsidP="009C78C8">
            <w:pPr>
              <w:widowControl w:val="0"/>
              <w:autoSpaceDE w:val="0"/>
              <w:autoSpaceDN w:val="0"/>
              <w:adjustRightInd w:val="0"/>
              <w:jc w:val="center"/>
              <w:rPr>
                <w:rFonts w:asciiTheme="majorHAnsi" w:eastAsiaTheme="minorEastAsia" w:hAnsiTheme="majorHAnsi"/>
              </w:rPr>
            </w:pPr>
            <w:r w:rsidRPr="009C78C8">
              <w:rPr>
                <w:rFonts w:asciiTheme="majorHAnsi" w:eastAsiaTheme="minorEastAsia" w:hAnsiTheme="majorHAnsi" w:cs="Arial"/>
                <w:w w:val="97"/>
              </w:rPr>
              <w:t>Pre-monsoon</w:t>
            </w:r>
          </w:p>
          <w:p w14:paraId="0F363DB1" w14:textId="77777777" w:rsidR="009C78C8" w:rsidRPr="009C78C8" w:rsidRDefault="009C78C8" w:rsidP="009C78C8">
            <w:pPr>
              <w:widowControl w:val="0"/>
              <w:autoSpaceDE w:val="0"/>
              <w:autoSpaceDN w:val="0"/>
              <w:adjustRightInd w:val="0"/>
              <w:spacing w:after="200"/>
              <w:jc w:val="center"/>
              <w:rPr>
                <w:rFonts w:asciiTheme="majorHAnsi" w:eastAsiaTheme="minorEastAsia" w:hAnsiTheme="majorHAnsi"/>
              </w:rPr>
            </w:pPr>
            <w:r w:rsidRPr="009C78C8">
              <w:rPr>
                <w:rFonts w:asciiTheme="majorHAnsi" w:eastAsiaTheme="minorEastAsia" w:hAnsiTheme="majorHAnsi" w:cs="Arial"/>
              </w:rPr>
              <w:t>rainfall (mm)</w:t>
            </w:r>
          </w:p>
        </w:tc>
        <w:tc>
          <w:tcPr>
            <w:tcW w:w="7239" w:type="dxa"/>
            <w:vAlign w:val="bottom"/>
          </w:tcPr>
          <w:p w14:paraId="06DD75DE" w14:textId="5B688245" w:rsidR="009C78C8" w:rsidRPr="009C78C8" w:rsidRDefault="009C78C8" w:rsidP="0033441A">
            <w:pPr>
              <w:widowControl w:val="0"/>
              <w:autoSpaceDE w:val="0"/>
              <w:autoSpaceDN w:val="0"/>
              <w:adjustRightInd w:val="0"/>
              <w:ind w:left="200"/>
              <w:rPr>
                <w:rFonts w:asciiTheme="majorHAnsi" w:hAnsiTheme="majorHAnsi"/>
              </w:rPr>
            </w:pPr>
            <w:r w:rsidRPr="009C78C8">
              <w:rPr>
                <w:rFonts w:asciiTheme="majorHAnsi" w:hAnsiTheme="majorHAnsi"/>
              </w:rPr>
              <w:t>Averaged daily gridded precipitation data across grid cells within the tea-growing region of each</w:t>
            </w:r>
            <w:r w:rsidR="0033441A">
              <w:rPr>
                <w:rFonts w:asciiTheme="majorHAnsi" w:hAnsiTheme="majorHAnsi"/>
              </w:rPr>
              <w:t xml:space="preserve"> </w:t>
            </w:r>
            <w:r w:rsidRPr="009C78C8">
              <w:rPr>
                <w:rFonts w:asciiTheme="majorHAnsi" w:hAnsiTheme="majorHAnsi"/>
              </w:rPr>
              <w:t>province. Then the average total daily rainfall during the approximated pre-monsoon period (1</w:t>
            </w:r>
            <w:r w:rsidR="0033441A">
              <w:rPr>
                <w:rFonts w:asciiTheme="majorHAnsi" w:hAnsiTheme="majorHAnsi"/>
              </w:rPr>
              <w:t> </w:t>
            </w:r>
            <w:r w:rsidRPr="009C78C8">
              <w:rPr>
                <w:rFonts w:asciiTheme="majorHAnsi" w:hAnsiTheme="majorHAnsi"/>
              </w:rPr>
              <w:t>January</w:t>
            </w:r>
            <w:r w:rsidR="0033441A">
              <w:rPr>
                <w:rFonts w:asciiTheme="majorHAnsi" w:hAnsiTheme="majorHAnsi"/>
              </w:rPr>
              <w:t xml:space="preserve">: </w:t>
            </w:r>
            <w:r w:rsidRPr="009C78C8">
              <w:rPr>
                <w:rFonts w:asciiTheme="majorHAnsi" w:hAnsiTheme="majorHAnsi"/>
              </w:rPr>
              <w:t>monsoon onset date) was obtained.</w:t>
            </w:r>
          </w:p>
        </w:tc>
      </w:tr>
      <w:tr w:rsidR="009C78C8" w:rsidRPr="009C78C8" w14:paraId="29D0DAF5" w14:textId="77777777" w:rsidTr="00603E09">
        <w:tc>
          <w:tcPr>
            <w:tcW w:w="2093" w:type="dxa"/>
            <w:vAlign w:val="center"/>
          </w:tcPr>
          <w:p w14:paraId="7D82DF06" w14:textId="77777777" w:rsidR="009C78C8" w:rsidRPr="009C78C8" w:rsidRDefault="009C78C8" w:rsidP="009C78C8">
            <w:pPr>
              <w:widowControl w:val="0"/>
              <w:autoSpaceDE w:val="0"/>
              <w:autoSpaceDN w:val="0"/>
              <w:adjustRightInd w:val="0"/>
              <w:jc w:val="center"/>
              <w:rPr>
                <w:rFonts w:asciiTheme="majorHAnsi" w:eastAsiaTheme="minorEastAsia" w:hAnsiTheme="majorHAnsi"/>
              </w:rPr>
            </w:pPr>
            <w:r w:rsidRPr="009C78C8">
              <w:rPr>
                <w:rFonts w:asciiTheme="majorHAnsi" w:eastAsiaTheme="minorEastAsia" w:hAnsiTheme="majorHAnsi" w:cs="Arial"/>
              </w:rPr>
              <w:t>Monsoon</w:t>
            </w:r>
          </w:p>
          <w:p w14:paraId="20B2E8C9" w14:textId="77777777" w:rsidR="009C78C8" w:rsidRPr="009C78C8" w:rsidRDefault="009C78C8" w:rsidP="009C78C8">
            <w:pPr>
              <w:widowControl w:val="0"/>
              <w:autoSpaceDE w:val="0"/>
              <w:autoSpaceDN w:val="0"/>
              <w:adjustRightInd w:val="0"/>
              <w:spacing w:after="200"/>
              <w:jc w:val="center"/>
              <w:rPr>
                <w:rFonts w:asciiTheme="majorHAnsi" w:eastAsiaTheme="minorEastAsia" w:hAnsiTheme="majorHAnsi"/>
              </w:rPr>
            </w:pPr>
            <w:r w:rsidRPr="009C78C8">
              <w:rPr>
                <w:rFonts w:asciiTheme="majorHAnsi" w:eastAsiaTheme="minorEastAsia" w:hAnsiTheme="majorHAnsi" w:cs="Arial"/>
              </w:rPr>
              <w:t>rainfall (mm)</w:t>
            </w:r>
          </w:p>
        </w:tc>
        <w:tc>
          <w:tcPr>
            <w:tcW w:w="7239" w:type="dxa"/>
            <w:vAlign w:val="bottom"/>
          </w:tcPr>
          <w:p w14:paraId="07AA42C9" w14:textId="63A86047" w:rsidR="009C78C8" w:rsidRPr="009C78C8" w:rsidRDefault="009C78C8" w:rsidP="0033441A">
            <w:pPr>
              <w:widowControl w:val="0"/>
              <w:autoSpaceDE w:val="0"/>
              <w:autoSpaceDN w:val="0"/>
              <w:adjustRightInd w:val="0"/>
              <w:ind w:left="200"/>
              <w:rPr>
                <w:rFonts w:asciiTheme="majorHAnsi" w:eastAsiaTheme="minorEastAsia" w:hAnsiTheme="majorHAnsi"/>
              </w:rPr>
            </w:pPr>
            <w:r w:rsidRPr="009C78C8">
              <w:rPr>
                <w:rFonts w:asciiTheme="majorHAnsi" w:eastAsiaTheme="minorEastAsia" w:hAnsiTheme="majorHAnsi" w:cs="Arial"/>
              </w:rPr>
              <w:t>Averaged daily gridded precipitation data across grid cells within the tea-growing region of each</w:t>
            </w:r>
            <w:r w:rsidR="0033441A">
              <w:rPr>
                <w:rFonts w:asciiTheme="majorHAnsi" w:eastAsiaTheme="minorEastAsia" w:hAnsiTheme="majorHAnsi" w:cs="Arial"/>
              </w:rPr>
              <w:t xml:space="preserve"> </w:t>
            </w:r>
            <w:r w:rsidRPr="009C78C8">
              <w:rPr>
                <w:rFonts w:asciiTheme="majorHAnsi" w:eastAsiaTheme="minorEastAsia" w:hAnsiTheme="majorHAnsi" w:cs="Arial"/>
              </w:rPr>
              <w:t>province. Then average total daily rainfall during the approximated monsoon period (monsoon onset</w:t>
            </w:r>
            <w:r w:rsidR="0033441A">
              <w:rPr>
                <w:rFonts w:asciiTheme="majorHAnsi" w:eastAsiaTheme="minorEastAsia" w:hAnsiTheme="majorHAnsi" w:cs="Arial"/>
              </w:rPr>
              <w:t xml:space="preserve"> </w:t>
            </w:r>
            <w:r w:rsidRPr="009C78C8">
              <w:rPr>
                <w:rFonts w:asciiTheme="majorHAnsi" w:eastAsiaTheme="minorEastAsia" w:hAnsiTheme="majorHAnsi" w:cs="Arial"/>
              </w:rPr>
              <w:t>date</w:t>
            </w:r>
            <w:r w:rsidR="0033441A">
              <w:rPr>
                <w:rFonts w:asciiTheme="majorHAnsi" w:eastAsiaTheme="minorEastAsia" w:hAnsiTheme="majorHAnsi" w:cs="Arial"/>
              </w:rPr>
              <w:t>/</w:t>
            </w:r>
            <w:r w:rsidRPr="009C78C8">
              <w:rPr>
                <w:rFonts w:asciiTheme="majorHAnsi" w:eastAsiaTheme="minorEastAsia" w:hAnsiTheme="majorHAnsi" w:cs="Arial"/>
              </w:rPr>
              <w:t>monsoon retreat date) was obtained.</w:t>
            </w:r>
          </w:p>
        </w:tc>
      </w:tr>
      <w:tr w:rsidR="009C78C8" w:rsidRPr="009C78C8" w14:paraId="277086E8" w14:textId="77777777" w:rsidTr="00603E09">
        <w:tc>
          <w:tcPr>
            <w:tcW w:w="2093" w:type="dxa"/>
            <w:vAlign w:val="center"/>
          </w:tcPr>
          <w:p w14:paraId="4C6CBCD9" w14:textId="77777777" w:rsidR="009C78C8" w:rsidRPr="009C78C8" w:rsidRDefault="009C78C8" w:rsidP="009C78C8">
            <w:pPr>
              <w:widowControl w:val="0"/>
              <w:autoSpaceDE w:val="0"/>
              <w:autoSpaceDN w:val="0"/>
              <w:adjustRightInd w:val="0"/>
              <w:jc w:val="center"/>
              <w:rPr>
                <w:rFonts w:asciiTheme="majorHAnsi" w:eastAsiaTheme="minorEastAsia" w:hAnsiTheme="majorHAnsi"/>
              </w:rPr>
            </w:pPr>
            <w:r w:rsidRPr="009C78C8">
              <w:rPr>
                <w:rFonts w:asciiTheme="majorHAnsi" w:eastAsiaTheme="minorEastAsia" w:hAnsiTheme="majorHAnsi" w:cs="Arial"/>
                <w:w w:val="96"/>
              </w:rPr>
              <w:t>Post-monsoon</w:t>
            </w:r>
          </w:p>
          <w:p w14:paraId="0295B47E" w14:textId="77777777" w:rsidR="009C78C8" w:rsidRPr="009C78C8" w:rsidRDefault="009C78C8" w:rsidP="009C78C8">
            <w:pPr>
              <w:widowControl w:val="0"/>
              <w:autoSpaceDE w:val="0"/>
              <w:autoSpaceDN w:val="0"/>
              <w:adjustRightInd w:val="0"/>
              <w:spacing w:after="200"/>
              <w:jc w:val="center"/>
              <w:rPr>
                <w:rFonts w:asciiTheme="majorHAnsi" w:eastAsiaTheme="minorEastAsia" w:hAnsiTheme="majorHAnsi"/>
              </w:rPr>
            </w:pPr>
            <w:r w:rsidRPr="009C78C8">
              <w:rPr>
                <w:rFonts w:asciiTheme="majorHAnsi" w:eastAsiaTheme="minorEastAsia" w:hAnsiTheme="majorHAnsi" w:cs="Arial"/>
              </w:rPr>
              <w:t>rainfall (mm)</w:t>
            </w:r>
          </w:p>
        </w:tc>
        <w:tc>
          <w:tcPr>
            <w:tcW w:w="7239" w:type="dxa"/>
            <w:vAlign w:val="bottom"/>
          </w:tcPr>
          <w:p w14:paraId="3C411287" w14:textId="7FD21C5B" w:rsidR="009C78C8" w:rsidRPr="009C78C8" w:rsidRDefault="009C78C8" w:rsidP="0033441A">
            <w:pPr>
              <w:widowControl w:val="0"/>
              <w:autoSpaceDE w:val="0"/>
              <w:autoSpaceDN w:val="0"/>
              <w:adjustRightInd w:val="0"/>
              <w:ind w:left="200"/>
              <w:rPr>
                <w:rFonts w:asciiTheme="majorHAnsi" w:eastAsiaTheme="minorEastAsia" w:hAnsiTheme="majorHAnsi"/>
              </w:rPr>
            </w:pPr>
            <w:r w:rsidRPr="009C78C8">
              <w:rPr>
                <w:rFonts w:asciiTheme="majorHAnsi" w:eastAsiaTheme="minorEastAsia" w:hAnsiTheme="majorHAnsi" w:cs="Arial"/>
              </w:rPr>
              <w:t>Averaged daily gridded precipitation data across grid cells within the tea-growing region of a province.</w:t>
            </w:r>
            <w:r w:rsidR="0033441A">
              <w:rPr>
                <w:rFonts w:asciiTheme="majorHAnsi" w:eastAsiaTheme="minorEastAsia" w:hAnsiTheme="majorHAnsi" w:cs="Arial"/>
              </w:rPr>
              <w:t xml:space="preserve"> </w:t>
            </w:r>
            <w:r w:rsidRPr="009C78C8">
              <w:rPr>
                <w:rFonts w:asciiTheme="majorHAnsi" w:eastAsiaTheme="minorEastAsia" w:hAnsiTheme="majorHAnsi" w:cs="Arial"/>
              </w:rPr>
              <w:t>Then average total daily rainfall occurring during the approximated post-monsoon period (monsoon</w:t>
            </w:r>
            <w:r w:rsidR="0033441A">
              <w:rPr>
                <w:rFonts w:asciiTheme="majorHAnsi" w:eastAsiaTheme="minorEastAsia" w:hAnsiTheme="majorHAnsi" w:cs="Arial"/>
              </w:rPr>
              <w:t xml:space="preserve"> </w:t>
            </w:r>
            <w:r w:rsidRPr="009C78C8">
              <w:rPr>
                <w:rFonts w:asciiTheme="majorHAnsi" w:eastAsiaTheme="minorEastAsia" w:hAnsiTheme="majorHAnsi" w:cs="Arial"/>
              </w:rPr>
              <w:t>retreat date</w:t>
            </w:r>
            <w:r w:rsidR="0033441A">
              <w:rPr>
                <w:rFonts w:asciiTheme="majorHAnsi" w:eastAsiaTheme="minorEastAsia" w:hAnsiTheme="majorHAnsi" w:cs="Arial"/>
              </w:rPr>
              <w:t xml:space="preserve">: </w:t>
            </w:r>
            <w:r w:rsidRPr="009C78C8">
              <w:rPr>
                <w:rFonts w:asciiTheme="majorHAnsi" w:eastAsiaTheme="minorEastAsia" w:hAnsiTheme="majorHAnsi" w:cs="Arial"/>
              </w:rPr>
              <w:t>31 December) was obtained.</w:t>
            </w:r>
          </w:p>
        </w:tc>
      </w:tr>
      <w:tr w:rsidR="009C78C8" w:rsidRPr="009C78C8" w14:paraId="269CCCA1" w14:textId="77777777" w:rsidTr="00603E09">
        <w:tc>
          <w:tcPr>
            <w:tcW w:w="2093" w:type="dxa"/>
            <w:vAlign w:val="center"/>
          </w:tcPr>
          <w:p w14:paraId="22F43F29" w14:textId="77777777" w:rsidR="009C78C8" w:rsidRPr="009C78C8" w:rsidRDefault="009C78C8" w:rsidP="009C78C8">
            <w:pPr>
              <w:widowControl w:val="0"/>
              <w:overflowPunct w:val="0"/>
              <w:autoSpaceDE w:val="0"/>
              <w:autoSpaceDN w:val="0"/>
              <w:adjustRightInd w:val="0"/>
              <w:jc w:val="center"/>
              <w:rPr>
                <w:rFonts w:asciiTheme="majorHAnsi" w:hAnsiTheme="majorHAnsi"/>
              </w:rPr>
            </w:pPr>
            <w:r w:rsidRPr="009C78C8">
              <w:rPr>
                <w:rFonts w:asciiTheme="majorHAnsi" w:hAnsiTheme="majorHAnsi" w:cs="Arial"/>
              </w:rPr>
              <w:t>Pre-monsoon minimum temperature (</w:t>
            </w:r>
            <w:r w:rsidRPr="009C78C8">
              <w:rPr>
                <w:rFonts w:asciiTheme="majorHAnsi" w:hAnsiTheme="majorHAnsi" w:cs="Arial"/>
                <w:vertAlign w:val="superscript"/>
              </w:rPr>
              <w:t>˝</w:t>
            </w:r>
            <w:r w:rsidRPr="009C78C8">
              <w:rPr>
                <w:rFonts w:asciiTheme="majorHAnsi" w:hAnsiTheme="majorHAnsi" w:cs="Arial"/>
              </w:rPr>
              <w:t>C)</w:t>
            </w:r>
          </w:p>
          <w:p w14:paraId="0F27C94F" w14:textId="77777777" w:rsidR="009C78C8" w:rsidRPr="009C78C8" w:rsidRDefault="009C78C8" w:rsidP="009C78C8">
            <w:pPr>
              <w:widowControl w:val="0"/>
              <w:autoSpaceDE w:val="0"/>
              <w:autoSpaceDN w:val="0"/>
              <w:adjustRightInd w:val="0"/>
              <w:jc w:val="center"/>
              <w:rPr>
                <w:rFonts w:asciiTheme="majorHAnsi" w:eastAsiaTheme="minorEastAsia" w:hAnsiTheme="majorHAnsi" w:cs="Arial"/>
                <w:w w:val="96"/>
              </w:rPr>
            </w:pPr>
          </w:p>
        </w:tc>
        <w:tc>
          <w:tcPr>
            <w:tcW w:w="7239" w:type="dxa"/>
            <w:vAlign w:val="bottom"/>
          </w:tcPr>
          <w:p w14:paraId="5765BD20" w14:textId="3FB9A9D1" w:rsidR="009C78C8" w:rsidRPr="0033441A" w:rsidRDefault="009C78C8" w:rsidP="00D6634D">
            <w:pPr>
              <w:widowControl w:val="0"/>
              <w:numPr>
                <w:ilvl w:val="0"/>
                <w:numId w:val="12"/>
              </w:numPr>
              <w:tabs>
                <w:tab w:val="clear" w:pos="720"/>
                <w:tab w:val="num" w:pos="428"/>
              </w:tabs>
              <w:autoSpaceDE w:val="0"/>
              <w:autoSpaceDN w:val="0"/>
              <w:adjustRightInd w:val="0"/>
              <w:ind w:left="317"/>
              <w:rPr>
                <w:rFonts w:asciiTheme="majorHAnsi" w:eastAsiaTheme="minorEastAsia" w:hAnsiTheme="majorHAnsi" w:cs="Arial"/>
              </w:rPr>
            </w:pPr>
            <w:r w:rsidRPr="0033441A">
              <w:rPr>
                <w:rFonts w:asciiTheme="majorHAnsi" w:eastAsiaTheme="minorEastAsia" w:hAnsiTheme="majorHAnsi" w:cs="Arial"/>
              </w:rPr>
              <w:t xml:space="preserve">Averaged daily gridded minimum temperature data across grid cells within the tea-growing region of each province. </w:t>
            </w:r>
          </w:p>
          <w:p w14:paraId="7515622B" w14:textId="77777777" w:rsidR="009C78C8" w:rsidRPr="009C78C8" w:rsidRDefault="009C78C8" w:rsidP="009C78C8">
            <w:pPr>
              <w:widowControl w:val="0"/>
              <w:numPr>
                <w:ilvl w:val="0"/>
                <w:numId w:val="12"/>
              </w:numPr>
              <w:tabs>
                <w:tab w:val="clear" w:pos="720"/>
                <w:tab w:val="num" w:pos="432"/>
              </w:tabs>
              <w:autoSpaceDE w:val="0"/>
              <w:autoSpaceDN w:val="0"/>
              <w:adjustRightInd w:val="0"/>
              <w:ind w:left="317"/>
              <w:rPr>
                <w:rFonts w:asciiTheme="majorHAnsi" w:eastAsiaTheme="minorEastAsia" w:hAnsiTheme="majorHAnsi" w:cs="Arial"/>
              </w:rPr>
            </w:pPr>
            <w:r w:rsidRPr="009C78C8">
              <w:rPr>
                <w:rFonts w:asciiTheme="majorHAnsi" w:eastAsiaTheme="minorEastAsia" w:hAnsiTheme="majorHAnsi" w:cs="Arial"/>
              </w:rPr>
              <w:t xml:space="preserve">Averaged daily minimum temperature from 1 January to the monsoon onset date for each province in each year. </w:t>
            </w:r>
          </w:p>
          <w:p w14:paraId="5063FAE4" w14:textId="77777777" w:rsidR="009C78C8" w:rsidRPr="009C78C8" w:rsidRDefault="009C78C8" w:rsidP="009C78C8">
            <w:pPr>
              <w:widowControl w:val="0"/>
              <w:autoSpaceDE w:val="0"/>
              <w:autoSpaceDN w:val="0"/>
              <w:adjustRightInd w:val="0"/>
              <w:ind w:left="200"/>
              <w:rPr>
                <w:rFonts w:asciiTheme="majorHAnsi" w:eastAsiaTheme="minorEastAsia" w:hAnsiTheme="majorHAnsi" w:cs="Arial"/>
              </w:rPr>
            </w:pPr>
          </w:p>
        </w:tc>
      </w:tr>
      <w:tr w:rsidR="009C78C8" w:rsidRPr="009C78C8" w14:paraId="59580ABC" w14:textId="77777777" w:rsidTr="00603E09">
        <w:tc>
          <w:tcPr>
            <w:tcW w:w="2093" w:type="dxa"/>
            <w:vAlign w:val="center"/>
          </w:tcPr>
          <w:p w14:paraId="6863011F" w14:textId="77777777" w:rsidR="009C78C8" w:rsidRPr="009C78C8" w:rsidRDefault="009C78C8" w:rsidP="009C78C8">
            <w:pPr>
              <w:widowControl w:val="0"/>
              <w:overflowPunct w:val="0"/>
              <w:autoSpaceDE w:val="0"/>
              <w:autoSpaceDN w:val="0"/>
              <w:adjustRightInd w:val="0"/>
              <w:jc w:val="center"/>
              <w:rPr>
                <w:rFonts w:asciiTheme="majorHAnsi" w:hAnsiTheme="majorHAnsi"/>
              </w:rPr>
            </w:pPr>
            <w:r w:rsidRPr="009C78C8">
              <w:rPr>
                <w:rFonts w:asciiTheme="majorHAnsi" w:hAnsiTheme="majorHAnsi" w:cs="Arial"/>
                <w:color w:val="000000"/>
              </w:rPr>
              <w:t>Monsoon minimum temperature (</w:t>
            </w:r>
            <w:r w:rsidRPr="009C78C8">
              <w:rPr>
                <w:rFonts w:asciiTheme="majorHAnsi" w:hAnsiTheme="majorHAnsi" w:cs="Arial"/>
                <w:color w:val="000000"/>
                <w:vertAlign w:val="superscript"/>
              </w:rPr>
              <w:t>˝</w:t>
            </w:r>
            <w:r w:rsidRPr="009C78C8">
              <w:rPr>
                <w:rFonts w:asciiTheme="majorHAnsi" w:hAnsiTheme="majorHAnsi" w:cs="Arial"/>
                <w:color w:val="000000"/>
              </w:rPr>
              <w:t>C)</w:t>
            </w:r>
          </w:p>
          <w:p w14:paraId="392EEACA" w14:textId="77777777" w:rsidR="009C78C8" w:rsidRPr="009C78C8" w:rsidRDefault="009C78C8" w:rsidP="009C78C8">
            <w:pPr>
              <w:widowControl w:val="0"/>
              <w:autoSpaceDE w:val="0"/>
              <w:autoSpaceDN w:val="0"/>
              <w:adjustRightInd w:val="0"/>
              <w:jc w:val="center"/>
              <w:rPr>
                <w:rFonts w:asciiTheme="majorHAnsi" w:eastAsiaTheme="minorEastAsia" w:hAnsiTheme="majorHAnsi" w:cs="Arial"/>
                <w:w w:val="96"/>
              </w:rPr>
            </w:pPr>
          </w:p>
        </w:tc>
        <w:tc>
          <w:tcPr>
            <w:tcW w:w="7239" w:type="dxa"/>
            <w:vAlign w:val="bottom"/>
          </w:tcPr>
          <w:p w14:paraId="7B6DA1DB" w14:textId="5491797D" w:rsidR="009C78C8" w:rsidRPr="0033441A" w:rsidRDefault="009C78C8" w:rsidP="00C55499">
            <w:pPr>
              <w:widowControl w:val="0"/>
              <w:numPr>
                <w:ilvl w:val="0"/>
                <w:numId w:val="13"/>
              </w:numPr>
              <w:tabs>
                <w:tab w:val="clear" w:pos="720"/>
                <w:tab w:val="num" w:pos="428"/>
              </w:tabs>
              <w:overflowPunct w:val="0"/>
              <w:autoSpaceDE w:val="0"/>
              <w:autoSpaceDN w:val="0"/>
              <w:adjustRightInd w:val="0"/>
              <w:ind w:left="428" w:right="280" w:hanging="428"/>
              <w:jc w:val="both"/>
              <w:rPr>
                <w:rFonts w:asciiTheme="majorHAnsi" w:hAnsiTheme="majorHAnsi" w:cs="Arial"/>
                <w:color w:val="000000"/>
              </w:rPr>
            </w:pPr>
            <w:r w:rsidRPr="0033441A">
              <w:rPr>
                <w:rFonts w:asciiTheme="majorHAnsi" w:hAnsiTheme="majorHAnsi" w:cs="Arial"/>
                <w:color w:val="000000"/>
              </w:rPr>
              <w:t xml:space="preserve">Averaged daily gridded minimum temperature data across grid cells within the tea-growing region of each province. </w:t>
            </w:r>
          </w:p>
          <w:p w14:paraId="3D895A3F" w14:textId="6BEE8EE4" w:rsidR="009C78C8" w:rsidRPr="009C78C8" w:rsidRDefault="009C78C8" w:rsidP="0033441A">
            <w:pPr>
              <w:widowControl w:val="0"/>
              <w:numPr>
                <w:ilvl w:val="0"/>
                <w:numId w:val="13"/>
              </w:numPr>
              <w:tabs>
                <w:tab w:val="clear" w:pos="720"/>
                <w:tab w:val="num" w:pos="428"/>
              </w:tabs>
              <w:overflowPunct w:val="0"/>
              <w:autoSpaceDE w:val="0"/>
              <w:autoSpaceDN w:val="0"/>
              <w:adjustRightInd w:val="0"/>
              <w:ind w:left="428" w:hanging="428"/>
              <w:jc w:val="both"/>
              <w:rPr>
                <w:rFonts w:asciiTheme="majorHAnsi" w:eastAsiaTheme="minorEastAsia" w:hAnsiTheme="majorHAnsi" w:cs="Arial"/>
              </w:rPr>
            </w:pPr>
            <w:r w:rsidRPr="009C78C8">
              <w:rPr>
                <w:rFonts w:asciiTheme="majorHAnsi" w:hAnsiTheme="majorHAnsi" w:cs="Arial"/>
                <w:color w:val="000000"/>
              </w:rPr>
              <w:t xml:space="preserve">Averaged daily minimum temperature over the approximated monsoon period for each province in each year. </w:t>
            </w:r>
          </w:p>
        </w:tc>
      </w:tr>
      <w:tr w:rsidR="009C78C8" w:rsidRPr="009C78C8" w14:paraId="0F2F8867" w14:textId="77777777" w:rsidTr="00603E09">
        <w:tc>
          <w:tcPr>
            <w:tcW w:w="2093" w:type="dxa"/>
            <w:vAlign w:val="center"/>
          </w:tcPr>
          <w:p w14:paraId="2FB4A678" w14:textId="264F67B2" w:rsidR="009C78C8" w:rsidRPr="009C78C8" w:rsidRDefault="009C78C8" w:rsidP="009C78C8">
            <w:pPr>
              <w:widowControl w:val="0"/>
              <w:autoSpaceDE w:val="0"/>
              <w:autoSpaceDN w:val="0"/>
              <w:adjustRightInd w:val="0"/>
              <w:jc w:val="center"/>
              <w:rPr>
                <w:rFonts w:asciiTheme="majorHAnsi" w:hAnsiTheme="majorHAnsi"/>
              </w:rPr>
            </w:pPr>
            <w:r w:rsidRPr="009C78C8">
              <w:rPr>
                <w:rFonts w:asciiTheme="majorHAnsi" w:hAnsiTheme="majorHAnsi" w:cs="Arial"/>
                <w:color w:val="000000"/>
              </w:rPr>
              <w:t>Pre-monsoon</w:t>
            </w:r>
          </w:p>
          <w:p w14:paraId="40631127" w14:textId="77777777" w:rsidR="009C78C8" w:rsidRPr="009C78C8" w:rsidRDefault="009C78C8" w:rsidP="009C78C8">
            <w:pPr>
              <w:widowControl w:val="0"/>
              <w:overflowPunct w:val="0"/>
              <w:autoSpaceDE w:val="0"/>
              <w:autoSpaceDN w:val="0"/>
              <w:adjustRightInd w:val="0"/>
              <w:ind w:left="180" w:hanging="306"/>
              <w:jc w:val="center"/>
              <w:rPr>
                <w:rFonts w:asciiTheme="majorHAnsi" w:hAnsiTheme="majorHAnsi"/>
              </w:rPr>
            </w:pPr>
            <w:r w:rsidRPr="009C78C8">
              <w:rPr>
                <w:rFonts w:asciiTheme="majorHAnsi" w:hAnsiTheme="majorHAnsi" w:cs="Arial"/>
                <w:color w:val="000000"/>
              </w:rPr>
              <w:t>surface radiation (W/m</w:t>
            </w:r>
            <w:r w:rsidRPr="009C78C8">
              <w:rPr>
                <w:rFonts w:asciiTheme="majorHAnsi" w:hAnsiTheme="majorHAnsi" w:cs="Arial"/>
                <w:color w:val="000000"/>
                <w:vertAlign w:val="superscript"/>
              </w:rPr>
              <w:t>2</w:t>
            </w:r>
            <w:r w:rsidRPr="009C78C8">
              <w:rPr>
                <w:rFonts w:asciiTheme="majorHAnsi" w:hAnsiTheme="majorHAnsi" w:cs="Arial"/>
                <w:color w:val="000000"/>
              </w:rPr>
              <w:t>)</w:t>
            </w:r>
          </w:p>
          <w:p w14:paraId="3395CA8D" w14:textId="77777777" w:rsidR="009C78C8" w:rsidRPr="009C78C8" w:rsidRDefault="009C78C8" w:rsidP="009C78C8">
            <w:pPr>
              <w:widowControl w:val="0"/>
              <w:autoSpaceDE w:val="0"/>
              <w:autoSpaceDN w:val="0"/>
              <w:adjustRightInd w:val="0"/>
              <w:jc w:val="center"/>
              <w:rPr>
                <w:rFonts w:asciiTheme="majorHAnsi" w:eastAsiaTheme="minorEastAsia" w:hAnsiTheme="majorHAnsi" w:cs="Arial"/>
                <w:w w:val="96"/>
              </w:rPr>
            </w:pPr>
          </w:p>
        </w:tc>
        <w:tc>
          <w:tcPr>
            <w:tcW w:w="7239" w:type="dxa"/>
            <w:vAlign w:val="bottom"/>
          </w:tcPr>
          <w:p w14:paraId="4F8C334B" w14:textId="4A755E24" w:rsidR="009C78C8" w:rsidRPr="0033441A" w:rsidRDefault="009C78C8" w:rsidP="00133AA6">
            <w:pPr>
              <w:widowControl w:val="0"/>
              <w:numPr>
                <w:ilvl w:val="0"/>
                <w:numId w:val="14"/>
              </w:numPr>
              <w:tabs>
                <w:tab w:val="clear" w:pos="720"/>
                <w:tab w:val="num" w:pos="428"/>
              </w:tabs>
              <w:overflowPunct w:val="0"/>
              <w:autoSpaceDE w:val="0"/>
              <w:autoSpaceDN w:val="0"/>
              <w:adjustRightInd w:val="0"/>
              <w:ind w:left="428" w:right="240" w:hanging="428"/>
              <w:jc w:val="both"/>
              <w:rPr>
                <w:rFonts w:asciiTheme="majorHAnsi" w:hAnsiTheme="majorHAnsi" w:cs="Arial"/>
                <w:color w:val="000000"/>
              </w:rPr>
            </w:pPr>
            <w:r w:rsidRPr="0033441A">
              <w:rPr>
                <w:rFonts w:asciiTheme="majorHAnsi" w:hAnsiTheme="majorHAnsi" w:cs="Arial"/>
                <w:color w:val="000000"/>
              </w:rPr>
              <w:t xml:space="preserve">Averaged daily gridded radiation data across grid cells within the tea-growing region of each province. </w:t>
            </w:r>
          </w:p>
          <w:p w14:paraId="0A238199" w14:textId="4F49DC73" w:rsidR="009C78C8" w:rsidRPr="009C78C8" w:rsidRDefault="009C78C8" w:rsidP="0033441A">
            <w:pPr>
              <w:widowControl w:val="0"/>
              <w:numPr>
                <w:ilvl w:val="0"/>
                <w:numId w:val="14"/>
              </w:numPr>
              <w:tabs>
                <w:tab w:val="clear" w:pos="720"/>
                <w:tab w:val="num" w:pos="432"/>
              </w:tabs>
              <w:overflowPunct w:val="0"/>
              <w:autoSpaceDE w:val="0"/>
              <w:autoSpaceDN w:val="0"/>
              <w:adjustRightInd w:val="0"/>
              <w:ind w:left="428" w:hanging="428"/>
              <w:jc w:val="both"/>
              <w:rPr>
                <w:rFonts w:asciiTheme="majorHAnsi" w:eastAsiaTheme="minorEastAsia" w:hAnsiTheme="majorHAnsi" w:cs="Arial"/>
              </w:rPr>
            </w:pPr>
            <w:r w:rsidRPr="009C78C8">
              <w:rPr>
                <w:rFonts w:asciiTheme="majorHAnsi" w:hAnsiTheme="majorHAnsi" w:cs="Arial"/>
                <w:color w:val="000000"/>
              </w:rPr>
              <w:t xml:space="preserve">Averaged daily solar surface radiation over the approximated pre-monsoon period for each province in each year. </w:t>
            </w:r>
          </w:p>
        </w:tc>
      </w:tr>
      <w:tr w:rsidR="009C78C8" w:rsidRPr="009C78C8" w14:paraId="5138BDFB" w14:textId="77777777" w:rsidTr="00603E09">
        <w:tc>
          <w:tcPr>
            <w:tcW w:w="2093" w:type="dxa"/>
            <w:vAlign w:val="center"/>
          </w:tcPr>
          <w:p w14:paraId="2D908547" w14:textId="77777777" w:rsidR="009C78C8" w:rsidRPr="009C78C8" w:rsidRDefault="009C78C8" w:rsidP="009C78C8">
            <w:pPr>
              <w:widowControl w:val="0"/>
              <w:autoSpaceDE w:val="0"/>
              <w:autoSpaceDN w:val="0"/>
              <w:adjustRightInd w:val="0"/>
              <w:jc w:val="center"/>
              <w:rPr>
                <w:rFonts w:asciiTheme="majorHAnsi" w:eastAsiaTheme="minorEastAsia" w:hAnsiTheme="majorHAnsi"/>
              </w:rPr>
            </w:pPr>
            <w:r w:rsidRPr="009C78C8">
              <w:rPr>
                <w:rFonts w:asciiTheme="majorHAnsi" w:eastAsiaTheme="minorEastAsia" w:hAnsiTheme="majorHAnsi" w:cs="Arial"/>
                <w:color w:val="000000"/>
                <w:w w:val="97"/>
              </w:rPr>
              <w:t>Monsoon surface</w:t>
            </w:r>
          </w:p>
          <w:p w14:paraId="1C55AE91" w14:textId="77777777" w:rsidR="009C78C8" w:rsidRPr="009C78C8" w:rsidRDefault="009C78C8" w:rsidP="009C78C8">
            <w:pPr>
              <w:widowControl w:val="0"/>
              <w:autoSpaceDE w:val="0"/>
              <w:autoSpaceDN w:val="0"/>
              <w:adjustRightInd w:val="0"/>
              <w:jc w:val="center"/>
              <w:rPr>
                <w:rFonts w:asciiTheme="majorHAnsi" w:eastAsiaTheme="minorEastAsia" w:hAnsiTheme="majorHAnsi"/>
              </w:rPr>
            </w:pPr>
            <w:r w:rsidRPr="009C78C8">
              <w:rPr>
                <w:rFonts w:asciiTheme="majorHAnsi" w:eastAsiaTheme="minorEastAsia" w:hAnsiTheme="majorHAnsi" w:cs="Arial"/>
                <w:color w:val="000000"/>
              </w:rPr>
              <w:t>radiation (W/m</w:t>
            </w:r>
            <w:r w:rsidRPr="009C78C8">
              <w:rPr>
                <w:rFonts w:asciiTheme="majorHAnsi" w:eastAsiaTheme="minorEastAsia" w:hAnsiTheme="majorHAnsi" w:cs="Arial"/>
                <w:color w:val="000000"/>
                <w:vertAlign w:val="superscript"/>
              </w:rPr>
              <w:t>2</w:t>
            </w:r>
            <w:r w:rsidRPr="009C78C8">
              <w:rPr>
                <w:rFonts w:asciiTheme="majorHAnsi" w:eastAsiaTheme="minorEastAsia" w:hAnsiTheme="majorHAnsi" w:cs="Arial"/>
                <w:color w:val="000000"/>
              </w:rPr>
              <w:t>)</w:t>
            </w:r>
          </w:p>
        </w:tc>
        <w:tc>
          <w:tcPr>
            <w:tcW w:w="7239" w:type="dxa"/>
            <w:vAlign w:val="bottom"/>
          </w:tcPr>
          <w:p w14:paraId="1E16A5E1" w14:textId="302DB515" w:rsidR="009C78C8" w:rsidRPr="0033441A" w:rsidRDefault="009C78C8" w:rsidP="0033441A">
            <w:pPr>
              <w:widowControl w:val="0"/>
              <w:numPr>
                <w:ilvl w:val="0"/>
                <w:numId w:val="24"/>
              </w:numPr>
              <w:tabs>
                <w:tab w:val="clear" w:pos="720"/>
              </w:tabs>
              <w:overflowPunct w:val="0"/>
              <w:autoSpaceDE w:val="0"/>
              <w:autoSpaceDN w:val="0"/>
              <w:adjustRightInd w:val="0"/>
              <w:ind w:left="404" w:right="240" w:hanging="404"/>
              <w:jc w:val="both"/>
              <w:rPr>
                <w:rFonts w:asciiTheme="majorHAnsi" w:hAnsiTheme="majorHAnsi" w:cs="Arial"/>
                <w:color w:val="000000"/>
              </w:rPr>
            </w:pPr>
            <w:r w:rsidRPr="0033441A">
              <w:rPr>
                <w:rFonts w:asciiTheme="majorHAnsi" w:hAnsiTheme="majorHAnsi" w:cs="Arial"/>
                <w:color w:val="000000"/>
              </w:rPr>
              <w:t>Averaged daily gridded radiation data across grid cells within the tea-growing region of each province.</w:t>
            </w:r>
          </w:p>
          <w:p w14:paraId="65E65ADD" w14:textId="77777777" w:rsidR="009C78C8" w:rsidRPr="0033441A" w:rsidRDefault="009C78C8" w:rsidP="0033441A">
            <w:pPr>
              <w:widowControl w:val="0"/>
              <w:numPr>
                <w:ilvl w:val="0"/>
                <w:numId w:val="24"/>
              </w:numPr>
              <w:tabs>
                <w:tab w:val="clear" w:pos="720"/>
              </w:tabs>
              <w:overflowPunct w:val="0"/>
              <w:autoSpaceDE w:val="0"/>
              <w:autoSpaceDN w:val="0"/>
              <w:adjustRightInd w:val="0"/>
              <w:ind w:left="404" w:right="240" w:hanging="404"/>
              <w:jc w:val="both"/>
              <w:rPr>
                <w:rFonts w:asciiTheme="majorHAnsi" w:hAnsiTheme="majorHAnsi" w:cs="Arial"/>
                <w:color w:val="000000"/>
              </w:rPr>
            </w:pPr>
            <w:r w:rsidRPr="0033441A">
              <w:rPr>
                <w:rFonts w:asciiTheme="majorHAnsi" w:hAnsiTheme="majorHAnsi" w:cs="Arial"/>
                <w:color w:val="000000"/>
              </w:rPr>
              <w:t>Averaged daily solar surface radiation over the monsoon period for each province in each year.</w:t>
            </w:r>
          </w:p>
        </w:tc>
      </w:tr>
    </w:tbl>
    <w:p w14:paraId="08DD1D07" w14:textId="77777777" w:rsidR="009C78C8" w:rsidRPr="009C78C8" w:rsidRDefault="009C78C8" w:rsidP="009C78C8">
      <w:pPr>
        <w:widowControl w:val="0"/>
        <w:overflowPunct w:val="0"/>
        <w:autoSpaceDE w:val="0"/>
        <w:autoSpaceDN w:val="0"/>
        <w:adjustRightInd w:val="0"/>
        <w:ind w:right="300"/>
        <w:jc w:val="both"/>
        <w:rPr>
          <w:rFonts w:asciiTheme="majorHAnsi" w:hAnsiTheme="majorHAnsi" w:cs="Arial"/>
        </w:rPr>
      </w:pPr>
    </w:p>
    <w:p w14:paraId="6C89039B"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r w:rsidRPr="009C78C8">
        <w:rPr>
          <w:rFonts w:asciiTheme="majorHAnsi" w:hAnsiTheme="majorHAnsi" w:cstheme="minorHAnsi"/>
          <w:color w:val="000000"/>
        </w:rPr>
        <w:t xml:space="preserve">The precipitation and temperature variables were constructed using the three seasons based on the empirically derived monsoon period described earlier. These three seasons include the pre-monsoon, monsoon, and post-monsoon period. Because climate change has been reported to alter the timing of the East Asian Monsoon, this alternative approach to </w:t>
      </w:r>
      <w:r w:rsidRPr="009C78C8">
        <w:rPr>
          <w:rFonts w:asciiTheme="majorHAnsi" w:hAnsiTheme="majorHAnsi" w:cstheme="minorHAnsi"/>
          <w:color w:val="000000"/>
        </w:rPr>
        <w:lastRenderedPageBreak/>
        <w:t>defining seasons may have more predictive power than using historical onset and retreat dates. Average daily pre-monsoon or spring temperatures are important for tea bud breaking, so a variable representing the pre-monsoon average daily minimum temperature was included in this model</w:t>
      </w:r>
      <w:r w:rsidRPr="009C78C8">
        <w:rPr>
          <w:rFonts w:asciiTheme="majorHAnsi" w:hAnsiTheme="majorHAnsi" w:cstheme="minorHAnsi"/>
        </w:rPr>
        <w:t>. Another variable included is the average daily minimum temperature during the monsoon period since minimum temperatures during this period have an interactive effect with precipitation on tea plant growth. The minimum instead of maximum temperatures across all the models were used because the authors wanted to assess the relationship of surface radiation in their analysis. Average daily surface radiation (W/m</w:t>
      </w:r>
      <w:r w:rsidRPr="009C78C8">
        <w:rPr>
          <w:rFonts w:asciiTheme="majorHAnsi" w:hAnsiTheme="majorHAnsi" w:cstheme="minorHAnsi"/>
          <w:vertAlign w:val="superscript"/>
        </w:rPr>
        <w:t>2</w:t>
      </w:r>
      <w:r w:rsidRPr="009C78C8">
        <w:rPr>
          <w:rFonts w:asciiTheme="majorHAnsi" w:hAnsiTheme="majorHAnsi" w:cstheme="minorHAnsi"/>
        </w:rPr>
        <w:t>) and average daily maximum temperatures are more highly correlated than solar radiation and average daily minimum temperatures. Thus, surface radiation was used as measure of daily sunlight and heat exposure rather than average daily maximum temperatures. A variable representing average daily precipitation during all three estimated seasons was also included in the analysis since rainfall is such an important driver of tea yields. No variables representing extreme weather events (i.e., high heat days, extreme rain days, etc.) were used in the models because of the spatial resolution of the analysis over relatively large geographic areas (i.e., the province), the frequency of weather anomalies would be extremely small and not affect the results of the analysis.</w:t>
      </w:r>
    </w:p>
    <w:p w14:paraId="6FB08E60"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6352E286"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b/>
        </w:rPr>
      </w:pPr>
      <w:r w:rsidRPr="009C78C8">
        <w:rPr>
          <w:rFonts w:asciiTheme="majorHAnsi" w:hAnsiTheme="majorHAnsi" w:cstheme="minorHAnsi"/>
          <w:b/>
        </w:rPr>
        <w:t>Results</w:t>
      </w:r>
    </w:p>
    <w:p w14:paraId="7DC90D03"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2505203B"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r w:rsidRPr="009C78C8">
        <w:rPr>
          <w:rFonts w:asciiTheme="majorHAnsi" w:hAnsiTheme="majorHAnsi" w:cstheme="minorHAnsi"/>
        </w:rPr>
        <w:t xml:space="preserve">Results showed that tea yields in China are impacted by daily precipitation and temperatures, as well as by seasonality as determined by the empirically estimated onset and retreat of the East Asian Monsoon. There was a consistent negative association between tea yields and the monsoon retreat date in all model specifications used.A1% increase in the monsoon retreat date was associated with 0.481%–0.535% reduction in tea yield. A 1% increase in average daily precipitation occurring during the monsoon period was associated with a 0.184%–0.262% reduction in tea yields. In addition, the models show that 1% increase in the average daily monsoon precipitation from the previous growing season was associated with 0.258%–0.327% decline in yields. </w:t>
      </w:r>
    </w:p>
    <w:p w14:paraId="50B23FE3"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69411433" w14:textId="0A39D158" w:rsidR="009C78C8" w:rsidRPr="009C78C8" w:rsidRDefault="009C78C8" w:rsidP="0033441A">
      <w:pPr>
        <w:widowControl w:val="0"/>
        <w:autoSpaceDE w:val="0"/>
        <w:autoSpaceDN w:val="0"/>
        <w:adjustRightInd w:val="0"/>
        <w:rPr>
          <w:rFonts w:asciiTheme="majorHAnsi" w:hAnsiTheme="majorHAnsi"/>
        </w:rPr>
      </w:pPr>
      <w:r w:rsidRPr="009C78C8">
        <w:rPr>
          <w:rFonts w:asciiTheme="majorHAnsi" w:hAnsiTheme="majorHAnsi" w:cstheme="minorHAnsi"/>
          <w:b/>
          <w:bCs/>
          <w:color w:val="000000"/>
        </w:rPr>
        <w:t>Table 2.</w:t>
      </w:r>
      <w:r w:rsidR="0033441A">
        <w:rPr>
          <w:rFonts w:asciiTheme="majorHAnsi" w:hAnsiTheme="majorHAnsi" w:cstheme="minorHAnsi"/>
          <w:b/>
          <w:bCs/>
          <w:color w:val="000000"/>
        </w:rPr>
        <w:t xml:space="preserve"> </w:t>
      </w:r>
      <w:r w:rsidR="0033441A">
        <w:rPr>
          <w:rFonts w:asciiTheme="majorHAnsi" w:hAnsiTheme="majorHAnsi" w:cstheme="minorHAnsi"/>
          <w:color w:val="000000"/>
        </w:rPr>
        <w:t>Five-</w:t>
      </w:r>
      <w:r w:rsidRPr="009C78C8">
        <w:rPr>
          <w:rFonts w:asciiTheme="majorHAnsi" w:hAnsiTheme="majorHAnsi" w:cstheme="minorHAnsi"/>
          <w:color w:val="000000"/>
        </w:rPr>
        <w:t>year mean and standard deviation va</w:t>
      </w:r>
      <w:r w:rsidR="0033441A">
        <w:rPr>
          <w:rFonts w:asciiTheme="majorHAnsi" w:hAnsiTheme="majorHAnsi" w:cstheme="minorHAnsi"/>
          <w:color w:val="000000"/>
        </w:rPr>
        <w:t>lues for monsoon onset, retreat</w:t>
      </w:r>
      <w:r w:rsidRPr="009C78C8">
        <w:rPr>
          <w:rFonts w:asciiTheme="majorHAnsi" w:hAnsiTheme="majorHAnsi" w:cstheme="minorHAnsi"/>
          <w:color w:val="000000"/>
        </w:rPr>
        <w:t xml:space="preserve"> </w:t>
      </w:r>
      <w:r w:rsidR="0033441A">
        <w:rPr>
          <w:rFonts w:asciiTheme="majorHAnsi" w:hAnsiTheme="majorHAnsi" w:cstheme="minorHAnsi"/>
          <w:color w:val="000000"/>
        </w:rPr>
        <w:t>and duration</w:t>
      </w:r>
      <w:r w:rsidRPr="009C78C8">
        <w:rPr>
          <w:rFonts w:asciiTheme="majorHAnsi" w:hAnsiTheme="majorHAnsi" w:cstheme="minorHAnsi"/>
          <w:color w:val="000000"/>
        </w:rPr>
        <w:t>.</w:t>
      </w:r>
      <w:r w:rsidR="0033441A">
        <w:rPr>
          <w:rFonts w:asciiTheme="majorHAnsi" w:hAnsiTheme="majorHAnsi" w:cstheme="minorHAnsi"/>
          <w:color w:val="000000"/>
        </w:rPr>
        <w:t>*</w:t>
      </w:r>
      <w:r w:rsidRPr="009C78C8">
        <w:rPr>
          <w:rFonts w:asciiTheme="majorHAnsi" w:hAnsiTheme="majorHAnsi"/>
        </w:rPr>
        <w:tab/>
      </w:r>
    </w:p>
    <w:tbl>
      <w:tblPr>
        <w:tblW w:w="0" w:type="auto"/>
        <w:tblInd w:w="-5" w:type="dxa"/>
        <w:tblLayout w:type="fixed"/>
        <w:tblCellMar>
          <w:left w:w="0" w:type="dxa"/>
          <w:right w:w="0" w:type="dxa"/>
        </w:tblCellMar>
        <w:tblLook w:val="0000" w:firstRow="0" w:lastRow="0" w:firstColumn="0" w:lastColumn="0" w:noHBand="0" w:noVBand="0"/>
      </w:tblPr>
      <w:tblGrid>
        <w:gridCol w:w="2610"/>
        <w:gridCol w:w="1080"/>
        <w:gridCol w:w="1020"/>
        <w:gridCol w:w="780"/>
        <w:gridCol w:w="900"/>
        <w:gridCol w:w="900"/>
        <w:gridCol w:w="810"/>
        <w:gridCol w:w="990"/>
      </w:tblGrid>
      <w:tr w:rsidR="0033441A" w:rsidRPr="009C78C8" w14:paraId="7157140D" w14:textId="77777777" w:rsidTr="0033441A">
        <w:trPr>
          <w:trHeight w:val="230"/>
        </w:trPr>
        <w:tc>
          <w:tcPr>
            <w:tcW w:w="2610" w:type="dxa"/>
            <w:tcBorders>
              <w:top w:val="single" w:sz="4" w:space="0" w:color="auto"/>
              <w:left w:val="single" w:sz="4" w:space="0" w:color="auto"/>
              <w:bottom w:val="nil"/>
              <w:right w:val="nil"/>
            </w:tcBorders>
            <w:vAlign w:val="bottom"/>
          </w:tcPr>
          <w:p w14:paraId="00B0D2EE"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1080" w:type="dxa"/>
            <w:tcBorders>
              <w:top w:val="single" w:sz="4" w:space="0" w:color="auto"/>
              <w:left w:val="nil"/>
              <w:bottom w:val="nil"/>
              <w:right w:val="nil"/>
            </w:tcBorders>
            <w:vAlign w:val="bottom"/>
          </w:tcPr>
          <w:p w14:paraId="1A98A53E"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b/>
                <w:bCs/>
                <w:color w:val="000000" w:themeColor="text1"/>
                <w:w w:val="89"/>
              </w:rPr>
              <w:t>1980</w:t>
            </w:r>
          </w:p>
        </w:tc>
        <w:tc>
          <w:tcPr>
            <w:tcW w:w="1020" w:type="dxa"/>
            <w:tcBorders>
              <w:top w:val="single" w:sz="4" w:space="0" w:color="auto"/>
              <w:left w:val="nil"/>
              <w:bottom w:val="nil"/>
              <w:right w:val="nil"/>
            </w:tcBorders>
            <w:vAlign w:val="bottom"/>
          </w:tcPr>
          <w:p w14:paraId="6D07F884"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b/>
                <w:bCs/>
                <w:color w:val="000000" w:themeColor="text1"/>
                <w:w w:val="89"/>
              </w:rPr>
              <w:t>1985</w:t>
            </w:r>
          </w:p>
        </w:tc>
        <w:tc>
          <w:tcPr>
            <w:tcW w:w="780" w:type="dxa"/>
            <w:tcBorders>
              <w:top w:val="single" w:sz="4" w:space="0" w:color="auto"/>
              <w:left w:val="nil"/>
              <w:bottom w:val="nil"/>
              <w:right w:val="nil"/>
            </w:tcBorders>
            <w:vAlign w:val="bottom"/>
          </w:tcPr>
          <w:p w14:paraId="65D5BFBF"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b/>
                <w:bCs/>
                <w:color w:val="000000" w:themeColor="text1"/>
                <w:w w:val="89"/>
              </w:rPr>
              <w:t>1990</w:t>
            </w:r>
          </w:p>
        </w:tc>
        <w:tc>
          <w:tcPr>
            <w:tcW w:w="900" w:type="dxa"/>
            <w:tcBorders>
              <w:top w:val="single" w:sz="4" w:space="0" w:color="auto"/>
              <w:left w:val="nil"/>
              <w:bottom w:val="nil"/>
              <w:right w:val="nil"/>
            </w:tcBorders>
            <w:vAlign w:val="bottom"/>
          </w:tcPr>
          <w:p w14:paraId="5429F83F"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b/>
                <w:bCs/>
                <w:color w:val="000000" w:themeColor="text1"/>
                <w:w w:val="89"/>
              </w:rPr>
              <w:t>1995</w:t>
            </w:r>
          </w:p>
        </w:tc>
        <w:tc>
          <w:tcPr>
            <w:tcW w:w="900" w:type="dxa"/>
            <w:tcBorders>
              <w:top w:val="single" w:sz="4" w:space="0" w:color="auto"/>
              <w:left w:val="nil"/>
              <w:bottom w:val="nil"/>
              <w:right w:val="nil"/>
            </w:tcBorders>
            <w:vAlign w:val="bottom"/>
          </w:tcPr>
          <w:p w14:paraId="69257E5F"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b/>
                <w:bCs/>
                <w:color w:val="000000" w:themeColor="text1"/>
                <w:w w:val="89"/>
              </w:rPr>
              <w:t>2000</w:t>
            </w:r>
          </w:p>
        </w:tc>
        <w:tc>
          <w:tcPr>
            <w:tcW w:w="810" w:type="dxa"/>
            <w:tcBorders>
              <w:top w:val="single" w:sz="4" w:space="0" w:color="auto"/>
              <w:left w:val="nil"/>
              <w:bottom w:val="nil"/>
              <w:right w:val="nil"/>
            </w:tcBorders>
            <w:vAlign w:val="bottom"/>
          </w:tcPr>
          <w:p w14:paraId="5E6DFB85"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b/>
                <w:bCs/>
                <w:color w:val="000000" w:themeColor="text1"/>
                <w:w w:val="89"/>
              </w:rPr>
              <w:t>2005</w:t>
            </w:r>
          </w:p>
        </w:tc>
        <w:tc>
          <w:tcPr>
            <w:tcW w:w="990" w:type="dxa"/>
            <w:tcBorders>
              <w:top w:val="single" w:sz="4" w:space="0" w:color="auto"/>
              <w:left w:val="nil"/>
              <w:bottom w:val="nil"/>
              <w:right w:val="single" w:sz="4" w:space="0" w:color="auto"/>
            </w:tcBorders>
            <w:vAlign w:val="bottom"/>
          </w:tcPr>
          <w:p w14:paraId="3C570491"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b/>
                <w:bCs/>
                <w:color w:val="000000" w:themeColor="text1"/>
                <w:w w:val="89"/>
              </w:rPr>
              <w:t>2010</w:t>
            </w:r>
          </w:p>
        </w:tc>
      </w:tr>
      <w:tr w:rsidR="0033441A" w:rsidRPr="009C78C8" w14:paraId="6990DE57" w14:textId="77777777" w:rsidTr="0033441A">
        <w:trPr>
          <w:trHeight w:val="43"/>
        </w:trPr>
        <w:tc>
          <w:tcPr>
            <w:tcW w:w="2610" w:type="dxa"/>
            <w:tcBorders>
              <w:top w:val="nil"/>
              <w:left w:val="single" w:sz="4" w:space="0" w:color="auto"/>
              <w:bottom w:val="single" w:sz="8" w:space="0" w:color="auto"/>
              <w:right w:val="nil"/>
            </w:tcBorders>
            <w:vAlign w:val="bottom"/>
          </w:tcPr>
          <w:p w14:paraId="34A92DB6"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1080" w:type="dxa"/>
            <w:tcBorders>
              <w:top w:val="nil"/>
              <w:left w:val="nil"/>
              <w:bottom w:val="single" w:sz="8" w:space="0" w:color="auto"/>
              <w:right w:val="nil"/>
            </w:tcBorders>
            <w:vAlign w:val="bottom"/>
          </w:tcPr>
          <w:p w14:paraId="594B63AD"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1020" w:type="dxa"/>
            <w:tcBorders>
              <w:top w:val="nil"/>
              <w:left w:val="nil"/>
              <w:bottom w:val="single" w:sz="8" w:space="0" w:color="auto"/>
              <w:right w:val="nil"/>
            </w:tcBorders>
            <w:vAlign w:val="bottom"/>
          </w:tcPr>
          <w:p w14:paraId="3C3BC568"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780" w:type="dxa"/>
            <w:tcBorders>
              <w:top w:val="nil"/>
              <w:left w:val="nil"/>
              <w:bottom w:val="single" w:sz="8" w:space="0" w:color="auto"/>
              <w:right w:val="nil"/>
            </w:tcBorders>
            <w:vAlign w:val="bottom"/>
          </w:tcPr>
          <w:p w14:paraId="5C10ED4A"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900" w:type="dxa"/>
            <w:tcBorders>
              <w:top w:val="nil"/>
              <w:left w:val="nil"/>
              <w:bottom w:val="single" w:sz="8" w:space="0" w:color="auto"/>
              <w:right w:val="nil"/>
            </w:tcBorders>
            <w:vAlign w:val="bottom"/>
          </w:tcPr>
          <w:p w14:paraId="106C06CE"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900" w:type="dxa"/>
            <w:tcBorders>
              <w:top w:val="nil"/>
              <w:left w:val="nil"/>
              <w:bottom w:val="single" w:sz="8" w:space="0" w:color="auto"/>
              <w:right w:val="nil"/>
            </w:tcBorders>
            <w:vAlign w:val="bottom"/>
          </w:tcPr>
          <w:p w14:paraId="1B4DB4ED"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810" w:type="dxa"/>
            <w:tcBorders>
              <w:top w:val="nil"/>
              <w:left w:val="nil"/>
              <w:bottom w:val="single" w:sz="8" w:space="0" w:color="auto"/>
              <w:right w:val="nil"/>
            </w:tcBorders>
            <w:vAlign w:val="bottom"/>
          </w:tcPr>
          <w:p w14:paraId="0F22A265"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990" w:type="dxa"/>
            <w:tcBorders>
              <w:top w:val="nil"/>
              <w:left w:val="nil"/>
              <w:bottom w:val="single" w:sz="8" w:space="0" w:color="auto"/>
              <w:right w:val="single" w:sz="4" w:space="0" w:color="auto"/>
            </w:tcBorders>
            <w:vAlign w:val="bottom"/>
          </w:tcPr>
          <w:p w14:paraId="3EBCBC4E"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r>
      <w:tr w:rsidR="0033441A" w:rsidRPr="009C78C8" w14:paraId="51BC80FB" w14:textId="77777777" w:rsidTr="0033441A">
        <w:trPr>
          <w:trHeight w:val="246"/>
        </w:trPr>
        <w:tc>
          <w:tcPr>
            <w:tcW w:w="2610" w:type="dxa"/>
            <w:tcBorders>
              <w:top w:val="nil"/>
              <w:left w:val="single" w:sz="4" w:space="0" w:color="auto"/>
              <w:bottom w:val="nil"/>
              <w:right w:val="nil"/>
            </w:tcBorders>
            <w:vAlign w:val="bottom"/>
          </w:tcPr>
          <w:p w14:paraId="75AE9FEC" w14:textId="77777777" w:rsidR="009C78C8" w:rsidRPr="009C78C8" w:rsidRDefault="009C78C8" w:rsidP="009C78C8">
            <w:pPr>
              <w:widowControl w:val="0"/>
              <w:autoSpaceDE w:val="0"/>
              <w:autoSpaceDN w:val="0"/>
              <w:adjustRightInd w:val="0"/>
              <w:ind w:left="165"/>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8"/>
              </w:rPr>
              <w:t>Mean monsoon onset</w:t>
            </w:r>
          </w:p>
        </w:tc>
        <w:tc>
          <w:tcPr>
            <w:tcW w:w="1080" w:type="dxa"/>
            <w:tcBorders>
              <w:top w:val="nil"/>
              <w:left w:val="nil"/>
              <w:bottom w:val="nil"/>
              <w:right w:val="nil"/>
            </w:tcBorders>
            <w:vAlign w:val="bottom"/>
          </w:tcPr>
          <w:p w14:paraId="473A054A"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114.3</w:t>
            </w:r>
          </w:p>
        </w:tc>
        <w:tc>
          <w:tcPr>
            <w:tcW w:w="1020" w:type="dxa"/>
            <w:tcBorders>
              <w:top w:val="nil"/>
              <w:left w:val="nil"/>
              <w:bottom w:val="nil"/>
              <w:right w:val="nil"/>
            </w:tcBorders>
            <w:vAlign w:val="bottom"/>
          </w:tcPr>
          <w:p w14:paraId="17E9B8BC"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124.5</w:t>
            </w:r>
          </w:p>
        </w:tc>
        <w:tc>
          <w:tcPr>
            <w:tcW w:w="780" w:type="dxa"/>
            <w:tcBorders>
              <w:top w:val="nil"/>
              <w:left w:val="nil"/>
              <w:bottom w:val="nil"/>
              <w:right w:val="nil"/>
            </w:tcBorders>
            <w:vAlign w:val="bottom"/>
          </w:tcPr>
          <w:p w14:paraId="7C60B765"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123.8</w:t>
            </w:r>
          </w:p>
        </w:tc>
        <w:tc>
          <w:tcPr>
            <w:tcW w:w="900" w:type="dxa"/>
            <w:tcBorders>
              <w:top w:val="nil"/>
              <w:left w:val="nil"/>
              <w:bottom w:val="nil"/>
              <w:right w:val="nil"/>
            </w:tcBorders>
            <w:vAlign w:val="bottom"/>
          </w:tcPr>
          <w:p w14:paraId="25689940"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126.6</w:t>
            </w:r>
          </w:p>
        </w:tc>
        <w:tc>
          <w:tcPr>
            <w:tcW w:w="900" w:type="dxa"/>
            <w:tcBorders>
              <w:top w:val="nil"/>
              <w:left w:val="nil"/>
              <w:bottom w:val="nil"/>
              <w:right w:val="nil"/>
            </w:tcBorders>
            <w:vAlign w:val="bottom"/>
          </w:tcPr>
          <w:p w14:paraId="38CBF3F5"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3"/>
              </w:rPr>
              <w:t>132.1</w:t>
            </w:r>
          </w:p>
        </w:tc>
        <w:tc>
          <w:tcPr>
            <w:tcW w:w="810" w:type="dxa"/>
            <w:tcBorders>
              <w:top w:val="nil"/>
              <w:left w:val="nil"/>
              <w:bottom w:val="nil"/>
              <w:right w:val="nil"/>
            </w:tcBorders>
            <w:vAlign w:val="bottom"/>
          </w:tcPr>
          <w:p w14:paraId="035AD154"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3"/>
              </w:rPr>
              <w:t>142.9</w:t>
            </w:r>
          </w:p>
        </w:tc>
        <w:tc>
          <w:tcPr>
            <w:tcW w:w="990" w:type="dxa"/>
            <w:tcBorders>
              <w:top w:val="nil"/>
              <w:left w:val="nil"/>
              <w:bottom w:val="nil"/>
              <w:right w:val="single" w:sz="4" w:space="0" w:color="auto"/>
            </w:tcBorders>
            <w:vAlign w:val="bottom"/>
          </w:tcPr>
          <w:p w14:paraId="4E1D3664"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136.9</w:t>
            </w:r>
          </w:p>
        </w:tc>
      </w:tr>
      <w:tr w:rsidR="0033441A" w:rsidRPr="009C78C8" w14:paraId="21072AF8" w14:textId="77777777" w:rsidTr="0033441A">
        <w:trPr>
          <w:trHeight w:val="220"/>
        </w:trPr>
        <w:tc>
          <w:tcPr>
            <w:tcW w:w="2610" w:type="dxa"/>
            <w:tcBorders>
              <w:top w:val="nil"/>
              <w:left w:val="single" w:sz="4" w:space="0" w:color="auto"/>
              <w:bottom w:val="nil"/>
              <w:right w:val="nil"/>
            </w:tcBorders>
            <w:vAlign w:val="bottom"/>
          </w:tcPr>
          <w:p w14:paraId="47ACF12E" w14:textId="77777777" w:rsidR="009C78C8" w:rsidRPr="009C78C8" w:rsidRDefault="009C78C8" w:rsidP="009C78C8">
            <w:pPr>
              <w:widowControl w:val="0"/>
              <w:autoSpaceDE w:val="0"/>
              <w:autoSpaceDN w:val="0"/>
              <w:adjustRightInd w:val="0"/>
              <w:ind w:left="165"/>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6"/>
              </w:rPr>
              <w:t>SD monsoon onset</w:t>
            </w:r>
          </w:p>
        </w:tc>
        <w:tc>
          <w:tcPr>
            <w:tcW w:w="1080" w:type="dxa"/>
            <w:tcBorders>
              <w:top w:val="nil"/>
              <w:left w:val="nil"/>
              <w:bottom w:val="nil"/>
              <w:right w:val="nil"/>
            </w:tcBorders>
            <w:vAlign w:val="bottom"/>
          </w:tcPr>
          <w:p w14:paraId="50AD3CF0"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34.8</w:t>
            </w:r>
          </w:p>
        </w:tc>
        <w:tc>
          <w:tcPr>
            <w:tcW w:w="1020" w:type="dxa"/>
            <w:tcBorders>
              <w:top w:val="nil"/>
              <w:left w:val="nil"/>
              <w:bottom w:val="nil"/>
              <w:right w:val="nil"/>
            </w:tcBorders>
            <w:vAlign w:val="bottom"/>
          </w:tcPr>
          <w:p w14:paraId="2107AB1E"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35.3</w:t>
            </w:r>
          </w:p>
        </w:tc>
        <w:tc>
          <w:tcPr>
            <w:tcW w:w="780" w:type="dxa"/>
            <w:tcBorders>
              <w:top w:val="nil"/>
              <w:left w:val="nil"/>
              <w:bottom w:val="nil"/>
              <w:right w:val="nil"/>
            </w:tcBorders>
            <w:vAlign w:val="bottom"/>
          </w:tcPr>
          <w:p w14:paraId="3E3C4EE7"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24.5</w:t>
            </w:r>
          </w:p>
        </w:tc>
        <w:tc>
          <w:tcPr>
            <w:tcW w:w="900" w:type="dxa"/>
            <w:tcBorders>
              <w:top w:val="nil"/>
              <w:left w:val="nil"/>
              <w:bottom w:val="nil"/>
              <w:right w:val="nil"/>
            </w:tcBorders>
            <w:vAlign w:val="bottom"/>
          </w:tcPr>
          <w:p w14:paraId="2AABC5D1"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33.5</w:t>
            </w:r>
          </w:p>
        </w:tc>
        <w:tc>
          <w:tcPr>
            <w:tcW w:w="900" w:type="dxa"/>
            <w:tcBorders>
              <w:top w:val="nil"/>
              <w:left w:val="nil"/>
              <w:bottom w:val="nil"/>
              <w:right w:val="nil"/>
            </w:tcBorders>
            <w:vAlign w:val="bottom"/>
          </w:tcPr>
          <w:p w14:paraId="1AD0AADC"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5"/>
              </w:rPr>
              <w:t>24.7</w:t>
            </w:r>
          </w:p>
        </w:tc>
        <w:tc>
          <w:tcPr>
            <w:tcW w:w="810" w:type="dxa"/>
            <w:tcBorders>
              <w:top w:val="nil"/>
              <w:left w:val="nil"/>
              <w:bottom w:val="nil"/>
              <w:right w:val="nil"/>
            </w:tcBorders>
            <w:vAlign w:val="bottom"/>
          </w:tcPr>
          <w:p w14:paraId="52377BC8"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5"/>
              </w:rPr>
              <w:t>30.4</w:t>
            </w:r>
          </w:p>
        </w:tc>
        <w:tc>
          <w:tcPr>
            <w:tcW w:w="990" w:type="dxa"/>
            <w:tcBorders>
              <w:top w:val="nil"/>
              <w:left w:val="nil"/>
              <w:bottom w:val="nil"/>
              <w:right w:val="single" w:sz="4" w:space="0" w:color="auto"/>
            </w:tcBorders>
            <w:vAlign w:val="bottom"/>
          </w:tcPr>
          <w:p w14:paraId="35949AE6"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30.9</w:t>
            </w:r>
          </w:p>
        </w:tc>
      </w:tr>
      <w:tr w:rsidR="0033441A" w:rsidRPr="009C78C8" w14:paraId="73AB57D2" w14:textId="77777777" w:rsidTr="0033441A">
        <w:trPr>
          <w:trHeight w:val="220"/>
        </w:trPr>
        <w:tc>
          <w:tcPr>
            <w:tcW w:w="2610" w:type="dxa"/>
            <w:tcBorders>
              <w:top w:val="nil"/>
              <w:left w:val="single" w:sz="4" w:space="0" w:color="auto"/>
              <w:bottom w:val="nil"/>
              <w:right w:val="nil"/>
            </w:tcBorders>
            <w:vAlign w:val="bottom"/>
          </w:tcPr>
          <w:p w14:paraId="2B083586" w14:textId="77777777" w:rsidR="009C78C8" w:rsidRPr="009C78C8" w:rsidRDefault="009C78C8" w:rsidP="009C78C8">
            <w:pPr>
              <w:widowControl w:val="0"/>
              <w:autoSpaceDE w:val="0"/>
              <w:autoSpaceDN w:val="0"/>
              <w:adjustRightInd w:val="0"/>
              <w:ind w:left="165" w:right="-215"/>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8"/>
              </w:rPr>
              <w:t>Mean monsoon retreat</w:t>
            </w:r>
          </w:p>
        </w:tc>
        <w:tc>
          <w:tcPr>
            <w:tcW w:w="1080" w:type="dxa"/>
            <w:tcBorders>
              <w:top w:val="nil"/>
              <w:left w:val="nil"/>
              <w:bottom w:val="nil"/>
              <w:right w:val="nil"/>
            </w:tcBorders>
            <w:vAlign w:val="bottom"/>
          </w:tcPr>
          <w:p w14:paraId="74FA2FD1"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261.2</w:t>
            </w:r>
          </w:p>
        </w:tc>
        <w:tc>
          <w:tcPr>
            <w:tcW w:w="1020" w:type="dxa"/>
            <w:tcBorders>
              <w:top w:val="nil"/>
              <w:left w:val="nil"/>
              <w:bottom w:val="nil"/>
              <w:right w:val="nil"/>
            </w:tcBorders>
            <w:vAlign w:val="bottom"/>
          </w:tcPr>
          <w:p w14:paraId="3D095279"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270.3</w:t>
            </w:r>
          </w:p>
        </w:tc>
        <w:tc>
          <w:tcPr>
            <w:tcW w:w="780" w:type="dxa"/>
            <w:tcBorders>
              <w:top w:val="nil"/>
              <w:left w:val="nil"/>
              <w:bottom w:val="nil"/>
              <w:right w:val="nil"/>
            </w:tcBorders>
            <w:vAlign w:val="bottom"/>
          </w:tcPr>
          <w:p w14:paraId="29ADB504"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248.5</w:t>
            </w:r>
          </w:p>
        </w:tc>
        <w:tc>
          <w:tcPr>
            <w:tcW w:w="900" w:type="dxa"/>
            <w:tcBorders>
              <w:top w:val="nil"/>
              <w:left w:val="nil"/>
              <w:bottom w:val="nil"/>
              <w:right w:val="nil"/>
            </w:tcBorders>
            <w:vAlign w:val="bottom"/>
          </w:tcPr>
          <w:p w14:paraId="080611C1"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254.4</w:t>
            </w:r>
          </w:p>
        </w:tc>
        <w:tc>
          <w:tcPr>
            <w:tcW w:w="900" w:type="dxa"/>
            <w:tcBorders>
              <w:top w:val="nil"/>
              <w:left w:val="nil"/>
              <w:bottom w:val="nil"/>
              <w:right w:val="nil"/>
            </w:tcBorders>
            <w:vAlign w:val="bottom"/>
          </w:tcPr>
          <w:p w14:paraId="6BE3CE89"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3"/>
              </w:rPr>
              <w:t>262.9</w:t>
            </w:r>
          </w:p>
        </w:tc>
        <w:tc>
          <w:tcPr>
            <w:tcW w:w="810" w:type="dxa"/>
            <w:tcBorders>
              <w:top w:val="nil"/>
              <w:left w:val="nil"/>
              <w:bottom w:val="nil"/>
              <w:right w:val="nil"/>
            </w:tcBorders>
            <w:vAlign w:val="bottom"/>
          </w:tcPr>
          <w:p w14:paraId="1D774B2B"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3"/>
              </w:rPr>
              <w:t>258.4</w:t>
            </w:r>
          </w:p>
        </w:tc>
        <w:tc>
          <w:tcPr>
            <w:tcW w:w="990" w:type="dxa"/>
            <w:tcBorders>
              <w:top w:val="nil"/>
              <w:left w:val="nil"/>
              <w:bottom w:val="nil"/>
              <w:right w:val="single" w:sz="4" w:space="0" w:color="auto"/>
            </w:tcBorders>
            <w:vAlign w:val="bottom"/>
          </w:tcPr>
          <w:p w14:paraId="048B6B98"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260.0</w:t>
            </w:r>
          </w:p>
        </w:tc>
      </w:tr>
      <w:tr w:rsidR="0033441A" w:rsidRPr="009C78C8" w14:paraId="72C985A0" w14:textId="77777777" w:rsidTr="0033441A">
        <w:trPr>
          <w:trHeight w:val="220"/>
        </w:trPr>
        <w:tc>
          <w:tcPr>
            <w:tcW w:w="2610" w:type="dxa"/>
            <w:tcBorders>
              <w:top w:val="nil"/>
              <w:left w:val="single" w:sz="4" w:space="0" w:color="auto"/>
              <w:bottom w:val="nil"/>
              <w:right w:val="nil"/>
            </w:tcBorders>
            <w:vAlign w:val="bottom"/>
          </w:tcPr>
          <w:p w14:paraId="0F54F693" w14:textId="77777777" w:rsidR="009C78C8" w:rsidRPr="009C78C8" w:rsidRDefault="009C78C8" w:rsidP="009C78C8">
            <w:pPr>
              <w:widowControl w:val="0"/>
              <w:autoSpaceDE w:val="0"/>
              <w:autoSpaceDN w:val="0"/>
              <w:adjustRightInd w:val="0"/>
              <w:ind w:left="165"/>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8"/>
              </w:rPr>
              <w:t>SD monsoon retreat</w:t>
            </w:r>
          </w:p>
        </w:tc>
        <w:tc>
          <w:tcPr>
            <w:tcW w:w="1080" w:type="dxa"/>
            <w:tcBorders>
              <w:top w:val="nil"/>
              <w:left w:val="nil"/>
              <w:bottom w:val="nil"/>
              <w:right w:val="nil"/>
            </w:tcBorders>
            <w:vAlign w:val="bottom"/>
          </w:tcPr>
          <w:p w14:paraId="49840C71"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15.5</w:t>
            </w:r>
          </w:p>
        </w:tc>
        <w:tc>
          <w:tcPr>
            <w:tcW w:w="1020" w:type="dxa"/>
            <w:tcBorders>
              <w:top w:val="nil"/>
              <w:left w:val="nil"/>
              <w:bottom w:val="nil"/>
              <w:right w:val="nil"/>
            </w:tcBorders>
            <w:vAlign w:val="bottom"/>
          </w:tcPr>
          <w:p w14:paraId="69DE16E0"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14.4</w:t>
            </w:r>
          </w:p>
        </w:tc>
        <w:tc>
          <w:tcPr>
            <w:tcW w:w="780" w:type="dxa"/>
            <w:tcBorders>
              <w:top w:val="nil"/>
              <w:left w:val="nil"/>
              <w:bottom w:val="nil"/>
              <w:right w:val="nil"/>
            </w:tcBorders>
            <w:vAlign w:val="bottom"/>
          </w:tcPr>
          <w:p w14:paraId="082088B0"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26.3</w:t>
            </w:r>
          </w:p>
        </w:tc>
        <w:tc>
          <w:tcPr>
            <w:tcW w:w="900" w:type="dxa"/>
            <w:tcBorders>
              <w:top w:val="nil"/>
              <w:left w:val="nil"/>
              <w:bottom w:val="nil"/>
              <w:right w:val="nil"/>
            </w:tcBorders>
            <w:vAlign w:val="bottom"/>
          </w:tcPr>
          <w:p w14:paraId="63287E55"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16.2</w:t>
            </w:r>
          </w:p>
        </w:tc>
        <w:tc>
          <w:tcPr>
            <w:tcW w:w="900" w:type="dxa"/>
            <w:tcBorders>
              <w:top w:val="nil"/>
              <w:left w:val="nil"/>
              <w:bottom w:val="nil"/>
              <w:right w:val="nil"/>
            </w:tcBorders>
            <w:vAlign w:val="bottom"/>
          </w:tcPr>
          <w:p w14:paraId="23837E23"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5"/>
              </w:rPr>
              <w:t>14.7</w:t>
            </w:r>
          </w:p>
        </w:tc>
        <w:tc>
          <w:tcPr>
            <w:tcW w:w="810" w:type="dxa"/>
            <w:tcBorders>
              <w:top w:val="nil"/>
              <w:left w:val="nil"/>
              <w:bottom w:val="nil"/>
              <w:right w:val="nil"/>
            </w:tcBorders>
            <w:vAlign w:val="bottom"/>
          </w:tcPr>
          <w:p w14:paraId="068AD6D7"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5"/>
              </w:rPr>
              <w:t>16.3</w:t>
            </w:r>
          </w:p>
        </w:tc>
        <w:tc>
          <w:tcPr>
            <w:tcW w:w="990" w:type="dxa"/>
            <w:tcBorders>
              <w:top w:val="nil"/>
              <w:left w:val="nil"/>
              <w:bottom w:val="nil"/>
              <w:right w:val="single" w:sz="4" w:space="0" w:color="auto"/>
            </w:tcBorders>
            <w:vAlign w:val="bottom"/>
          </w:tcPr>
          <w:p w14:paraId="1760AC95"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12.3</w:t>
            </w:r>
          </w:p>
        </w:tc>
      </w:tr>
      <w:tr w:rsidR="0033441A" w:rsidRPr="009C78C8" w14:paraId="52CEF41F" w14:textId="77777777" w:rsidTr="0033441A">
        <w:trPr>
          <w:trHeight w:val="220"/>
        </w:trPr>
        <w:tc>
          <w:tcPr>
            <w:tcW w:w="2610" w:type="dxa"/>
            <w:tcBorders>
              <w:top w:val="nil"/>
              <w:left w:val="single" w:sz="4" w:space="0" w:color="auto"/>
              <w:bottom w:val="nil"/>
              <w:right w:val="nil"/>
            </w:tcBorders>
            <w:vAlign w:val="bottom"/>
          </w:tcPr>
          <w:p w14:paraId="38183F7D" w14:textId="77777777" w:rsidR="009C78C8" w:rsidRPr="009C78C8" w:rsidRDefault="009C78C8" w:rsidP="009C78C8">
            <w:pPr>
              <w:widowControl w:val="0"/>
              <w:autoSpaceDE w:val="0"/>
              <w:autoSpaceDN w:val="0"/>
              <w:adjustRightInd w:val="0"/>
              <w:ind w:left="165"/>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rPr>
              <w:t>Mean monsoon duration</w:t>
            </w:r>
          </w:p>
        </w:tc>
        <w:tc>
          <w:tcPr>
            <w:tcW w:w="1080" w:type="dxa"/>
            <w:tcBorders>
              <w:top w:val="nil"/>
              <w:left w:val="nil"/>
              <w:bottom w:val="nil"/>
              <w:right w:val="nil"/>
            </w:tcBorders>
            <w:vAlign w:val="bottom"/>
          </w:tcPr>
          <w:p w14:paraId="15487BB3"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146.8</w:t>
            </w:r>
          </w:p>
        </w:tc>
        <w:tc>
          <w:tcPr>
            <w:tcW w:w="1020" w:type="dxa"/>
            <w:tcBorders>
              <w:top w:val="nil"/>
              <w:left w:val="nil"/>
              <w:bottom w:val="nil"/>
              <w:right w:val="nil"/>
            </w:tcBorders>
            <w:vAlign w:val="bottom"/>
          </w:tcPr>
          <w:p w14:paraId="18BE3AFA"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145.8</w:t>
            </w:r>
          </w:p>
        </w:tc>
        <w:tc>
          <w:tcPr>
            <w:tcW w:w="780" w:type="dxa"/>
            <w:tcBorders>
              <w:top w:val="nil"/>
              <w:left w:val="nil"/>
              <w:bottom w:val="nil"/>
              <w:right w:val="nil"/>
            </w:tcBorders>
            <w:vAlign w:val="bottom"/>
          </w:tcPr>
          <w:p w14:paraId="54E93E18"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124.8</w:t>
            </w:r>
          </w:p>
        </w:tc>
        <w:tc>
          <w:tcPr>
            <w:tcW w:w="900" w:type="dxa"/>
            <w:tcBorders>
              <w:top w:val="nil"/>
              <w:left w:val="nil"/>
              <w:bottom w:val="nil"/>
              <w:right w:val="nil"/>
            </w:tcBorders>
            <w:vAlign w:val="bottom"/>
          </w:tcPr>
          <w:p w14:paraId="12FFFE2E"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127.8</w:t>
            </w:r>
          </w:p>
        </w:tc>
        <w:tc>
          <w:tcPr>
            <w:tcW w:w="900" w:type="dxa"/>
            <w:tcBorders>
              <w:top w:val="nil"/>
              <w:left w:val="nil"/>
              <w:bottom w:val="nil"/>
              <w:right w:val="nil"/>
            </w:tcBorders>
            <w:vAlign w:val="bottom"/>
          </w:tcPr>
          <w:p w14:paraId="01C6EDED"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3"/>
              </w:rPr>
              <w:t>130.8</w:t>
            </w:r>
          </w:p>
        </w:tc>
        <w:tc>
          <w:tcPr>
            <w:tcW w:w="810" w:type="dxa"/>
            <w:tcBorders>
              <w:top w:val="nil"/>
              <w:left w:val="nil"/>
              <w:bottom w:val="nil"/>
              <w:right w:val="nil"/>
            </w:tcBorders>
            <w:vAlign w:val="bottom"/>
          </w:tcPr>
          <w:p w14:paraId="47A24DF3"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3"/>
              </w:rPr>
              <w:t>115.6</w:t>
            </w:r>
          </w:p>
        </w:tc>
        <w:tc>
          <w:tcPr>
            <w:tcW w:w="990" w:type="dxa"/>
            <w:tcBorders>
              <w:top w:val="nil"/>
              <w:left w:val="nil"/>
              <w:bottom w:val="nil"/>
              <w:right w:val="single" w:sz="4" w:space="0" w:color="auto"/>
            </w:tcBorders>
            <w:vAlign w:val="bottom"/>
          </w:tcPr>
          <w:p w14:paraId="38954D9B"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8"/>
              </w:rPr>
              <w:t>123.2</w:t>
            </w:r>
          </w:p>
        </w:tc>
      </w:tr>
      <w:tr w:rsidR="0033441A" w:rsidRPr="009C78C8" w14:paraId="27638972" w14:textId="77777777" w:rsidTr="0033441A">
        <w:trPr>
          <w:trHeight w:val="229"/>
        </w:trPr>
        <w:tc>
          <w:tcPr>
            <w:tcW w:w="2610" w:type="dxa"/>
            <w:tcBorders>
              <w:top w:val="nil"/>
              <w:left w:val="single" w:sz="4" w:space="0" w:color="auto"/>
              <w:bottom w:val="nil"/>
              <w:right w:val="nil"/>
            </w:tcBorders>
            <w:vAlign w:val="bottom"/>
          </w:tcPr>
          <w:p w14:paraId="687827AB" w14:textId="77777777" w:rsidR="009C78C8" w:rsidRPr="009C78C8" w:rsidRDefault="009C78C8" w:rsidP="009C78C8">
            <w:pPr>
              <w:widowControl w:val="0"/>
              <w:autoSpaceDE w:val="0"/>
              <w:autoSpaceDN w:val="0"/>
              <w:adjustRightInd w:val="0"/>
              <w:ind w:left="165"/>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9"/>
              </w:rPr>
              <w:t>SD monsoon duration</w:t>
            </w:r>
          </w:p>
        </w:tc>
        <w:tc>
          <w:tcPr>
            <w:tcW w:w="1080" w:type="dxa"/>
            <w:tcBorders>
              <w:top w:val="nil"/>
              <w:left w:val="nil"/>
              <w:bottom w:val="nil"/>
              <w:right w:val="nil"/>
            </w:tcBorders>
            <w:vAlign w:val="bottom"/>
          </w:tcPr>
          <w:p w14:paraId="6496C63A"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38.1</w:t>
            </w:r>
          </w:p>
        </w:tc>
        <w:tc>
          <w:tcPr>
            <w:tcW w:w="1020" w:type="dxa"/>
            <w:tcBorders>
              <w:top w:val="nil"/>
              <w:left w:val="nil"/>
              <w:bottom w:val="nil"/>
              <w:right w:val="nil"/>
            </w:tcBorders>
            <w:vAlign w:val="bottom"/>
          </w:tcPr>
          <w:p w14:paraId="073F899F"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37.9</w:t>
            </w:r>
          </w:p>
        </w:tc>
        <w:tc>
          <w:tcPr>
            <w:tcW w:w="780" w:type="dxa"/>
            <w:tcBorders>
              <w:top w:val="nil"/>
              <w:left w:val="nil"/>
              <w:bottom w:val="nil"/>
              <w:right w:val="nil"/>
            </w:tcBorders>
            <w:vAlign w:val="bottom"/>
          </w:tcPr>
          <w:p w14:paraId="2B8F577A"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38.6</w:t>
            </w:r>
          </w:p>
        </w:tc>
        <w:tc>
          <w:tcPr>
            <w:tcW w:w="900" w:type="dxa"/>
            <w:tcBorders>
              <w:top w:val="nil"/>
              <w:left w:val="nil"/>
              <w:bottom w:val="nil"/>
              <w:right w:val="nil"/>
            </w:tcBorders>
            <w:vAlign w:val="bottom"/>
          </w:tcPr>
          <w:p w14:paraId="351BBE6F"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30.6</w:t>
            </w:r>
          </w:p>
        </w:tc>
        <w:tc>
          <w:tcPr>
            <w:tcW w:w="900" w:type="dxa"/>
            <w:tcBorders>
              <w:top w:val="nil"/>
              <w:left w:val="nil"/>
              <w:bottom w:val="nil"/>
              <w:right w:val="nil"/>
            </w:tcBorders>
            <w:vAlign w:val="bottom"/>
          </w:tcPr>
          <w:p w14:paraId="04657D5F"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5"/>
              </w:rPr>
              <w:t>27.5</w:t>
            </w:r>
          </w:p>
        </w:tc>
        <w:tc>
          <w:tcPr>
            <w:tcW w:w="810" w:type="dxa"/>
            <w:tcBorders>
              <w:top w:val="nil"/>
              <w:left w:val="nil"/>
              <w:bottom w:val="nil"/>
              <w:right w:val="nil"/>
            </w:tcBorders>
            <w:vAlign w:val="bottom"/>
          </w:tcPr>
          <w:p w14:paraId="44875F35"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85"/>
              </w:rPr>
              <w:t>30.6</w:t>
            </w:r>
          </w:p>
        </w:tc>
        <w:tc>
          <w:tcPr>
            <w:tcW w:w="990" w:type="dxa"/>
            <w:tcBorders>
              <w:top w:val="nil"/>
              <w:left w:val="nil"/>
              <w:bottom w:val="nil"/>
              <w:right w:val="single" w:sz="4" w:space="0" w:color="auto"/>
            </w:tcBorders>
            <w:vAlign w:val="bottom"/>
          </w:tcPr>
          <w:p w14:paraId="185C48DA" w14:textId="77777777" w:rsidR="009C78C8" w:rsidRPr="009C78C8" w:rsidRDefault="009C78C8" w:rsidP="009C78C8">
            <w:pPr>
              <w:widowControl w:val="0"/>
              <w:autoSpaceDE w:val="0"/>
              <w:autoSpaceDN w:val="0"/>
              <w:adjustRightInd w:val="0"/>
              <w:jc w:val="center"/>
              <w:rPr>
                <w:rFonts w:asciiTheme="majorHAnsi" w:eastAsiaTheme="minorEastAsia" w:hAnsiTheme="majorHAnsi" w:cstheme="minorHAnsi"/>
                <w:color w:val="000000" w:themeColor="text1"/>
              </w:rPr>
            </w:pPr>
            <w:r w:rsidRPr="009C78C8">
              <w:rPr>
                <w:rFonts w:asciiTheme="majorHAnsi" w:eastAsiaTheme="minorEastAsia" w:hAnsiTheme="majorHAnsi" w:cstheme="minorHAnsi"/>
                <w:color w:val="000000" w:themeColor="text1"/>
                <w:w w:val="91"/>
              </w:rPr>
              <w:t>35.5</w:t>
            </w:r>
          </w:p>
        </w:tc>
      </w:tr>
      <w:tr w:rsidR="0033441A" w:rsidRPr="009C78C8" w14:paraId="46D5C440" w14:textId="77777777" w:rsidTr="0033441A">
        <w:trPr>
          <w:trHeight w:val="45"/>
        </w:trPr>
        <w:tc>
          <w:tcPr>
            <w:tcW w:w="2610" w:type="dxa"/>
            <w:tcBorders>
              <w:top w:val="nil"/>
              <w:left w:val="single" w:sz="4" w:space="0" w:color="auto"/>
              <w:bottom w:val="single" w:sz="4" w:space="0" w:color="auto"/>
              <w:right w:val="nil"/>
            </w:tcBorders>
            <w:vAlign w:val="bottom"/>
          </w:tcPr>
          <w:p w14:paraId="309CA15F"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1080" w:type="dxa"/>
            <w:tcBorders>
              <w:top w:val="nil"/>
              <w:left w:val="nil"/>
              <w:bottom w:val="single" w:sz="4" w:space="0" w:color="auto"/>
              <w:right w:val="nil"/>
            </w:tcBorders>
            <w:vAlign w:val="bottom"/>
          </w:tcPr>
          <w:p w14:paraId="03E793E1"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1020" w:type="dxa"/>
            <w:tcBorders>
              <w:top w:val="nil"/>
              <w:left w:val="nil"/>
              <w:bottom w:val="single" w:sz="4" w:space="0" w:color="auto"/>
              <w:right w:val="nil"/>
            </w:tcBorders>
            <w:vAlign w:val="bottom"/>
          </w:tcPr>
          <w:p w14:paraId="6620D476"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780" w:type="dxa"/>
            <w:tcBorders>
              <w:top w:val="nil"/>
              <w:left w:val="nil"/>
              <w:bottom w:val="single" w:sz="4" w:space="0" w:color="auto"/>
              <w:right w:val="nil"/>
            </w:tcBorders>
            <w:vAlign w:val="bottom"/>
          </w:tcPr>
          <w:p w14:paraId="148395C7"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900" w:type="dxa"/>
            <w:tcBorders>
              <w:top w:val="nil"/>
              <w:left w:val="nil"/>
              <w:bottom w:val="single" w:sz="4" w:space="0" w:color="auto"/>
              <w:right w:val="nil"/>
            </w:tcBorders>
            <w:vAlign w:val="bottom"/>
          </w:tcPr>
          <w:p w14:paraId="17159DC8"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900" w:type="dxa"/>
            <w:tcBorders>
              <w:top w:val="nil"/>
              <w:left w:val="nil"/>
              <w:bottom w:val="single" w:sz="4" w:space="0" w:color="auto"/>
              <w:right w:val="nil"/>
            </w:tcBorders>
            <w:vAlign w:val="bottom"/>
          </w:tcPr>
          <w:p w14:paraId="3352B4C2"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810" w:type="dxa"/>
            <w:tcBorders>
              <w:top w:val="nil"/>
              <w:left w:val="nil"/>
              <w:bottom w:val="single" w:sz="4" w:space="0" w:color="auto"/>
              <w:right w:val="nil"/>
            </w:tcBorders>
            <w:vAlign w:val="bottom"/>
          </w:tcPr>
          <w:p w14:paraId="06ED4BAD"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c>
          <w:tcPr>
            <w:tcW w:w="990" w:type="dxa"/>
            <w:tcBorders>
              <w:top w:val="nil"/>
              <w:left w:val="nil"/>
              <w:bottom w:val="single" w:sz="4" w:space="0" w:color="auto"/>
              <w:right w:val="single" w:sz="4" w:space="0" w:color="auto"/>
            </w:tcBorders>
            <w:vAlign w:val="bottom"/>
          </w:tcPr>
          <w:p w14:paraId="587CCD1D" w14:textId="77777777" w:rsidR="009C78C8" w:rsidRPr="009C78C8" w:rsidRDefault="009C78C8" w:rsidP="009C78C8">
            <w:pPr>
              <w:widowControl w:val="0"/>
              <w:autoSpaceDE w:val="0"/>
              <w:autoSpaceDN w:val="0"/>
              <w:adjustRightInd w:val="0"/>
              <w:rPr>
                <w:rFonts w:asciiTheme="majorHAnsi" w:eastAsiaTheme="minorEastAsia" w:hAnsiTheme="majorHAnsi" w:cstheme="minorHAnsi"/>
                <w:color w:val="000000" w:themeColor="text1"/>
              </w:rPr>
            </w:pPr>
          </w:p>
        </w:tc>
      </w:tr>
    </w:tbl>
    <w:p w14:paraId="11D6A89D" w14:textId="33A633D0" w:rsidR="009C78C8" w:rsidRPr="0033441A" w:rsidRDefault="0033441A" w:rsidP="0033441A">
      <w:pPr>
        <w:widowControl w:val="0"/>
        <w:autoSpaceDE w:val="0"/>
        <w:autoSpaceDN w:val="0"/>
        <w:adjustRightInd w:val="0"/>
        <w:rPr>
          <w:rFonts w:asciiTheme="majorHAnsi" w:hAnsiTheme="majorHAnsi"/>
          <w:sz w:val="20"/>
          <w:szCs w:val="20"/>
        </w:rPr>
      </w:pPr>
      <w:r w:rsidRPr="0033441A">
        <w:rPr>
          <w:rFonts w:asciiTheme="majorHAnsi" w:hAnsiTheme="majorHAnsi" w:cstheme="minorHAnsi"/>
          <w:color w:val="000000"/>
          <w:sz w:val="20"/>
          <w:szCs w:val="20"/>
        </w:rPr>
        <w:t>*</w:t>
      </w:r>
      <w:r w:rsidR="009C78C8" w:rsidRPr="0033441A">
        <w:rPr>
          <w:rFonts w:asciiTheme="majorHAnsi" w:hAnsiTheme="majorHAnsi" w:cstheme="minorHAnsi"/>
          <w:color w:val="000000"/>
          <w:sz w:val="20"/>
          <w:szCs w:val="20"/>
        </w:rPr>
        <w:t xml:space="preserve">Taken from the </w:t>
      </w:r>
      <w:r w:rsidR="009C78C8" w:rsidRPr="0033441A">
        <w:rPr>
          <w:rFonts w:asciiTheme="majorHAnsi" w:hAnsiTheme="majorHAnsi" w:cstheme="minorHAnsi"/>
          <w:bCs/>
          <w:color w:val="000000"/>
          <w:sz w:val="20"/>
          <w:szCs w:val="20"/>
        </w:rPr>
        <w:t>Boehm</w:t>
      </w:r>
      <w:r w:rsidR="009C78C8" w:rsidRPr="0033441A">
        <w:rPr>
          <w:rFonts w:asciiTheme="majorHAnsi" w:hAnsiTheme="majorHAnsi" w:cstheme="minorHAnsi"/>
          <w:bCs/>
          <w:i/>
          <w:color w:val="000000"/>
          <w:sz w:val="20"/>
          <w:szCs w:val="20"/>
        </w:rPr>
        <w:t xml:space="preserve"> et al. (2016)</w:t>
      </w:r>
      <w:r w:rsidRPr="0033441A">
        <w:rPr>
          <w:rFonts w:asciiTheme="majorHAnsi" w:hAnsiTheme="majorHAnsi" w:cstheme="minorHAnsi"/>
          <w:bCs/>
          <w:color w:val="000000"/>
          <w:sz w:val="20"/>
          <w:szCs w:val="20"/>
        </w:rPr>
        <w:t>.</w:t>
      </w:r>
    </w:p>
    <w:p w14:paraId="730F4EF2"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2D5497CC" w14:textId="77777777" w:rsidR="009C78C8" w:rsidRPr="009C78C8" w:rsidRDefault="009C78C8" w:rsidP="009C78C8">
      <w:pPr>
        <w:widowControl w:val="0"/>
        <w:overflowPunct w:val="0"/>
        <w:autoSpaceDE w:val="0"/>
        <w:autoSpaceDN w:val="0"/>
        <w:adjustRightInd w:val="0"/>
        <w:jc w:val="both"/>
        <w:rPr>
          <w:rFonts w:asciiTheme="majorHAnsi" w:hAnsiTheme="majorHAnsi" w:cstheme="minorHAnsi"/>
        </w:rPr>
      </w:pPr>
      <w:r w:rsidRPr="009C78C8">
        <w:rPr>
          <w:rFonts w:asciiTheme="majorHAnsi" w:hAnsiTheme="majorHAnsi" w:cstheme="minorHAnsi"/>
          <w:color w:val="000000"/>
        </w:rPr>
        <w:t xml:space="preserve">The average length of the monsoon for 2011 was approximately 23 days shorter (Table 2) </w:t>
      </w:r>
      <w:r w:rsidRPr="009C78C8">
        <w:rPr>
          <w:rFonts w:asciiTheme="majorHAnsi" w:hAnsiTheme="majorHAnsi" w:cstheme="minorHAnsi"/>
          <w:color w:val="000000"/>
        </w:rPr>
        <w:lastRenderedPageBreak/>
        <w:t xml:space="preserve">than it was in 1980 and a statistically significant (p &lt; 0.05) negative trend over the time period for average monsoon duration (p = 0.004) (see Fig. </w:t>
      </w:r>
      <w:r w:rsidRPr="009C78C8">
        <w:rPr>
          <w:rFonts w:asciiTheme="majorHAnsi" w:hAnsiTheme="majorHAnsi" w:cstheme="minorHAnsi"/>
          <w:color w:val="000000" w:themeColor="text1"/>
        </w:rPr>
        <w:t>24</w:t>
      </w:r>
      <w:r w:rsidRPr="009C78C8">
        <w:rPr>
          <w:rFonts w:asciiTheme="majorHAnsi" w:hAnsiTheme="majorHAnsi" w:cstheme="minorHAnsi"/>
        </w:rPr>
        <w:t xml:space="preserve">),which means that the average duration of the monsoon across the tea producing provinces in China is getting shorter. </w:t>
      </w:r>
    </w:p>
    <w:p w14:paraId="21502695"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r w:rsidRPr="009C78C8">
        <w:rPr>
          <w:rFonts w:asciiTheme="majorHAnsi" w:hAnsiTheme="majorHAnsi" w:cstheme="minorHAnsi"/>
          <w:noProof/>
        </w:rPr>
        <w:drawing>
          <wp:anchor distT="0" distB="0" distL="114300" distR="114300" simplePos="0" relativeHeight="251663360" behindDoc="0" locked="0" layoutInCell="0" allowOverlap="1" wp14:anchorId="5E5F2B9B" wp14:editId="0418D013">
            <wp:simplePos x="0" y="0"/>
            <wp:positionH relativeFrom="column">
              <wp:posOffset>1181100</wp:posOffset>
            </wp:positionH>
            <wp:positionV relativeFrom="paragraph">
              <wp:posOffset>158115</wp:posOffset>
            </wp:positionV>
            <wp:extent cx="3086100" cy="2057400"/>
            <wp:effectExtent l="19050" t="0" r="0" b="0"/>
            <wp:wrapSquare wrapText="bothSides"/>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3086100" cy="2057400"/>
                    </a:xfrm>
                    <a:prstGeom prst="rect">
                      <a:avLst/>
                    </a:prstGeom>
                    <a:noFill/>
                    <a:ln w="9525">
                      <a:noFill/>
                      <a:miter lim="800000"/>
                      <a:headEnd/>
                      <a:tailEnd/>
                    </a:ln>
                  </pic:spPr>
                </pic:pic>
              </a:graphicData>
            </a:graphic>
          </wp:anchor>
        </w:drawing>
      </w:r>
    </w:p>
    <w:p w14:paraId="1AE4E1D2"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59B7F7E6"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01AE1EC1"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0FDE90AF"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68613063"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738A3A40"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18E9A5DC"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568C9F18"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6BC04212"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49B38B06"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6720DA09" w14:textId="77777777" w:rsidR="0033441A" w:rsidRDefault="0033441A" w:rsidP="009C78C8">
      <w:pPr>
        <w:widowControl w:val="0"/>
        <w:autoSpaceDE w:val="0"/>
        <w:autoSpaceDN w:val="0"/>
        <w:adjustRightInd w:val="0"/>
        <w:ind w:left="630"/>
        <w:rPr>
          <w:rFonts w:asciiTheme="majorHAnsi" w:hAnsiTheme="majorHAnsi" w:cstheme="minorHAnsi"/>
          <w:bCs/>
          <w:color w:val="000000"/>
        </w:rPr>
      </w:pPr>
    </w:p>
    <w:p w14:paraId="72596688" w14:textId="77777777" w:rsidR="0033441A" w:rsidRDefault="0033441A" w:rsidP="009C78C8">
      <w:pPr>
        <w:widowControl w:val="0"/>
        <w:autoSpaceDE w:val="0"/>
        <w:autoSpaceDN w:val="0"/>
        <w:adjustRightInd w:val="0"/>
        <w:ind w:left="630"/>
        <w:rPr>
          <w:rFonts w:asciiTheme="majorHAnsi" w:hAnsiTheme="majorHAnsi" w:cstheme="minorHAnsi"/>
          <w:bCs/>
          <w:color w:val="000000"/>
        </w:rPr>
      </w:pPr>
    </w:p>
    <w:p w14:paraId="07E940F8" w14:textId="75612D4D" w:rsidR="009C78C8" w:rsidRPr="009C78C8" w:rsidRDefault="009C78C8" w:rsidP="009C78C8">
      <w:pPr>
        <w:widowControl w:val="0"/>
        <w:autoSpaceDE w:val="0"/>
        <w:autoSpaceDN w:val="0"/>
        <w:adjustRightInd w:val="0"/>
        <w:ind w:left="630"/>
        <w:rPr>
          <w:rFonts w:asciiTheme="majorHAnsi" w:hAnsiTheme="majorHAnsi"/>
        </w:rPr>
      </w:pPr>
      <w:r w:rsidRPr="009C78C8">
        <w:rPr>
          <w:rFonts w:asciiTheme="majorHAnsi" w:hAnsiTheme="majorHAnsi" w:cstheme="minorHAnsi"/>
          <w:bCs/>
          <w:color w:val="000000"/>
        </w:rPr>
        <w:t xml:space="preserve">Fig.24 </w:t>
      </w:r>
      <w:r w:rsidRPr="009C78C8">
        <w:rPr>
          <w:rFonts w:asciiTheme="majorHAnsi" w:hAnsiTheme="majorHAnsi" w:cstheme="minorHAnsi"/>
          <w:color w:val="000000"/>
        </w:rPr>
        <w:t xml:space="preserve">Yearly average monsoon duration is noted by the black connected line. Each grey dot on the graph shows the monsoon duration for each province in each year in the sample, upon which the yearly average was calculated </w:t>
      </w:r>
      <w:r w:rsidR="0033441A">
        <w:rPr>
          <w:rFonts w:asciiTheme="majorHAnsi" w:hAnsiTheme="majorHAnsi" w:cstheme="minorHAnsi"/>
          <w:color w:val="000000"/>
        </w:rPr>
        <w:t>(t</w:t>
      </w:r>
      <w:r w:rsidRPr="0033441A">
        <w:rPr>
          <w:rFonts w:asciiTheme="majorHAnsi" w:hAnsiTheme="majorHAnsi" w:cstheme="minorHAnsi"/>
          <w:color w:val="000000"/>
        </w:rPr>
        <w:t xml:space="preserve">aken from the </w:t>
      </w:r>
      <w:r w:rsidRPr="0033441A">
        <w:rPr>
          <w:rFonts w:asciiTheme="majorHAnsi" w:hAnsiTheme="majorHAnsi" w:cstheme="minorHAnsi"/>
          <w:bCs/>
          <w:color w:val="000000"/>
        </w:rPr>
        <w:t>Boehm</w:t>
      </w:r>
      <w:r w:rsidRPr="009C78C8">
        <w:rPr>
          <w:rFonts w:asciiTheme="majorHAnsi" w:hAnsiTheme="majorHAnsi" w:cstheme="minorHAnsi"/>
          <w:bCs/>
          <w:i/>
          <w:color w:val="000000"/>
        </w:rPr>
        <w:t xml:space="preserve"> et al. </w:t>
      </w:r>
      <w:r w:rsidR="0033441A">
        <w:rPr>
          <w:rFonts w:asciiTheme="majorHAnsi" w:hAnsiTheme="majorHAnsi" w:cstheme="minorHAnsi"/>
          <w:bCs/>
          <w:color w:val="000000"/>
        </w:rPr>
        <w:t>[</w:t>
      </w:r>
      <w:r w:rsidRPr="0033441A">
        <w:rPr>
          <w:rFonts w:asciiTheme="majorHAnsi" w:hAnsiTheme="majorHAnsi" w:cstheme="minorHAnsi"/>
          <w:bCs/>
          <w:color w:val="000000"/>
        </w:rPr>
        <w:t>2016</w:t>
      </w:r>
      <w:r w:rsidR="0033441A" w:rsidRPr="0033441A">
        <w:rPr>
          <w:rFonts w:asciiTheme="majorHAnsi" w:hAnsiTheme="majorHAnsi" w:cstheme="minorHAnsi"/>
          <w:bCs/>
          <w:color w:val="000000"/>
        </w:rPr>
        <w:t>])</w:t>
      </w:r>
      <w:r w:rsidRPr="009C78C8">
        <w:rPr>
          <w:rFonts w:asciiTheme="majorHAnsi" w:hAnsiTheme="majorHAnsi" w:cstheme="minorHAnsi"/>
          <w:bCs/>
          <w:color w:val="000000"/>
        </w:rPr>
        <w:t>.</w:t>
      </w:r>
    </w:p>
    <w:p w14:paraId="105F79F6"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39D683F8"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r w:rsidRPr="009C78C8">
        <w:rPr>
          <w:rFonts w:asciiTheme="majorHAnsi" w:hAnsiTheme="majorHAnsi" w:cstheme="minorHAnsi"/>
        </w:rPr>
        <w:t>The study also showed that a 1% decrease in solar radiation in the previous growing season was associated with 0.554%-0.864% decrease in tea yields. These findings suggest the need for adaptive management and harvesting strategies given climate change projections and the known negative association between excess rainfall and delayed monsoon retreat on tea quality and yield.</w:t>
      </w:r>
    </w:p>
    <w:p w14:paraId="7591A45F"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6F5BC433"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r w:rsidRPr="009C78C8">
        <w:rPr>
          <w:rFonts w:asciiTheme="majorHAnsi" w:hAnsiTheme="majorHAnsi" w:cstheme="minorHAnsi"/>
        </w:rPr>
        <w:t xml:space="preserve">New planting and soil management practices may need to be developed to help Chinese tea farmers cope with changes in precipitation and monsoon dynamics. The management strategies are likely to be of increasing importance in light of the fact that the frequency of extreme rain events is expected to increase as a result of future effects of climate change. Farmers in Yunnan province report some other strategies to address changes in precipitation patterns. These include planting tea from seed instead of using clonal </w:t>
      </w:r>
      <w:proofErr w:type="spellStart"/>
      <w:r w:rsidRPr="009C78C8">
        <w:rPr>
          <w:rFonts w:asciiTheme="majorHAnsi" w:hAnsiTheme="majorHAnsi" w:cstheme="minorHAnsi"/>
        </w:rPr>
        <w:t>propugules</w:t>
      </w:r>
      <w:proofErr w:type="spellEnd"/>
      <w:r w:rsidRPr="009C78C8">
        <w:rPr>
          <w:rFonts w:asciiTheme="majorHAnsi" w:hAnsiTheme="majorHAnsi" w:cstheme="minorHAnsi"/>
        </w:rPr>
        <w:t xml:space="preserve"> which have less dense and deep root systems; mixed cropping of tea gardens in forests; and enhancing the drainage of tea gardens.</w:t>
      </w:r>
    </w:p>
    <w:p w14:paraId="2E82C3C0" w14:textId="77777777" w:rsidR="009C78C8" w:rsidRPr="009C78C8" w:rsidRDefault="009C78C8" w:rsidP="009C78C8">
      <w:pPr>
        <w:widowControl w:val="0"/>
        <w:overflowPunct w:val="0"/>
        <w:autoSpaceDE w:val="0"/>
        <w:autoSpaceDN w:val="0"/>
        <w:adjustRightInd w:val="0"/>
        <w:ind w:right="120"/>
        <w:rPr>
          <w:rFonts w:asciiTheme="majorHAnsi" w:hAnsiTheme="majorHAnsi" w:cstheme="minorHAnsi"/>
        </w:rPr>
      </w:pPr>
    </w:p>
    <w:p w14:paraId="699C73E4" w14:textId="77777777" w:rsidR="009C78C8" w:rsidRPr="009C78C8" w:rsidRDefault="009C78C8" w:rsidP="009C78C8">
      <w:pPr>
        <w:widowControl w:val="0"/>
        <w:overflowPunct w:val="0"/>
        <w:autoSpaceDE w:val="0"/>
        <w:autoSpaceDN w:val="0"/>
        <w:adjustRightInd w:val="0"/>
        <w:ind w:right="120"/>
        <w:rPr>
          <w:rFonts w:asciiTheme="majorHAnsi" w:hAnsiTheme="majorHAnsi" w:cstheme="minorHAnsi"/>
          <w:b/>
        </w:rPr>
      </w:pPr>
      <w:r w:rsidRPr="009C78C8">
        <w:rPr>
          <w:rFonts w:asciiTheme="majorHAnsi" w:hAnsiTheme="majorHAnsi" w:cstheme="minorHAnsi"/>
          <w:b/>
        </w:rPr>
        <w:t>Effects of elevated CO</w:t>
      </w:r>
      <w:r w:rsidRPr="0033441A">
        <w:rPr>
          <w:rFonts w:asciiTheme="majorHAnsi" w:hAnsiTheme="majorHAnsi" w:cstheme="minorHAnsi"/>
          <w:b/>
          <w:vertAlign w:val="subscript"/>
        </w:rPr>
        <w:t>2</w:t>
      </w:r>
      <w:r w:rsidRPr="009C78C8">
        <w:rPr>
          <w:rFonts w:asciiTheme="majorHAnsi" w:hAnsiTheme="majorHAnsi" w:cstheme="minorHAnsi"/>
          <w:b/>
        </w:rPr>
        <w:t xml:space="preserve"> on endogenous caffeine and </w:t>
      </w:r>
      <w:proofErr w:type="spellStart"/>
      <w:r w:rsidRPr="009C78C8">
        <w:rPr>
          <w:rFonts w:asciiTheme="majorHAnsi" w:hAnsiTheme="majorHAnsi" w:cstheme="minorHAnsi"/>
          <w:b/>
        </w:rPr>
        <w:t>jasmonic</w:t>
      </w:r>
      <w:proofErr w:type="spellEnd"/>
      <w:r w:rsidRPr="009C78C8">
        <w:rPr>
          <w:rFonts w:asciiTheme="majorHAnsi" w:hAnsiTheme="majorHAnsi" w:cstheme="minorHAnsi"/>
          <w:b/>
        </w:rPr>
        <w:t xml:space="preserve"> acid (JA) content, and </w:t>
      </w:r>
      <w:proofErr w:type="spellStart"/>
      <w:r w:rsidRPr="009C78C8">
        <w:rPr>
          <w:rFonts w:asciiTheme="majorHAnsi" w:hAnsiTheme="majorHAnsi" w:cstheme="minorHAnsi"/>
          <w:b/>
          <w:i/>
        </w:rPr>
        <w:t>Colletotrichum</w:t>
      </w:r>
      <w:proofErr w:type="spellEnd"/>
      <w:r w:rsidRPr="009C78C8">
        <w:rPr>
          <w:rFonts w:asciiTheme="majorHAnsi" w:hAnsiTheme="majorHAnsi" w:cstheme="minorHAnsi"/>
          <w:b/>
          <w:i/>
        </w:rPr>
        <w:t xml:space="preserve"> </w:t>
      </w:r>
      <w:proofErr w:type="spellStart"/>
      <w:r w:rsidRPr="009C78C8">
        <w:rPr>
          <w:rFonts w:asciiTheme="majorHAnsi" w:hAnsiTheme="majorHAnsi" w:cstheme="minorHAnsi"/>
          <w:b/>
          <w:i/>
        </w:rPr>
        <w:t>gloeosporioides</w:t>
      </w:r>
      <w:proofErr w:type="spellEnd"/>
      <w:r w:rsidRPr="009C78C8">
        <w:rPr>
          <w:rFonts w:asciiTheme="majorHAnsi" w:hAnsiTheme="majorHAnsi" w:cstheme="minorHAnsi"/>
          <w:b/>
        </w:rPr>
        <w:t xml:space="preserve"> virulence on tea</w:t>
      </w:r>
    </w:p>
    <w:p w14:paraId="3216D52F" w14:textId="77777777" w:rsidR="009C78C8" w:rsidRPr="009C78C8" w:rsidRDefault="009C78C8" w:rsidP="009C78C8">
      <w:pPr>
        <w:widowControl w:val="0"/>
        <w:overflowPunct w:val="0"/>
        <w:autoSpaceDE w:val="0"/>
        <w:autoSpaceDN w:val="0"/>
        <w:adjustRightInd w:val="0"/>
        <w:ind w:right="120"/>
        <w:rPr>
          <w:rFonts w:asciiTheme="majorHAnsi" w:hAnsiTheme="majorHAnsi" w:cstheme="minorHAnsi"/>
        </w:rPr>
      </w:pPr>
    </w:p>
    <w:p w14:paraId="30FD405F" w14:textId="278EAA12"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r w:rsidRPr="009C78C8">
        <w:rPr>
          <w:rFonts w:asciiTheme="majorHAnsi" w:hAnsiTheme="majorHAnsi" w:cstheme="minorHAnsi"/>
        </w:rPr>
        <w:t xml:space="preserve">In another study carried out by Li et al (2016) two-year-old tea seedlings of </w:t>
      </w:r>
      <w:proofErr w:type="spellStart"/>
      <w:r w:rsidRPr="009C78C8">
        <w:rPr>
          <w:rFonts w:asciiTheme="majorHAnsi" w:hAnsiTheme="majorHAnsi" w:cstheme="minorHAnsi"/>
        </w:rPr>
        <w:t>Longjing</w:t>
      </w:r>
      <w:proofErr w:type="spellEnd"/>
      <w:r w:rsidRPr="009C78C8">
        <w:rPr>
          <w:rFonts w:asciiTheme="majorHAnsi" w:hAnsiTheme="majorHAnsi" w:cstheme="minorHAnsi"/>
        </w:rPr>
        <w:t xml:space="preserve"> 43 (</w:t>
      </w:r>
      <w:r w:rsidRPr="0033441A">
        <w:rPr>
          <w:rFonts w:asciiTheme="majorHAnsi" w:hAnsiTheme="majorHAnsi" w:cstheme="minorHAnsi"/>
          <w:i/>
        </w:rPr>
        <w:t xml:space="preserve">Camellia </w:t>
      </w:r>
      <w:proofErr w:type="spellStart"/>
      <w:r w:rsidRPr="0033441A">
        <w:rPr>
          <w:rFonts w:asciiTheme="majorHAnsi" w:hAnsiTheme="majorHAnsi" w:cstheme="minorHAnsi"/>
          <w:i/>
        </w:rPr>
        <w:t>sisnensis</w:t>
      </w:r>
      <w:proofErr w:type="spellEnd"/>
      <w:r w:rsidRPr="0033441A">
        <w:rPr>
          <w:rFonts w:asciiTheme="majorHAnsi" w:hAnsiTheme="majorHAnsi" w:cstheme="minorHAnsi"/>
          <w:i/>
        </w:rPr>
        <w:t xml:space="preserve"> L.</w:t>
      </w:r>
      <w:r w:rsidRPr="009C78C8">
        <w:rPr>
          <w:rFonts w:asciiTheme="majorHAnsi" w:hAnsiTheme="majorHAnsi" w:cstheme="minorHAnsi"/>
        </w:rPr>
        <w:t>) were exposed to either ambient</w:t>
      </w:r>
      <w:r w:rsidR="0033441A">
        <w:rPr>
          <w:rFonts w:asciiTheme="majorHAnsi" w:hAnsiTheme="majorHAnsi" w:cstheme="minorHAnsi"/>
        </w:rPr>
        <w:t xml:space="preserve"> </w:t>
      </w:r>
      <w:r w:rsidRPr="009C78C8">
        <w:rPr>
          <w:rFonts w:asciiTheme="majorHAnsi" w:hAnsiTheme="majorHAnsi" w:cstheme="minorHAnsi"/>
        </w:rPr>
        <w:t>CO</w:t>
      </w:r>
      <w:r w:rsidRPr="0033441A">
        <w:rPr>
          <w:rFonts w:asciiTheme="majorHAnsi" w:hAnsiTheme="majorHAnsi" w:cstheme="minorHAnsi"/>
          <w:vertAlign w:val="subscript"/>
        </w:rPr>
        <w:t>2</w:t>
      </w:r>
      <w:r w:rsidRPr="009C78C8">
        <w:rPr>
          <w:rFonts w:asciiTheme="majorHAnsi" w:hAnsiTheme="majorHAnsi" w:cstheme="minorHAnsi"/>
        </w:rPr>
        <w:t xml:space="preserve"> (380 </w:t>
      </w:r>
      <w:proofErr w:type="spellStart"/>
      <w:r w:rsidRPr="009C78C8">
        <w:rPr>
          <w:rFonts w:asciiTheme="majorHAnsi" w:hAnsiTheme="majorHAnsi" w:cstheme="minorHAnsi"/>
        </w:rPr>
        <w:t>μmolmol</w:t>
      </w:r>
      <w:proofErr w:type="spellEnd"/>
      <w:r w:rsidRPr="009C78C8">
        <w:rPr>
          <w:rFonts w:asciiTheme="majorHAnsi" w:hAnsiTheme="majorHAnsi" w:cstheme="minorHAnsi"/>
        </w:rPr>
        <w:t>–1)or elevatedCO</w:t>
      </w:r>
      <w:r w:rsidRPr="0033441A">
        <w:rPr>
          <w:rFonts w:asciiTheme="majorHAnsi" w:hAnsiTheme="majorHAnsi" w:cstheme="minorHAnsi"/>
          <w:vertAlign w:val="subscript"/>
        </w:rPr>
        <w:t>2</w:t>
      </w:r>
      <w:r w:rsidRPr="009C78C8">
        <w:rPr>
          <w:rFonts w:asciiTheme="majorHAnsi" w:hAnsiTheme="majorHAnsi" w:cstheme="minorHAnsi"/>
        </w:rPr>
        <w:t xml:space="preserve"> (800 </w:t>
      </w:r>
      <w:proofErr w:type="spellStart"/>
      <w:r w:rsidRPr="009C78C8">
        <w:rPr>
          <w:rFonts w:asciiTheme="majorHAnsi" w:hAnsiTheme="majorHAnsi" w:cstheme="minorHAnsi"/>
        </w:rPr>
        <w:t>μmolmol</w:t>
      </w:r>
      <w:proofErr w:type="spellEnd"/>
      <w:r w:rsidRPr="009C78C8">
        <w:rPr>
          <w:rFonts w:asciiTheme="majorHAnsi" w:hAnsiTheme="majorHAnsi" w:cstheme="minorHAnsi"/>
        </w:rPr>
        <w:t xml:space="preserve">–1) </w:t>
      </w:r>
      <w:r w:rsidR="0033441A">
        <w:rPr>
          <w:rFonts w:asciiTheme="majorHAnsi" w:hAnsiTheme="majorHAnsi" w:cstheme="minorHAnsi"/>
        </w:rPr>
        <w:t xml:space="preserve">for 2 weeks in a controlled </w:t>
      </w:r>
      <w:r w:rsidRPr="009C78C8">
        <w:rPr>
          <w:rFonts w:asciiTheme="majorHAnsi" w:hAnsiTheme="majorHAnsi" w:cstheme="minorHAnsi"/>
        </w:rPr>
        <w:t>environment growth chambers (</w:t>
      </w:r>
      <w:proofErr w:type="spellStart"/>
      <w:r w:rsidRPr="009C78C8">
        <w:rPr>
          <w:rFonts w:asciiTheme="majorHAnsi" w:hAnsiTheme="majorHAnsi" w:cstheme="minorHAnsi"/>
        </w:rPr>
        <w:t>Conviron</w:t>
      </w:r>
      <w:proofErr w:type="spellEnd"/>
      <w:r w:rsidRPr="009C78C8">
        <w:rPr>
          <w:rFonts w:asciiTheme="majorHAnsi" w:hAnsiTheme="majorHAnsi" w:cstheme="minorHAnsi"/>
        </w:rPr>
        <w:t xml:space="preserve">, Winnipeg, Canada). The growth conditions were as follows: the photosynthetic photo flux density (PPFD) 600 </w:t>
      </w:r>
      <w:proofErr w:type="spellStart"/>
      <w:r w:rsidRPr="009C78C8">
        <w:rPr>
          <w:rFonts w:asciiTheme="majorHAnsi" w:hAnsiTheme="majorHAnsi" w:cstheme="minorHAnsi"/>
        </w:rPr>
        <w:t>μmol</w:t>
      </w:r>
      <w:proofErr w:type="spellEnd"/>
      <w:r w:rsidRPr="009C78C8">
        <w:rPr>
          <w:rFonts w:asciiTheme="majorHAnsi" w:hAnsiTheme="majorHAnsi" w:cstheme="minorHAnsi"/>
        </w:rPr>
        <w:t xml:space="preserve"> m–2 s–1, photoperiod 14/10 h (day/night), day/night air temperature 26/22</w:t>
      </w:r>
      <w:r w:rsidRPr="009C78C8">
        <w:rPr>
          <w:rFonts w:asciiTheme="majorHAnsi" w:hAnsiTheme="majorHAnsi" w:cstheme="minorHAnsi"/>
        </w:rPr>
        <w:sym w:font="Symbol" w:char="F0B0"/>
      </w:r>
      <w:r w:rsidRPr="009C78C8">
        <w:rPr>
          <w:rFonts w:asciiTheme="majorHAnsi" w:hAnsiTheme="majorHAnsi" w:cstheme="minorHAnsi"/>
        </w:rPr>
        <w:t>C, and relative humidity 85%. After 2 weeks of acclimation,</w:t>
      </w:r>
      <w:r w:rsidR="0033441A">
        <w:rPr>
          <w:rFonts w:asciiTheme="majorHAnsi" w:hAnsiTheme="majorHAnsi" w:cstheme="minorHAnsi"/>
        </w:rPr>
        <w:t xml:space="preserve"> </w:t>
      </w:r>
      <w:r w:rsidRPr="009C78C8">
        <w:rPr>
          <w:rFonts w:asciiTheme="majorHAnsi" w:hAnsiTheme="majorHAnsi" w:cstheme="minorHAnsi"/>
        </w:rPr>
        <w:t>plants exposed to both ambient and elevated CO</w:t>
      </w:r>
      <w:r w:rsidRPr="0033441A">
        <w:rPr>
          <w:rFonts w:asciiTheme="majorHAnsi" w:hAnsiTheme="majorHAnsi" w:cstheme="minorHAnsi"/>
          <w:vertAlign w:val="subscript"/>
        </w:rPr>
        <w:t>2</w:t>
      </w:r>
      <w:r w:rsidRPr="009C78C8">
        <w:rPr>
          <w:rFonts w:asciiTheme="majorHAnsi" w:hAnsiTheme="majorHAnsi" w:cstheme="minorHAnsi"/>
        </w:rPr>
        <w:t xml:space="preserve"> were subjected to inoculation with C. </w:t>
      </w:r>
      <w:proofErr w:type="spellStart"/>
      <w:r w:rsidRPr="009C78C8">
        <w:rPr>
          <w:rFonts w:asciiTheme="majorHAnsi" w:hAnsiTheme="majorHAnsi" w:cstheme="minorHAnsi"/>
        </w:rPr>
        <w:lastRenderedPageBreak/>
        <w:t>Gloeosporioides</w:t>
      </w:r>
      <w:proofErr w:type="spellEnd"/>
      <w:r w:rsidRPr="009C78C8">
        <w:rPr>
          <w:rFonts w:asciiTheme="majorHAnsi" w:hAnsiTheme="majorHAnsi" w:cstheme="minorHAnsi"/>
        </w:rPr>
        <w:t xml:space="preserve"> (causing brown blight in tea). Plants were also mock inoculated following the same inoculation procedure. The pot placement within each CO</w:t>
      </w:r>
      <w:r w:rsidRPr="00344C11">
        <w:rPr>
          <w:rFonts w:asciiTheme="majorHAnsi" w:hAnsiTheme="majorHAnsi" w:cstheme="minorHAnsi"/>
          <w:vertAlign w:val="subscript"/>
        </w:rPr>
        <w:t>2</w:t>
      </w:r>
      <w:r w:rsidRPr="009C78C8">
        <w:rPr>
          <w:rFonts w:asciiTheme="majorHAnsi" w:hAnsiTheme="majorHAnsi" w:cstheme="minorHAnsi"/>
        </w:rPr>
        <w:t xml:space="preserve"> condition was randomized every </w:t>
      </w:r>
      <w:r w:rsidR="00344C11">
        <w:rPr>
          <w:rFonts w:asciiTheme="majorHAnsi" w:hAnsiTheme="majorHAnsi" w:cstheme="minorHAnsi"/>
        </w:rPr>
        <w:t>two</w:t>
      </w:r>
      <w:r w:rsidRPr="009C78C8">
        <w:rPr>
          <w:rFonts w:asciiTheme="majorHAnsi" w:hAnsiTheme="majorHAnsi" w:cstheme="minorHAnsi"/>
        </w:rPr>
        <w:t xml:space="preserve"> days. In the experiments employing a combined treatment of C. </w:t>
      </w:r>
      <w:proofErr w:type="spellStart"/>
      <w:r w:rsidRPr="009C78C8">
        <w:rPr>
          <w:rFonts w:asciiTheme="majorHAnsi" w:hAnsiTheme="majorHAnsi" w:cstheme="minorHAnsi"/>
        </w:rPr>
        <w:t>gloeosporioides</w:t>
      </w:r>
      <w:proofErr w:type="spellEnd"/>
      <w:r w:rsidRPr="009C78C8">
        <w:rPr>
          <w:rFonts w:asciiTheme="majorHAnsi" w:hAnsiTheme="majorHAnsi" w:cstheme="minorHAnsi"/>
        </w:rPr>
        <w:t xml:space="preserve"> and exogenous treatment of caffeine (0.1, 1, and 10 </w:t>
      </w:r>
      <w:proofErr w:type="spellStart"/>
      <w:r w:rsidRPr="009C78C8">
        <w:rPr>
          <w:rFonts w:asciiTheme="majorHAnsi" w:hAnsiTheme="majorHAnsi" w:cstheme="minorHAnsi"/>
        </w:rPr>
        <w:t>mM</w:t>
      </w:r>
      <w:proofErr w:type="spellEnd"/>
      <w:r w:rsidRPr="009C78C8">
        <w:rPr>
          <w:rFonts w:asciiTheme="majorHAnsi" w:hAnsiTheme="majorHAnsi" w:cstheme="minorHAnsi"/>
        </w:rPr>
        <w:t xml:space="preserve">) or </w:t>
      </w:r>
      <w:proofErr w:type="spellStart"/>
      <w:r w:rsidRPr="009C78C8">
        <w:rPr>
          <w:rFonts w:asciiTheme="majorHAnsi" w:hAnsiTheme="majorHAnsi" w:cstheme="minorHAnsi"/>
        </w:rPr>
        <w:t>MeJA</w:t>
      </w:r>
      <w:proofErr w:type="spellEnd"/>
      <w:r w:rsidRPr="009C78C8">
        <w:rPr>
          <w:rFonts w:asciiTheme="majorHAnsi" w:hAnsiTheme="majorHAnsi" w:cstheme="minorHAnsi"/>
        </w:rPr>
        <w:t xml:space="preserve"> (0.02, 0.2, and 1 </w:t>
      </w:r>
      <w:proofErr w:type="spellStart"/>
      <w:r w:rsidRPr="009C78C8">
        <w:rPr>
          <w:rFonts w:asciiTheme="majorHAnsi" w:hAnsiTheme="majorHAnsi" w:cstheme="minorHAnsi"/>
        </w:rPr>
        <w:t>mM</w:t>
      </w:r>
      <w:proofErr w:type="spellEnd"/>
      <w:r w:rsidRPr="009C78C8">
        <w:rPr>
          <w:rFonts w:asciiTheme="majorHAnsi" w:hAnsiTheme="majorHAnsi" w:cstheme="minorHAnsi"/>
        </w:rPr>
        <w:t xml:space="preserve">), caffeine or </w:t>
      </w:r>
      <w:proofErr w:type="spellStart"/>
      <w:r w:rsidRPr="009C78C8">
        <w:rPr>
          <w:rFonts w:asciiTheme="majorHAnsi" w:hAnsiTheme="majorHAnsi" w:cstheme="minorHAnsi"/>
        </w:rPr>
        <w:t>MeJA</w:t>
      </w:r>
      <w:proofErr w:type="spellEnd"/>
      <w:r w:rsidRPr="009C78C8">
        <w:rPr>
          <w:rFonts w:asciiTheme="majorHAnsi" w:hAnsiTheme="majorHAnsi" w:cstheme="minorHAnsi"/>
        </w:rPr>
        <w:t xml:space="preserve"> solution was applied to the tea seedlings 6 h prior to C. </w:t>
      </w:r>
      <w:proofErr w:type="spellStart"/>
      <w:r w:rsidRPr="009C78C8">
        <w:rPr>
          <w:rFonts w:asciiTheme="majorHAnsi" w:hAnsiTheme="majorHAnsi" w:cstheme="minorHAnsi"/>
        </w:rPr>
        <w:t>gloeosporioides</w:t>
      </w:r>
      <w:proofErr w:type="spellEnd"/>
      <w:r w:rsidRPr="009C78C8">
        <w:rPr>
          <w:rFonts w:asciiTheme="majorHAnsi" w:hAnsiTheme="majorHAnsi" w:cstheme="minorHAnsi"/>
        </w:rPr>
        <w:t xml:space="preserve"> inoculation; </w:t>
      </w:r>
      <w:proofErr w:type="spellStart"/>
      <w:r w:rsidRPr="009C78C8">
        <w:rPr>
          <w:rFonts w:asciiTheme="majorHAnsi" w:hAnsiTheme="majorHAnsi" w:cstheme="minorHAnsi"/>
        </w:rPr>
        <w:t>distilledwater</w:t>
      </w:r>
      <w:proofErr w:type="spellEnd"/>
      <w:r w:rsidRPr="009C78C8">
        <w:rPr>
          <w:rFonts w:asciiTheme="majorHAnsi" w:hAnsiTheme="majorHAnsi" w:cstheme="minorHAnsi"/>
        </w:rPr>
        <w:t xml:space="preserve"> (ddH2O)was sprayed as control.</w:t>
      </w:r>
    </w:p>
    <w:p w14:paraId="7E9B3D3F"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p>
    <w:p w14:paraId="248997B1" w14:textId="77777777" w:rsidR="009C78C8" w:rsidRPr="009C78C8" w:rsidRDefault="009C78C8" w:rsidP="009C78C8">
      <w:pPr>
        <w:widowControl w:val="0"/>
        <w:overflowPunct w:val="0"/>
        <w:autoSpaceDE w:val="0"/>
        <w:autoSpaceDN w:val="0"/>
        <w:adjustRightInd w:val="0"/>
        <w:ind w:right="120"/>
        <w:jc w:val="both"/>
        <w:rPr>
          <w:rFonts w:asciiTheme="majorHAnsi" w:hAnsiTheme="majorHAnsi" w:cstheme="minorHAnsi"/>
        </w:rPr>
      </w:pPr>
      <w:r w:rsidRPr="009C78C8">
        <w:rPr>
          <w:rFonts w:asciiTheme="majorHAnsi" w:hAnsiTheme="majorHAnsi" w:cstheme="minorHAnsi"/>
        </w:rPr>
        <w:t xml:space="preserve">Results of the current study showed that elevated CO2 decreased caffeine and JA contents in tea leaves but increased susceptibility of tea to C. </w:t>
      </w:r>
      <w:proofErr w:type="spellStart"/>
      <w:r w:rsidRPr="009C78C8">
        <w:rPr>
          <w:rFonts w:asciiTheme="majorHAnsi" w:hAnsiTheme="majorHAnsi" w:cstheme="minorHAnsi"/>
        </w:rPr>
        <w:t>gloeosporioides</w:t>
      </w:r>
      <w:proofErr w:type="spellEnd"/>
      <w:r w:rsidRPr="009C78C8">
        <w:rPr>
          <w:rFonts w:asciiTheme="majorHAnsi" w:hAnsiTheme="majorHAnsi" w:cstheme="minorHAnsi"/>
        </w:rPr>
        <w:t xml:space="preserve">. However, caffeine stimulated a specific branch of the LOX pathway that synthesizes JA to induce tea defense against C. </w:t>
      </w:r>
      <w:proofErr w:type="spellStart"/>
      <w:r w:rsidRPr="009C78C8">
        <w:rPr>
          <w:rFonts w:asciiTheme="majorHAnsi" w:hAnsiTheme="majorHAnsi" w:cstheme="minorHAnsi"/>
        </w:rPr>
        <w:t>gloeosporioides</w:t>
      </w:r>
      <w:proofErr w:type="spellEnd"/>
      <w:r w:rsidRPr="009C78C8">
        <w:rPr>
          <w:rFonts w:asciiTheme="majorHAnsi" w:hAnsiTheme="majorHAnsi" w:cstheme="minorHAnsi"/>
        </w:rPr>
        <w:t xml:space="preserve"> under elevated CO2. These findings lead to an assumption that climate change will likely trigger diseases caused by C. </w:t>
      </w:r>
      <w:proofErr w:type="spellStart"/>
      <w:r w:rsidRPr="009C78C8">
        <w:rPr>
          <w:rFonts w:asciiTheme="majorHAnsi" w:hAnsiTheme="majorHAnsi" w:cstheme="minorHAnsi"/>
        </w:rPr>
        <w:t>gloeosporioides</w:t>
      </w:r>
      <w:proofErr w:type="spellEnd"/>
      <w:r w:rsidRPr="009C78C8">
        <w:rPr>
          <w:rFonts w:asciiTheme="majorHAnsi" w:hAnsiTheme="majorHAnsi" w:cstheme="minorHAnsi"/>
        </w:rPr>
        <w:t>, and that application of caffeine could be a potential solution for efficient disease control. As fungicide resistance and its residual toxicity are growing concerns in the tea industry, caffeine could serve as a probable alternative to synthetic fungicides for controlling foliar disease in tea plantations.</w:t>
      </w:r>
    </w:p>
    <w:p w14:paraId="4D8D3A3D" w14:textId="77777777" w:rsidR="009C78C8" w:rsidRPr="009C78C8" w:rsidRDefault="009C78C8" w:rsidP="009C78C8">
      <w:pPr>
        <w:autoSpaceDE w:val="0"/>
        <w:autoSpaceDN w:val="0"/>
        <w:adjustRightInd w:val="0"/>
        <w:rPr>
          <w:rFonts w:asciiTheme="majorHAnsi" w:hAnsiTheme="majorHAnsi" w:cs="AdvPSA88A"/>
        </w:rPr>
      </w:pPr>
    </w:p>
    <w:p w14:paraId="29E4A2D5" w14:textId="77777777" w:rsidR="00344C11" w:rsidRDefault="00344C11">
      <w:pPr>
        <w:rPr>
          <w:rFonts w:asciiTheme="majorHAnsi" w:hAnsiTheme="majorHAnsi" w:cstheme="minorHAnsi"/>
          <w:b/>
          <w:sz w:val="28"/>
          <w:szCs w:val="28"/>
        </w:rPr>
      </w:pPr>
      <w:r>
        <w:rPr>
          <w:rFonts w:asciiTheme="majorHAnsi" w:hAnsiTheme="majorHAnsi" w:cstheme="minorHAnsi"/>
          <w:b/>
          <w:sz w:val="28"/>
          <w:szCs w:val="28"/>
        </w:rPr>
        <w:br w:type="page"/>
      </w:r>
    </w:p>
    <w:p w14:paraId="26F09974" w14:textId="436C3972" w:rsidR="009C78C8" w:rsidRPr="00344C11" w:rsidRDefault="009C78C8" w:rsidP="009C78C8">
      <w:pPr>
        <w:widowControl w:val="0"/>
        <w:overflowPunct w:val="0"/>
        <w:autoSpaceDE w:val="0"/>
        <w:autoSpaceDN w:val="0"/>
        <w:adjustRightInd w:val="0"/>
        <w:ind w:right="120"/>
        <w:rPr>
          <w:rFonts w:asciiTheme="majorHAnsi" w:hAnsiTheme="majorHAnsi" w:cstheme="minorHAnsi"/>
          <w:b/>
          <w:sz w:val="28"/>
          <w:szCs w:val="28"/>
        </w:rPr>
      </w:pPr>
      <w:bookmarkStart w:id="0" w:name="_GoBack"/>
      <w:bookmarkEnd w:id="0"/>
      <w:r w:rsidRPr="00344C11">
        <w:rPr>
          <w:rFonts w:asciiTheme="majorHAnsi" w:hAnsiTheme="majorHAnsi" w:cstheme="minorHAnsi"/>
          <w:b/>
          <w:sz w:val="28"/>
          <w:szCs w:val="28"/>
        </w:rPr>
        <w:t xml:space="preserve">References: </w:t>
      </w:r>
    </w:p>
    <w:p w14:paraId="773BC0DE" w14:textId="77777777" w:rsidR="009C78C8" w:rsidRPr="009C78C8" w:rsidRDefault="009C78C8" w:rsidP="009C78C8">
      <w:pPr>
        <w:widowControl w:val="0"/>
        <w:overflowPunct w:val="0"/>
        <w:autoSpaceDE w:val="0"/>
        <w:autoSpaceDN w:val="0"/>
        <w:adjustRightInd w:val="0"/>
        <w:ind w:right="120"/>
        <w:rPr>
          <w:rFonts w:asciiTheme="majorHAnsi" w:hAnsiTheme="majorHAnsi" w:cstheme="minorHAnsi"/>
        </w:rPr>
      </w:pPr>
    </w:p>
    <w:p w14:paraId="4A62FAA9" w14:textId="77777777" w:rsidR="009C78C8" w:rsidRPr="009C78C8" w:rsidRDefault="009C78C8" w:rsidP="009C78C8">
      <w:pPr>
        <w:widowControl w:val="0"/>
        <w:overflowPunct w:val="0"/>
        <w:autoSpaceDE w:val="0"/>
        <w:autoSpaceDN w:val="0"/>
        <w:adjustRightInd w:val="0"/>
        <w:ind w:right="120"/>
        <w:rPr>
          <w:rFonts w:asciiTheme="majorHAnsi" w:hAnsiTheme="majorHAnsi" w:cstheme="minorHAnsi"/>
        </w:rPr>
      </w:pPr>
      <w:r w:rsidRPr="009C78C8">
        <w:rPr>
          <w:rFonts w:asciiTheme="majorHAnsi" w:hAnsiTheme="majorHAnsi" w:cstheme="minorHAnsi"/>
        </w:rPr>
        <w:t xml:space="preserve">Rebecca Boehm, Sean B. Cash, Bruce T. Anderson, Selena Ahmed, Timothy S. Griffin, Albert </w:t>
      </w:r>
      <w:proofErr w:type="spellStart"/>
      <w:r w:rsidRPr="009C78C8">
        <w:rPr>
          <w:rFonts w:asciiTheme="majorHAnsi" w:hAnsiTheme="majorHAnsi" w:cstheme="minorHAnsi"/>
        </w:rPr>
        <w:t>Robbat</w:t>
      </w:r>
      <w:proofErr w:type="spellEnd"/>
      <w:r w:rsidRPr="009C78C8">
        <w:rPr>
          <w:rFonts w:asciiTheme="majorHAnsi" w:hAnsiTheme="majorHAnsi" w:cstheme="minorHAnsi"/>
        </w:rPr>
        <w:t xml:space="preserve"> Jr., John Richard </w:t>
      </w:r>
      <w:proofErr w:type="spellStart"/>
      <w:r w:rsidRPr="009C78C8">
        <w:rPr>
          <w:rFonts w:asciiTheme="majorHAnsi" w:hAnsiTheme="majorHAnsi" w:cstheme="minorHAnsi"/>
        </w:rPr>
        <w:t>Stepp</w:t>
      </w:r>
      <w:proofErr w:type="spellEnd"/>
      <w:r w:rsidRPr="009C78C8">
        <w:rPr>
          <w:rFonts w:asciiTheme="majorHAnsi" w:hAnsiTheme="majorHAnsi" w:cstheme="minorHAnsi"/>
        </w:rPr>
        <w:t xml:space="preserve">, Wenyan Han, Matt Hazel and Colin M. </w:t>
      </w:r>
      <w:proofErr w:type="spellStart"/>
      <w:r w:rsidRPr="009C78C8">
        <w:rPr>
          <w:rFonts w:asciiTheme="majorHAnsi" w:hAnsiTheme="majorHAnsi" w:cstheme="minorHAnsi"/>
        </w:rPr>
        <w:t>Orians</w:t>
      </w:r>
      <w:proofErr w:type="spellEnd"/>
      <w:r w:rsidRPr="009C78C8">
        <w:rPr>
          <w:rFonts w:asciiTheme="majorHAnsi" w:hAnsiTheme="majorHAnsi" w:cstheme="minorHAnsi"/>
        </w:rPr>
        <w:t>. Association between Empirically Estimated Monsoon Dynamics and Other Weather Factors and Historical Tea Yields in China: Results from a Yield Response Model. (2016). Climate 4, 20; doi</w:t>
      </w:r>
      <w:proofErr w:type="gramStart"/>
      <w:r w:rsidRPr="009C78C8">
        <w:rPr>
          <w:rFonts w:asciiTheme="majorHAnsi" w:hAnsiTheme="majorHAnsi" w:cstheme="minorHAnsi"/>
        </w:rPr>
        <w:t>:10.3390</w:t>
      </w:r>
      <w:proofErr w:type="gramEnd"/>
      <w:r w:rsidRPr="009C78C8">
        <w:rPr>
          <w:rFonts w:asciiTheme="majorHAnsi" w:hAnsiTheme="majorHAnsi" w:cstheme="minorHAnsi"/>
        </w:rPr>
        <w:t xml:space="preserve"> /cli4020020 </w:t>
      </w:r>
      <w:hyperlink w:history="1">
        <w:r w:rsidRPr="009C78C8">
          <w:rPr>
            <w:rStyle w:val="Hyperlink"/>
            <w:rFonts w:asciiTheme="majorHAnsi" w:hAnsiTheme="majorHAnsi" w:cstheme="minorHAnsi"/>
          </w:rPr>
          <w:t xml:space="preserve"> www.mdpi.com/journal/climat</w:t>
        </w:r>
      </w:hyperlink>
      <w:r w:rsidRPr="009C78C8">
        <w:rPr>
          <w:rFonts w:asciiTheme="majorHAnsi" w:hAnsiTheme="majorHAnsi" w:cstheme="minorHAnsi"/>
        </w:rPr>
        <w:t>e].</w:t>
      </w:r>
    </w:p>
    <w:p w14:paraId="52370288" w14:textId="77777777" w:rsidR="009C78C8" w:rsidRPr="009C78C8" w:rsidRDefault="009C78C8" w:rsidP="009C78C8">
      <w:pPr>
        <w:widowControl w:val="0"/>
        <w:overflowPunct w:val="0"/>
        <w:autoSpaceDE w:val="0"/>
        <w:autoSpaceDN w:val="0"/>
        <w:adjustRightInd w:val="0"/>
        <w:ind w:right="120"/>
        <w:rPr>
          <w:rFonts w:asciiTheme="majorHAnsi" w:hAnsiTheme="majorHAnsi" w:cs="Arial"/>
        </w:rPr>
      </w:pPr>
    </w:p>
    <w:p w14:paraId="2368ECC8" w14:textId="77777777" w:rsidR="009C78C8" w:rsidRPr="009C78C8" w:rsidRDefault="009C78C8" w:rsidP="009C78C8">
      <w:pPr>
        <w:widowControl w:val="0"/>
        <w:overflowPunct w:val="0"/>
        <w:autoSpaceDE w:val="0"/>
        <w:autoSpaceDN w:val="0"/>
        <w:adjustRightInd w:val="0"/>
        <w:ind w:right="120"/>
        <w:rPr>
          <w:rFonts w:asciiTheme="majorHAnsi" w:hAnsiTheme="majorHAnsi" w:cstheme="minorHAnsi"/>
        </w:rPr>
      </w:pPr>
      <w:proofErr w:type="spellStart"/>
      <w:r w:rsidRPr="009C78C8">
        <w:rPr>
          <w:rFonts w:asciiTheme="majorHAnsi" w:hAnsiTheme="majorHAnsi" w:cstheme="minorHAnsi"/>
        </w:rPr>
        <w:t>Auffhammer</w:t>
      </w:r>
      <w:proofErr w:type="spellEnd"/>
      <w:r w:rsidRPr="009C78C8">
        <w:rPr>
          <w:rFonts w:asciiTheme="majorHAnsi" w:hAnsiTheme="majorHAnsi" w:cstheme="minorHAnsi"/>
        </w:rPr>
        <w:t xml:space="preserve">, M.; </w:t>
      </w:r>
      <w:proofErr w:type="spellStart"/>
      <w:r w:rsidRPr="009C78C8">
        <w:rPr>
          <w:rFonts w:asciiTheme="majorHAnsi" w:hAnsiTheme="majorHAnsi" w:cstheme="minorHAnsi"/>
        </w:rPr>
        <w:t>Ramanathan</w:t>
      </w:r>
      <w:proofErr w:type="spellEnd"/>
      <w:r w:rsidRPr="009C78C8">
        <w:rPr>
          <w:rFonts w:asciiTheme="majorHAnsi" w:hAnsiTheme="majorHAnsi" w:cstheme="minorHAnsi"/>
        </w:rPr>
        <w:t xml:space="preserve">, V.; Vincent, J.R. Integrated model shows that atmospheric </w:t>
      </w:r>
      <w:proofErr w:type="gramStart"/>
      <w:r w:rsidRPr="009C78C8">
        <w:rPr>
          <w:rFonts w:asciiTheme="majorHAnsi" w:hAnsiTheme="majorHAnsi" w:cstheme="minorHAnsi"/>
        </w:rPr>
        <w:t>brown</w:t>
      </w:r>
      <w:proofErr w:type="gramEnd"/>
      <w:r w:rsidRPr="009C78C8">
        <w:rPr>
          <w:rFonts w:asciiTheme="majorHAnsi" w:hAnsiTheme="majorHAnsi" w:cstheme="minorHAnsi"/>
        </w:rPr>
        <w:t xml:space="preserve"> clouds and greenhouse gases have reduced rice harvests in India. Proc. Natl. Acad. Sci. USA 2006, 103, 19668–19672.</w:t>
      </w:r>
    </w:p>
    <w:p w14:paraId="0B50722D" w14:textId="77777777" w:rsidR="009C78C8" w:rsidRPr="009C78C8" w:rsidRDefault="009C78C8" w:rsidP="009C78C8">
      <w:pPr>
        <w:widowControl w:val="0"/>
        <w:overflowPunct w:val="0"/>
        <w:autoSpaceDE w:val="0"/>
        <w:autoSpaceDN w:val="0"/>
        <w:adjustRightInd w:val="0"/>
        <w:ind w:right="120"/>
        <w:rPr>
          <w:rFonts w:asciiTheme="majorHAnsi" w:hAnsiTheme="majorHAnsi" w:cstheme="minorHAnsi"/>
        </w:rPr>
      </w:pPr>
    </w:p>
    <w:p w14:paraId="2838E0B2" w14:textId="77777777" w:rsidR="009C78C8" w:rsidRPr="009C78C8" w:rsidRDefault="009C78C8" w:rsidP="009C78C8">
      <w:pPr>
        <w:widowControl w:val="0"/>
        <w:overflowPunct w:val="0"/>
        <w:autoSpaceDE w:val="0"/>
        <w:autoSpaceDN w:val="0"/>
        <w:adjustRightInd w:val="0"/>
        <w:ind w:right="120"/>
        <w:rPr>
          <w:rFonts w:asciiTheme="majorHAnsi" w:hAnsiTheme="majorHAnsi" w:cstheme="minorHAnsi"/>
        </w:rPr>
      </w:pPr>
      <w:proofErr w:type="spellStart"/>
      <w:r w:rsidRPr="009C78C8">
        <w:rPr>
          <w:rFonts w:asciiTheme="majorHAnsi" w:hAnsiTheme="majorHAnsi" w:cstheme="minorHAnsi"/>
        </w:rPr>
        <w:t>Auffhammer</w:t>
      </w:r>
      <w:proofErr w:type="spellEnd"/>
      <w:r w:rsidRPr="009C78C8">
        <w:rPr>
          <w:rFonts w:asciiTheme="majorHAnsi" w:hAnsiTheme="majorHAnsi" w:cstheme="minorHAnsi"/>
        </w:rPr>
        <w:t xml:space="preserve">, M.; Hsiang, S.M.; </w:t>
      </w:r>
      <w:proofErr w:type="spellStart"/>
      <w:r w:rsidRPr="009C78C8">
        <w:rPr>
          <w:rFonts w:asciiTheme="majorHAnsi" w:hAnsiTheme="majorHAnsi" w:cstheme="minorHAnsi"/>
        </w:rPr>
        <w:t>Schlenker</w:t>
      </w:r>
      <w:proofErr w:type="spellEnd"/>
      <w:r w:rsidRPr="009C78C8">
        <w:rPr>
          <w:rFonts w:asciiTheme="majorHAnsi" w:hAnsiTheme="majorHAnsi" w:cstheme="minorHAnsi"/>
        </w:rPr>
        <w:t>, W.; Sobel, A. Using Weather Data and Climate Model Output in Economic Analyses of Climate Change. Rev. Environ. Econ. Policy 2013, 7, 181–198.</w:t>
      </w:r>
    </w:p>
    <w:p w14:paraId="2910D6EB" w14:textId="77777777" w:rsidR="009C78C8" w:rsidRPr="009C78C8" w:rsidRDefault="009C78C8" w:rsidP="009C78C8">
      <w:pPr>
        <w:widowControl w:val="0"/>
        <w:overflowPunct w:val="0"/>
        <w:autoSpaceDE w:val="0"/>
        <w:autoSpaceDN w:val="0"/>
        <w:adjustRightInd w:val="0"/>
        <w:ind w:right="120"/>
        <w:rPr>
          <w:rFonts w:asciiTheme="majorHAnsi" w:hAnsiTheme="majorHAnsi" w:cstheme="minorHAnsi"/>
        </w:rPr>
      </w:pPr>
    </w:p>
    <w:p w14:paraId="25590080" w14:textId="0611CF70" w:rsidR="009C78C8" w:rsidRPr="009C78C8" w:rsidRDefault="009C78C8" w:rsidP="009C78C8">
      <w:pPr>
        <w:pStyle w:val="ListParagraph"/>
        <w:spacing w:line="240" w:lineRule="auto"/>
        <w:ind w:left="0"/>
        <w:rPr>
          <w:rFonts w:asciiTheme="majorHAnsi" w:eastAsia="+mn-ea" w:hAnsiTheme="majorHAnsi"/>
          <w:b/>
          <w:sz w:val="24"/>
          <w:szCs w:val="24"/>
        </w:rPr>
      </w:pPr>
      <w:r w:rsidRPr="009C78C8">
        <w:rPr>
          <w:rFonts w:asciiTheme="majorHAnsi" w:hAnsiTheme="majorHAnsi" w:cstheme="minorHAnsi"/>
          <w:sz w:val="24"/>
          <w:szCs w:val="24"/>
        </w:rPr>
        <w:t>Li Xin, Ahammed Golam Jalal, Li Zhixin, Tang Meijun, Yan Peng, and Han Wenyan (2016). Decreased Biosynthesis of Jasmonic Acid via Lipoxygenase Pathway Compromised Caffeine-Induced Resistance to Colletotrichumgloeosporioides Under Elevated CO2 in Tea Seedlings. Biochemistry &amp; Cell Biology,106:1-7.</w:t>
      </w:r>
    </w:p>
    <w:p w14:paraId="7ED3C698" w14:textId="77777777" w:rsidR="000323D1" w:rsidRPr="009C78C8" w:rsidRDefault="000323D1" w:rsidP="009C78C8">
      <w:pPr>
        <w:rPr>
          <w:rFonts w:asciiTheme="majorHAnsi" w:hAnsiTheme="majorHAnsi"/>
        </w:rPr>
      </w:pPr>
    </w:p>
    <w:sectPr w:rsidR="000323D1" w:rsidRPr="009C78C8" w:rsidSect="00014B1B">
      <w:pgSz w:w="12240" w:h="15840"/>
      <w:pgMar w:top="1418" w:right="1418" w:bottom="1418" w:left="1418"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50F7D" w14:textId="77777777" w:rsidR="00EA28C4" w:rsidRDefault="00EA28C4">
      <w:r>
        <w:separator/>
      </w:r>
    </w:p>
  </w:endnote>
  <w:endnote w:type="continuationSeparator" w:id="0">
    <w:p w14:paraId="45966AE6" w14:textId="77777777" w:rsidR="00EA28C4" w:rsidRDefault="00EA2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badi MT Condensed Extra Bold">
    <w:altName w:val="Impact"/>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mn-ea">
    <w:panose1 w:val="00000000000000000000"/>
    <w:charset w:val="00"/>
    <w:family w:val="roman"/>
    <w:notTrueType/>
    <w:pitch w:val="default"/>
  </w:font>
  <w:font w:name="URWPalladioL-Roma">
    <w:altName w:val="Cambria"/>
    <w:panose1 w:val="00000000000000000000"/>
    <w:charset w:val="00"/>
    <w:family w:val="swiss"/>
    <w:notTrueType/>
    <w:pitch w:val="default"/>
    <w:sig w:usb0="00000003" w:usb1="00000000" w:usb2="00000000" w:usb3="00000000" w:csb0="00000001" w:csb1="00000000"/>
  </w:font>
  <w:font w:name="AdvPSA88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C83E9" w14:textId="77777777" w:rsidR="00EA28C4" w:rsidRPr="00D40B92" w:rsidRDefault="00EA28C4" w:rsidP="00D40B92">
    <w:pPr>
      <w:pStyle w:val="Footer"/>
      <w:framePr w:wrap="around" w:vAnchor="text" w:hAnchor="margin" w:xAlign="center" w:y="1"/>
      <w:pBdr>
        <w:top w:val="none" w:sz="0" w:space="0" w:color="auto"/>
      </w:pBdr>
      <w:rPr>
        <w:rStyle w:val="PageNumber"/>
        <w:rFonts w:ascii="Times New Roman" w:hAnsi="Times New Roman"/>
        <w:b w:val="0"/>
      </w:rPr>
    </w:pPr>
    <w:r w:rsidRPr="00D40B92">
      <w:rPr>
        <w:rStyle w:val="PageNumber"/>
        <w:rFonts w:ascii="Times New Roman" w:hAnsi="Times New Roman"/>
        <w:b w:val="0"/>
      </w:rPr>
      <w:fldChar w:fldCharType="begin"/>
    </w:r>
    <w:r w:rsidRPr="00D40B92">
      <w:rPr>
        <w:rStyle w:val="PageNumber"/>
        <w:rFonts w:ascii="Times New Roman" w:hAnsi="Times New Roman"/>
        <w:b w:val="0"/>
      </w:rPr>
      <w:instrText xml:space="preserve">PAGE  </w:instrText>
    </w:r>
    <w:r w:rsidRPr="00D40B92">
      <w:rPr>
        <w:rStyle w:val="PageNumber"/>
        <w:rFonts w:ascii="Times New Roman" w:hAnsi="Times New Roman"/>
        <w:b w:val="0"/>
      </w:rPr>
      <w:fldChar w:fldCharType="separate"/>
    </w:r>
    <w:r w:rsidR="00344C11">
      <w:rPr>
        <w:rStyle w:val="PageNumber"/>
        <w:rFonts w:ascii="Times New Roman" w:hAnsi="Times New Roman"/>
        <w:b w:val="0"/>
        <w:noProof/>
      </w:rPr>
      <w:t>24</w:t>
    </w:r>
    <w:r w:rsidRPr="00D40B92">
      <w:rPr>
        <w:rStyle w:val="PageNumber"/>
        <w:rFonts w:ascii="Times New Roman" w:hAnsi="Times New Roman"/>
        <w:b w:val="0"/>
      </w:rPr>
      <w:fldChar w:fldCharType="end"/>
    </w:r>
  </w:p>
  <w:p w14:paraId="267D320D" w14:textId="77777777" w:rsidR="00EA28C4" w:rsidRDefault="00EA28C4" w:rsidP="00D40B92">
    <w:pPr>
      <w:pStyle w:val="Footer"/>
      <w:pBdr>
        <w:top w:val="none" w:sz="0" w:space="0" w:color="auto"/>
      </w:pBd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187605"/>
      <w:docPartObj>
        <w:docPartGallery w:val="Page Numbers (Bottom of Page)"/>
        <w:docPartUnique/>
      </w:docPartObj>
    </w:sdtPr>
    <w:sdtEndPr>
      <w:rPr>
        <w:noProof/>
      </w:rPr>
    </w:sdtEndPr>
    <w:sdtContent>
      <w:p w14:paraId="413AB7B7" w14:textId="0D41CDBB" w:rsidR="00D40B92" w:rsidRDefault="00D40B92" w:rsidP="00D40B92">
        <w:pPr>
          <w:pStyle w:val="Footer"/>
          <w:pBdr>
            <w:top w:val="none" w:sz="0" w:space="0" w:color="auto"/>
          </w:pBdr>
        </w:pPr>
        <w:r w:rsidRPr="000772E9">
          <w:rPr>
            <w:rFonts w:ascii="Times New Roman" w:hAnsi="Times New Roman"/>
          </w:rPr>
          <w:fldChar w:fldCharType="begin"/>
        </w:r>
        <w:r w:rsidRPr="000772E9">
          <w:rPr>
            <w:rFonts w:ascii="Times New Roman" w:hAnsi="Times New Roman"/>
          </w:rPr>
          <w:instrText xml:space="preserve"> PAGE   \* MERGEFORMAT </w:instrText>
        </w:r>
        <w:r w:rsidRPr="000772E9">
          <w:rPr>
            <w:rFonts w:ascii="Times New Roman" w:hAnsi="Times New Roman"/>
          </w:rPr>
          <w:fldChar w:fldCharType="separate"/>
        </w:r>
        <w:r w:rsidR="00344C11">
          <w:rPr>
            <w:rFonts w:ascii="Times New Roman" w:hAnsi="Times New Roman"/>
            <w:noProof/>
          </w:rPr>
          <w:t>25</w:t>
        </w:r>
        <w:r w:rsidRPr="000772E9">
          <w:rPr>
            <w:rFonts w:ascii="Times New Roman" w:hAnsi="Times New Roman"/>
            <w:noProof/>
          </w:rPr>
          <w:fldChar w:fldCharType="end"/>
        </w:r>
      </w:p>
    </w:sdtContent>
  </w:sdt>
  <w:p w14:paraId="3C6AF5EC" w14:textId="77777777" w:rsidR="00D40B92" w:rsidRDefault="00D40B92" w:rsidP="00D40B92">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9A7E0" w14:textId="77777777" w:rsidR="00EA28C4" w:rsidRPr="00363922" w:rsidRDefault="00EA28C4" w:rsidP="00363922">
    <w:pPr>
      <w:pStyle w:val="Footer"/>
      <w:pBdr>
        <w:top w:val="none" w:sz="0" w:space="0" w:color="auto"/>
      </w:pBdr>
      <w:jc w:val="both"/>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E5032" w14:textId="77777777" w:rsidR="00EA28C4" w:rsidRDefault="00EA28C4">
      <w:r>
        <w:separator/>
      </w:r>
    </w:p>
  </w:footnote>
  <w:footnote w:type="continuationSeparator" w:id="0">
    <w:p w14:paraId="25739495" w14:textId="77777777" w:rsidR="00EA28C4" w:rsidRDefault="00EA28C4">
      <w:r>
        <w:continuationSeparator/>
      </w:r>
    </w:p>
  </w:footnote>
  <w:footnote w:id="1">
    <w:p w14:paraId="39327052" w14:textId="257F5328" w:rsidR="00EA28C4" w:rsidRPr="009F083A" w:rsidRDefault="00EA28C4">
      <w:pPr>
        <w:pStyle w:val="FootnoteText"/>
        <w:rPr>
          <w:rFonts w:asciiTheme="majorHAnsi" w:hAnsiTheme="majorHAnsi"/>
        </w:rPr>
      </w:pPr>
      <w:r w:rsidRPr="009F083A">
        <w:rPr>
          <w:rStyle w:val="FootnoteReference"/>
          <w:rFonts w:asciiTheme="majorHAnsi" w:hAnsiTheme="majorHAnsi"/>
        </w:rPr>
        <w:footnoteRef/>
      </w:r>
      <w:r w:rsidRPr="009F083A">
        <w:rPr>
          <w:rFonts w:asciiTheme="majorHAnsi" w:hAnsiTheme="majorHAnsi"/>
        </w:rPr>
        <w:t xml:space="preserve"> Submitted by</w:t>
      </w:r>
      <w:r w:rsidR="00D871E3">
        <w:rPr>
          <w:rFonts w:asciiTheme="majorHAnsi" w:hAnsiTheme="majorHAnsi"/>
        </w:rPr>
        <w:t xml:space="preserve"> India; contributions from China, India, Kenya and Sri Lanka</w:t>
      </w:r>
      <w:r w:rsidRPr="009F083A">
        <w:rPr>
          <w:rFonts w:asciiTheme="majorHAnsi" w:hAnsiTheme="maj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1B13" w14:textId="082F8A98" w:rsidR="00D40B92" w:rsidRPr="001F711F" w:rsidRDefault="00D40B92" w:rsidP="00D40B92">
    <w:pPr>
      <w:pStyle w:val="Header"/>
      <w:pBdr>
        <w:bottom w:val="single" w:sz="18" w:space="1" w:color="17365D" w:themeColor="text2" w:themeShade="BF"/>
      </w:pBdr>
      <w:shd w:val="clear" w:color="auto" w:fill="auto"/>
      <w:rPr>
        <w:rFonts w:asciiTheme="majorHAnsi" w:hAnsiTheme="majorHAnsi"/>
        <w:b/>
        <w:i/>
        <w:color w:val="auto"/>
        <w:sz w:val="28"/>
        <w:szCs w:val="28"/>
      </w:rPr>
    </w:pPr>
    <w:r w:rsidRPr="001F711F">
      <w:rPr>
        <w:rFonts w:asciiTheme="majorHAnsi" w:hAnsiTheme="majorHAnsi"/>
        <w:b/>
        <w:color w:val="auto"/>
        <w:sz w:val="28"/>
        <w:szCs w:val="28"/>
        <w:lang w:val="en-IE"/>
      </w:rPr>
      <w:t xml:space="preserve">IGG/Tea: </w:t>
    </w:r>
    <w:r>
      <w:rPr>
        <w:rFonts w:asciiTheme="majorHAnsi" w:hAnsiTheme="majorHAnsi"/>
        <w:b/>
        <w:color w:val="auto"/>
        <w:sz w:val="28"/>
        <w:szCs w:val="28"/>
        <w:lang w:val="en-IE"/>
      </w:rPr>
      <w:t>ISM 17</w:t>
    </w:r>
    <w:r w:rsidRPr="001F711F">
      <w:rPr>
        <w:rFonts w:asciiTheme="majorHAnsi" w:hAnsiTheme="majorHAnsi"/>
        <w:b/>
        <w:color w:val="auto"/>
        <w:sz w:val="28"/>
        <w:szCs w:val="28"/>
        <w:lang w:val="en-IE"/>
      </w:rPr>
      <w:t>/</w:t>
    </w:r>
    <w:r w:rsidR="000323D1">
      <w:rPr>
        <w:rFonts w:asciiTheme="majorHAnsi" w:hAnsiTheme="majorHAnsi"/>
        <w:b/>
        <w:color w:val="auto"/>
        <w:sz w:val="28"/>
        <w:szCs w:val="28"/>
        <w:lang w:val="en-IE"/>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38077" w14:textId="37E90400" w:rsidR="00EA28C4" w:rsidRPr="007E2308" w:rsidRDefault="00EA28C4" w:rsidP="001F711F">
    <w:pPr>
      <w:pStyle w:val="Header"/>
      <w:pBdr>
        <w:bottom w:val="single" w:sz="18" w:space="1" w:color="17365D" w:themeColor="text2" w:themeShade="BF"/>
      </w:pBdr>
      <w:shd w:val="clear" w:color="auto" w:fill="auto"/>
      <w:rPr>
        <w:rFonts w:asciiTheme="majorHAnsi" w:hAnsiTheme="majorHAnsi"/>
        <w:b/>
        <w:color w:val="auto"/>
        <w:sz w:val="28"/>
        <w:szCs w:val="28"/>
      </w:rPr>
    </w:pPr>
    <w:r w:rsidRPr="001F711F">
      <w:rPr>
        <w:rFonts w:asciiTheme="majorHAnsi" w:hAnsiTheme="majorHAnsi"/>
        <w:b/>
        <w:color w:val="auto"/>
        <w:sz w:val="28"/>
        <w:szCs w:val="28"/>
        <w:lang w:val="en-IE"/>
      </w:rPr>
      <w:t xml:space="preserve">IGG/Tea: </w:t>
    </w:r>
    <w:r>
      <w:rPr>
        <w:rFonts w:asciiTheme="majorHAnsi" w:hAnsiTheme="majorHAnsi"/>
        <w:b/>
        <w:color w:val="auto"/>
        <w:sz w:val="28"/>
        <w:szCs w:val="28"/>
        <w:lang w:val="en-IE"/>
      </w:rPr>
      <w:t>ISM 17</w:t>
    </w:r>
    <w:r w:rsidRPr="001F711F">
      <w:rPr>
        <w:rFonts w:asciiTheme="majorHAnsi" w:hAnsiTheme="majorHAnsi"/>
        <w:b/>
        <w:color w:val="auto"/>
        <w:sz w:val="28"/>
        <w:szCs w:val="28"/>
        <w:lang w:val="en-IE"/>
      </w:rPr>
      <w:t>/</w:t>
    </w:r>
    <w:r w:rsidR="000323D1">
      <w:rPr>
        <w:rFonts w:asciiTheme="majorHAnsi" w:hAnsiTheme="majorHAnsi"/>
        <w:b/>
        <w:color w:val="auto"/>
        <w:sz w:val="28"/>
        <w:szCs w:val="28"/>
        <w:lang w:val="en-IE"/>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52FB3" w14:textId="5913B48C" w:rsidR="00EA28C4" w:rsidRPr="00055BCF" w:rsidRDefault="00EA28C4" w:rsidP="001F711F">
    <w:pPr>
      <w:pStyle w:val="Header"/>
      <w:pBdr>
        <w:bottom w:val="single" w:sz="18" w:space="1" w:color="17365D" w:themeColor="text2" w:themeShade="BF"/>
      </w:pBdr>
      <w:shd w:val="clear" w:color="auto" w:fill="auto"/>
      <w:jc w:val="left"/>
      <w:rPr>
        <w:rFonts w:asciiTheme="majorHAnsi" w:hAnsiTheme="majorHAnsi"/>
        <w:b/>
        <w:i/>
        <w:color w:val="auto"/>
        <w:sz w:val="28"/>
        <w:szCs w:val="28"/>
      </w:rPr>
    </w:pPr>
    <w:r>
      <w:rPr>
        <w:noProof/>
      </w:rPr>
      <w:drawing>
        <wp:inline distT="0" distB="0" distL="0" distR="0" wp14:anchorId="16FE0A41" wp14:editId="2ADC272C">
          <wp:extent cx="2855595" cy="577850"/>
          <wp:effectExtent l="0" t="0" r="1905" b="0"/>
          <wp:docPr id="1" name="Picture 3" descr="FAO_logo_Blue_2lines_en_firmaemail"/>
          <wp:cNvGraphicFramePr/>
          <a:graphic xmlns:a="http://schemas.openxmlformats.org/drawingml/2006/main">
            <a:graphicData uri="http://schemas.openxmlformats.org/drawingml/2006/picture">
              <pic:pic xmlns:pic="http://schemas.openxmlformats.org/drawingml/2006/picture">
                <pic:nvPicPr>
                  <pic:cNvPr id="1" name="Picture 3" descr="FAO_logo_Blue_2lines_en_firmaemai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5595" cy="577850"/>
                  </a:xfrm>
                  <a:prstGeom prst="rect">
                    <a:avLst/>
                  </a:prstGeom>
                  <a:noFill/>
                  <a:ln>
                    <a:noFill/>
                  </a:ln>
                </pic:spPr>
              </pic:pic>
            </a:graphicData>
          </a:graphic>
        </wp:inline>
      </w:drawing>
    </w:r>
    <w:r w:rsidRPr="00055BCF">
      <w:rPr>
        <w:rFonts w:asciiTheme="majorHAnsi" w:hAnsiTheme="majorHAnsi"/>
        <w:color w:val="auto"/>
      </w:rPr>
      <w:tab/>
    </w:r>
    <w:r w:rsidRPr="00055BCF">
      <w:rPr>
        <w:rFonts w:asciiTheme="majorHAnsi" w:hAnsiTheme="majorHAnsi"/>
        <w:b/>
        <w:color w:val="auto"/>
        <w:sz w:val="28"/>
        <w:szCs w:val="28"/>
        <w:lang w:val="en-IE"/>
      </w:rPr>
      <w:t>IGG</w:t>
    </w:r>
    <w:proofErr w:type="gramStart"/>
    <w:r w:rsidRPr="00055BCF">
      <w:rPr>
        <w:rFonts w:asciiTheme="majorHAnsi" w:hAnsiTheme="majorHAnsi"/>
        <w:b/>
        <w:color w:val="auto"/>
        <w:sz w:val="28"/>
        <w:szCs w:val="28"/>
        <w:lang w:val="en-IE"/>
      </w:rPr>
      <w:t>:TE</w:t>
    </w:r>
    <w:proofErr w:type="gramEnd"/>
    <w:r w:rsidRPr="00055BCF">
      <w:rPr>
        <w:rFonts w:asciiTheme="majorHAnsi" w:hAnsiTheme="majorHAnsi"/>
        <w:b/>
        <w:color w:val="auto"/>
        <w:sz w:val="28"/>
        <w:szCs w:val="28"/>
        <w:lang w:val="en-IE"/>
      </w:rPr>
      <w:t xml:space="preserve"> ISM 17/</w:t>
    </w:r>
    <w:r w:rsidR="00D871E3">
      <w:rPr>
        <w:rFonts w:asciiTheme="majorHAnsi" w:hAnsiTheme="majorHAnsi"/>
        <w:b/>
        <w:color w:val="auto"/>
        <w:sz w:val="28"/>
        <w:szCs w:val="28"/>
        <w:lang w:val="en-IE"/>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75B649AE"/>
    <w:lvl w:ilvl="0">
      <w:start w:val="1"/>
      <w:numFmt w:val="decimal"/>
      <w:pStyle w:val="2"/>
      <w:lvlText w:val="%1."/>
      <w:legacy w:legacy="1" w:legacySpace="0" w:legacyIndent="708"/>
      <w:lvlJc w:val="left"/>
      <w:pPr>
        <w:ind w:left="864" w:hanging="708"/>
      </w:pPr>
    </w:lvl>
    <w:lvl w:ilvl="1">
      <w:start w:val="1"/>
      <w:numFmt w:val="decimal"/>
      <w:pStyle w:val="Heading2"/>
      <w:lvlText w:val="%1.%2."/>
      <w:legacy w:legacy="1" w:legacySpace="0" w:legacyIndent="708"/>
      <w:lvlJc w:val="left"/>
      <w:pPr>
        <w:ind w:left="864" w:hanging="708"/>
      </w:pPr>
    </w:lvl>
    <w:lvl w:ilvl="2">
      <w:start w:val="1"/>
      <w:numFmt w:val="decimal"/>
      <w:pStyle w:val="Heading3"/>
      <w:lvlText w:val="%1.%2.%3."/>
      <w:legacy w:legacy="1" w:legacySpace="0" w:legacyIndent="708"/>
      <w:lvlJc w:val="left"/>
      <w:pPr>
        <w:ind w:left="864" w:hanging="708"/>
      </w:pPr>
    </w:lvl>
    <w:lvl w:ilvl="3">
      <w:start w:val="1"/>
      <w:numFmt w:val="decimal"/>
      <w:pStyle w:val="Heading4"/>
      <w:lvlText w:val="%1.%2.%3.%4."/>
      <w:legacy w:legacy="1" w:legacySpace="0" w:legacyIndent="708"/>
      <w:lvlJc w:val="left"/>
      <w:pPr>
        <w:ind w:left="864" w:hanging="708"/>
      </w:pPr>
    </w:lvl>
    <w:lvl w:ilvl="4">
      <w:start w:val="1"/>
      <w:numFmt w:val="decimal"/>
      <w:pStyle w:val="Heading5"/>
      <w:lvlText w:val="%1.%2.%3.%4.%5."/>
      <w:legacy w:legacy="1" w:legacySpace="0" w:legacyIndent="708"/>
      <w:lvlJc w:val="left"/>
      <w:pPr>
        <w:ind w:left="1728" w:hanging="708"/>
      </w:pPr>
    </w:lvl>
    <w:lvl w:ilvl="5">
      <w:start w:val="1"/>
      <w:numFmt w:val="decimal"/>
      <w:pStyle w:val="Heading6"/>
      <w:lvlText w:val="%1.%2.%3.%4.%5.%6."/>
      <w:legacy w:legacy="1" w:legacySpace="0" w:legacyIndent="708"/>
      <w:lvlJc w:val="left"/>
      <w:pPr>
        <w:ind w:left="4248" w:hanging="708"/>
      </w:pPr>
    </w:lvl>
    <w:lvl w:ilvl="6">
      <w:start w:val="1"/>
      <w:numFmt w:val="decimal"/>
      <w:pStyle w:val="Heading7"/>
      <w:lvlText w:val="%1.%2.%3.%4.%5.%6.%7."/>
      <w:legacy w:legacy="1" w:legacySpace="0" w:legacyIndent="708"/>
      <w:lvlJc w:val="left"/>
      <w:pPr>
        <w:ind w:left="4956" w:hanging="708"/>
      </w:pPr>
    </w:lvl>
    <w:lvl w:ilvl="7">
      <w:start w:val="1"/>
      <w:numFmt w:val="decimal"/>
      <w:pStyle w:val="Heading8"/>
      <w:lvlText w:val="%1.%2.%3.%4.%5.%6.%7.%8."/>
      <w:legacy w:legacy="1" w:legacySpace="0" w:legacyIndent="708"/>
      <w:lvlJc w:val="left"/>
      <w:pPr>
        <w:ind w:left="5664" w:hanging="708"/>
      </w:pPr>
    </w:lvl>
    <w:lvl w:ilvl="8">
      <w:start w:val="1"/>
      <w:numFmt w:val="decimal"/>
      <w:pStyle w:val="Heading9"/>
      <w:lvlText w:val="%1.%2.%3.%4.%5.%6.%7.%8.%9."/>
      <w:legacy w:legacy="1" w:legacySpace="0" w:legacyIndent="708"/>
      <w:lvlJc w:val="left"/>
      <w:pPr>
        <w:ind w:left="6372" w:hanging="708"/>
      </w:pPr>
    </w:lvl>
  </w:abstractNum>
  <w:abstractNum w:abstractNumId="1" w15:restartNumberingAfterBreak="0">
    <w:nsid w:val="00000BB3"/>
    <w:multiLevelType w:val="hybridMultilevel"/>
    <w:tmpl w:val="00002EA6"/>
    <w:lvl w:ilvl="0" w:tplc="000012D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1649"/>
    <w:multiLevelType w:val="hybridMultilevel"/>
    <w:tmpl w:val="00006DF1"/>
    <w:lvl w:ilvl="0" w:tplc="00005AF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41BB"/>
    <w:multiLevelType w:val="hybridMultilevel"/>
    <w:tmpl w:val="000026E9"/>
    <w:lvl w:ilvl="0" w:tplc="000001E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A1F69AC"/>
    <w:multiLevelType w:val="hybridMultilevel"/>
    <w:tmpl w:val="22C8B726"/>
    <w:lvl w:ilvl="0" w:tplc="BF5843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51FD"/>
    <w:multiLevelType w:val="hybridMultilevel"/>
    <w:tmpl w:val="AD52B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9A1E6D"/>
    <w:multiLevelType w:val="hybridMultilevel"/>
    <w:tmpl w:val="0F826206"/>
    <w:lvl w:ilvl="0" w:tplc="65A865BA">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7" w15:restartNumberingAfterBreak="0">
    <w:nsid w:val="27A94896"/>
    <w:multiLevelType w:val="hybridMultilevel"/>
    <w:tmpl w:val="C4E40C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9EC4B18"/>
    <w:multiLevelType w:val="hybridMultilevel"/>
    <w:tmpl w:val="7AD0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C16C4E"/>
    <w:multiLevelType w:val="hybridMultilevel"/>
    <w:tmpl w:val="9258BFC8"/>
    <w:lvl w:ilvl="0" w:tplc="90BE5F78">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45D23"/>
    <w:multiLevelType w:val="hybridMultilevel"/>
    <w:tmpl w:val="1A547FB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7D6269"/>
    <w:multiLevelType w:val="hybridMultilevel"/>
    <w:tmpl w:val="1E065400"/>
    <w:lvl w:ilvl="0" w:tplc="00005AF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5F4E7168"/>
    <w:multiLevelType w:val="multilevel"/>
    <w:tmpl w:val="68867E3A"/>
    <w:lvl w:ilvl="0">
      <w:start w:val="1"/>
      <w:numFmt w:val="decimal"/>
      <w:pStyle w:val="BoxNewPara"/>
      <w:lvlText w:val="%1."/>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5FFA4880"/>
    <w:multiLevelType w:val="multilevel"/>
    <w:tmpl w:val="86C0E288"/>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4" w15:restartNumberingAfterBreak="0">
    <w:nsid w:val="686667D8"/>
    <w:multiLevelType w:val="hybridMultilevel"/>
    <w:tmpl w:val="C90ED418"/>
    <w:lvl w:ilvl="0" w:tplc="5EAC59EE">
      <w:start w:val="1"/>
      <w:numFmt w:val="decimal"/>
      <w:lvlText w:val="%1."/>
      <w:lvlJc w:val="left"/>
      <w:pPr>
        <w:ind w:left="720" w:hanging="360"/>
      </w:pPr>
      <w:rPr>
        <w:rFonts w:asciiTheme="majorHAnsi" w:eastAsiaTheme="minorEastAsia" w:hAnsiTheme="majorHAnsi" w:cs="Arial"/>
        <w:color w:val="000000"/>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9B14845"/>
    <w:multiLevelType w:val="hybridMultilevel"/>
    <w:tmpl w:val="A63AA2F2"/>
    <w:lvl w:ilvl="0" w:tplc="7E5063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4E5554"/>
    <w:multiLevelType w:val="hybridMultilevel"/>
    <w:tmpl w:val="869C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3"/>
  </w:num>
  <w:num w:numId="10">
    <w:abstractNumId w:val="12"/>
  </w:num>
  <w:num w:numId="11">
    <w:abstractNumId w:val="9"/>
  </w:num>
  <w:num w:numId="12">
    <w:abstractNumId w:val="2"/>
  </w:num>
  <w:num w:numId="13">
    <w:abstractNumId w:val="3"/>
  </w:num>
  <w:num w:numId="14">
    <w:abstractNumId w:val="1"/>
  </w:num>
  <w:num w:numId="15">
    <w:abstractNumId w:val="14"/>
  </w:num>
  <w:num w:numId="16">
    <w:abstractNumId w:val="16"/>
  </w:num>
  <w:num w:numId="17">
    <w:abstractNumId w:val="4"/>
  </w:num>
  <w:num w:numId="18">
    <w:abstractNumId w:val="6"/>
  </w:num>
  <w:num w:numId="19">
    <w:abstractNumId w:val="10"/>
  </w:num>
  <w:num w:numId="20">
    <w:abstractNumId w:val="7"/>
  </w:num>
  <w:num w:numId="21">
    <w:abstractNumId w:val="15"/>
  </w:num>
  <w:num w:numId="22">
    <w:abstractNumId w:val="5"/>
  </w:num>
  <w:num w:numId="23">
    <w:abstractNumId w:val="8"/>
  </w:num>
  <w:num w:numId="2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IE" w:vendorID="64" w:dllVersion="131077" w:nlCheck="1" w:checkStyle="1"/>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IE" w:vendorID="64" w:dllVersion="131078" w:nlCheck="1" w:checkStyle="1"/>
  <w:activeWritingStyle w:appName="MSWord" w:lang="en-GB" w:vendorID="64" w:dllVersion="131078" w:nlCheck="1" w:checkStyle="1"/>
  <w:activeWritingStyle w:appName="MSWord" w:lang="en-IN" w:vendorID="64" w:dllVersion="131078" w:nlCheck="1" w:checkStyle="1"/>
  <w:activeWritingStyle w:appName="MSWord" w:lang="en-US" w:vendorID="8" w:dllVersion="513" w:checkStyle="1"/>
  <w:activeWritingStyle w:appName="MSWord" w:lang="en-GB" w:vendorID="8" w:dllVersion="513" w:checkStyle="1"/>
  <w:activeWritingStyle w:appName="MSWord" w:lang="en-IE" w:vendorID="8" w:dllVersion="513" w:checkStyle="1"/>
  <w:activeWritingStyle w:appName="MSWord" w:lang="fr-FR" w:vendorID="9" w:dllVersion="512"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evenAndOddHeaders/>
  <w:drawingGridHorizontalSpacing w:val="120"/>
  <w:displayHorizontalDrawingGridEvery w:val="0"/>
  <w:displayVerticalDrawingGridEvery w:val="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0FC"/>
    <w:rsid w:val="00001A01"/>
    <w:rsid w:val="000039AD"/>
    <w:rsid w:val="00011165"/>
    <w:rsid w:val="00014B1B"/>
    <w:rsid w:val="00017ABF"/>
    <w:rsid w:val="000304A3"/>
    <w:rsid w:val="000323D1"/>
    <w:rsid w:val="00033804"/>
    <w:rsid w:val="000362F2"/>
    <w:rsid w:val="00044008"/>
    <w:rsid w:val="00050539"/>
    <w:rsid w:val="00055897"/>
    <w:rsid w:val="00055BCF"/>
    <w:rsid w:val="0005772E"/>
    <w:rsid w:val="00064C25"/>
    <w:rsid w:val="00075D20"/>
    <w:rsid w:val="00076A59"/>
    <w:rsid w:val="000772E9"/>
    <w:rsid w:val="0008051F"/>
    <w:rsid w:val="00086257"/>
    <w:rsid w:val="000903FA"/>
    <w:rsid w:val="00093DEC"/>
    <w:rsid w:val="00094E05"/>
    <w:rsid w:val="0009602B"/>
    <w:rsid w:val="0009708A"/>
    <w:rsid w:val="000A0549"/>
    <w:rsid w:val="000A1502"/>
    <w:rsid w:val="000A3A61"/>
    <w:rsid w:val="000D045E"/>
    <w:rsid w:val="000D6897"/>
    <w:rsid w:val="000F0FCC"/>
    <w:rsid w:val="000F6A1D"/>
    <w:rsid w:val="00107575"/>
    <w:rsid w:val="001239F7"/>
    <w:rsid w:val="001279BA"/>
    <w:rsid w:val="00157E23"/>
    <w:rsid w:val="00161636"/>
    <w:rsid w:val="00173341"/>
    <w:rsid w:val="001760C5"/>
    <w:rsid w:val="001969B2"/>
    <w:rsid w:val="001A3CC2"/>
    <w:rsid w:val="001A7D55"/>
    <w:rsid w:val="001B0EDF"/>
    <w:rsid w:val="001B476C"/>
    <w:rsid w:val="001C3C06"/>
    <w:rsid w:val="001D0EAA"/>
    <w:rsid w:val="001E2004"/>
    <w:rsid w:val="001F0BEC"/>
    <w:rsid w:val="001F16A7"/>
    <w:rsid w:val="001F711F"/>
    <w:rsid w:val="0021372E"/>
    <w:rsid w:val="0021438A"/>
    <w:rsid w:val="00223075"/>
    <w:rsid w:val="002235E9"/>
    <w:rsid w:val="0022481C"/>
    <w:rsid w:val="00242E40"/>
    <w:rsid w:val="00246972"/>
    <w:rsid w:val="00270744"/>
    <w:rsid w:val="00277F34"/>
    <w:rsid w:val="00293C7E"/>
    <w:rsid w:val="00297E65"/>
    <w:rsid w:val="002A0F23"/>
    <w:rsid w:val="002A369C"/>
    <w:rsid w:val="002C1F31"/>
    <w:rsid w:val="002C2D9A"/>
    <w:rsid w:val="002C6C60"/>
    <w:rsid w:val="002C78C6"/>
    <w:rsid w:val="002C7B1A"/>
    <w:rsid w:val="002D07B8"/>
    <w:rsid w:val="002D3935"/>
    <w:rsid w:val="002E0033"/>
    <w:rsid w:val="002E3D0D"/>
    <w:rsid w:val="002F0394"/>
    <w:rsid w:val="002F309C"/>
    <w:rsid w:val="002F43B4"/>
    <w:rsid w:val="0030475B"/>
    <w:rsid w:val="0030665D"/>
    <w:rsid w:val="0031082A"/>
    <w:rsid w:val="00316AD1"/>
    <w:rsid w:val="00333EBA"/>
    <w:rsid w:val="0033441A"/>
    <w:rsid w:val="00337C32"/>
    <w:rsid w:val="00342C22"/>
    <w:rsid w:val="003430BD"/>
    <w:rsid w:val="00344C11"/>
    <w:rsid w:val="00361B25"/>
    <w:rsid w:val="00362112"/>
    <w:rsid w:val="00362E09"/>
    <w:rsid w:val="00363922"/>
    <w:rsid w:val="00365CC6"/>
    <w:rsid w:val="0036647B"/>
    <w:rsid w:val="00372674"/>
    <w:rsid w:val="0037745A"/>
    <w:rsid w:val="00382B9A"/>
    <w:rsid w:val="00394D21"/>
    <w:rsid w:val="0039737D"/>
    <w:rsid w:val="003A063A"/>
    <w:rsid w:val="003A53DB"/>
    <w:rsid w:val="003B0116"/>
    <w:rsid w:val="003B0612"/>
    <w:rsid w:val="003B17F5"/>
    <w:rsid w:val="003B4565"/>
    <w:rsid w:val="003E0CCF"/>
    <w:rsid w:val="003E40A1"/>
    <w:rsid w:val="003E6EFF"/>
    <w:rsid w:val="003F15EA"/>
    <w:rsid w:val="00406DC5"/>
    <w:rsid w:val="0041346A"/>
    <w:rsid w:val="00426526"/>
    <w:rsid w:val="0042714E"/>
    <w:rsid w:val="004412F4"/>
    <w:rsid w:val="00441EC7"/>
    <w:rsid w:val="004530B8"/>
    <w:rsid w:val="0045666C"/>
    <w:rsid w:val="004663E5"/>
    <w:rsid w:val="0047197D"/>
    <w:rsid w:val="004758CE"/>
    <w:rsid w:val="0049495D"/>
    <w:rsid w:val="004A26DA"/>
    <w:rsid w:val="004A7587"/>
    <w:rsid w:val="004B033C"/>
    <w:rsid w:val="004B4014"/>
    <w:rsid w:val="004B5A60"/>
    <w:rsid w:val="004B622C"/>
    <w:rsid w:val="004F0979"/>
    <w:rsid w:val="004F0FAC"/>
    <w:rsid w:val="00501E4E"/>
    <w:rsid w:val="0050781F"/>
    <w:rsid w:val="00521E31"/>
    <w:rsid w:val="00526D41"/>
    <w:rsid w:val="00553BBF"/>
    <w:rsid w:val="0055553F"/>
    <w:rsid w:val="00566B52"/>
    <w:rsid w:val="00584927"/>
    <w:rsid w:val="00584FB0"/>
    <w:rsid w:val="005A51A9"/>
    <w:rsid w:val="005B12EA"/>
    <w:rsid w:val="005C739E"/>
    <w:rsid w:val="005E6B7D"/>
    <w:rsid w:val="005F7E1E"/>
    <w:rsid w:val="0060104B"/>
    <w:rsid w:val="00605090"/>
    <w:rsid w:val="00611078"/>
    <w:rsid w:val="006256F9"/>
    <w:rsid w:val="00634B16"/>
    <w:rsid w:val="006363D7"/>
    <w:rsid w:val="006363EE"/>
    <w:rsid w:val="00643BE0"/>
    <w:rsid w:val="00646835"/>
    <w:rsid w:val="00646CA0"/>
    <w:rsid w:val="006476B6"/>
    <w:rsid w:val="00663C2D"/>
    <w:rsid w:val="0066706D"/>
    <w:rsid w:val="0067537E"/>
    <w:rsid w:val="00680FC6"/>
    <w:rsid w:val="00681EDA"/>
    <w:rsid w:val="00686A59"/>
    <w:rsid w:val="00690727"/>
    <w:rsid w:val="006938E8"/>
    <w:rsid w:val="006A29EF"/>
    <w:rsid w:val="006A6CE8"/>
    <w:rsid w:val="006B0EF9"/>
    <w:rsid w:val="006C3589"/>
    <w:rsid w:val="006D12AC"/>
    <w:rsid w:val="0070048C"/>
    <w:rsid w:val="00735860"/>
    <w:rsid w:val="0074207C"/>
    <w:rsid w:val="0074345F"/>
    <w:rsid w:val="00743C5E"/>
    <w:rsid w:val="0074407E"/>
    <w:rsid w:val="007533AB"/>
    <w:rsid w:val="00775B2A"/>
    <w:rsid w:val="007774E0"/>
    <w:rsid w:val="007806E9"/>
    <w:rsid w:val="00782F9E"/>
    <w:rsid w:val="00786B1C"/>
    <w:rsid w:val="00791632"/>
    <w:rsid w:val="00796276"/>
    <w:rsid w:val="007A1324"/>
    <w:rsid w:val="007B30FC"/>
    <w:rsid w:val="007B766B"/>
    <w:rsid w:val="007C4B18"/>
    <w:rsid w:val="007E0DB5"/>
    <w:rsid w:val="007E2308"/>
    <w:rsid w:val="007F1580"/>
    <w:rsid w:val="007F3F17"/>
    <w:rsid w:val="00802CF0"/>
    <w:rsid w:val="00811F6A"/>
    <w:rsid w:val="00814974"/>
    <w:rsid w:val="00822F3D"/>
    <w:rsid w:val="0082628F"/>
    <w:rsid w:val="008306F1"/>
    <w:rsid w:val="00840E98"/>
    <w:rsid w:val="00843A17"/>
    <w:rsid w:val="008469AC"/>
    <w:rsid w:val="00847FBA"/>
    <w:rsid w:val="008542D2"/>
    <w:rsid w:val="00866B47"/>
    <w:rsid w:val="00870882"/>
    <w:rsid w:val="00874916"/>
    <w:rsid w:val="00876197"/>
    <w:rsid w:val="00882F25"/>
    <w:rsid w:val="008B24D9"/>
    <w:rsid w:val="008B3DD8"/>
    <w:rsid w:val="008C7C1D"/>
    <w:rsid w:val="008F29B1"/>
    <w:rsid w:val="00904EC8"/>
    <w:rsid w:val="00916582"/>
    <w:rsid w:val="009251A9"/>
    <w:rsid w:val="00934A5B"/>
    <w:rsid w:val="00943C8F"/>
    <w:rsid w:val="00947AF7"/>
    <w:rsid w:val="00950BE3"/>
    <w:rsid w:val="009700A2"/>
    <w:rsid w:val="009732D2"/>
    <w:rsid w:val="00976571"/>
    <w:rsid w:val="00991714"/>
    <w:rsid w:val="009927B5"/>
    <w:rsid w:val="00995968"/>
    <w:rsid w:val="00997035"/>
    <w:rsid w:val="009A09CB"/>
    <w:rsid w:val="009A7FD1"/>
    <w:rsid w:val="009B5487"/>
    <w:rsid w:val="009C2FED"/>
    <w:rsid w:val="009C78C8"/>
    <w:rsid w:val="009D24D0"/>
    <w:rsid w:val="009D3CC4"/>
    <w:rsid w:val="009F083A"/>
    <w:rsid w:val="009F1B32"/>
    <w:rsid w:val="009F7D78"/>
    <w:rsid w:val="00A16805"/>
    <w:rsid w:val="00A178C1"/>
    <w:rsid w:val="00A258E7"/>
    <w:rsid w:val="00A3224C"/>
    <w:rsid w:val="00A41510"/>
    <w:rsid w:val="00A53161"/>
    <w:rsid w:val="00A57DB5"/>
    <w:rsid w:val="00A60251"/>
    <w:rsid w:val="00A675DF"/>
    <w:rsid w:val="00A7151E"/>
    <w:rsid w:val="00A8698B"/>
    <w:rsid w:val="00A923DF"/>
    <w:rsid w:val="00A942E8"/>
    <w:rsid w:val="00AA016A"/>
    <w:rsid w:val="00AB39A6"/>
    <w:rsid w:val="00AB5048"/>
    <w:rsid w:val="00AD7D2A"/>
    <w:rsid w:val="00AE7C95"/>
    <w:rsid w:val="00B00FBB"/>
    <w:rsid w:val="00B01CE3"/>
    <w:rsid w:val="00B16B62"/>
    <w:rsid w:val="00B17CCC"/>
    <w:rsid w:val="00B21A19"/>
    <w:rsid w:val="00B235B6"/>
    <w:rsid w:val="00B2660D"/>
    <w:rsid w:val="00B31074"/>
    <w:rsid w:val="00B37023"/>
    <w:rsid w:val="00B43F52"/>
    <w:rsid w:val="00B575B0"/>
    <w:rsid w:val="00B8354C"/>
    <w:rsid w:val="00B868A2"/>
    <w:rsid w:val="00BA3C8E"/>
    <w:rsid w:val="00BB6384"/>
    <w:rsid w:val="00BC0BAF"/>
    <w:rsid w:val="00BF2E5D"/>
    <w:rsid w:val="00BF5EE8"/>
    <w:rsid w:val="00BF5F4B"/>
    <w:rsid w:val="00C041D6"/>
    <w:rsid w:val="00C04D58"/>
    <w:rsid w:val="00C14FD7"/>
    <w:rsid w:val="00C21431"/>
    <w:rsid w:val="00C2230A"/>
    <w:rsid w:val="00C25746"/>
    <w:rsid w:val="00C45632"/>
    <w:rsid w:val="00C47AF0"/>
    <w:rsid w:val="00C52E52"/>
    <w:rsid w:val="00C622A4"/>
    <w:rsid w:val="00C6487A"/>
    <w:rsid w:val="00C847B5"/>
    <w:rsid w:val="00C851E2"/>
    <w:rsid w:val="00C92DBA"/>
    <w:rsid w:val="00CA172B"/>
    <w:rsid w:val="00CB2A9C"/>
    <w:rsid w:val="00CB4B75"/>
    <w:rsid w:val="00CC3B27"/>
    <w:rsid w:val="00CD03D7"/>
    <w:rsid w:val="00CF55EC"/>
    <w:rsid w:val="00D12B1C"/>
    <w:rsid w:val="00D22210"/>
    <w:rsid w:val="00D22415"/>
    <w:rsid w:val="00D30C0D"/>
    <w:rsid w:val="00D36115"/>
    <w:rsid w:val="00D40B92"/>
    <w:rsid w:val="00D46E66"/>
    <w:rsid w:val="00D54E60"/>
    <w:rsid w:val="00D61F90"/>
    <w:rsid w:val="00D64336"/>
    <w:rsid w:val="00D6686A"/>
    <w:rsid w:val="00D83EDA"/>
    <w:rsid w:val="00D84698"/>
    <w:rsid w:val="00D857AD"/>
    <w:rsid w:val="00D871E3"/>
    <w:rsid w:val="00D92804"/>
    <w:rsid w:val="00D95201"/>
    <w:rsid w:val="00D95AFA"/>
    <w:rsid w:val="00DA16DB"/>
    <w:rsid w:val="00DB1B87"/>
    <w:rsid w:val="00DC6F53"/>
    <w:rsid w:val="00DD2E61"/>
    <w:rsid w:val="00DD469C"/>
    <w:rsid w:val="00DE318F"/>
    <w:rsid w:val="00DF2CCA"/>
    <w:rsid w:val="00E06DAF"/>
    <w:rsid w:val="00E50D3C"/>
    <w:rsid w:val="00E60104"/>
    <w:rsid w:val="00E60AA9"/>
    <w:rsid w:val="00E61071"/>
    <w:rsid w:val="00E628E0"/>
    <w:rsid w:val="00E67085"/>
    <w:rsid w:val="00E776CF"/>
    <w:rsid w:val="00E815EB"/>
    <w:rsid w:val="00E843D1"/>
    <w:rsid w:val="00E90996"/>
    <w:rsid w:val="00E95645"/>
    <w:rsid w:val="00E975E9"/>
    <w:rsid w:val="00EA28C4"/>
    <w:rsid w:val="00EA5D56"/>
    <w:rsid w:val="00EB56C0"/>
    <w:rsid w:val="00ED467C"/>
    <w:rsid w:val="00ED7237"/>
    <w:rsid w:val="00F01046"/>
    <w:rsid w:val="00F015DD"/>
    <w:rsid w:val="00F078A3"/>
    <w:rsid w:val="00F344C1"/>
    <w:rsid w:val="00F35CA1"/>
    <w:rsid w:val="00F457ED"/>
    <w:rsid w:val="00F5191C"/>
    <w:rsid w:val="00F51D11"/>
    <w:rsid w:val="00F771EF"/>
    <w:rsid w:val="00F7747E"/>
    <w:rsid w:val="00F81908"/>
    <w:rsid w:val="00F8207B"/>
    <w:rsid w:val="00F855C3"/>
    <w:rsid w:val="00F8573A"/>
    <w:rsid w:val="00F86729"/>
    <w:rsid w:val="00FA0F02"/>
    <w:rsid w:val="00FE36C2"/>
    <w:rsid w:val="00FF23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4B958029"/>
  <w15:docId w15:val="{ECC60675-933F-47AA-84E2-12B1E197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BAF"/>
    <w:rPr>
      <w:sz w:val="24"/>
      <w:szCs w:val="24"/>
    </w:rPr>
  </w:style>
  <w:style w:type="paragraph" w:styleId="Heading1">
    <w:name w:val="heading 1"/>
    <w:basedOn w:val="Normal"/>
    <w:next w:val="BodyText"/>
    <w:link w:val="Heading1Char"/>
    <w:qFormat/>
    <w:rsid w:val="00C92DBA"/>
    <w:pPr>
      <w:keepNext/>
      <w:pageBreakBefore/>
      <w:pBdr>
        <w:top w:val="single" w:sz="18" w:space="1" w:color="0000FF"/>
        <w:bottom w:val="single" w:sz="18" w:space="1" w:color="0000FF"/>
      </w:pBdr>
      <w:shd w:val="pct15" w:color="auto" w:fill="FFFFFF"/>
      <w:spacing w:after="120"/>
      <w:outlineLvl w:val="0"/>
    </w:pPr>
    <w:rPr>
      <w:rFonts w:ascii="Arial" w:hAnsi="Arial"/>
      <w:b/>
      <w:color w:val="0000FF"/>
      <w:kern w:val="28"/>
      <w:sz w:val="40"/>
    </w:rPr>
  </w:style>
  <w:style w:type="paragraph" w:styleId="Heading2">
    <w:name w:val="heading 2"/>
    <w:basedOn w:val="Normal"/>
    <w:next w:val="BodyText"/>
    <w:link w:val="Heading2Char"/>
    <w:qFormat/>
    <w:rsid w:val="00E843D1"/>
    <w:pPr>
      <w:keepNext/>
      <w:numPr>
        <w:ilvl w:val="1"/>
        <w:numId w:val="1"/>
      </w:numPr>
      <w:pBdr>
        <w:top w:val="single" w:sz="8" w:space="1" w:color="0000FF"/>
        <w:bottom w:val="single" w:sz="8" w:space="1" w:color="0000FF"/>
      </w:pBdr>
      <w:shd w:val="pct10" w:color="auto" w:fill="FFFFFF"/>
      <w:spacing w:before="360" w:after="120"/>
      <w:outlineLvl w:val="1"/>
    </w:pPr>
    <w:rPr>
      <w:rFonts w:ascii="Arial" w:hAnsi="Arial"/>
      <w:b/>
      <w:color w:val="0000FF"/>
      <w:kern w:val="28"/>
      <w:sz w:val="32"/>
    </w:rPr>
  </w:style>
  <w:style w:type="paragraph" w:styleId="Heading3">
    <w:name w:val="heading 3"/>
    <w:basedOn w:val="Normal"/>
    <w:next w:val="BodyText"/>
    <w:link w:val="Heading3Char"/>
    <w:qFormat/>
    <w:rsid w:val="00BC0BAF"/>
    <w:pPr>
      <w:keepNext/>
      <w:numPr>
        <w:ilvl w:val="2"/>
        <w:numId w:val="2"/>
      </w:numPr>
      <w:spacing w:before="120" w:after="80"/>
      <w:ind w:hanging="864"/>
      <w:outlineLvl w:val="2"/>
    </w:pPr>
    <w:rPr>
      <w:b/>
      <w:i/>
      <w:color w:val="0000FF"/>
      <w:kern w:val="28"/>
      <w:sz w:val="28"/>
      <w:u w:val="single"/>
    </w:rPr>
  </w:style>
  <w:style w:type="paragraph" w:styleId="Heading4">
    <w:name w:val="heading 4"/>
    <w:basedOn w:val="Normal"/>
    <w:next w:val="BodyText"/>
    <w:qFormat/>
    <w:rsid w:val="00BC0BAF"/>
    <w:pPr>
      <w:keepNext/>
      <w:numPr>
        <w:ilvl w:val="3"/>
        <w:numId w:val="3"/>
      </w:numPr>
      <w:spacing w:before="120" w:after="80"/>
      <w:ind w:hanging="864"/>
      <w:outlineLvl w:val="3"/>
    </w:pPr>
    <w:rPr>
      <w:b/>
      <w:kern w:val="28"/>
      <w:u w:val="single"/>
    </w:rPr>
  </w:style>
  <w:style w:type="paragraph" w:styleId="Heading5">
    <w:name w:val="heading 5"/>
    <w:basedOn w:val="Normal"/>
    <w:next w:val="Normal"/>
    <w:qFormat/>
    <w:rsid w:val="00BC0BAF"/>
    <w:pPr>
      <w:numPr>
        <w:ilvl w:val="4"/>
        <w:numId w:val="4"/>
      </w:numPr>
      <w:spacing w:before="240" w:after="60"/>
      <w:ind w:hanging="1008"/>
      <w:outlineLvl w:val="4"/>
    </w:pPr>
    <w:rPr>
      <w:rFonts w:ascii="Arial" w:hAnsi="Arial"/>
      <w:sz w:val="22"/>
      <w:u w:val="single"/>
    </w:rPr>
  </w:style>
  <w:style w:type="paragraph" w:styleId="Heading6">
    <w:name w:val="heading 6"/>
    <w:basedOn w:val="Normal"/>
    <w:next w:val="Normal"/>
    <w:qFormat/>
    <w:rsid w:val="00BC0BAF"/>
    <w:pPr>
      <w:numPr>
        <w:ilvl w:val="5"/>
        <w:numId w:val="5"/>
      </w:numPr>
      <w:spacing w:before="240" w:after="60"/>
      <w:outlineLvl w:val="5"/>
    </w:pPr>
    <w:rPr>
      <w:rFonts w:ascii="Arial" w:hAnsi="Arial"/>
      <w:i/>
      <w:sz w:val="22"/>
    </w:rPr>
  </w:style>
  <w:style w:type="paragraph" w:styleId="Heading7">
    <w:name w:val="heading 7"/>
    <w:basedOn w:val="Normal"/>
    <w:next w:val="Normal"/>
    <w:qFormat/>
    <w:rsid w:val="00BC0BAF"/>
    <w:pPr>
      <w:numPr>
        <w:ilvl w:val="6"/>
        <w:numId w:val="6"/>
      </w:numPr>
      <w:spacing w:before="240" w:after="60"/>
      <w:outlineLvl w:val="6"/>
    </w:pPr>
    <w:rPr>
      <w:rFonts w:ascii="Arial" w:hAnsi="Arial"/>
    </w:rPr>
  </w:style>
  <w:style w:type="paragraph" w:styleId="Heading8">
    <w:name w:val="heading 8"/>
    <w:basedOn w:val="Normal"/>
    <w:next w:val="Normal"/>
    <w:qFormat/>
    <w:rsid w:val="00BC0BAF"/>
    <w:pPr>
      <w:numPr>
        <w:ilvl w:val="7"/>
        <w:numId w:val="7"/>
      </w:numPr>
      <w:spacing w:before="240" w:after="60"/>
      <w:outlineLvl w:val="7"/>
    </w:pPr>
    <w:rPr>
      <w:rFonts w:ascii="Arial" w:hAnsi="Arial"/>
      <w:i/>
    </w:rPr>
  </w:style>
  <w:style w:type="paragraph" w:styleId="Heading9">
    <w:name w:val="heading 9"/>
    <w:basedOn w:val="Normal"/>
    <w:next w:val="Normal"/>
    <w:qFormat/>
    <w:rsid w:val="00BC0BAF"/>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C0BAF"/>
    <w:pPr>
      <w:spacing w:after="120"/>
    </w:pPr>
  </w:style>
  <w:style w:type="paragraph" w:customStyle="1" w:styleId="BlockQuotation">
    <w:name w:val="Block Quotation"/>
    <w:basedOn w:val="BodyText"/>
    <w:rsid w:val="00BC0BAF"/>
    <w:pPr>
      <w:keepLines/>
      <w:spacing w:before="120" w:after="160"/>
      <w:ind w:left="720" w:right="720"/>
    </w:pPr>
    <w:rPr>
      <w:i/>
    </w:rPr>
  </w:style>
  <w:style w:type="paragraph" w:styleId="Caption">
    <w:name w:val="caption"/>
    <w:basedOn w:val="Normal"/>
    <w:next w:val="BodyText"/>
    <w:uiPriority w:val="35"/>
    <w:qFormat/>
    <w:rsid w:val="00BC0BAF"/>
    <w:pPr>
      <w:spacing w:before="120" w:after="160"/>
    </w:pPr>
    <w:rPr>
      <w:i/>
      <w:sz w:val="22"/>
    </w:rPr>
  </w:style>
  <w:style w:type="paragraph" w:customStyle="1" w:styleId="ChapterSubtitle">
    <w:name w:val="Chapter Subtitle"/>
    <w:basedOn w:val="Normal"/>
    <w:next w:val="BodyText"/>
    <w:rsid w:val="00BC0BAF"/>
    <w:pPr>
      <w:keepNext/>
      <w:keepLines/>
      <w:spacing w:before="360" w:after="360"/>
      <w:jc w:val="center"/>
    </w:pPr>
    <w:rPr>
      <w:rFonts w:ascii="Arial" w:hAnsi="Arial"/>
      <w:i/>
      <w:kern w:val="28"/>
      <w:sz w:val="32"/>
    </w:rPr>
  </w:style>
  <w:style w:type="paragraph" w:customStyle="1" w:styleId="ChapterTitle">
    <w:name w:val="Chapter Title"/>
    <w:basedOn w:val="Normal"/>
    <w:next w:val="ChapterSubtitle"/>
    <w:rsid w:val="00BC0BAF"/>
    <w:pPr>
      <w:keepNext/>
      <w:keepLines/>
      <w:pBdr>
        <w:top w:val="single" w:sz="6" w:space="1" w:color="auto"/>
        <w:left w:val="single" w:sz="6" w:space="1" w:color="auto"/>
        <w:bottom w:val="single" w:sz="6" w:space="1" w:color="auto"/>
        <w:right w:val="single" w:sz="6" w:space="1" w:color="auto"/>
      </w:pBdr>
      <w:shd w:val="pct5" w:color="auto" w:fill="auto"/>
      <w:spacing w:before="600"/>
      <w:ind w:left="432" w:hanging="432"/>
      <w:jc w:val="center"/>
    </w:pPr>
    <w:rPr>
      <w:rFonts w:ascii="Arial" w:hAnsi="Arial"/>
      <w:b/>
      <w:kern w:val="28"/>
      <w:sz w:val="44"/>
    </w:rPr>
  </w:style>
  <w:style w:type="paragraph" w:styleId="Footer">
    <w:name w:val="footer"/>
    <w:basedOn w:val="Normal"/>
    <w:link w:val="FooterChar"/>
    <w:uiPriority w:val="99"/>
    <w:rsid w:val="00BC0BAF"/>
    <w:pPr>
      <w:keepLines/>
      <w:pBdr>
        <w:top w:val="single" w:sz="18" w:space="4" w:color="0000FF"/>
      </w:pBdr>
      <w:tabs>
        <w:tab w:val="center" w:pos="4320"/>
        <w:tab w:val="right" w:pos="8640"/>
      </w:tabs>
      <w:jc w:val="center"/>
    </w:pPr>
    <w:rPr>
      <w:rFonts w:ascii="Arial" w:hAnsi="Arial"/>
      <w:sz w:val="22"/>
    </w:rPr>
  </w:style>
  <w:style w:type="paragraph" w:customStyle="1" w:styleId="HangIndent">
    <w:name w:val="Hang Indent"/>
    <w:rsid w:val="00BC0BAF"/>
    <w:pPr>
      <w:spacing w:before="72" w:after="72"/>
      <w:ind w:left="1656" w:hanging="1080"/>
      <w:jc w:val="both"/>
    </w:pPr>
    <w:rPr>
      <w:color w:val="000000"/>
      <w:sz w:val="24"/>
      <w:lang w:val="en-IE"/>
    </w:rPr>
  </w:style>
  <w:style w:type="character" w:styleId="FootnoteReference">
    <w:name w:val="footnote reference"/>
    <w:rsid w:val="00BC0BAF"/>
    <w:rPr>
      <w:vertAlign w:val="superscript"/>
    </w:rPr>
  </w:style>
  <w:style w:type="paragraph" w:styleId="FootnoteText">
    <w:name w:val="footnote text"/>
    <w:basedOn w:val="Normal"/>
    <w:link w:val="FootnoteTextChar"/>
    <w:rsid w:val="00BC0BAF"/>
    <w:pPr>
      <w:tabs>
        <w:tab w:val="left" w:pos="187"/>
      </w:tabs>
      <w:spacing w:after="120" w:line="220" w:lineRule="exact"/>
      <w:ind w:left="187" w:hanging="187"/>
    </w:pPr>
    <w:rPr>
      <w:sz w:val="20"/>
    </w:rPr>
  </w:style>
  <w:style w:type="paragraph" w:styleId="Header">
    <w:name w:val="header"/>
    <w:basedOn w:val="Normal"/>
    <w:link w:val="HeaderChar"/>
    <w:rsid w:val="00BC0BAF"/>
    <w:pPr>
      <w:keepLines/>
      <w:pBdr>
        <w:bottom w:val="single" w:sz="18" w:space="1" w:color="0000FF"/>
      </w:pBdr>
      <w:shd w:val="pct15" w:color="auto" w:fill="auto"/>
      <w:tabs>
        <w:tab w:val="center" w:pos="4320"/>
        <w:tab w:val="right" w:pos="8640"/>
      </w:tabs>
      <w:jc w:val="right"/>
    </w:pPr>
    <w:rPr>
      <w:rFonts w:ascii="Abadi MT Condensed Extra Bold" w:hAnsi="Abadi MT Condensed Extra Bold"/>
      <w:color w:val="0000FF"/>
    </w:rPr>
  </w:style>
  <w:style w:type="paragraph" w:customStyle="1" w:styleId="Appendix">
    <w:name w:val="Appendix"/>
    <w:basedOn w:val="Normal"/>
    <w:next w:val="BodyText"/>
    <w:rsid w:val="00BC0BAF"/>
    <w:pPr>
      <w:keepNext/>
      <w:keepLines/>
      <w:pageBreakBefore/>
      <w:pBdr>
        <w:bottom w:val="single" w:sz="18" w:space="1" w:color="0000FF"/>
      </w:pBdr>
      <w:shd w:val="pct12" w:color="auto" w:fill="FFFFFF"/>
      <w:spacing w:before="120" w:after="120" w:line="360" w:lineRule="auto"/>
      <w:jc w:val="center"/>
    </w:pPr>
    <w:rPr>
      <w:b/>
      <w:color w:val="0000FF"/>
      <w:kern w:val="28"/>
      <w:sz w:val="40"/>
    </w:rPr>
  </w:style>
  <w:style w:type="paragraph" w:styleId="List">
    <w:name w:val="List"/>
    <w:basedOn w:val="BodyText"/>
    <w:rsid w:val="00BC0BAF"/>
    <w:pPr>
      <w:tabs>
        <w:tab w:val="left" w:pos="720"/>
      </w:tabs>
      <w:spacing w:after="80"/>
      <w:ind w:left="720" w:hanging="360"/>
    </w:pPr>
  </w:style>
  <w:style w:type="paragraph" w:styleId="List2">
    <w:name w:val="List 2"/>
    <w:basedOn w:val="List"/>
    <w:rsid w:val="00BC0BAF"/>
    <w:pPr>
      <w:tabs>
        <w:tab w:val="clear" w:pos="720"/>
        <w:tab w:val="left" w:pos="1080"/>
      </w:tabs>
      <w:ind w:left="1080"/>
    </w:pPr>
  </w:style>
  <w:style w:type="paragraph" w:customStyle="1" w:styleId="HTMLBody">
    <w:name w:val="HTML Body"/>
    <w:rsid w:val="00BC0BAF"/>
    <w:pPr>
      <w:autoSpaceDE w:val="0"/>
      <w:autoSpaceDN w:val="0"/>
      <w:adjustRightInd w:val="0"/>
    </w:pPr>
    <w:rPr>
      <w:rFonts w:ascii="Arial" w:hAnsi="Arial"/>
      <w:sz w:val="18"/>
      <w:szCs w:val="18"/>
    </w:rPr>
  </w:style>
  <w:style w:type="paragraph" w:styleId="BodyTextIndent2">
    <w:name w:val="Body Text Indent 2"/>
    <w:basedOn w:val="Normal"/>
    <w:rsid w:val="00BC0BAF"/>
    <w:pPr>
      <w:ind w:left="720"/>
    </w:pPr>
    <w:rPr>
      <w:i/>
      <w:iCs/>
    </w:rPr>
  </w:style>
  <w:style w:type="paragraph" w:styleId="NormalWeb">
    <w:name w:val="Normal (Web)"/>
    <w:basedOn w:val="Normal"/>
    <w:uiPriority w:val="99"/>
    <w:rsid w:val="00BC0BAF"/>
    <w:pPr>
      <w:spacing w:before="100" w:beforeAutospacing="1" w:after="100" w:afterAutospacing="1"/>
    </w:pPr>
    <w:rPr>
      <w:rFonts w:ascii="Verdana" w:hAnsi="Verdana"/>
      <w:sz w:val="20"/>
      <w:szCs w:val="20"/>
    </w:rPr>
  </w:style>
  <w:style w:type="paragraph" w:styleId="ListContinue">
    <w:name w:val="List Continue"/>
    <w:basedOn w:val="List"/>
    <w:rsid w:val="00BC0BAF"/>
    <w:pPr>
      <w:tabs>
        <w:tab w:val="clear" w:pos="720"/>
      </w:tabs>
      <w:spacing w:after="160"/>
      <w:ind w:left="648"/>
    </w:pPr>
  </w:style>
  <w:style w:type="paragraph" w:styleId="ListContinue2">
    <w:name w:val="List Continue 2"/>
    <w:basedOn w:val="ListContinue"/>
    <w:rsid w:val="00BC0BAF"/>
    <w:pPr>
      <w:spacing w:after="80"/>
      <w:ind w:left="1080"/>
    </w:pPr>
  </w:style>
  <w:style w:type="paragraph" w:styleId="ListContinue3">
    <w:name w:val="List Continue 3"/>
    <w:basedOn w:val="ListContinue"/>
    <w:rsid w:val="00BC0BAF"/>
    <w:pPr>
      <w:spacing w:after="0"/>
      <w:ind w:left="1440"/>
    </w:pPr>
  </w:style>
  <w:style w:type="paragraph" w:styleId="ListNumber">
    <w:name w:val="List Number"/>
    <w:basedOn w:val="List"/>
    <w:rsid w:val="00BC0BAF"/>
    <w:pPr>
      <w:tabs>
        <w:tab w:val="clear" w:pos="720"/>
      </w:tabs>
      <w:spacing w:after="160"/>
    </w:pPr>
  </w:style>
  <w:style w:type="paragraph" w:styleId="ListNumber2">
    <w:name w:val="List Number 2"/>
    <w:basedOn w:val="ListNumber"/>
    <w:rsid w:val="00BC0BAF"/>
    <w:pPr>
      <w:spacing w:after="80"/>
      <w:ind w:left="1008" w:hanging="288"/>
    </w:pPr>
  </w:style>
  <w:style w:type="paragraph" w:styleId="ListNumber3">
    <w:name w:val="List Number 3"/>
    <w:basedOn w:val="ListNumber"/>
    <w:rsid w:val="00BC0BAF"/>
    <w:pPr>
      <w:spacing w:after="0"/>
      <w:ind w:left="1440"/>
    </w:pPr>
  </w:style>
  <w:style w:type="character" w:styleId="PageNumber">
    <w:name w:val="page number"/>
    <w:rsid w:val="00BC0BAF"/>
    <w:rPr>
      <w:b/>
    </w:rPr>
  </w:style>
  <w:style w:type="paragraph" w:customStyle="1" w:styleId="Picture">
    <w:name w:val="Picture"/>
    <w:basedOn w:val="BodyText"/>
    <w:next w:val="Caption"/>
    <w:rsid w:val="00BC0BAF"/>
    <w:pPr>
      <w:keepNext/>
      <w:spacing w:after="160"/>
    </w:pPr>
  </w:style>
  <w:style w:type="character" w:customStyle="1" w:styleId="Superscript">
    <w:name w:val="Superscript"/>
    <w:rsid w:val="00BC0BAF"/>
    <w:rPr>
      <w:vertAlign w:val="superscript"/>
    </w:rPr>
  </w:style>
  <w:style w:type="paragraph" w:customStyle="1" w:styleId="CoverTitle">
    <w:name w:val="Cover Title"/>
    <w:basedOn w:val="HeadingBase"/>
    <w:next w:val="Normal"/>
    <w:rsid w:val="00BC0BAF"/>
    <w:pPr>
      <w:shd w:val="clear" w:color="auto" w:fill="000000"/>
      <w:spacing w:before="360" w:after="160"/>
      <w:jc w:val="center"/>
    </w:pPr>
    <w:rPr>
      <w:color w:val="FFFFFF"/>
      <w:sz w:val="56"/>
    </w:rPr>
  </w:style>
  <w:style w:type="paragraph" w:customStyle="1" w:styleId="HeadingBase">
    <w:name w:val="Heading Base"/>
    <w:basedOn w:val="Normal"/>
    <w:next w:val="BodyText"/>
    <w:rsid w:val="00BC0BAF"/>
    <w:pPr>
      <w:keepNext/>
      <w:keepLines/>
      <w:spacing w:before="240" w:after="120"/>
    </w:pPr>
    <w:rPr>
      <w:rFonts w:ascii="Arial" w:hAnsi="Arial"/>
      <w:b/>
      <w:kern w:val="28"/>
      <w:sz w:val="36"/>
    </w:rPr>
  </w:style>
  <w:style w:type="paragraph" w:customStyle="1" w:styleId="Coversubtitle">
    <w:name w:val="Cover subtitle"/>
    <w:basedOn w:val="Normal"/>
    <w:next w:val="BodyText"/>
    <w:rsid w:val="00BC0BAF"/>
    <w:pPr>
      <w:keepNext/>
      <w:shd w:val="clear" w:color="auto" w:fill="000000"/>
      <w:spacing w:before="240" w:after="160"/>
      <w:jc w:val="center"/>
    </w:pPr>
    <w:rPr>
      <w:rFonts w:ascii="Arial" w:hAnsi="Arial"/>
      <w:b/>
      <w:i/>
      <w:color w:val="FFFFFF"/>
      <w:kern w:val="28"/>
      <w:sz w:val="44"/>
    </w:rPr>
  </w:style>
  <w:style w:type="paragraph" w:styleId="TOC1">
    <w:name w:val="toc 1"/>
    <w:basedOn w:val="Normal"/>
    <w:uiPriority w:val="39"/>
    <w:rsid w:val="00BC0BAF"/>
    <w:pPr>
      <w:spacing w:before="360"/>
    </w:pPr>
    <w:rPr>
      <w:rFonts w:ascii="Arial" w:hAnsi="Arial"/>
      <w:b/>
      <w:caps/>
    </w:rPr>
  </w:style>
  <w:style w:type="paragraph" w:styleId="TOC2">
    <w:name w:val="toc 2"/>
    <w:basedOn w:val="Normal"/>
    <w:uiPriority w:val="39"/>
    <w:rsid w:val="00BC0BAF"/>
    <w:pPr>
      <w:spacing w:before="240"/>
    </w:pPr>
    <w:rPr>
      <w:rFonts w:ascii="Arial" w:hAnsi="Arial"/>
      <w:b/>
      <w:sz w:val="20"/>
    </w:rPr>
  </w:style>
  <w:style w:type="paragraph" w:styleId="TOC3">
    <w:name w:val="toc 3"/>
    <w:basedOn w:val="Normal"/>
    <w:uiPriority w:val="39"/>
    <w:rsid w:val="00BC0BAF"/>
    <w:pPr>
      <w:ind w:left="240"/>
    </w:pPr>
    <w:rPr>
      <w:rFonts w:ascii="Arial" w:hAnsi="Arial"/>
      <w:i/>
      <w:sz w:val="20"/>
    </w:rPr>
  </w:style>
  <w:style w:type="paragraph" w:styleId="TOC4">
    <w:name w:val="toc 4"/>
    <w:basedOn w:val="Normal"/>
    <w:semiHidden/>
    <w:rsid w:val="00BC0BAF"/>
    <w:pPr>
      <w:ind w:left="480"/>
    </w:pPr>
    <w:rPr>
      <w:sz w:val="20"/>
    </w:rPr>
  </w:style>
  <w:style w:type="paragraph" w:customStyle="1" w:styleId="TOCBase">
    <w:name w:val="TOC Base"/>
    <w:basedOn w:val="Normal"/>
    <w:rsid w:val="00BC0BAF"/>
    <w:pPr>
      <w:tabs>
        <w:tab w:val="right" w:leader="dot" w:pos="8640"/>
      </w:tabs>
    </w:pPr>
  </w:style>
  <w:style w:type="paragraph" w:customStyle="1" w:styleId="SmallTitle">
    <w:name w:val="Small Title"/>
    <w:basedOn w:val="ChapterTitle"/>
    <w:rsid w:val="00BC0BAF"/>
    <w:pPr>
      <w:pBdr>
        <w:top w:val="none" w:sz="0" w:space="0" w:color="auto"/>
        <w:left w:val="none" w:sz="0" w:space="0" w:color="auto"/>
        <w:bottom w:val="none" w:sz="0" w:space="0" w:color="auto"/>
        <w:right w:val="none" w:sz="0" w:space="0" w:color="auto"/>
      </w:pBdr>
      <w:shd w:val="clear" w:color="auto" w:fill="auto"/>
      <w:spacing w:before="120"/>
      <w:ind w:left="0" w:firstLine="0"/>
    </w:pPr>
    <w:rPr>
      <w:sz w:val="36"/>
    </w:rPr>
  </w:style>
  <w:style w:type="paragraph" w:styleId="TOC5">
    <w:name w:val="toc 5"/>
    <w:basedOn w:val="Normal"/>
    <w:next w:val="Normal"/>
    <w:semiHidden/>
    <w:rsid w:val="00BC0BAF"/>
    <w:pPr>
      <w:ind w:left="720"/>
    </w:pPr>
    <w:rPr>
      <w:sz w:val="20"/>
    </w:rPr>
  </w:style>
  <w:style w:type="paragraph" w:styleId="TOC6">
    <w:name w:val="toc 6"/>
    <w:basedOn w:val="Normal"/>
    <w:next w:val="Normal"/>
    <w:semiHidden/>
    <w:rsid w:val="00BC0BAF"/>
    <w:pPr>
      <w:ind w:left="960"/>
    </w:pPr>
    <w:rPr>
      <w:sz w:val="20"/>
    </w:rPr>
  </w:style>
  <w:style w:type="paragraph" w:styleId="TOC7">
    <w:name w:val="toc 7"/>
    <w:basedOn w:val="Normal"/>
    <w:next w:val="Normal"/>
    <w:semiHidden/>
    <w:rsid w:val="00BC0BAF"/>
    <w:pPr>
      <w:ind w:left="1200"/>
    </w:pPr>
    <w:rPr>
      <w:sz w:val="20"/>
    </w:rPr>
  </w:style>
  <w:style w:type="paragraph" w:styleId="TOC8">
    <w:name w:val="toc 8"/>
    <w:basedOn w:val="Normal"/>
    <w:next w:val="Normal"/>
    <w:semiHidden/>
    <w:rsid w:val="00BC0BAF"/>
    <w:pPr>
      <w:ind w:left="1440"/>
    </w:pPr>
    <w:rPr>
      <w:sz w:val="20"/>
    </w:rPr>
  </w:style>
  <w:style w:type="paragraph" w:styleId="TOC9">
    <w:name w:val="toc 9"/>
    <w:basedOn w:val="Normal"/>
    <w:next w:val="Normal"/>
    <w:semiHidden/>
    <w:rsid w:val="00BC0BAF"/>
    <w:pPr>
      <w:ind w:left="1680"/>
    </w:pPr>
    <w:rPr>
      <w:sz w:val="20"/>
    </w:rPr>
  </w:style>
  <w:style w:type="paragraph" w:customStyle="1" w:styleId="Bullet1par">
    <w:name w:val="Bullet 1 par"/>
    <w:next w:val="Normal"/>
    <w:rsid w:val="00BC0BAF"/>
    <w:pPr>
      <w:spacing w:before="72" w:after="72"/>
      <w:ind w:left="936"/>
      <w:jc w:val="both"/>
    </w:pPr>
    <w:rPr>
      <w:color w:val="000000"/>
      <w:sz w:val="24"/>
      <w:lang w:val="en-IE"/>
    </w:rPr>
  </w:style>
  <w:style w:type="paragraph" w:customStyle="1" w:styleId="Appendixheading">
    <w:name w:val="Appendix heading"/>
    <w:basedOn w:val="Heading3"/>
    <w:next w:val="BodyText"/>
    <w:rsid w:val="00BC0BAF"/>
    <w:pPr>
      <w:shd w:val="pct12" w:color="auto" w:fill="auto"/>
      <w:spacing w:before="360" w:after="240"/>
      <w:ind w:left="0" w:firstLine="0"/>
      <w:outlineLvl w:val="9"/>
    </w:pPr>
    <w:rPr>
      <w:i w:val="0"/>
      <w:sz w:val="32"/>
    </w:rPr>
  </w:style>
  <w:style w:type="paragraph" w:styleId="BodyTextIndent">
    <w:name w:val="Body Text Indent"/>
    <w:basedOn w:val="Normal"/>
    <w:rsid w:val="00BC0BAF"/>
    <w:pPr>
      <w:widowControl w:val="0"/>
    </w:pPr>
    <w:rPr>
      <w:b/>
      <w:snapToGrid w:val="0"/>
    </w:rPr>
  </w:style>
  <w:style w:type="paragraph" w:customStyle="1" w:styleId="BodySingle">
    <w:name w:val="Body Single"/>
    <w:basedOn w:val="BodyText"/>
    <w:rsid w:val="00BC0BAF"/>
    <w:pPr>
      <w:spacing w:after="0"/>
    </w:pPr>
  </w:style>
  <w:style w:type="character" w:styleId="Hyperlink">
    <w:name w:val="Hyperlink"/>
    <w:uiPriority w:val="99"/>
    <w:rsid w:val="00BC0BAF"/>
    <w:rPr>
      <w:color w:val="0000FF"/>
      <w:u w:val="single"/>
    </w:rPr>
  </w:style>
  <w:style w:type="character" w:styleId="FollowedHyperlink">
    <w:name w:val="FollowedHyperlink"/>
    <w:rsid w:val="00BC0BAF"/>
    <w:rPr>
      <w:color w:val="800080"/>
      <w:u w:val="single"/>
    </w:rPr>
  </w:style>
  <w:style w:type="paragraph" w:styleId="DocumentMap">
    <w:name w:val="Document Map"/>
    <w:basedOn w:val="Normal"/>
    <w:semiHidden/>
    <w:rsid w:val="00BC0BAF"/>
    <w:pPr>
      <w:shd w:val="clear" w:color="auto" w:fill="000080"/>
    </w:pPr>
    <w:rPr>
      <w:rFonts w:ascii="Tahoma" w:hAnsi="Tahoma"/>
    </w:rPr>
  </w:style>
  <w:style w:type="paragraph" w:styleId="BalloonText">
    <w:name w:val="Balloon Text"/>
    <w:basedOn w:val="Normal"/>
    <w:link w:val="BalloonTextChar"/>
    <w:rsid w:val="00F8207B"/>
    <w:rPr>
      <w:rFonts w:ascii="Tahoma" w:hAnsi="Tahoma" w:cs="Tahoma"/>
      <w:sz w:val="16"/>
      <w:szCs w:val="16"/>
    </w:rPr>
  </w:style>
  <w:style w:type="table" w:styleId="TableGrid">
    <w:name w:val="Table Grid"/>
    <w:basedOn w:val="TableNormal"/>
    <w:uiPriority w:val="59"/>
    <w:rsid w:val="00EA5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942E8"/>
    <w:rPr>
      <w:rFonts w:ascii="Arial" w:hAnsi="Arial"/>
      <w:b/>
      <w:color w:val="0000FF"/>
      <w:kern w:val="28"/>
      <w:sz w:val="40"/>
      <w:szCs w:val="24"/>
      <w:shd w:val="pct15" w:color="auto" w:fill="FFFFFF"/>
    </w:rPr>
  </w:style>
  <w:style w:type="paragraph" w:customStyle="1" w:styleId="Default">
    <w:name w:val="Default"/>
    <w:rsid w:val="00A942E8"/>
    <w:pPr>
      <w:autoSpaceDE w:val="0"/>
      <w:autoSpaceDN w:val="0"/>
      <w:adjustRightInd w:val="0"/>
    </w:pPr>
    <w:rPr>
      <w:rFonts w:eastAsia="Calibri"/>
      <w:color w:val="000000"/>
      <w:sz w:val="24"/>
      <w:szCs w:val="24"/>
      <w:lang w:val="id-ID"/>
    </w:rPr>
  </w:style>
  <w:style w:type="paragraph" w:styleId="ListParagraph">
    <w:name w:val="List Paragraph"/>
    <w:basedOn w:val="Normal"/>
    <w:uiPriority w:val="34"/>
    <w:qFormat/>
    <w:rsid w:val="00A942E8"/>
    <w:pPr>
      <w:spacing w:after="200" w:line="276" w:lineRule="auto"/>
      <w:ind w:left="720"/>
      <w:contextualSpacing/>
    </w:pPr>
    <w:rPr>
      <w:rFonts w:ascii="Calibri" w:eastAsia="Calibri" w:hAnsi="Calibri"/>
      <w:sz w:val="22"/>
      <w:szCs w:val="22"/>
      <w:lang w:val="id-ID"/>
    </w:rPr>
  </w:style>
  <w:style w:type="paragraph" w:customStyle="1" w:styleId="default0">
    <w:name w:val="default"/>
    <w:basedOn w:val="Normal"/>
    <w:rsid w:val="003E40A1"/>
    <w:rPr>
      <w:rFonts w:ascii="Gulim" w:eastAsia="Gulim" w:hAnsi="Gulim" w:cs="Gulim"/>
      <w:lang w:eastAsia="ko-KR"/>
    </w:rPr>
  </w:style>
  <w:style w:type="paragraph" w:customStyle="1" w:styleId="NewPara">
    <w:name w:val="NewPara"/>
    <w:basedOn w:val="ListParagraph"/>
    <w:link w:val="NewParaChar"/>
    <w:qFormat/>
    <w:rsid w:val="00D22415"/>
    <w:pPr>
      <w:numPr>
        <w:numId w:val="9"/>
      </w:numPr>
      <w:spacing w:line="240" w:lineRule="auto"/>
      <w:contextualSpacing w:val="0"/>
    </w:pPr>
    <w:rPr>
      <w:rFonts w:ascii="Times New Roman" w:eastAsiaTheme="minorHAnsi" w:hAnsi="Times New Roman" w:cs="Akhbar MT"/>
      <w:szCs w:val="30"/>
      <w:lang w:val="en-GB"/>
    </w:rPr>
  </w:style>
  <w:style w:type="character" w:customStyle="1" w:styleId="NewParaChar">
    <w:name w:val="NewPara Char"/>
    <w:basedOn w:val="DefaultParagraphFont"/>
    <w:link w:val="NewPara"/>
    <w:rsid w:val="00D22415"/>
    <w:rPr>
      <w:rFonts w:eastAsiaTheme="minorHAnsi" w:cs="Akhbar MT"/>
      <w:sz w:val="22"/>
      <w:szCs w:val="30"/>
      <w:lang w:val="en-GB"/>
    </w:rPr>
  </w:style>
  <w:style w:type="paragraph" w:styleId="NoSpacing">
    <w:name w:val="No Spacing"/>
    <w:uiPriority w:val="1"/>
    <w:qFormat/>
    <w:rsid w:val="000362F2"/>
    <w:rPr>
      <w:rFonts w:eastAsiaTheme="minorHAnsi" w:cstheme="minorBidi"/>
      <w:sz w:val="24"/>
      <w:szCs w:val="22"/>
      <w:lang w:val="en-GB"/>
    </w:rPr>
  </w:style>
  <w:style w:type="paragraph" w:customStyle="1" w:styleId="BoxNewPara">
    <w:name w:val="Box NewPara"/>
    <w:basedOn w:val="ListParagraph"/>
    <w:link w:val="BoxNewParaChar"/>
    <w:qFormat/>
    <w:rsid w:val="00055BCF"/>
    <w:pPr>
      <w:numPr>
        <w:numId w:val="10"/>
      </w:numPr>
      <w:spacing w:before="120" w:after="0" w:line="240" w:lineRule="auto"/>
      <w:contextualSpacing w:val="0"/>
    </w:pPr>
    <w:rPr>
      <w:rFonts w:ascii="Times New Roman" w:hAnsi="Times New Roman" w:cs="Akhbar MT"/>
      <w:szCs w:val="30"/>
      <w:lang w:val="en-GB"/>
    </w:rPr>
  </w:style>
  <w:style w:type="character" w:customStyle="1" w:styleId="BoxNewParaChar">
    <w:name w:val="Box NewPara Char"/>
    <w:basedOn w:val="DefaultParagraphFont"/>
    <w:link w:val="BoxNewPara"/>
    <w:rsid w:val="00055BCF"/>
    <w:rPr>
      <w:rFonts w:eastAsia="Calibri" w:cs="Akhbar MT"/>
      <w:sz w:val="22"/>
      <w:szCs w:val="30"/>
      <w:lang w:val="en-GB"/>
    </w:rPr>
  </w:style>
  <w:style w:type="paragraph" w:customStyle="1" w:styleId="BulletList">
    <w:name w:val="Bullet List"/>
    <w:basedOn w:val="ListParagraph"/>
    <w:qFormat/>
    <w:rsid w:val="0009602B"/>
    <w:pPr>
      <w:numPr>
        <w:numId w:val="11"/>
      </w:numPr>
      <w:spacing w:before="120" w:after="0" w:line="240" w:lineRule="auto"/>
    </w:pPr>
    <w:rPr>
      <w:rFonts w:ascii="Times New Roman" w:hAnsi="Times New Roman" w:cs="Akhbar MT"/>
      <w:szCs w:val="30"/>
      <w:lang w:val="en-GB"/>
    </w:rPr>
  </w:style>
  <w:style w:type="paragraph" w:customStyle="1" w:styleId="BoxBulletList">
    <w:name w:val="Box Bullet List"/>
    <w:basedOn w:val="BulletList"/>
    <w:link w:val="BoxBulletListChar"/>
    <w:qFormat/>
    <w:rsid w:val="0009602B"/>
  </w:style>
  <w:style w:type="character" w:customStyle="1" w:styleId="BoxBulletListChar">
    <w:name w:val="Box Bullet List Char"/>
    <w:basedOn w:val="DefaultParagraphFont"/>
    <w:link w:val="BoxBulletList"/>
    <w:rsid w:val="0009602B"/>
    <w:rPr>
      <w:rFonts w:eastAsia="Calibri" w:cs="Akhbar MT"/>
      <w:sz w:val="22"/>
      <w:szCs w:val="30"/>
      <w:lang w:val="en-GB"/>
    </w:rPr>
  </w:style>
  <w:style w:type="character" w:styleId="CommentReference">
    <w:name w:val="annotation reference"/>
    <w:basedOn w:val="DefaultParagraphFont"/>
    <w:semiHidden/>
    <w:unhideWhenUsed/>
    <w:rsid w:val="00044008"/>
    <w:rPr>
      <w:sz w:val="16"/>
      <w:szCs w:val="16"/>
    </w:rPr>
  </w:style>
  <w:style w:type="paragraph" w:styleId="CommentText">
    <w:name w:val="annotation text"/>
    <w:basedOn w:val="Normal"/>
    <w:link w:val="CommentTextChar"/>
    <w:semiHidden/>
    <w:unhideWhenUsed/>
    <w:rsid w:val="00044008"/>
    <w:rPr>
      <w:sz w:val="20"/>
      <w:szCs w:val="20"/>
    </w:rPr>
  </w:style>
  <w:style w:type="character" w:customStyle="1" w:styleId="CommentTextChar">
    <w:name w:val="Comment Text Char"/>
    <w:basedOn w:val="DefaultParagraphFont"/>
    <w:link w:val="CommentText"/>
    <w:semiHidden/>
    <w:rsid w:val="00044008"/>
  </w:style>
  <w:style w:type="paragraph" w:styleId="CommentSubject">
    <w:name w:val="annotation subject"/>
    <w:basedOn w:val="CommentText"/>
    <w:next w:val="CommentText"/>
    <w:link w:val="CommentSubjectChar"/>
    <w:semiHidden/>
    <w:unhideWhenUsed/>
    <w:rsid w:val="00044008"/>
    <w:rPr>
      <w:b/>
      <w:bCs/>
    </w:rPr>
  </w:style>
  <w:style w:type="character" w:customStyle="1" w:styleId="CommentSubjectChar">
    <w:name w:val="Comment Subject Char"/>
    <w:basedOn w:val="CommentTextChar"/>
    <w:link w:val="CommentSubject"/>
    <w:semiHidden/>
    <w:rsid w:val="00044008"/>
    <w:rPr>
      <w:b/>
      <w:bCs/>
    </w:rPr>
  </w:style>
  <w:style w:type="paragraph" w:customStyle="1" w:styleId="2">
    <w:name w:val="标题2"/>
    <w:basedOn w:val="Heading2"/>
    <w:qFormat/>
    <w:rsid w:val="00874916"/>
    <w:pPr>
      <w:keepLines/>
      <w:widowControl w:val="0"/>
      <w:numPr>
        <w:ilvl w:val="0"/>
      </w:numPr>
      <w:pBdr>
        <w:top w:val="none" w:sz="0" w:space="0" w:color="auto"/>
        <w:bottom w:val="none" w:sz="0" w:space="0" w:color="auto"/>
      </w:pBdr>
      <w:shd w:val="clear" w:color="auto" w:fill="auto"/>
      <w:spacing w:before="120" w:afterLines="50" w:after="50" w:line="360" w:lineRule="auto"/>
      <w:jc w:val="both"/>
    </w:pPr>
    <w:rPr>
      <w:rFonts w:ascii="Times New Roman" w:eastAsiaTheme="majorEastAsia" w:hAnsi="Times New Roman" w:cstheme="majorBidi"/>
      <w:bCs/>
      <w:color w:val="auto"/>
      <w:kern w:val="2"/>
      <w:sz w:val="24"/>
      <w:szCs w:val="32"/>
      <w:lang w:eastAsia="zh-CN"/>
    </w:rPr>
  </w:style>
  <w:style w:type="paragraph" w:customStyle="1" w:styleId="3">
    <w:name w:val="标题3"/>
    <w:basedOn w:val="Heading3"/>
    <w:link w:val="3Char"/>
    <w:qFormat/>
    <w:rsid w:val="00874916"/>
    <w:pPr>
      <w:keepLines/>
      <w:widowControl w:val="0"/>
      <w:numPr>
        <w:ilvl w:val="0"/>
        <w:numId w:val="0"/>
      </w:numPr>
      <w:spacing w:after="120"/>
      <w:jc w:val="both"/>
    </w:pPr>
    <w:rPr>
      <w:rFonts w:ascii="SimSun" w:eastAsia="SimSun" w:hAnsi="SimSun" w:cs="SimSun"/>
      <w:i w:val="0"/>
      <w:color w:val="2F2F2F"/>
      <w:kern w:val="2"/>
      <w:sz w:val="24"/>
      <w:szCs w:val="21"/>
      <w:u w:val="none"/>
      <w:lang w:eastAsia="zh-CN"/>
    </w:rPr>
  </w:style>
  <w:style w:type="character" w:customStyle="1" w:styleId="3Char">
    <w:name w:val="标题3 Char"/>
    <w:basedOn w:val="Heading3Char"/>
    <w:link w:val="3"/>
    <w:rsid w:val="00874916"/>
    <w:rPr>
      <w:rFonts w:ascii="SimSun" w:eastAsia="SimSun" w:hAnsi="SimSun" w:cs="SimSun"/>
      <w:b/>
      <w:bCs/>
      <w:i/>
      <w:color w:val="2F2F2F"/>
      <w:kern w:val="28"/>
      <w:sz w:val="24"/>
      <w:szCs w:val="21"/>
      <w:u w:val="single"/>
      <w:lang w:eastAsia="zh-CN"/>
    </w:rPr>
  </w:style>
  <w:style w:type="character" w:customStyle="1" w:styleId="Heading3Char">
    <w:name w:val="Heading 3 Char"/>
    <w:basedOn w:val="DefaultParagraphFont"/>
    <w:link w:val="Heading3"/>
    <w:rsid w:val="00874916"/>
    <w:rPr>
      <w:b/>
      <w:i/>
      <w:color w:val="0000FF"/>
      <w:kern w:val="28"/>
      <w:sz w:val="28"/>
      <w:szCs w:val="24"/>
      <w:u w:val="single"/>
    </w:rPr>
  </w:style>
  <w:style w:type="character" w:customStyle="1" w:styleId="Heading2Char">
    <w:name w:val="Heading 2 Char"/>
    <w:basedOn w:val="DefaultParagraphFont"/>
    <w:link w:val="Heading2"/>
    <w:rsid w:val="00874916"/>
    <w:rPr>
      <w:rFonts w:ascii="Arial" w:hAnsi="Arial"/>
      <w:b/>
      <w:color w:val="0000FF"/>
      <w:kern w:val="28"/>
      <w:sz w:val="32"/>
      <w:szCs w:val="24"/>
      <w:shd w:val="pct10" w:color="auto" w:fill="FFFFFF"/>
    </w:rPr>
  </w:style>
  <w:style w:type="character" w:customStyle="1" w:styleId="BalloonTextChar">
    <w:name w:val="Balloon Text Char"/>
    <w:basedOn w:val="DefaultParagraphFont"/>
    <w:link w:val="BalloonText"/>
    <w:rsid w:val="00874916"/>
    <w:rPr>
      <w:rFonts w:ascii="Tahoma" w:hAnsi="Tahoma" w:cs="Tahoma"/>
      <w:sz w:val="16"/>
      <w:szCs w:val="16"/>
    </w:rPr>
  </w:style>
  <w:style w:type="paragraph" w:styleId="Title">
    <w:name w:val="Title"/>
    <w:basedOn w:val="Normal"/>
    <w:next w:val="Normal"/>
    <w:link w:val="TitleChar"/>
    <w:qFormat/>
    <w:rsid w:val="00874916"/>
    <w:pPr>
      <w:widowControl w:val="0"/>
      <w:spacing w:before="240" w:after="60"/>
      <w:jc w:val="center"/>
      <w:outlineLvl w:val="0"/>
    </w:pPr>
    <w:rPr>
      <w:rFonts w:asciiTheme="majorHAnsi" w:eastAsia="SimSun" w:hAnsiTheme="majorHAnsi" w:cstheme="majorBidi"/>
      <w:b/>
      <w:bCs/>
      <w:kern w:val="2"/>
      <w:sz w:val="32"/>
      <w:szCs w:val="32"/>
      <w:lang w:eastAsia="zh-CN"/>
    </w:rPr>
  </w:style>
  <w:style w:type="character" w:customStyle="1" w:styleId="TitleChar">
    <w:name w:val="Title Char"/>
    <w:basedOn w:val="DefaultParagraphFont"/>
    <w:link w:val="Title"/>
    <w:rsid w:val="00874916"/>
    <w:rPr>
      <w:rFonts w:asciiTheme="majorHAnsi" w:eastAsia="SimSun" w:hAnsiTheme="majorHAnsi" w:cstheme="majorBidi"/>
      <w:b/>
      <w:bCs/>
      <w:kern w:val="2"/>
      <w:sz w:val="32"/>
      <w:szCs w:val="32"/>
      <w:lang w:eastAsia="zh-CN"/>
    </w:rPr>
  </w:style>
  <w:style w:type="character" w:customStyle="1" w:styleId="fontstyle01">
    <w:name w:val="fontstyle01"/>
    <w:basedOn w:val="DefaultParagraphFont"/>
    <w:rsid w:val="00874916"/>
    <w:rPr>
      <w:rFonts w:ascii="TimesNewRoman" w:hAnsi="TimesNewRoman" w:hint="default"/>
      <w:b w:val="0"/>
      <w:bCs w:val="0"/>
      <w:i w:val="0"/>
      <w:iCs w:val="0"/>
      <w:color w:val="000000"/>
      <w:sz w:val="24"/>
      <w:szCs w:val="24"/>
    </w:rPr>
  </w:style>
  <w:style w:type="character" w:customStyle="1" w:styleId="HeaderChar">
    <w:name w:val="Header Char"/>
    <w:basedOn w:val="DefaultParagraphFont"/>
    <w:link w:val="Header"/>
    <w:rsid w:val="00874916"/>
    <w:rPr>
      <w:rFonts w:ascii="Abadi MT Condensed Extra Bold" w:hAnsi="Abadi MT Condensed Extra Bold"/>
      <w:color w:val="0000FF"/>
      <w:sz w:val="24"/>
      <w:szCs w:val="24"/>
      <w:shd w:val="pct15" w:color="auto" w:fill="auto"/>
    </w:rPr>
  </w:style>
  <w:style w:type="character" w:customStyle="1" w:styleId="FooterChar">
    <w:name w:val="Footer Char"/>
    <w:basedOn w:val="DefaultParagraphFont"/>
    <w:link w:val="Footer"/>
    <w:uiPriority w:val="99"/>
    <w:rsid w:val="00874916"/>
    <w:rPr>
      <w:rFonts w:ascii="Arial" w:hAnsi="Arial"/>
      <w:sz w:val="22"/>
      <w:szCs w:val="24"/>
    </w:rPr>
  </w:style>
  <w:style w:type="character" w:customStyle="1" w:styleId="FootnoteTextChar">
    <w:name w:val="Footnote Text Char"/>
    <w:basedOn w:val="DefaultParagraphFont"/>
    <w:link w:val="FootnoteText"/>
    <w:rsid w:val="00874916"/>
    <w:rPr>
      <w:szCs w:val="24"/>
    </w:rPr>
  </w:style>
  <w:style w:type="paragraph" w:customStyle="1" w:styleId="yiv5120391924ydp93862369ydp86d6a1bbmsonormal">
    <w:name w:val="yiv5120391924ydp93862369ydp86d6a1bbmsonormal"/>
    <w:basedOn w:val="Normal"/>
    <w:rsid w:val="009F083A"/>
    <w:pPr>
      <w:spacing w:before="100" w:beforeAutospacing="1" w:after="100" w:afterAutospacing="1"/>
    </w:pPr>
    <w:rPr>
      <w:lang w:bidi="ta-IN"/>
    </w:rPr>
  </w:style>
  <w:style w:type="paragraph" w:customStyle="1" w:styleId="yiv0974411669msonormal">
    <w:name w:val="yiv0974411669msonormal"/>
    <w:basedOn w:val="Normal"/>
    <w:rsid w:val="004B401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08792">
      <w:bodyDiv w:val="1"/>
      <w:marLeft w:val="0"/>
      <w:marRight w:val="0"/>
      <w:marTop w:val="0"/>
      <w:marBottom w:val="0"/>
      <w:divBdr>
        <w:top w:val="none" w:sz="0" w:space="0" w:color="auto"/>
        <w:left w:val="none" w:sz="0" w:space="0" w:color="auto"/>
        <w:bottom w:val="none" w:sz="0" w:space="0" w:color="auto"/>
        <w:right w:val="none" w:sz="0" w:space="0" w:color="auto"/>
      </w:divBdr>
      <w:divsChild>
        <w:div w:id="786773007">
          <w:marLeft w:val="562"/>
          <w:marRight w:val="0"/>
          <w:marTop w:val="0"/>
          <w:marBottom w:val="0"/>
          <w:divBdr>
            <w:top w:val="none" w:sz="0" w:space="0" w:color="auto"/>
            <w:left w:val="none" w:sz="0" w:space="0" w:color="auto"/>
            <w:bottom w:val="none" w:sz="0" w:space="0" w:color="auto"/>
            <w:right w:val="none" w:sz="0" w:space="0" w:color="auto"/>
          </w:divBdr>
        </w:div>
        <w:div w:id="782722832">
          <w:marLeft w:val="562"/>
          <w:marRight w:val="0"/>
          <w:marTop w:val="0"/>
          <w:marBottom w:val="0"/>
          <w:divBdr>
            <w:top w:val="none" w:sz="0" w:space="0" w:color="auto"/>
            <w:left w:val="none" w:sz="0" w:space="0" w:color="auto"/>
            <w:bottom w:val="none" w:sz="0" w:space="0" w:color="auto"/>
            <w:right w:val="none" w:sz="0" w:space="0" w:color="auto"/>
          </w:divBdr>
        </w:div>
        <w:div w:id="243301608">
          <w:marLeft w:val="562"/>
          <w:marRight w:val="0"/>
          <w:marTop w:val="0"/>
          <w:marBottom w:val="0"/>
          <w:divBdr>
            <w:top w:val="none" w:sz="0" w:space="0" w:color="auto"/>
            <w:left w:val="none" w:sz="0" w:space="0" w:color="auto"/>
            <w:bottom w:val="none" w:sz="0" w:space="0" w:color="auto"/>
            <w:right w:val="none" w:sz="0" w:space="0" w:color="auto"/>
          </w:divBdr>
        </w:div>
        <w:div w:id="623192104">
          <w:marLeft w:val="562"/>
          <w:marRight w:val="0"/>
          <w:marTop w:val="0"/>
          <w:marBottom w:val="0"/>
          <w:divBdr>
            <w:top w:val="none" w:sz="0" w:space="0" w:color="auto"/>
            <w:left w:val="none" w:sz="0" w:space="0" w:color="auto"/>
            <w:bottom w:val="none" w:sz="0" w:space="0" w:color="auto"/>
            <w:right w:val="none" w:sz="0" w:space="0" w:color="auto"/>
          </w:divBdr>
        </w:div>
      </w:divsChild>
    </w:div>
    <w:div w:id="649403084">
      <w:bodyDiv w:val="1"/>
      <w:marLeft w:val="0"/>
      <w:marRight w:val="0"/>
      <w:marTop w:val="0"/>
      <w:marBottom w:val="0"/>
      <w:divBdr>
        <w:top w:val="none" w:sz="0" w:space="0" w:color="auto"/>
        <w:left w:val="none" w:sz="0" w:space="0" w:color="auto"/>
        <w:bottom w:val="none" w:sz="0" w:space="0" w:color="auto"/>
        <w:right w:val="none" w:sz="0" w:space="0" w:color="auto"/>
      </w:divBdr>
    </w:div>
    <w:div w:id="982390207">
      <w:bodyDiv w:val="1"/>
      <w:marLeft w:val="0"/>
      <w:marRight w:val="0"/>
      <w:marTop w:val="0"/>
      <w:marBottom w:val="0"/>
      <w:divBdr>
        <w:top w:val="none" w:sz="0" w:space="0" w:color="auto"/>
        <w:left w:val="none" w:sz="0" w:space="0" w:color="auto"/>
        <w:bottom w:val="none" w:sz="0" w:space="0" w:color="auto"/>
        <w:right w:val="none" w:sz="0" w:space="0" w:color="auto"/>
      </w:divBdr>
      <w:divsChild>
        <w:div w:id="930547681">
          <w:marLeft w:val="360"/>
          <w:marRight w:val="0"/>
          <w:marTop w:val="200"/>
          <w:marBottom w:val="0"/>
          <w:divBdr>
            <w:top w:val="none" w:sz="0" w:space="0" w:color="auto"/>
            <w:left w:val="none" w:sz="0" w:space="0" w:color="auto"/>
            <w:bottom w:val="none" w:sz="0" w:space="0" w:color="auto"/>
            <w:right w:val="none" w:sz="0" w:space="0" w:color="auto"/>
          </w:divBdr>
        </w:div>
        <w:div w:id="1917785166">
          <w:marLeft w:val="360"/>
          <w:marRight w:val="0"/>
          <w:marTop w:val="200"/>
          <w:marBottom w:val="0"/>
          <w:divBdr>
            <w:top w:val="none" w:sz="0" w:space="0" w:color="auto"/>
            <w:left w:val="none" w:sz="0" w:space="0" w:color="auto"/>
            <w:bottom w:val="none" w:sz="0" w:space="0" w:color="auto"/>
            <w:right w:val="none" w:sz="0" w:space="0" w:color="auto"/>
          </w:divBdr>
        </w:div>
        <w:div w:id="1869827340">
          <w:marLeft w:val="360"/>
          <w:marRight w:val="0"/>
          <w:marTop w:val="200"/>
          <w:marBottom w:val="0"/>
          <w:divBdr>
            <w:top w:val="none" w:sz="0" w:space="0" w:color="auto"/>
            <w:left w:val="none" w:sz="0" w:space="0" w:color="auto"/>
            <w:bottom w:val="none" w:sz="0" w:space="0" w:color="auto"/>
            <w:right w:val="none" w:sz="0" w:space="0" w:color="auto"/>
          </w:divBdr>
        </w:div>
        <w:div w:id="220337581">
          <w:marLeft w:val="360"/>
          <w:marRight w:val="0"/>
          <w:marTop w:val="200"/>
          <w:marBottom w:val="0"/>
          <w:divBdr>
            <w:top w:val="none" w:sz="0" w:space="0" w:color="auto"/>
            <w:left w:val="none" w:sz="0" w:space="0" w:color="auto"/>
            <w:bottom w:val="none" w:sz="0" w:space="0" w:color="auto"/>
            <w:right w:val="none" w:sz="0" w:space="0" w:color="auto"/>
          </w:divBdr>
        </w:div>
        <w:div w:id="280654227">
          <w:marLeft w:val="360"/>
          <w:marRight w:val="0"/>
          <w:marTop w:val="200"/>
          <w:marBottom w:val="0"/>
          <w:divBdr>
            <w:top w:val="none" w:sz="0" w:space="0" w:color="auto"/>
            <w:left w:val="none" w:sz="0" w:space="0" w:color="auto"/>
            <w:bottom w:val="none" w:sz="0" w:space="0" w:color="auto"/>
            <w:right w:val="none" w:sz="0" w:space="0" w:color="auto"/>
          </w:divBdr>
        </w:div>
      </w:divsChild>
    </w:div>
    <w:div w:id="1026098608">
      <w:bodyDiv w:val="1"/>
      <w:marLeft w:val="0"/>
      <w:marRight w:val="0"/>
      <w:marTop w:val="0"/>
      <w:marBottom w:val="0"/>
      <w:divBdr>
        <w:top w:val="none" w:sz="0" w:space="0" w:color="auto"/>
        <w:left w:val="none" w:sz="0" w:space="0" w:color="auto"/>
        <w:bottom w:val="none" w:sz="0" w:space="0" w:color="auto"/>
        <w:right w:val="none" w:sz="0" w:space="0" w:color="auto"/>
      </w:divBdr>
    </w:div>
    <w:div w:id="1162624419">
      <w:bodyDiv w:val="1"/>
      <w:marLeft w:val="0"/>
      <w:marRight w:val="0"/>
      <w:marTop w:val="0"/>
      <w:marBottom w:val="0"/>
      <w:divBdr>
        <w:top w:val="none" w:sz="0" w:space="0" w:color="auto"/>
        <w:left w:val="none" w:sz="0" w:space="0" w:color="auto"/>
        <w:bottom w:val="none" w:sz="0" w:space="0" w:color="auto"/>
        <w:right w:val="none" w:sz="0" w:space="0" w:color="auto"/>
      </w:divBdr>
      <w:divsChild>
        <w:div w:id="1617131832">
          <w:marLeft w:val="562"/>
          <w:marRight w:val="0"/>
          <w:marTop w:val="0"/>
          <w:marBottom w:val="0"/>
          <w:divBdr>
            <w:top w:val="none" w:sz="0" w:space="0" w:color="auto"/>
            <w:left w:val="none" w:sz="0" w:space="0" w:color="auto"/>
            <w:bottom w:val="none" w:sz="0" w:space="0" w:color="auto"/>
            <w:right w:val="none" w:sz="0" w:space="0" w:color="auto"/>
          </w:divBdr>
        </w:div>
        <w:div w:id="395979801">
          <w:marLeft w:val="562"/>
          <w:marRight w:val="0"/>
          <w:marTop w:val="0"/>
          <w:marBottom w:val="0"/>
          <w:divBdr>
            <w:top w:val="none" w:sz="0" w:space="0" w:color="auto"/>
            <w:left w:val="none" w:sz="0" w:space="0" w:color="auto"/>
            <w:bottom w:val="none" w:sz="0" w:space="0" w:color="auto"/>
            <w:right w:val="none" w:sz="0" w:space="0" w:color="auto"/>
          </w:divBdr>
        </w:div>
        <w:div w:id="502165508">
          <w:marLeft w:val="562"/>
          <w:marRight w:val="0"/>
          <w:marTop w:val="0"/>
          <w:marBottom w:val="0"/>
          <w:divBdr>
            <w:top w:val="none" w:sz="0" w:space="0" w:color="auto"/>
            <w:left w:val="none" w:sz="0" w:space="0" w:color="auto"/>
            <w:bottom w:val="none" w:sz="0" w:space="0" w:color="auto"/>
            <w:right w:val="none" w:sz="0" w:space="0" w:color="auto"/>
          </w:divBdr>
        </w:div>
        <w:div w:id="634525970">
          <w:marLeft w:val="562"/>
          <w:marRight w:val="0"/>
          <w:marTop w:val="0"/>
          <w:marBottom w:val="0"/>
          <w:divBdr>
            <w:top w:val="none" w:sz="0" w:space="0" w:color="auto"/>
            <w:left w:val="none" w:sz="0" w:space="0" w:color="auto"/>
            <w:bottom w:val="none" w:sz="0" w:space="0" w:color="auto"/>
            <w:right w:val="none" w:sz="0" w:space="0" w:color="auto"/>
          </w:divBdr>
        </w:div>
      </w:divsChild>
    </w:div>
    <w:div w:id="1450010583">
      <w:bodyDiv w:val="1"/>
      <w:marLeft w:val="0"/>
      <w:marRight w:val="0"/>
      <w:marTop w:val="0"/>
      <w:marBottom w:val="0"/>
      <w:divBdr>
        <w:top w:val="none" w:sz="0" w:space="0" w:color="auto"/>
        <w:left w:val="none" w:sz="0" w:space="0" w:color="auto"/>
        <w:bottom w:val="none" w:sz="0" w:space="0" w:color="auto"/>
        <w:right w:val="none" w:sz="0" w:space="0" w:color="auto"/>
      </w:divBdr>
    </w:div>
    <w:div w:id="188255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6.xm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chart" Target="charts/chart5.xml"/><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chart" Target="charts/chart1.xml"/><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chart" Target="charts/chart3.xml"/><Relationship Id="rId35"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ian\Report%20Basic.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D:\Personal%20Documents\results\climate%20change-experiment\climate%20change%20field-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ersonal%20Documents\results\climate%20change-experiment\climate%20change%20field-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FAO-IGG%202017-2\FAO-IGG%202017%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847608731525"/>
          <c:y val="7.4168890576160093E-2"/>
          <c:w val="0.63951527255341001"/>
          <c:h val="0.79028231682873995"/>
        </c:manualLayout>
      </c:layout>
      <c:barChart>
        <c:barDir val="col"/>
        <c:grouping val="clustered"/>
        <c:varyColors val="0"/>
        <c:ser>
          <c:idx val="0"/>
          <c:order val="0"/>
          <c:tx>
            <c:strRef>
              <c:f>'C balance_cultivation'!$D$2</c:f>
              <c:strCache>
                <c:ptCount val="1"/>
                <c:pt idx="0">
                  <c:v>Tea</c:v>
                </c:pt>
              </c:strCache>
            </c:strRef>
          </c:tx>
          <c:spPr>
            <a:solidFill>
              <a:srgbClr val="FFFFFF"/>
            </a:solidFill>
            <a:ln w="12700">
              <a:solidFill>
                <a:srgbClr val="000000"/>
              </a:solidFill>
              <a:prstDash val="solid"/>
            </a:ln>
          </c:spPr>
          <c:invertIfNegative val="0"/>
          <c:cat>
            <c:strRef>
              <c:f>'C balance_cultivation'!$C$3:$C$5</c:f>
              <c:strCache>
                <c:ptCount val="3"/>
                <c:pt idx="0">
                  <c:v>Low-Country</c:v>
                </c:pt>
                <c:pt idx="1">
                  <c:v>Mid-Country</c:v>
                </c:pt>
                <c:pt idx="2">
                  <c:v>Up-Country</c:v>
                </c:pt>
              </c:strCache>
            </c:strRef>
          </c:cat>
          <c:val>
            <c:numRef>
              <c:f>'C balance_cultivation'!$D$3:$D$5</c:f>
              <c:numCache>
                <c:formatCode>General</c:formatCode>
                <c:ptCount val="3"/>
                <c:pt idx="0">
                  <c:v>9.0940800000000017</c:v>
                </c:pt>
                <c:pt idx="1">
                  <c:v>9.8152900000000027</c:v>
                </c:pt>
                <c:pt idx="2">
                  <c:v>9.6610900000000015</c:v>
                </c:pt>
              </c:numCache>
            </c:numRef>
          </c:val>
        </c:ser>
        <c:ser>
          <c:idx val="1"/>
          <c:order val="1"/>
          <c:tx>
            <c:strRef>
              <c:f>'C balance_cultivation'!$E$2</c:f>
              <c:strCache>
                <c:ptCount val="1"/>
                <c:pt idx="0">
                  <c:v>High Sh</c:v>
                </c:pt>
              </c:strCache>
            </c:strRef>
          </c:tx>
          <c:spPr>
            <a:pattFill prst="pct10">
              <a:fgClr>
                <a:srgbClr val="000000"/>
              </a:fgClr>
              <a:bgClr>
                <a:srgbClr val="FFFFFF"/>
              </a:bgClr>
            </a:pattFill>
            <a:ln w="12700">
              <a:solidFill>
                <a:srgbClr val="000000"/>
              </a:solidFill>
              <a:prstDash val="solid"/>
            </a:ln>
          </c:spPr>
          <c:invertIfNegative val="0"/>
          <c:cat>
            <c:strRef>
              <c:f>'C balance_cultivation'!$C$3:$C$5</c:f>
              <c:strCache>
                <c:ptCount val="3"/>
                <c:pt idx="0">
                  <c:v>Low-Country</c:v>
                </c:pt>
                <c:pt idx="1">
                  <c:v>Mid-Country</c:v>
                </c:pt>
                <c:pt idx="2">
                  <c:v>Up-Country</c:v>
                </c:pt>
              </c:strCache>
            </c:strRef>
          </c:cat>
          <c:val>
            <c:numRef>
              <c:f>'C balance_cultivation'!$E$3:$E$5</c:f>
              <c:numCache>
                <c:formatCode>General</c:formatCode>
                <c:ptCount val="3"/>
                <c:pt idx="0">
                  <c:v>7.5250599999999954</c:v>
                </c:pt>
                <c:pt idx="1">
                  <c:v>8.2317999999999998</c:v>
                </c:pt>
                <c:pt idx="2">
                  <c:v>0.42875999999999997</c:v>
                </c:pt>
              </c:numCache>
            </c:numRef>
          </c:val>
        </c:ser>
        <c:ser>
          <c:idx val="2"/>
          <c:order val="2"/>
          <c:tx>
            <c:strRef>
              <c:f>'C balance_cultivation'!$F$2</c:f>
              <c:strCache>
                <c:ptCount val="1"/>
                <c:pt idx="0">
                  <c:v>Medium Sh </c:v>
                </c:pt>
              </c:strCache>
            </c:strRef>
          </c:tx>
          <c:spPr>
            <a:solidFill>
              <a:srgbClr val="000000"/>
            </a:solidFill>
            <a:ln w="12700">
              <a:solidFill>
                <a:srgbClr val="000000"/>
              </a:solidFill>
              <a:prstDash val="solid"/>
            </a:ln>
          </c:spPr>
          <c:invertIfNegative val="0"/>
          <c:cat>
            <c:strRef>
              <c:f>'C balance_cultivation'!$C$3:$C$5</c:f>
              <c:strCache>
                <c:ptCount val="3"/>
                <c:pt idx="0">
                  <c:v>Low-Country</c:v>
                </c:pt>
                <c:pt idx="1">
                  <c:v>Mid-Country</c:v>
                </c:pt>
                <c:pt idx="2">
                  <c:v>Up-Country</c:v>
                </c:pt>
              </c:strCache>
            </c:strRef>
          </c:cat>
          <c:val>
            <c:numRef>
              <c:f>'C balance_cultivation'!$F$3:$F$5</c:f>
              <c:numCache>
                <c:formatCode>General</c:formatCode>
                <c:ptCount val="3"/>
                <c:pt idx="0">
                  <c:v>0.34909000000000001</c:v>
                </c:pt>
                <c:pt idx="1">
                  <c:v>0.53069000000000099</c:v>
                </c:pt>
                <c:pt idx="2">
                  <c:v>4.4493900000000099</c:v>
                </c:pt>
              </c:numCache>
            </c:numRef>
          </c:val>
        </c:ser>
        <c:ser>
          <c:idx val="3"/>
          <c:order val="3"/>
          <c:tx>
            <c:strRef>
              <c:f>'C balance_cultivation'!$G$2</c:f>
              <c:strCache>
                <c:ptCount val="1"/>
                <c:pt idx="0">
                  <c:v>Weeds</c:v>
                </c:pt>
              </c:strCache>
            </c:strRef>
          </c:tx>
          <c:spPr>
            <a:pattFill prst="ltDnDiag">
              <a:fgClr>
                <a:srgbClr val="000000"/>
              </a:fgClr>
              <a:bgClr>
                <a:srgbClr val="FFFFFF"/>
              </a:bgClr>
            </a:pattFill>
            <a:ln w="12700">
              <a:solidFill>
                <a:srgbClr val="000000"/>
              </a:solidFill>
              <a:prstDash val="solid"/>
            </a:ln>
          </c:spPr>
          <c:invertIfNegative val="0"/>
          <c:cat>
            <c:strRef>
              <c:f>'C balance_cultivation'!$C$3:$C$5</c:f>
              <c:strCache>
                <c:ptCount val="3"/>
                <c:pt idx="0">
                  <c:v>Low-Country</c:v>
                </c:pt>
                <c:pt idx="1">
                  <c:v>Mid-Country</c:v>
                </c:pt>
                <c:pt idx="2">
                  <c:v>Up-Country</c:v>
                </c:pt>
              </c:strCache>
            </c:strRef>
          </c:cat>
          <c:val>
            <c:numRef>
              <c:f>'C balance_cultivation'!$G$3:$G$5</c:f>
              <c:numCache>
                <c:formatCode>General</c:formatCode>
                <c:ptCount val="3"/>
                <c:pt idx="0">
                  <c:v>2.2570000000000001</c:v>
                </c:pt>
                <c:pt idx="1">
                  <c:v>2.2400000000000002</c:v>
                </c:pt>
                <c:pt idx="2">
                  <c:v>2.1429999999999998</c:v>
                </c:pt>
              </c:numCache>
            </c:numRef>
          </c:val>
        </c:ser>
        <c:dLbls>
          <c:showLegendKey val="0"/>
          <c:showVal val="0"/>
          <c:showCatName val="0"/>
          <c:showSerName val="0"/>
          <c:showPercent val="0"/>
          <c:showBubbleSize val="0"/>
        </c:dLbls>
        <c:gapWidth val="150"/>
        <c:axId val="734528616"/>
        <c:axId val="734529008"/>
      </c:barChart>
      <c:catAx>
        <c:axId val="7345286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734529008"/>
        <c:crosses val="autoZero"/>
        <c:auto val="1"/>
        <c:lblAlgn val="ctr"/>
        <c:lblOffset val="100"/>
        <c:tickLblSkip val="1"/>
        <c:tickMarkSkip val="1"/>
        <c:noMultiLvlLbl val="0"/>
      </c:catAx>
      <c:valAx>
        <c:axId val="734529008"/>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GB" sz="1200" b="1" i="0" u="none" strike="noStrike" baseline="0">
                    <a:solidFill>
                      <a:srgbClr val="000000"/>
                    </a:solidFill>
                    <a:latin typeface="Arial"/>
                    <a:cs typeface="Arial"/>
                  </a:rPr>
                  <a:t>Net C Absorption (t ha</a:t>
                </a:r>
                <a:r>
                  <a:rPr lang="en-GB" sz="1200" b="1" i="0" u="none" strike="noStrike" baseline="30000">
                    <a:solidFill>
                      <a:srgbClr val="000000"/>
                    </a:solidFill>
                    <a:latin typeface="Arial"/>
                    <a:cs typeface="Arial"/>
                  </a:rPr>
                  <a:t>-1</a:t>
                </a:r>
                <a:r>
                  <a:rPr lang="en-GB" sz="1200" b="1" i="0" u="none" strike="noStrike" baseline="0">
                    <a:solidFill>
                      <a:srgbClr val="000000"/>
                    </a:solidFill>
                    <a:latin typeface="Arial"/>
                    <a:cs typeface="Arial"/>
                  </a:rPr>
                  <a:t> yr</a:t>
                </a:r>
                <a:r>
                  <a:rPr lang="en-GB" sz="1200" b="1" i="0" u="none" strike="noStrike" baseline="30000">
                    <a:solidFill>
                      <a:srgbClr val="000000"/>
                    </a:solidFill>
                    <a:latin typeface="Arial"/>
                    <a:cs typeface="Arial"/>
                  </a:rPr>
                  <a:t>-1</a:t>
                </a:r>
                <a:r>
                  <a:rPr lang="en-GB" sz="1200" b="1" i="0" u="none" strike="noStrike" baseline="0">
                    <a:solidFill>
                      <a:srgbClr val="000000"/>
                    </a:solidFill>
                    <a:latin typeface="Arial"/>
                    <a:cs typeface="Arial"/>
                  </a:rPr>
                  <a:t>)</a:t>
                </a:r>
              </a:p>
            </c:rich>
          </c:tx>
          <c:layout>
            <c:manualLayout>
              <c:xMode val="edge"/>
              <c:yMode val="edge"/>
              <c:x val="2.7729659514511E-2"/>
              <c:y val="0.17135571271043901"/>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734528616"/>
        <c:crosses val="autoZero"/>
        <c:crossBetween val="between"/>
      </c:valAx>
      <c:spPr>
        <a:solidFill>
          <a:srgbClr val="FFFFFF"/>
        </a:solidFill>
        <a:ln w="12700">
          <a:solidFill>
            <a:srgbClr val="808080"/>
          </a:solidFill>
          <a:prstDash val="solid"/>
        </a:ln>
      </c:spPr>
    </c:plotArea>
    <c:legend>
      <c:legendPos val="r"/>
      <c:layout>
        <c:manualLayout>
          <c:xMode val="edge"/>
          <c:yMode val="edge"/>
          <c:x val="0.80242702220116002"/>
          <c:y val="0.35038406927358501"/>
          <c:w val="0.18370899428363499"/>
          <c:h val="0.23785195943389301"/>
        </c:manualLayout>
      </c:layout>
      <c:overlay val="0"/>
      <c:spPr>
        <a:solidFill>
          <a:srgbClr val="FFFFFF"/>
        </a:solidFill>
        <a:ln w="3175">
          <a:solidFill>
            <a:srgbClr val="000000"/>
          </a:solidFill>
          <a:prstDash val="solid"/>
        </a:ln>
      </c:spPr>
      <c:txPr>
        <a:bodyPr/>
        <a:lstStyle/>
        <a:p>
          <a:pPr>
            <a:defRPr sz="101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249675254613"/>
          <c:y val="7.4168890576160093E-2"/>
          <c:w val="0.64991389487134998"/>
          <c:h val="0.79028231682873995"/>
        </c:manualLayout>
      </c:layout>
      <c:barChart>
        <c:barDir val="col"/>
        <c:grouping val="clustered"/>
        <c:varyColors val="0"/>
        <c:ser>
          <c:idx val="0"/>
          <c:order val="0"/>
          <c:tx>
            <c:strRef>
              <c:f>'C Outputs'!$N$9</c:f>
              <c:strCache>
                <c:ptCount val="1"/>
                <c:pt idx="0">
                  <c:v>Soil Resp</c:v>
                </c:pt>
              </c:strCache>
            </c:strRef>
          </c:tx>
          <c:spPr>
            <a:solidFill>
              <a:srgbClr val="FFFFFF"/>
            </a:solidFill>
            <a:ln w="12700">
              <a:solidFill>
                <a:srgbClr val="000000"/>
              </a:solidFill>
              <a:prstDash val="solid"/>
            </a:ln>
          </c:spPr>
          <c:invertIfNegative val="0"/>
          <c:cat>
            <c:strRef>
              <c:f>'C Outputs'!$M$10:$M$12</c:f>
              <c:strCache>
                <c:ptCount val="3"/>
                <c:pt idx="0">
                  <c:v>Low-Country</c:v>
                </c:pt>
                <c:pt idx="1">
                  <c:v>Mid-Country</c:v>
                </c:pt>
                <c:pt idx="2">
                  <c:v>Up-Country</c:v>
                </c:pt>
              </c:strCache>
            </c:strRef>
          </c:cat>
          <c:val>
            <c:numRef>
              <c:f>'C Outputs'!$N$10:$N$12</c:f>
              <c:numCache>
                <c:formatCode>General</c:formatCode>
                <c:ptCount val="3"/>
                <c:pt idx="0">
                  <c:v>3.7090000000000001</c:v>
                </c:pt>
                <c:pt idx="1">
                  <c:v>3.008</c:v>
                </c:pt>
                <c:pt idx="2">
                  <c:v>3.5089999999999999</c:v>
                </c:pt>
              </c:numCache>
            </c:numRef>
          </c:val>
        </c:ser>
        <c:ser>
          <c:idx val="1"/>
          <c:order val="1"/>
          <c:tx>
            <c:strRef>
              <c:f>'C Outputs'!$O$9</c:f>
              <c:strCache>
                <c:ptCount val="1"/>
                <c:pt idx="0">
                  <c:v>Soil Erosion</c:v>
                </c:pt>
              </c:strCache>
            </c:strRef>
          </c:tx>
          <c:spPr>
            <a:pattFill prst="pct50">
              <a:fgClr>
                <a:srgbClr val="000000"/>
              </a:fgClr>
              <a:bgClr>
                <a:srgbClr val="FFFFFF"/>
              </a:bgClr>
            </a:pattFill>
            <a:ln w="12700">
              <a:solidFill>
                <a:srgbClr val="000000"/>
              </a:solidFill>
              <a:prstDash val="solid"/>
            </a:ln>
          </c:spPr>
          <c:invertIfNegative val="0"/>
          <c:cat>
            <c:strRef>
              <c:f>'C Outputs'!$M$10:$M$12</c:f>
              <c:strCache>
                <c:ptCount val="3"/>
                <c:pt idx="0">
                  <c:v>Low-Country</c:v>
                </c:pt>
                <c:pt idx="1">
                  <c:v>Mid-Country</c:v>
                </c:pt>
                <c:pt idx="2">
                  <c:v>Up-Country</c:v>
                </c:pt>
              </c:strCache>
            </c:strRef>
          </c:cat>
          <c:val>
            <c:numRef>
              <c:f>'C Outputs'!$O$10:$O$12</c:f>
              <c:numCache>
                <c:formatCode>General</c:formatCode>
                <c:ptCount val="3"/>
                <c:pt idx="0">
                  <c:v>9.1629999999999993E-3</c:v>
                </c:pt>
                <c:pt idx="1">
                  <c:v>7.5950000000000097E-3</c:v>
                </c:pt>
                <c:pt idx="2">
                  <c:v>9.5320000000000092E-3</c:v>
                </c:pt>
              </c:numCache>
            </c:numRef>
          </c:val>
        </c:ser>
        <c:ser>
          <c:idx val="2"/>
          <c:order val="2"/>
          <c:tx>
            <c:strRef>
              <c:f>'C Outputs'!$P$9</c:f>
              <c:strCache>
                <c:ptCount val="1"/>
                <c:pt idx="0">
                  <c:v>Fuelwood</c:v>
                </c:pt>
              </c:strCache>
            </c:strRef>
          </c:tx>
          <c:spPr>
            <a:pattFill prst="pct5">
              <a:fgClr>
                <a:srgbClr val="000000"/>
              </a:fgClr>
              <a:bgClr>
                <a:srgbClr val="FFFFFF"/>
              </a:bgClr>
            </a:pattFill>
            <a:ln w="12700">
              <a:solidFill>
                <a:srgbClr val="000000"/>
              </a:solidFill>
              <a:prstDash val="solid"/>
            </a:ln>
          </c:spPr>
          <c:invertIfNegative val="0"/>
          <c:cat>
            <c:strRef>
              <c:f>'C Outputs'!$M$10:$M$12</c:f>
              <c:strCache>
                <c:ptCount val="3"/>
                <c:pt idx="0">
                  <c:v>Low-Country</c:v>
                </c:pt>
                <c:pt idx="1">
                  <c:v>Mid-Country</c:v>
                </c:pt>
                <c:pt idx="2">
                  <c:v>Up-Country</c:v>
                </c:pt>
              </c:strCache>
            </c:strRef>
          </c:cat>
          <c:val>
            <c:numRef>
              <c:f>'C Outputs'!$P$10:$P$12</c:f>
              <c:numCache>
                <c:formatCode>General</c:formatCode>
                <c:ptCount val="3"/>
                <c:pt idx="0">
                  <c:v>0.70978000000000097</c:v>
                </c:pt>
                <c:pt idx="1">
                  <c:v>0.31868999999999997</c:v>
                </c:pt>
                <c:pt idx="2">
                  <c:v>0.61668000000000101</c:v>
                </c:pt>
              </c:numCache>
            </c:numRef>
          </c:val>
        </c:ser>
        <c:ser>
          <c:idx val="3"/>
          <c:order val="3"/>
          <c:tx>
            <c:strRef>
              <c:f>'C Outputs'!$Q$9</c:f>
              <c:strCache>
                <c:ptCount val="1"/>
                <c:pt idx="0">
                  <c:v>Fuel</c:v>
                </c:pt>
              </c:strCache>
            </c:strRef>
          </c:tx>
          <c:spPr>
            <a:pattFill prst="ltDnDiag">
              <a:fgClr>
                <a:srgbClr val="000000"/>
              </a:fgClr>
              <a:bgClr>
                <a:srgbClr val="FFFFFF"/>
              </a:bgClr>
            </a:pattFill>
            <a:ln w="12700">
              <a:solidFill>
                <a:srgbClr val="000000"/>
              </a:solidFill>
              <a:prstDash val="solid"/>
            </a:ln>
          </c:spPr>
          <c:invertIfNegative val="0"/>
          <c:cat>
            <c:strRef>
              <c:f>'C Outputs'!$M$10:$M$12</c:f>
              <c:strCache>
                <c:ptCount val="3"/>
                <c:pt idx="0">
                  <c:v>Low-Country</c:v>
                </c:pt>
                <c:pt idx="1">
                  <c:v>Mid-Country</c:v>
                </c:pt>
                <c:pt idx="2">
                  <c:v>Up-Country</c:v>
                </c:pt>
              </c:strCache>
            </c:strRef>
          </c:cat>
          <c:val>
            <c:numRef>
              <c:f>'C Outputs'!$Q$10:$Q$12</c:f>
              <c:numCache>
                <c:formatCode>General</c:formatCode>
                <c:ptCount val="3"/>
                <c:pt idx="0">
                  <c:v>4.5987290529999996</c:v>
                </c:pt>
                <c:pt idx="1">
                  <c:v>2.064786952000004</c:v>
                </c:pt>
                <c:pt idx="2">
                  <c:v>3.9954781139999942</c:v>
                </c:pt>
              </c:numCache>
            </c:numRef>
          </c:val>
        </c:ser>
        <c:ser>
          <c:idx val="4"/>
          <c:order val="4"/>
          <c:tx>
            <c:strRef>
              <c:f>'C Outputs'!$R$9</c:f>
              <c:strCache>
                <c:ptCount val="1"/>
                <c:pt idx="0">
                  <c:v>Electricity</c:v>
                </c:pt>
              </c:strCache>
            </c:strRef>
          </c:tx>
          <c:spPr>
            <a:solidFill>
              <a:srgbClr val="000000"/>
            </a:solidFill>
            <a:ln w="12700">
              <a:solidFill>
                <a:srgbClr val="000000"/>
              </a:solidFill>
              <a:prstDash val="solid"/>
            </a:ln>
          </c:spPr>
          <c:invertIfNegative val="0"/>
          <c:cat>
            <c:strRef>
              <c:f>'C Outputs'!$M$10:$M$12</c:f>
              <c:strCache>
                <c:ptCount val="3"/>
                <c:pt idx="0">
                  <c:v>Low-Country</c:v>
                </c:pt>
                <c:pt idx="1">
                  <c:v>Mid-Country</c:v>
                </c:pt>
                <c:pt idx="2">
                  <c:v>Up-Country</c:v>
                </c:pt>
              </c:strCache>
            </c:strRef>
          </c:cat>
          <c:val>
            <c:numRef>
              <c:f>'C Outputs'!$R$10:$R$12</c:f>
              <c:numCache>
                <c:formatCode>General</c:formatCode>
                <c:ptCount val="3"/>
                <c:pt idx="0">
                  <c:v>9.4002000000000002E-2</c:v>
                </c:pt>
                <c:pt idx="1">
                  <c:v>4.2206E-2</c:v>
                </c:pt>
                <c:pt idx="2">
                  <c:v>8.1670999999999994E-2</c:v>
                </c:pt>
              </c:numCache>
            </c:numRef>
          </c:val>
        </c:ser>
        <c:dLbls>
          <c:showLegendKey val="0"/>
          <c:showVal val="0"/>
          <c:showCatName val="0"/>
          <c:showSerName val="0"/>
          <c:showPercent val="0"/>
          <c:showBubbleSize val="0"/>
        </c:dLbls>
        <c:gapWidth val="150"/>
        <c:axId val="326801712"/>
        <c:axId val="326802104"/>
      </c:barChart>
      <c:catAx>
        <c:axId val="326801712"/>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26802104"/>
        <c:crosses val="autoZero"/>
        <c:auto val="1"/>
        <c:lblAlgn val="ctr"/>
        <c:lblOffset val="100"/>
        <c:tickLblSkip val="1"/>
        <c:tickMarkSkip val="1"/>
        <c:noMultiLvlLbl val="0"/>
      </c:catAx>
      <c:valAx>
        <c:axId val="326802104"/>
        <c:scaling>
          <c:orientation val="minMax"/>
          <c:max val="5"/>
          <c:min val="0"/>
        </c:scaling>
        <c:delete val="0"/>
        <c:axPos val="l"/>
        <c:title>
          <c:tx>
            <c:rich>
              <a:bodyPr/>
              <a:lstStyle/>
              <a:p>
                <a:pPr>
                  <a:defRPr sz="1200" b="1" i="0" u="none" strike="noStrike" baseline="0">
                    <a:solidFill>
                      <a:srgbClr val="000000"/>
                    </a:solidFill>
                    <a:latin typeface="Arial"/>
                    <a:ea typeface="Arial"/>
                    <a:cs typeface="Arial"/>
                  </a:defRPr>
                </a:pPr>
                <a:r>
                  <a:rPr lang="en-GB" sz="1200" b="1" i="0" u="none" strike="noStrike" baseline="0">
                    <a:solidFill>
                      <a:srgbClr val="000000"/>
                    </a:solidFill>
                    <a:latin typeface="Arial"/>
                    <a:cs typeface="Arial"/>
                  </a:rPr>
                  <a:t>C Emissions (t ha</a:t>
                </a:r>
                <a:r>
                  <a:rPr lang="en-GB" sz="1200" b="1" i="0" u="none" strike="noStrike" baseline="30000">
                    <a:solidFill>
                      <a:srgbClr val="000000"/>
                    </a:solidFill>
                    <a:latin typeface="Arial"/>
                    <a:cs typeface="Arial"/>
                  </a:rPr>
                  <a:t>-1</a:t>
                </a:r>
                <a:r>
                  <a:rPr lang="en-GB" sz="1200" b="1" i="0" u="none" strike="noStrike" baseline="0">
                    <a:solidFill>
                      <a:srgbClr val="000000"/>
                    </a:solidFill>
                    <a:latin typeface="Arial"/>
                    <a:cs typeface="Arial"/>
                  </a:rPr>
                  <a:t> yr</a:t>
                </a:r>
                <a:r>
                  <a:rPr lang="en-GB" sz="1200" b="1" i="0" u="none" strike="noStrike" baseline="30000">
                    <a:solidFill>
                      <a:srgbClr val="000000"/>
                    </a:solidFill>
                    <a:latin typeface="Arial"/>
                    <a:cs typeface="Arial"/>
                  </a:rPr>
                  <a:t>-1</a:t>
                </a:r>
                <a:r>
                  <a:rPr lang="en-GB" sz="1200" b="1" i="0" u="none" strike="noStrike" baseline="0">
                    <a:solidFill>
                      <a:srgbClr val="000000"/>
                    </a:solidFill>
                    <a:latin typeface="Arial"/>
                    <a:cs typeface="Arial"/>
                  </a:rPr>
                  <a:t>)</a:t>
                </a:r>
              </a:p>
            </c:rich>
          </c:tx>
          <c:layout>
            <c:manualLayout>
              <c:xMode val="edge"/>
              <c:yMode val="edge"/>
              <c:x val="2.7729659514510899E-2"/>
              <c:y val="0.21739157582667601"/>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26801712"/>
        <c:crosses val="autoZero"/>
        <c:crossBetween val="between"/>
        <c:majorUnit val="1"/>
        <c:minorUnit val="0.5"/>
      </c:valAx>
      <c:spPr>
        <a:solidFill>
          <a:srgbClr val="FFFFFF"/>
        </a:solidFill>
        <a:ln w="12700">
          <a:solidFill>
            <a:srgbClr val="808080"/>
          </a:solidFill>
          <a:prstDash val="solid"/>
        </a:ln>
      </c:spPr>
    </c:plotArea>
    <c:legend>
      <c:legendPos val="r"/>
      <c:layout>
        <c:manualLayout>
          <c:xMode val="edge"/>
          <c:yMode val="edge"/>
          <c:x val="0.79722771104219003"/>
          <c:y val="0.32225104181366099"/>
          <c:w val="0.18890830544260601"/>
          <c:h val="0.29667556230464198"/>
        </c:manualLayout>
      </c:layout>
      <c:overlay val="0"/>
      <c:spPr>
        <a:solidFill>
          <a:srgbClr val="FFFFFF"/>
        </a:solidFill>
        <a:ln w="3175">
          <a:solidFill>
            <a:srgbClr val="000000"/>
          </a:solidFill>
          <a:prstDash val="solid"/>
        </a:ln>
      </c:spPr>
      <c:txPr>
        <a:bodyPr/>
        <a:lstStyle/>
        <a:p>
          <a:pPr>
            <a:defRPr sz="101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16536661466499"/>
          <c:y val="6.8235294117647102E-2"/>
          <c:w val="0.65678627145085899"/>
          <c:h val="0.80705882352941305"/>
        </c:manualLayout>
      </c:layout>
      <c:barChart>
        <c:barDir val="col"/>
        <c:grouping val="clustered"/>
        <c:varyColors val="0"/>
        <c:ser>
          <c:idx val="0"/>
          <c:order val="0"/>
          <c:tx>
            <c:strRef>
              <c:f>Sheet1!$C$49</c:f>
              <c:strCache>
                <c:ptCount val="1"/>
                <c:pt idx="0">
                  <c:v>C Absorption</c:v>
                </c:pt>
              </c:strCache>
            </c:strRef>
          </c:tx>
          <c:spPr>
            <a:pattFill prst="ltUpDiag">
              <a:fgClr>
                <a:srgbClr val="000000"/>
              </a:fgClr>
              <a:bgClr>
                <a:srgbClr val="FFFFFF"/>
              </a:bgClr>
            </a:pattFill>
            <a:ln w="12700">
              <a:solidFill>
                <a:srgbClr val="000000"/>
              </a:solidFill>
              <a:prstDash val="solid"/>
            </a:ln>
          </c:spPr>
          <c:invertIfNegative val="0"/>
          <c:cat>
            <c:strRef>
              <c:f>Sheet1!$B$50:$B$52</c:f>
              <c:strCache>
                <c:ptCount val="3"/>
                <c:pt idx="0">
                  <c:v>Low-Country</c:v>
                </c:pt>
                <c:pt idx="1">
                  <c:v>Mid-Country</c:v>
                </c:pt>
                <c:pt idx="2">
                  <c:v>Up-Country</c:v>
                </c:pt>
              </c:strCache>
            </c:strRef>
          </c:cat>
          <c:val>
            <c:numRef>
              <c:f>Sheet1!$C$50:$C$52</c:f>
              <c:numCache>
                <c:formatCode>General</c:formatCode>
                <c:ptCount val="3"/>
                <c:pt idx="0">
                  <c:v>19.225199999999958</c:v>
                </c:pt>
                <c:pt idx="1">
                  <c:v>20.817799999999991</c:v>
                </c:pt>
                <c:pt idx="2">
                  <c:v>16.682200000000002</c:v>
                </c:pt>
              </c:numCache>
            </c:numRef>
          </c:val>
        </c:ser>
        <c:ser>
          <c:idx val="1"/>
          <c:order val="1"/>
          <c:tx>
            <c:strRef>
              <c:f>Sheet1!$D$49</c:f>
              <c:strCache>
                <c:ptCount val="1"/>
                <c:pt idx="0">
                  <c:v>C Emission</c:v>
                </c:pt>
              </c:strCache>
            </c:strRef>
          </c:tx>
          <c:spPr>
            <a:solidFill>
              <a:srgbClr val="FFFFFF"/>
            </a:solidFill>
            <a:ln w="12700">
              <a:solidFill>
                <a:srgbClr val="000000"/>
              </a:solidFill>
              <a:prstDash val="solid"/>
            </a:ln>
          </c:spPr>
          <c:invertIfNegative val="0"/>
          <c:cat>
            <c:strRef>
              <c:f>Sheet1!$B$50:$B$52</c:f>
              <c:strCache>
                <c:ptCount val="3"/>
                <c:pt idx="0">
                  <c:v>Low-Country</c:v>
                </c:pt>
                <c:pt idx="1">
                  <c:v>Mid-Country</c:v>
                </c:pt>
                <c:pt idx="2">
                  <c:v>Up-Country</c:v>
                </c:pt>
              </c:strCache>
            </c:strRef>
          </c:cat>
          <c:val>
            <c:numRef>
              <c:f>Sheet1!$D$50:$D$52</c:f>
              <c:numCache>
                <c:formatCode>General</c:formatCode>
                <c:ptCount val="3"/>
                <c:pt idx="0">
                  <c:v>9.1206699999999987</c:v>
                </c:pt>
                <c:pt idx="1">
                  <c:v>5.4412800000000026</c:v>
                </c:pt>
                <c:pt idx="2">
                  <c:v>8.2123599999999985</c:v>
                </c:pt>
              </c:numCache>
            </c:numRef>
          </c:val>
        </c:ser>
        <c:ser>
          <c:idx val="2"/>
          <c:order val="2"/>
          <c:tx>
            <c:strRef>
              <c:f>Sheet1!$E$49</c:f>
              <c:strCache>
                <c:ptCount val="1"/>
                <c:pt idx="0">
                  <c:v>C Balance</c:v>
                </c:pt>
              </c:strCache>
            </c:strRef>
          </c:tx>
          <c:spPr>
            <a:solidFill>
              <a:srgbClr val="000000"/>
            </a:solidFill>
            <a:ln w="12700">
              <a:solidFill>
                <a:srgbClr val="000000"/>
              </a:solidFill>
              <a:prstDash val="solid"/>
            </a:ln>
          </c:spPr>
          <c:invertIfNegative val="0"/>
          <c:cat>
            <c:strRef>
              <c:f>Sheet1!$B$50:$B$52</c:f>
              <c:strCache>
                <c:ptCount val="3"/>
                <c:pt idx="0">
                  <c:v>Low-Country</c:v>
                </c:pt>
                <c:pt idx="1">
                  <c:v>Mid-Country</c:v>
                </c:pt>
                <c:pt idx="2">
                  <c:v>Up-Country</c:v>
                </c:pt>
              </c:strCache>
            </c:strRef>
          </c:cat>
          <c:val>
            <c:numRef>
              <c:f>Sheet1!$E$50:$E$52</c:f>
              <c:numCache>
                <c:formatCode>General</c:formatCode>
                <c:ptCount val="3"/>
                <c:pt idx="0">
                  <c:v>10.1046</c:v>
                </c:pt>
                <c:pt idx="1">
                  <c:v>15.37650000000002</c:v>
                </c:pt>
                <c:pt idx="2">
                  <c:v>8.4699000000000026</c:v>
                </c:pt>
              </c:numCache>
            </c:numRef>
          </c:val>
        </c:ser>
        <c:dLbls>
          <c:showLegendKey val="0"/>
          <c:showVal val="0"/>
          <c:showCatName val="0"/>
          <c:showSerName val="0"/>
          <c:showPercent val="0"/>
          <c:showBubbleSize val="0"/>
        </c:dLbls>
        <c:gapWidth val="150"/>
        <c:axId val="326802888"/>
        <c:axId val="326803280"/>
      </c:barChart>
      <c:catAx>
        <c:axId val="326802888"/>
        <c:scaling>
          <c:orientation val="minMax"/>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26803280"/>
        <c:crosses val="autoZero"/>
        <c:auto val="1"/>
        <c:lblAlgn val="ctr"/>
        <c:lblOffset val="100"/>
        <c:tickLblSkip val="1"/>
        <c:tickMarkSkip val="1"/>
        <c:noMultiLvlLbl val="0"/>
      </c:catAx>
      <c:valAx>
        <c:axId val="326803280"/>
        <c:scaling>
          <c:orientation val="minMax"/>
        </c:scaling>
        <c:delete val="0"/>
        <c:axPos val="l"/>
        <c:title>
          <c:tx>
            <c:rich>
              <a:bodyPr/>
              <a:lstStyle/>
              <a:p>
                <a:pPr>
                  <a:defRPr sz="1400" b="1" i="0" u="none" strike="noStrike" baseline="0">
                    <a:solidFill>
                      <a:srgbClr val="000000"/>
                    </a:solidFill>
                    <a:latin typeface="Arial"/>
                    <a:ea typeface="Arial"/>
                    <a:cs typeface="Arial"/>
                  </a:defRPr>
                </a:pPr>
                <a:r>
                  <a:rPr lang="en-GB" sz="1400" b="1" i="0" u="none" strike="noStrike" baseline="0">
                    <a:solidFill>
                      <a:srgbClr val="000000"/>
                    </a:solidFill>
                    <a:latin typeface="Arial"/>
                    <a:cs typeface="Arial"/>
                  </a:rPr>
                  <a:t>Carbon (t ha</a:t>
                </a:r>
                <a:r>
                  <a:rPr lang="en-GB" sz="1400" b="1" i="0" u="none" strike="noStrike" baseline="30000">
                    <a:solidFill>
                      <a:srgbClr val="000000"/>
                    </a:solidFill>
                    <a:latin typeface="Arial"/>
                    <a:cs typeface="Arial"/>
                  </a:rPr>
                  <a:t>-1</a:t>
                </a:r>
                <a:r>
                  <a:rPr lang="en-GB" sz="1400" b="1" i="0" u="none" strike="noStrike" baseline="0">
                    <a:solidFill>
                      <a:srgbClr val="000000"/>
                    </a:solidFill>
                    <a:latin typeface="Arial"/>
                    <a:cs typeface="Arial"/>
                  </a:rPr>
                  <a:t> yr</a:t>
                </a:r>
                <a:r>
                  <a:rPr lang="en-GB" sz="1400" b="1" i="0" u="none" strike="noStrike" baseline="30000">
                    <a:solidFill>
                      <a:srgbClr val="000000"/>
                    </a:solidFill>
                    <a:latin typeface="Arial"/>
                    <a:cs typeface="Arial"/>
                  </a:rPr>
                  <a:t>-1</a:t>
                </a:r>
                <a:r>
                  <a:rPr lang="en-GB" sz="1400" b="1" i="0" u="none" strike="noStrike" baseline="0">
                    <a:solidFill>
                      <a:srgbClr val="000000"/>
                    </a:solidFill>
                    <a:latin typeface="Arial"/>
                    <a:cs typeface="Arial"/>
                  </a:rPr>
                  <a:t>)</a:t>
                </a:r>
              </a:p>
            </c:rich>
          </c:tx>
          <c:layout>
            <c:manualLayout>
              <c:xMode val="edge"/>
              <c:yMode val="edge"/>
              <c:x val="2.4960998439937598E-2"/>
              <c:y val="0.249411764705882"/>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26802888"/>
        <c:crosses val="autoZero"/>
        <c:crossBetween val="between"/>
      </c:valAx>
      <c:spPr>
        <a:solidFill>
          <a:srgbClr val="FFFFFF"/>
        </a:solidFill>
        <a:ln w="12700">
          <a:solidFill>
            <a:srgbClr val="808080"/>
          </a:solidFill>
          <a:prstDash val="solid"/>
        </a:ln>
      </c:spPr>
    </c:plotArea>
    <c:legend>
      <c:legendPos val="r"/>
      <c:layout>
        <c:manualLayout>
          <c:xMode val="edge"/>
          <c:yMode val="edge"/>
          <c:x val="0.80811232449297898"/>
          <c:y val="0.39058823529411901"/>
          <c:w val="0.17940717628705199"/>
          <c:h val="0.16470588235294101"/>
        </c:manualLayout>
      </c:layout>
      <c:overlay val="0"/>
      <c:spPr>
        <a:solidFill>
          <a:srgbClr val="FFFFFF"/>
        </a:solidFill>
        <a:ln w="3175">
          <a:solidFill>
            <a:srgbClr val="000000"/>
          </a:solidFill>
          <a:prstDash val="solid"/>
        </a:ln>
      </c:spPr>
      <c:txPr>
        <a:bodyPr/>
        <a:lstStyle/>
        <a:p>
          <a:pPr>
            <a:defRPr sz="101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Shoot Growth</a:t>
            </a:r>
          </a:p>
        </c:rich>
      </c:tx>
      <c:layout/>
      <c:overlay val="0"/>
    </c:title>
    <c:autoTitleDeleted val="0"/>
    <c:plotArea>
      <c:layout/>
      <c:barChart>
        <c:barDir val="col"/>
        <c:grouping val="clustered"/>
        <c:varyColors val="0"/>
        <c:ser>
          <c:idx val="0"/>
          <c:order val="0"/>
          <c:tx>
            <c:v>Ambient T+2</c:v>
          </c:tx>
          <c:spPr>
            <a:solidFill>
              <a:srgbClr val="FF0000"/>
            </a:solidFill>
          </c:spPr>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Sheet1!$AV$23:$AV$24</c:f>
              <c:strCache>
                <c:ptCount val="2"/>
                <c:pt idx="0">
                  <c:v>Density No./Sq ft</c:v>
                </c:pt>
                <c:pt idx="1">
                  <c:v>Growth Rate mm/wk</c:v>
                </c:pt>
              </c:strCache>
            </c:strRef>
          </c:cat>
          <c:val>
            <c:numRef>
              <c:f>Sheet1!$AV$21:$AW$21</c:f>
              <c:numCache>
                <c:formatCode>General</c:formatCode>
                <c:ptCount val="2"/>
                <c:pt idx="0">
                  <c:v>25.8</c:v>
                </c:pt>
                <c:pt idx="1">
                  <c:v>48</c:v>
                </c:pt>
              </c:numCache>
            </c:numRef>
          </c:val>
        </c:ser>
        <c:ser>
          <c:idx val="1"/>
          <c:order val="1"/>
          <c:tx>
            <c:v>Ambient T</c:v>
          </c:tx>
          <c:spPr>
            <a:solidFill>
              <a:srgbClr val="00B050"/>
            </a:solidFill>
          </c:spPr>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Sheet1!$AV$23:$AV$24</c:f>
              <c:strCache>
                <c:ptCount val="2"/>
                <c:pt idx="0">
                  <c:v>Density No./Sq ft</c:v>
                </c:pt>
                <c:pt idx="1">
                  <c:v>Growth Rate mm/wk</c:v>
                </c:pt>
              </c:strCache>
            </c:strRef>
          </c:cat>
          <c:val>
            <c:numRef>
              <c:f>Sheet1!$AV$22:$AW$22</c:f>
              <c:numCache>
                <c:formatCode>General</c:formatCode>
                <c:ptCount val="2"/>
                <c:pt idx="0">
                  <c:v>35.700000000000003</c:v>
                </c:pt>
                <c:pt idx="1">
                  <c:v>61</c:v>
                </c:pt>
              </c:numCache>
            </c:numRef>
          </c:val>
        </c:ser>
        <c:dLbls>
          <c:showLegendKey val="0"/>
          <c:showVal val="1"/>
          <c:showCatName val="0"/>
          <c:showSerName val="0"/>
          <c:showPercent val="0"/>
          <c:showBubbleSize val="0"/>
        </c:dLbls>
        <c:gapWidth val="150"/>
        <c:overlap val="-25"/>
        <c:axId val="615140616"/>
        <c:axId val="615141008"/>
      </c:barChart>
      <c:catAx>
        <c:axId val="615140616"/>
        <c:scaling>
          <c:orientation val="minMax"/>
        </c:scaling>
        <c:delete val="0"/>
        <c:axPos val="b"/>
        <c:numFmt formatCode="General" sourceLinked="1"/>
        <c:majorTickMark val="none"/>
        <c:minorTickMark val="none"/>
        <c:tickLblPos val="nextTo"/>
        <c:txPr>
          <a:bodyPr/>
          <a:lstStyle/>
          <a:p>
            <a:pPr>
              <a:defRPr sz="1400"/>
            </a:pPr>
            <a:endParaRPr lang="en-US"/>
          </a:p>
        </c:txPr>
        <c:crossAx val="615141008"/>
        <c:crosses val="autoZero"/>
        <c:auto val="1"/>
        <c:lblAlgn val="ctr"/>
        <c:lblOffset val="100"/>
        <c:noMultiLvlLbl val="0"/>
      </c:catAx>
      <c:valAx>
        <c:axId val="615141008"/>
        <c:scaling>
          <c:orientation val="minMax"/>
        </c:scaling>
        <c:delete val="1"/>
        <c:axPos val="l"/>
        <c:numFmt formatCode="General" sourceLinked="1"/>
        <c:majorTickMark val="out"/>
        <c:minorTickMark val="none"/>
        <c:tickLblPos val="nextTo"/>
        <c:crossAx val="615140616"/>
        <c:crosses val="autoZero"/>
        <c:crossBetween val="between"/>
      </c:valAx>
    </c:plotArea>
    <c:legend>
      <c:legendPos val="t"/>
      <c:layout>
        <c:manualLayout>
          <c:xMode val="edge"/>
          <c:yMode val="edge"/>
          <c:x val="0.14456583552055999"/>
          <c:y val="0.143402960046661"/>
          <c:w val="0.68309055118110296"/>
          <c:h val="9.4923811606882499E-2"/>
        </c:manualLayout>
      </c:layout>
      <c:overlay val="0"/>
      <c:txPr>
        <a:bodyPr/>
        <a:lstStyle/>
        <a:p>
          <a:pPr>
            <a:defRPr sz="1200"/>
          </a:pPr>
          <a:endParaRPr lang="en-US"/>
        </a:p>
      </c:txPr>
    </c:legend>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Yield kg/ha/yr</a:t>
            </a:r>
          </a:p>
        </c:rich>
      </c:tx>
      <c:layout/>
      <c:overlay val="0"/>
    </c:title>
    <c:autoTitleDeleted val="0"/>
    <c:plotArea>
      <c:layout/>
      <c:barChart>
        <c:barDir val="col"/>
        <c:grouping val="clustered"/>
        <c:varyColors val="0"/>
        <c:ser>
          <c:idx val="0"/>
          <c:order val="0"/>
          <c:spPr>
            <a:solidFill>
              <a:srgbClr val="FF0000"/>
            </a:solidFill>
          </c:spPr>
          <c:invertIfNegative val="0"/>
          <c:dPt>
            <c:idx val="1"/>
            <c:invertIfNegative val="0"/>
            <c:bubble3D val="0"/>
            <c:spPr>
              <a:solidFill>
                <a:srgbClr val="00B050"/>
              </a:solidFill>
            </c:spPr>
          </c:dPt>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Sheet1!$AT$21:$AT$22</c:f>
              <c:strCache>
                <c:ptCount val="2"/>
                <c:pt idx="0">
                  <c:v>Ambient T + 2</c:v>
                </c:pt>
                <c:pt idx="1">
                  <c:v>Ambient T</c:v>
                </c:pt>
              </c:strCache>
            </c:strRef>
          </c:cat>
          <c:val>
            <c:numRef>
              <c:f>Sheet1!$AU$21:$AU$22</c:f>
              <c:numCache>
                <c:formatCode>0</c:formatCode>
                <c:ptCount val="2"/>
                <c:pt idx="0">
                  <c:v>3946.0159375000071</c:v>
                </c:pt>
                <c:pt idx="1">
                  <c:v>6694.3340625000001</c:v>
                </c:pt>
              </c:numCache>
            </c:numRef>
          </c:val>
        </c:ser>
        <c:dLbls>
          <c:showLegendKey val="0"/>
          <c:showVal val="1"/>
          <c:showCatName val="0"/>
          <c:showSerName val="0"/>
          <c:showPercent val="0"/>
          <c:showBubbleSize val="0"/>
        </c:dLbls>
        <c:gapWidth val="150"/>
        <c:overlap val="-25"/>
        <c:axId val="615141792"/>
        <c:axId val="615138176"/>
      </c:barChart>
      <c:catAx>
        <c:axId val="615141792"/>
        <c:scaling>
          <c:orientation val="minMax"/>
        </c:scaling>
        <c:delete val="0"/>
        <c:axPos val="b"/>
        <c:numFmt formatCode="General" sourceLinked="0"/>
        <c:majorTickMark val="none"/>
        <c:minorTickMark val="none"/>
        <c:tickLblPos val="nextTo"/>
        <c:txPr>
          <a:bodyPr/>
          <a:lstStyle/>
          <a:p>
            <a:pPr>
              <a:defRPr sz="1200"/>
            </a:pPr>
            <a:endParaRPr lang="en-US"/>
          </a:p>
        </c:txPr>
        <c:crossAx val="615138176"/>
        <c:crosses val="autoZero"/>
        <c:auto val="1"/>
        <c:lblAlgn val="ctr"/>
        <c:lblOffset val="100"/>
        <c:noMultiLvlLbl val="0"/>
      </c:catAx>
      <c:valAx>
        <c:axId val="615138176"/>
        <c:scaling>
          <c:orientation val="minMax"/>
        </c:scaling>
        <c:delete val="1"/>
        <c:axPos val="l"/>
        <c:numFmt formatCode="0" sourceLinked="1"/>
        <c:majorTickMark val="none"/>
        <c:minorTickMark val="none"/>
        <c:tickLblPos val="nextTo"/>
        <c:crossAx val="615141792"/>
        <c:crosses val="autoZero"/>
        <c:crossBetween val="between"/>
      </c:valAx>
    </c:plotArea>
    <c:plotVisOnly val="1"/>
    <c:dispBlanksAs val="gap"/>
    <c:showDLblsOverMax val="0"/>
  </c:chart>
  <c:spPr>
    <a:ln>
      <a:solidFill>
        <a:schemeClr val="accent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88034188034205E-2"/>
          <c:y val="4.5378504193490501E-2"/>
          <c:w val="0.86783986136348901"/>
          <c:h val="0.75363447990054"/>
        </c:manualLayout>
      </c:layout>
      <c:lineChart>
        <c:grouping val="standard"/>
        <c:varyColors val="0"/>
        <c:ser>
          <c:idx val="0"/>
          <c:order val="0"/>
          <c:tx>
            <c:strRef>
              <c:f>RAINFALL!$C$1</c:f>
              <c:strCache>
                <c:ptCount val="1"/>
                <c:pt idx="0">
                  <c:v>Rainfall (mm)</c:v>
                </c:pt>
              </c:strCache>
            </c:strRef>
          </c:tx>
          <c:spPr>
            <a:ln>
              <a:solidFill>
                <a:sysClr val="windowText" lastClr="000000"/>
              </a:solidFill>
            </a:ln>
          </c:spPr>
          <c:marker>
            <c:spPr>
              <a:ln>
                <a:solidFill>
                  <a:sysClr val="windowText" lastClr="000000"/>
                </a:solidFill>
              </a:ln>
            </c:spPr>
          </c:marker>
          <c:trendline>
            <c:trendlineType val="linear"/>
            <c:dispRSqr val="1"/>
            <c:dispEq val="1"/>
            <c:trendlineLbl>
              <c:layout>
                <c:manualLayout>
                  <c:x val="-5.8502601870181997E-2"/>
                  <c:y val="0.370589558658109"/>
                </c:manualLayout>
              </c:layout>
              <c:tx>
                <c:rich>
                  <a:bodyPr/>
                  <a:lstStyle/>
                  <a:p>
                    <a:pPr>
                      <a:defRPr lang="en-US" sz="1200"/>
                    </a:pPr>
                    <a:r>
                      <a:rPr lang="en-US" sz="1200" baseline="0"/>
                      <a:t>y = 0.7472x + 2119.9
R² = 0.0019</a:t>
                    </a:r>
                  </a:p>
                  <a:p>
                    <a:pPr>
                      <a:defRPr lang="en-US" sz="1200"/>
                    </a:pPr>
                    <a:r>
                      <a:rPr lang="en-US" sz="1200"/>
                      <a:t>p=0.743</a:t>
                    </a:r>
                  </a:p>
                </c:rich>
              </c:tx>
              <c:numFmt formatCode="General" sourceLinked="0"/>
            </c:trendlineLbl>
          </c:trendline>
          <c:cat>
            <c:numRef>
              <c:f>RAINFALL!$B$2:$B$60</c:f>
              <c:numCache>
                <c:formatCode>General</c:formatCode>
                <c:ptCount val="59"/>
                <c:pt idx="0">
                  <c:v>1958</c:v>
                </c:pt>
                <c:pt idx="1">
                  <c:v>1959</c:v>
                </c:pt>
                <c:pt idx="2">
                  <c:v>1960</c:v>
                </c:pt>
                <c:pt idx="3">
                  <c:v>1961</c:v>
                </c:pt>
                <c:pt idx="4">
                  <c:v>1962</c:v>
                </c:pt>
                <c:pt idx="5">
                  <c:v>1963</c:v>
                </c:pt>
                <c:pt idx="6">
                  <c:v>1964</c:v>
                </c:pt>
                <c:pt idx="7">
                  <c:v>1965</c:v>
                </c:pt>
                <c:pt idx="8">
                  <c:v>1966</c:v>
                </c:pt>
                <c:pt idx="9">
                  <c:v>1967</c:v>
                </c:pt>
                <c:pt idx="10">
                  <c:v>1968</c:v>
                </c:pt>
                <c:pt idx="11">
                  <c:v>1969</c:v>
                </c:pt>
                <c:pt idx="12">
                  <c:v>1970</c:v>
                </c:pt>
                <c:pt idx="13">
                  <c:v>1971</c:v>
                </c:pt>
                <c:pt idx="14">
                  <c:v>1972</c:v>
                </c:pt>
                <c:pt idx="15">
                  <c:v>1973</c:v>
                </c:pt>
                <c:pt idx="16">
                  <c:v>1974</c:v>
                </c:pt>
                <c:pt idx="17">
                  <c:v>1975</c:v>
                </c:pt>
                <c:pt idx="18">
                  <c:v>1976</c:v>
                </c:pt>
                <c:pt idx="19">
                  <c:v>1977</c:v>
                </c:pt>
                <c:pt idx="20">
                  <c:v>1978</c:v>
                </c:pt>
                <c:pt idx="21">
                  <c:v>1979</c:v>
                </c:pt>
                <c:pt idx="22">
                  <c:v>1980</c:v>
                </c:pt>
                <c:pt idx="23">
                  <c:v>1981</c:v>
                </c:pt>
                <c:pt idx="24">
                  <c:v>1982</c:v>
                </c:pt>
                <c:pt idx="25">
                  <c:v>1983</c:v>
                </c:pt>
                <c:pt idx="26">
                  <c:v>1984</c:v>
                </c:pt>
                <c:pt idx="27">
                  <c:v>1985</c:v>
                </c:pt>
                <c:pt idx="28">
                  <c:v>1986</c:v>
                </c:pt>
                <c:pt idx="29">
                  <c:v>1987</c:v>
                </c:pt>
                <c:pt idx="30">
                  <c:v>1988</c:v>
                </c:pt>
                <c:pt idx="31">
                  <c:v>1989</c:v>
                </c:pt>
                <c:pt idx="32">
                  <c:v>1990</c:v>
                </c:pt>
                <c:pt idx="33">
                  <c:v>1991</c:v>
                </c:pt>
                <c:pt idx="34">
                  <c:v>1992</c:v>
                </c:pt>
                <c:pt idx="35">
                  <c:v>1993</c:v>
                </c:pt>
                <c:pt idx="36">
                  <c:v>1994</c:v>
                </c:pt>
                <c:pt idx="37">
                  <c:v>1995</c:v>
                </c:pt>
                <c:pt idx="38">
                  <c:v>1996</c:v>
                </c:pt>
                <c:pt idx="39">
                  <c:v>1997</c:v>
                </c:pt>
                <c:pt idx="40">
                  <c:v>1998</c:v>
                </c:pt>
                <c:pt idx="41">
                  <c:v>1999</c:v>
                </c:pt>
                <c:pt idx="42">
                  <c:v>2000</c:v>
                </c:pt>
                <c:pt idx="43">
                  <c:v>2001</c:v>
                </c:pt>
                <c:pt idx="44">
                  <c:v>2002</c:v>
                </c:pt>
                <c:pt idx="45">
                  <c:v>2003</c:v>
                </c:pt>
                <c:pt idx="46">
                  <c:v>2004</c:v>
                </c:pt>
                <c:pt idx="47">
                  <c:v>2005</c:v>
                </c:pt>
                <c:pt idx="48">
                  <c:v>2006</c:v>
                </c:pt>
                <c:pt idx="49">
                  <c:v>2007</c:v>
                </c:pt>
                <c:pt idx="50">
                  <c:v>2008</c:v>
                </c:pt>
                <c:pt idx="51">
                  <c:v>2009</c:v>
                </c:pt>
                <c:pt idx="52">
                  <c:v>2010</c:v>
                </c:pt>
                <c:pt idx="53">
                  <c:v>2011</c:v>
                </c:pt>
                <c:pt idx="54">
                  <c:v>2012</c:v>
                </c:pt>
                <c:pt idx="55">
                  <c:v>2013</c:v>
                </c:pt>
                <c:pt idx="56">
                  <c:v>2014</c:v>
                </c:pt>
                <c:pt idx="57">
                  <c:v>2015</c:v>
                </c:pt>
                <c:pt idx="58">
                  <c:v>2016</c:v>
                </c:pt>
              </c:numCache>
            </c:numRef>
          </c:cat>
          <c:val>
            <c:numRef>
              <c:f>RAINFALL!$C$2:$C$60</c:f>
              <c:numCache>
                <c:formatCode>General</c:formatCode>
                <c:ptCount val="59"/>
                <c:pt idx="0">
                  <c:v>1829.8</c:v>
                </c:pt>
                <c:pt idx="1">
                  <c:v>1994.8</c:v>
                </c:pt>
                <c:pt idx="2">
                  <c:v>2355</c:v>
                </c:pt>
                <c:pt idx="3">
                  <c:v>2388.5</c:v>
                </c:pt>
                <c:pt idx="4">
                  <c:v>2558.1</c:v>
                </c:pt>
                <c:pt idx="5">
                  <c:v>2282.1999999999998</c:v>
                </c:pt>
                <c:pt idx="6">
                  <c:v>2244</c:v>
                </c:pt>
                <c:pt idx="7">
                  <c:v>1541.5</c:v>
                </c:pt>
                <c:pt idx="8">
                  <c:v>1840.6</c:v>
                </c:pt>
                <c:pt idx="9">
                  <c:v>2310.8000000000002</c:v>
                </c:pt>
                <c:pt idx="10">
                  <c:v>2378.6</c:v>
                </c:pt>
                <c:pt idx="11">
                  <c:v>1583.5</c:v>
                </c:pt>
                <c:pt idx="12">
                  <c:v>2553</c:v>
                </c:pt>
                <c:pt idx="13">
                  <c:v>2391.1</c:v>
                </c:pt>
                <c:pt idx="14">
                  <c:v>2264.1</c:v>
                </c:pt>
                <c:pt idx="15">
                  <c:v>1907.1</c:v>
                </c:pt>
                <c:pt idx="16">
                  <c:v>1960.9</c:v>
                </c:pt>
                <c:pt idx="17">
                  <c:v>2398.1</c:v>
                </c:pt>
                <c:pt idx="18">
                  <c:v>1848.3</c:v>
                </c:pt>
                <c:pt idx="19">
                  <c:v>2723</c:v>
                </c:pt>
                <c:pt idx="20">
                  <c:v>2436.4</c:v>
                </c:pt>
                <c:pt idx="21">
                  <c:v>1859</c:v>
                </c:pt>
                <c:pt idx="22">
                  <c:v>1752.4</c:v>
                </c:pt>
                <c:pt idx="23">
                  <c:v>2047.3</c:v>
                </c:pt>
                <c:pt idx="24">
                  <c:v>2385.1999999999998</c:v>
                </c:pt>
                <c:pt idx="25">
                  <c:v>2174</c:v>
                </c:pt>
                <c:pt idx="26">
                  <c:v>1482.7</c:v>
                </c:pt>
                <c:pt idx="27">
                  <c:v>2263</c:v>
                </c:pt>
                <c:pt idx="28">
                  <c:v>1626.8</c:v>
                </c:pt>
                <c:pt idx="29">
                  <c:v>2268</c:v>
                </c:pt>
                <c:pt idx="30">
                  <c:v>2384.4</c:v>
                </c:pt>
                <c:pt idx="31">
                  <c:v>2410.8000000000002</c:v>
                </c:pt>
                <c:pt idx="32">
                  <c:v>2208.9</c:v>
                </c:pt>
                <c:pt idx="33">
                  <c:v>2074.8000000000002</c:v>
                </c:pt>
                <c:pt idx="34">
                  <c:v>2104</c:v>
                </c:pt>
                <c:pt idx="35">
                  <c:v>1686.9</c:v>
                </c:pt>
                <c:pt idx="36">
                  <c:v>2589</c:v>
                </c:pt>
                <c:pt idx="37">
                  <c:v>2074.5</c:v>
                </c:pt>
                <c:pt idx="38">
                  <c:v>2011.4</c:v>
                </c:pt>
                <c:pt idx="39">
                  <c:v>2154.8000000000002</c:v>
                </c:pt>
                <c:pt idx="40">
                  <c:v>2274.9</c:v>
                </c:pt>
                <c:pt idx="41">
                  <c:v>1881.3</c:v>
                </c:pt>
                <c:pt idx="42">
                  <c:v>1684.3</c:v>
                </c:pt>
                <c:pt idx="43">
                  <c:v>2286.6</c:v>
                </c:pt>
                <c:pt idx="44">
                  <c:v>2038.6</c:v>
                </c:pt>
                <c:pt idx="45">
                  <c:v>2061.6</c:v>
                </c:pt>
                <c:pt idx="46">
                  <c:v>1915.6</c:v>
                </c:pt>
                <c:pt idx="47">
                  <c:v>1960.3</c:v>
                </c:pt>
                <c:pt idx="48">
                  <c:v>2558.3000000000002</c:v>
                </c:pt>
                <c:pt idx="49">
                  <c:v>2086.5</c:v>
                </c:pt>
                <c:pt idx="50">
                  <c:v>2398.1999999999998</c:v>
                </c:pt>
                <c:pt idx="51">
                  <c:v>1830.9</c:v>
                </c:pt>
                <c:pt idx="52">
                  <c:v>2518.1</c:v>
                </c:pt>
                <c:pt idx="53">
                  <c:v>2321.1999999999998</c:v>
                </c:pt>
                <c:pt idx="54">
                  <c:v>2194.1</c:v>
                </c:pt>
                <c:pt idx="55">
                  <c:v>2572.6</c:v>
                </c:pt>
                <c:pt idx="56">
                  <c:v>2402.8000000000002</c:v>
                </c:pt>
                <c:pt idx="57">
                  <c:v>2128</c:v>
                </c:pt>
                <c:pt idx="58">
                  <c:v>1933</c:v>
                </c:pt>
              </c:numCache>
            </c:numRef>
          </c:val>
          <c:smooth val="0"/>
        </c:ser>
        <c:dLbls>
          <c:showLegendKey val="0"/>
          <c:showVal val="0"/>
          <c:showCatName val="0"/>
          <c:showSerName val="0"/>
          <c:showPercent val="0"/>
          <c:showBubbleSize val="0"/>
        </c:dLbls>
        <c:marker val="1"/>
        <c:smooth val="0"/>
        <c:axId val="615138960"/>
        <c:axId val="615139352"/>
      </c:lineChart>
      <c:catAx>
        <c:axId val="615138960"/>
        <c:scaling>
          <c:orientation val="minMax"/>
        </c:scaling>
        <c:delete val="0"/>
        <c:axPos val="b"/>
        <c:numFmt formatCode="General" sourceLinked="1"/>
        <c:majorTickMark val="out"/>
        <c:minorTickMark val="none"/>
        <c:tickLblPos val="nextTo"/>
        <c:txPr>
          <a:bodyPr/>
          <a:lstStyle/>
          <a:p>
            <a:pPr>
              <a:defRPr lang="en-US" sz="1050">
                <a:latin typeface="Arial" panose="020B0604020202020204" pitchFamily="34" charset="0"/>
                <a:cs typeface="Arial" panose="020B0604020202020204" pitchFamily="34" charset="0"/>
              </a:defRPr>
            </a:pPr>
            <a:endParaRPr lang="en-US"/>
          </a:p>
        </c:txPr>
        <c:crossAx val="615139352"/>
        <c:crosses val="autoZero"/>
        <c:auto val="1"/>
        <c:lblAlgn val="ctr"/>
        <c:lblOffset val="100"/>
        <c:noMultiLvlLbl val="0"/>
      </c:catAx>
      <c:valAx>
        <c:axId val="615139352"/>
        <c:scaling>
          <c:orientation val="minMax"/>
          <c:max val="2800"/>
          <c:min val="1000"/>
        </c:scaling>
        <c:delete val="0"/>
        <c:axPos val="l"/>
        <c:title>
          <c:tx>
            <c:rich>
              <a:bodyPr rot="-5400000" vert="horz"/>
              <a:lstStyle/>
              <a:p>
                <a:pPr>
                  <a:defRPr lang="en-US" sz="1200" b="0">
                    <a:latin typeface="Arial" panose="020B0604020202020204" pitchFamily="34" charset="0"/>
                    <a:cs typeface="Arial" panose="020B0604020202020204" pitchFamily="34" charset="0"/>
                  </a:defRPr>
                </a:pPr>
                <a:r>
                  <a:rPr lang="en-US" sz="1000" b="0">
                    <a:latin typeface="Arial" panose="020B0604020202020204" pitchFamily="34" charset="0"/>
                    <a:cs typeface="Arial" panose="020B0604020202020204" pitchFamily="34" charset="0"/>
                  </a:rPr>
                  <a:t>Annual Rainfall (mm)</a:t>
                </a:r>
              </a:p>
            </c:rich>
          </c:tx>
          <c:layout/>
          <c:overlay val="0"/>
        </c:title>
        <c:numFmt formatCode="General" sourceLinked="1"/>
        <c:majorTickMark val="out"/>
        <c:minorTickMark val="none"/>
        <c:tickLblPos val="nextTo"/>
        <c:txPr>
          <a:bodyPr/>
          <a:lstStyle/>
          <a:p>
            <a:pPr>
              <a:defRPr lang="en-US" sz="1000">
                <a:latin typeface="Arial" panose="020B0604020202020204" pitchFamily="34" charset="0"/>
                <a:cs typeface="Arial" panose="020B0604020202020204" pitchFamily="34" charset="0"/>
              </a:defRPr>
            </a:pPr>
            <a:endParaRPr lang="en-US"/>
          </a:p>
        </c:txPr>
        <c:crossAx val="6151389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12B9-8EA6-42C7-9B80-C5EC3E392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Basic.dot</Template>
  <TotalTime>74</TotalTime>
  <Pages>26</Pages>
  <Words>5771</Words>
  <Characters>31302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Free-Plan 3.0</vt:lpstr>
    </vt:vector>
  </TitlesOfParts>
  <Manager>Invest-Tech Limited, Dublin, Ireland</Manager>
  <Company>&lt;www.planware.org&gt;</Company>
  <LinksUpToDate>false</LinksUpToDate>
  <CharactersWithSpaces>37000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Free-Plan 3.0</dc:title>
  <dc:subject>Business Plan Template</dc:subject>
  <dc:creator>PlanWare</dc:creator>
  <cp:keywords>business plan, business planning, business planner</cp:keywords>
  <dc:description>Free-Plan © Copyright Invest-Tech Limited 1999-2006. Further info: &lt;info@planware.org&gt;. DO NOT REMOVE UNDER ANY CIRCUMSTANCES.</dc:description>
  <cp:lastModifiedBy>Margarita Brattlof (EST)</cp:lastModifiedBy>
  <cp:revision>5</cp:revision>
  <cp:lastPrinted>2017-03-28T09:34:00Z</cp:lastPrinted>
  <dcterms:created xsi:type="dcterms:W3CDTF">2017-08-01T06:52:00Z</dcterms:created>
  <dcterms:modified xsi:type="dcterms:W3CDTF">2017-08-01T09:33:00Z</dcterms:modified>
  <cp:category>Small Business</cp:category>
</cp:coreProperties>
</file>