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2A4" w:rsidRPr="00F576DA" w:rsidRDefault="00CA2F71" w:rsidP="00AC22A4">
      <w:pPr>
        <w:ind w:right="-428"/>
        <w:jc w:val="right"/>
      </w:pPr>
      <w:r w:rsidRPr="00CA2F71">
        <w:rPr>
          <w:noProof/>
        </w:rPr>
        <w:drawing>
          <wp:anchor distT="0" distB="0" distL="114300" distR="114300" simplePos="0" relativeHeight="251657216" behindDoc="0" locked="0" layoutInCell="1" allowOverlap="1" wp14:anchorId="05681162" wp14:editId="046F9254">
            <wp:simplePos x="0" y="0"/>
            <wp:positionH relativeFrom="column">
              <wp:posOffset>4369435</wp:posOffset>
            </wp:positionH>
            <wp:positionV relativeFrom="paragraph">
              <wp:posOffset>-74295</wp:posOffset>
            </wp:positionV>
            <wp:extent cx="650240" cy="960120"/>
            <wp:effectExtent l="0" t="0" r="0" b="0"/>
            <wp:wrapSquare wrapText="bothSides"/>
            <wp:docPr id="3" name="Picture 3"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24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F71">
        <w:rPr>
          <w:noProof/>
        </w:rPr>
        <w:drawing>
          <wp:anchor distT="0" distB="0" distL="114300" distR="114300" simplePos="0" relativeHeight="251658240" behindDoc="1" locked="0" layoutInCell="1" allowOverlap="1" wp14:anchorId="7DF7D94B" wp14:editId="28581213">
            <wp:simplePos x="0" y="0"/>
            <wp:positionH relativeFrom="column">
              <wp:posOffset>5325745</wp:posOffset>
            </wp:positionH>
            <wp:positionV relativeFrom="paragraph">
              <wp:posOffset>-76835</wp:posOffset>
            </wp:positionV>
            <wp:extent cx="1050290" cy="904240"/>
            <wp:effectExtent l="0" t="0" r="0" b="0"/>
            <wp:wrapTight wrapText="bothSides">
              <wp:wrapPolygon edited="0">
                <wp:start x="0" y="0"/>
                <wp:lineTo x="0" y="20933"/>
                <wp:lineTo x="21156" y="20933"/>
                <wp:lineTo x="211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0290" cy="904240"/>
                    </a:xfrm>
                    <a:prstGeom prst="rect">
                      <a:avLst/>
                    </a:prstGeom>
                    <a:noFill/>
                  </pic:spPr>
                </pic:pic>
              </a:graphicData>
            </a:graphic>
            <wp14:sizeRelH relativeFrom="page">
              <wp14:pctWidth>0</wp14:pctWidth>
            </wp14:sizeRelH>
            <wp14:sizeRelV relativeFrom="page">
              <wp14:pctHeight>0</wp14:pctHeight>
            </wp14:sizeRelV>
          </wp:anchor>
        </w:drawing>
      </w:r>
      <w:r w:rsidR="00AC22A4" w:rsidRPr="00F576DA">
        <w:tab/>
      </w:r>
    </w:p>
    <w:p w:rsidR="00AC22A4" w:rsidRDefault="00AC22A4" w:rsidP="00AC22A4">
      <w:pPr>
        <w:spacing w:before="240" w:after="0"/>
        <w:ind w:right="-428"/>
        <w:jc w:val="right"/>
      </w:pPr>
    </w:p>
    <w:p w:rsidR="00AC22A4" w:rsidRDefault="00AC22A4" w:rsidP="00AC22A4">
      <w:pPr>
        <w:spacing w:before="240" w:after="0"/>
        <w:ind w:right="-428"/>
        <w:jc w:val="right"/>
      </w:pPr>
    </w:p>
    <w:p w:rsidR="00AC22A4" w:rsidRDefault="00AC22A4" w:rsidP="00043D8B">
      <w:pPr>
        <w:spacing w:before="240" w:after="0"/>
        <w:ind w:right="-428"/>
        <w:jc w:val="left"/>
      </w:pPr>
    </w:p>
    <w:p w:rsidR="00AC22A4" w:rsidRDefault="00AC22A4" w:rsidP="00043D8B">
      <w:pPr>
        <w:spacing w:before="240" w:after="0"/>
        <w:ind w:right="-428"/>
        <w:jc w:val="left"/>
      </w:pPr>
    </w:p>
    <w:p w:rsidR="00AC22A4" w:rsidRDefault="00AC22A4" w:rsidP="00043D8B">
      <w:pPr>
        <w:spacing w:before="240" w:after="0"/>
        <w:ind w:right="-428"/>
        <w:jc w:val="left"/>
      </w:pPr>
    </w:p>
    <w:p w:rsidR="00AC22A4" w:rsidRDefault="00AC22A4" w:rsidP="00043D8B">
      <w:pPr>
        <w:spacing w:before="240" w:after="0"/>
        <w:ind w:right="-428"/>
        <w:jc w:val="left"/>
      </w:pPr>
    </w:p>
    <w:p w:rsidR="00AC22A4" w:rsidRPr="004C6DC3" w:rsidRDefault="00AC22A4" w:rsidP="00043D8B">
      <w:pPr>
        <w:spacing w:before="240" w:after="0"/>
        <w:ind w:left="-284" w:right="-428"/>
        <w:jc w:val="left"/>
        <w:rPr>
          <w:lang w:val="fr-FR"/>
        </w:rPr>
      </w:pPr>
    </w:p>
    <w:p w:rsidR="00AC22A4" w:rsidRDefault="00AC22A4" w:rsidP="00AC22A4">
      <w:pPr>
        <w:spacing w:after="0"/>
        <w:ind w:right="-428"/>
        <w:jc w:val="left"/>
        <w:rPr>
          <w:rFonts w:asciiTheme="majorHAnsi" w:eastAsia="Cambria" w:hAnsiTheme="majorHAnsi" w:cs="Times New Roman"/>
          <w:b/>
          <w:color w:val="595959" w:themeColor="text1" w:themeTint="A6"/>
          <w:sz w:val="36"/>
        </w:rPr>
      </w:pPr>
      <w:r>
        <w:rPr>
          <w:rFonts w:asciiTheme="majorHAnsi" w:eastAsia="Cambria" w:hAnsiTheme="majorHAnsi" w:cs="Times New Roman"/>
          <w:b/>
          <w:color w:val="595959" w:themeColor="text1" w:themeTint="A6"/>
          <w:sz w:val="36"/>
        </w:rPr>
        <w:t xml:space="preserve">TECHNICAL NOTE: </w:t>
      </w:r>
    </w:p>
    <w:p w:rsidR="00AC22A4" w:rsidRDefault="00AC22A4" w:rsidP="00AC22A4">
      <w:pPr>
        <w:spacing w:after="0"/>
        <w:ind w:right="-428"/>
        <w:jc w:val="left"/>
        <w:rPr>
          <w:rFonts w:asciiTheme="majorHAnsi" w:eastAsia="Cambria" w:hAnsiTheme="majorHAnsi" w:cs="Times New Roman"/>
          <w:b/>
          <w:color w:val="595959" w:themeColor="text1" w:themeTint="A6"/>
          <w:sz w:val="36"/>
        </w:rPr>
      </w:pPr>
      <w:r>
        <w:rPr>
          <w:rFonts w:asciiTheme="majorHAnsi" w:eastAsia="Cambria" w:hAnsiTheme="majorHAnsi" w:cs="Times New Roman"/>
          <w:b/>
          <w:color w:val="595959" w:themeColor="text1" w:themeTint="A6"/>
          <w:sz w:val="36"/>
        </w:rPr>
        <w:t xml:space="preserve">ANALYSIS OF PRICE INCENTIVES AND DISINCENTIVES </w:t>
      </w:r>
    </w:p>
    <w:p w:rsidR="00AC22A4" w:rsidRDefault="00AC22A4" w:rsidP="00AC22A4">
      <w:pPr>
        <w:spacing w:after="0"/>
        <w:ind w:right="-428"/>
        <w:jc w:val="left"/>
        <w:rPr>
          <w:rFonts w:asciiTheme="majorHAnsi" w:eastAsia="Cambria" w:hAnsiTheme="majorHAnsi" w:cs="Times New Roman"/>
          <w:b/>
          <w:color w:val="595959" w:themeColor="text1" w:themeTint="A6"/>
          <w:sz w:val="36"/>
        </w:rPr>
      </w:pPr>
      <w:r>
        <w:rPr>
          <w:rFonts w:asciiTheme="majorHAnsi" w:eastAsia="Cambria" w:hAnsiTheme="majorHAnsi" w:cs="Times New Roman"/>
          <w:b/>
          <w:color w:val="595959" w:themeColor="text1" w:themeTint="A6"/>
          <w:sz w:val="36"/>
        </w:rPr>
        <w:t xml:space="preserve">FOR MAIZE IN THE REPUBLIC OF MOZAMBIQUE </w:t>
      </w:r>
    </w:p>
    <w:p w:rsidR="00AC22A4" w:rsidRDefault="00AC22A4" w:rsidP="00AC22A4">
      <w:pPr>
        <w:spacing w:after="0"/>
        <w:ind w:right="-428"/>
        <w:jc w:val="left"/>
        <w:rPr>
          <w:rFonts w:asciiTheme="majorHAnsi" w:eastAsia="Cambria" w:hAnsiTheme="majorHAnsi" w:cs="Times New Roman"/>
          <w:b/>
          <w:color w:val="595959" w:themeColor="text1" w:themeTint="A6"/>
          <w:sz w:val="36"/>
        </w:rPr>
      </w:pPr>
      <w:r>
        <w:rPr>
          <w:rFonts w:asciiTheme="majorHAnsi" w:eastAsia="Cambria" w:hAnsiTheme="majorHAnsi" w:cs="Times New Roman"/>
          <w:b/>
          <w:color w:val="595959" w:themeColor="text1" w:themeTint="A6"/>
          <w:sz w:val="36"/>
        </w:rPr>
        <w:t>FOR THE TIME PERIOD 2005-2013</w:t>
      </w:r>
    </w:p>
    <w:p w:rsidR="00AC22A4" w:rsidRPr="004C6DC3" w:rsidRDefault="007C0FAB" w:rsidP="00AC22A4">
      <w:pPr>
        <w:spacing w:after="0"/>
        <w:ind w:left="-284" w:right="-428"/>
        <w:rPr>
          <w:rFonts w:asciiTheme="majorHAnsi" w:eastAsia="Cambria" w:hAnsiTheme="majorHAnsi" w:cs="Times New Roman"/>
          <w:b/>
          <w:color w:val="595959" w:themeColor="text1" w:themeTint="A6"/>
          <w:sz w:val="36"/>
          <w:lang w:val="fr-FR"/>
        </w:rPr>
      </w:pPr>
      <w:r>
        <w:rPr>
          <w:rFonts w:asciiTheme="majorHAnsi" w:eastAsia="Cambria" w:hAnsiTheme="majorHAnsi" w:cs="Times New Roman"/>
          <w:b/>
          <w:color w:val="595959" w:themeColor="text1" w:themeTint="A6"/>
          <w:sz w:val="36"/>
          <w:lang w:val="fr-FR"/>
        </w:rPr>
        <w:pict w14:anchorId="0DC95398">
          <v:rect id="_x0000_i1026" style="width:226.75pt;height:1.5pt" o:hrpct="500" o:hrstd="t" o:hr="t" fillcolor="#a0a0a0" stroked="f"/>
        </w:pict>
      </w:r>
    </w:p>
    <w:p w:rsidR="00AC22A4" w:rsidRPr="00B40671" w:rsidRDefault="00D959DB" w:rsidP="00AC22A4">
      <w:pPr>
        <w:rPr>
          <w:rFonts w:asciiTheme="majorHAnsi" w:hAnsiTheme="majorHAnsi"/>
          <w:b/>
          <w:color w:val="365F91" w:themeColor="accent1" w:themeShade="BF"/>
          <w:sz w:val="36"/>
          <w:szCs w:val="36"/>
        </w:rPr>
      </w:pPr>
      <w:r>
        <w:rPr>
          <w:rFonts w:asciiTheme="majorHAnsi" w:hAnsiTheme="majorHAnsi"/>
          <w:b/>
          <w:color w:val="365F91" w:themeColor="accent1" w:themeShade="BF"/>
          <w:sz w:val="36"/>
          <w:szCs w:val="36"/>
        </w:rPr>
        <w:t>October</w:t>
      </w:r>
      <w:r w:rsidR="00D26779" w:rsidRPr="00B40671">
        <w:rPr>
          <w:rFonts w:asciiTheme="majorHAnsi" w:hAnsiTheme="majorHAnsi"/>
          <w:b/>
          <w:color w:val="365F91" w:themeColor="accent1" w:themeShade="BF"/>
          <w:sz w:val="36"/>
          <w:szCs w:val="36"/>
        </w:rPr>
        <w:t xml:space="preserve"> 2014 </w:t>
      </w:r>
    </w:p>
    <w:p w:rsidR="00AC22A4" w:rsidRPr="00B40671" w:rsidRDefault="00AC22A4" w:rsidP="00AC22A4">
      <w:pPr>
        <w:rPr>
          <w:rFonts w:asciiTheme="majorHAnsi" w:hAnsiTheme="majorHAnsi"/>
          <w:b/>
          <w:color w:val="365F91" w:themeColor="accent1" w:themeShade="BF"/>
          <w:sz w:val="36"/>
          <w:szCs w:val="36"/>
        </w:rPr>
      </w:pPr>
    </w:p>
    <w:p w:rsidR="00AC22A4" w:rsidRPr="00B40671" w:rsidRDefault="00D26779" w:rsidP="00AC22A4">
      <w:pPr>
        <w:jc w:val="center"/>
        <w:rPr>
          <w:rFonts w:asciiTheme="majorHAnsi" w:hAnsiTheme="majorHAnsi"/>
          <w:b/>
          <w:color w:val="7F7F7F" w:themeColor="text1" w:themeTint="80"/>
          <w:sz w:val="56"/>
          <w:szCs w:val="36"/>
        </w:rPr>
      </w:pPr>
      <w:r w:rsidRPr="00B40671">
        <w:rPr>
          <w:rFonts w:asciiTheme="majorHAnsi" w:hAnsiTheme="majorHAnsi"/>
          <w:b/>
          <w:color w:val="7F7F7F" w:themeColor="text1" w:themeTint="80"/>
          <w:sz w:val="56"/>
          <w:szCs w:val="36"/>
        </w:rPr>
        <w:t>- DRAFT -</w:t>
      </w:r>
    </w:p>
    <w:p w:rsidR="00AC22A4" w:rsidRPr="00B40671" w:rsidRDefault="00D26779" w:rsidP="00AC22A4">
      <w:pPr>
        <w:jc w:val="left"/>
        <w:sectPr w:rsidR="00AC22A4" w:rsidRPr="00B40671" w:rsidSect="00A60BEC">
          <w:headerReference w:type="even" r:id="rId12"/>
          <w:headerReference w:type="default" r:id="rId13"/>
          <w:footerReference w:type="even" r:id="rId14"/>
          <w:headerReference w:type="first" r:id="rId15"/>
          <w:pgSz w:w="11906" w:h="16838"/>
          <w:pgMar w:top="1418" w:right="1418" w:bottom="1418" w:left="1418" w:header="708" w:footer="708" w:gutter="0"/>
          <w:cols w:space="708"/>
          <w:titlePg/>
          <w:docGrid w:linePitch="360"/>
        </w:sectPr>
      </w:pPr>
      <w:r w:rsidRPr="00B40671">
        <w:br w:type="page"/>
      </w:r>
    </w:p>
    <w:p w:rsidR="00A60BEC" w:rsidRDefault="00A60BEC" w:rsidP="00A60BEC">
      <w:pPr>
        <w:ind w:right="-428"/>
        <w:jc w:val="right"/>
      </w:pPr>
    </w:p>
    <w:p w:rsidR="00A60BEC" w:rsidRDefault="00A60BEC" w:rsidP="00A60BEC">
      <w:pPr>
        <w:spacing w:before="240" w:after="0"/>
        <w:ind w:right="-428"/>
        <w:jc w:val="right"/>
      </w:pPr>
    </w:p>
    <w:p w:rsidR="00A60BEC" w:rsidRDefault="00A60BEC" w:rsidP="00A60BEC">
      <w:pPr>
        <w:spacing w:before="240" w:after="0"/>
        <w:ind w:right="-428"/>
        <w:jc w:val="right"/>
      </w:pPr>
    </w:p>
    <w:p w:rsidR="00A60BEC" w:rsidRDefault="00A60BEC" w:rsidP="00A60BEC"/>
    <w:p w:rsidR="00A60BEC" w:rsidRDefault="009C347E" w:rsidP="00A60BEC">
      <w:pPr>
        <w:rPr>
          <w:i/>
        </w:rPr>
      </w:pPr>
      <w:r>
        <w:rPr>
          <w:noProof/>
        </w:rPr>
        <mc:AlternateContent>
          <mc:Choice Requires="wps">
            <w:drawing>
              <wp:anchor distT="0" distB="0" distL="114300" distR="114300" simplePos="0" relativeHeight="251652096" behindDoc="0" locked="0" layoutInCell="1" allowOverlap="1" wp14:anchorId="7F9895B4" wp14:editId="7A219034">
                <wp:simplePos x="0" y="0"/>
                <wp:positionH relativeFrom="column">
                  <wp:posOffset>-17780</wp:posOffset>
                </wp:positionH>
                <wp:positionV relativeFrom="paragraph">
                  <wp:posOffset>227330</wp:posOffset>
                </wp:positionV>
                <wp:extent cx="5937885" cy="3171190"/>
                <wp:effectExtent l="0" t="0" r="24765" b="1016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3171190"/>
                        </a:xfrm>
                        <a:prstGeom prst="rect">
                          <a:avLst/>
                        </a:prstGeom>
                        <a:solidFill>
                          <a:srgbClr val="FFFFFF"/>
                        </a:solidFill>
                        <a:ln w="12700">
                          <a:solidFill>
                            <a:schemeClr val="bg1">
                              <a:lumMod val="50000"/>
                              <a:lumOff val="0"/>
                            </a:schemeClr>
                          </a:solidFill>
                          <a:miter lim="800000"/>
                          <a:headEnd/>
                          <a:tailEnd/>
                        </a:ln>
                      </wps:spPr>
                      <wps:txbx>
                        <w:txbxContent>
                          <w:p w:rsidR="002F3312" w:rsidRDefault="002F3312" w:rsidP="00A60BEC">
                            <w:pPr>
                              <w:rPr>
                                <w:i/>
                                <w:sz w:val="20"/>
                                <w:szCs w:val="20"/>
                              </w:rPr>
                            </w:pPr>
                            <w:r>
                              <w:rPr>
                                <w:sz w:val="20"/>
                                <w:szCs w:val="20"/>
                              </w:rPr>
                              <w:t xml:space="preserve">This technical note is a product of the Monitoring </w:t>
                            </w:r>
                            <w:r w:rsidR="00043D8B">
                              <w:rPr>
                                <w:sz w:val="20"/>
                                <w:szCs w:val="20"/>
                              </w:rPr>
                              <w:t>and Analysing</w:t>
                            </w:r>
                            <w:r>
                              <w:rPr>
                                <w:sz w:val="20"/>
                                <w:szCs w:val="20"/>
                              </w:rPr>
                              <w:t xml:space="preserve"> Food and Agricultural Policies (MAFAP) programme. It may be updated as new data becomes available. </w:t>
                            </w:r>
                          </w:p>
                          <w:p w:rsidR="002F3312" w:rsidRDefault="002F3312" w:rsidP="00A60BEC">
                            <w:pPr>
                              <w:rPr>
                                <w:sz w:val="20"/>
                                <w:szCs w:val="20"/>
                              </w:rPr>
                            </w:pPr>
                            <w:r>
                              <w:rPr>
                                <w:sz w:val="20"/>
                                <w:szCs w:val="20"/>
                              </w:rPr>
                              <w:t>MAFAP is implemented by the Food and Agriculture Organization of the United Nations (FAO) in collaboration with the Organisation for Economic Co-operation and Development (OECD) and national partners in participating countries. It is financially supported by the Bill and Melinda Gates Foundation, the United States Agency for International Developm ent (USAID) and FAO.</w:t>
                            </w:r>
                          </w:p>
                          <w:p w:rsidR="002F3312" w:rsidRDefault="002F3312" w:rsidP="00A60BEC">
                            <w:pPr>
                              <w:rPr>
                                <w:sz w:val="20"/>
                                <w:szCs w:val="20"/>
                              </w:rPr>
                            </w:pPr>
                            <w:r>
                              <w:rPr>
                                <w:sz w:val="20"/>
                                <w:szCs w:val="20"/>
                              </w:rPr>
                              <w:t>The analysis presented in this document is the result of partnerships established in the context of the MAFAP programme with the National Directorate of Economics from the Ministry of Agriculture and the Research Center for Agricultural Policies and Programs (CEPPAG) from the Eduardo Mondlane University (UEM).</w:t>
                            </w:r>
                          </w:p>
                          <w:p w:rsidR="002F3312" w:rsidRPr="00514366" w:rsidRDefault="002F3312" w:rsidP="00A60BEC">
                            <w:pPr>
                              <w:rPr>
                                <w:sz w:val="20"/>
                                <w:szCs w:val="20"/>
                              </w:rPr>
                            </w:pPr>
                            <w:r w:rsidRPr="00A95BF4">
                              <w:rPr>
                                <w:sz w:val="20"/>
                                <w:szCs w:val="20"/>
                              </w:rPr>
                              <w:t>This technical note was prepared by Helder Zavale from CEPPAG-UEM, with support and contributions from Valentina Pernechele of FAO.</w:t>
                            </w:r>
                          </w:p>
                          <w:p w:rsidR="002F3312" w:rsidRDefault="002F3312" w:rsidP="00A60BEC">
                            <w:pPr>
                              <w:rPr>
                                <w:sz w:val="20"/>
                                <w:szCs w:val="20"/>
                              </w:rPr>
                            </w:pPr>
                            <w:r>
                              <w:rPr>
                                <w:sz w:val="20"/>
                                <w:szCs w:val="20"/>
                              </w:rPr>
                              <w:t xml:space="preserve">For more information: </w:t>
                            </w:r>
                            <w:hyperlink r:id="rId16" w:history="1">
                              <w:r w:rsidRPr="00D91B5C">
                                <w:rPr>
                                  <w:rStyle w:val="Hyperlink"/>
                                  <w:bCs/>
                                </w:rPr>
                                <w:t>www.fao.org/in-action/mafap</w:t>
                              </w:r>
                            </w:hyperlink>
                          </w:p>
                          <w:p w:rsidR="002F3312" w:rsidRDefault="002F3312" w:rsidP="00A60BEC">
                            <w:pPr>
                              <w:rPr>
                                <w:sz w:val="24"/>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4pt;margin-top:17.9pt;width:467.55pt;height:249.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" strokecolor="#7f7f7f [1612]" strokeweight="1pt">
                <v:textbox>
                  <w:txbxContent>
                    <w:p w:rsidR="002F3312" w:rsidRDefault="002F3312" w:rsidP="00A60BEC">
                      <w:pPr>
                        <w:rPr>
                          <w:i/>
                          <w:sz w:val="20"/>
                          <w:szCs w:val="20"/>
                        </w:rPr>
                      </w:pPr>
                      <w:r>
                        <w:rPr>
                          <w:sz w:val="20"/>
                          <w:szCs w:val="20"/>
                        </w:rPr>
                        <w:t xml:space="preserve">This technical note is a product of the Monitoring </w:t>
                      </w:r>
                      <w:r w:rsidR="00043D8B">
                        <w:rPr>
                          <w:sz w:val="20"/>
                          <w:szCs w:val="20"/>
                        </w:rPr>
                        <w:t>and Analysing</w:t>
                      </w:r>
                      <w:r>
                        <w:rPr>
                          <w:sz w:val="20"/>
                          <w:szCs w:val="20"/>
                        </w:rPr>
                        <w:t xml:space="preserve"> Food and Agricultural Policies (MAFAP) programme. It may be updated as new data becomes available. </w:t>
                      </w:r>
                    </w:p>
                    <w:p w:rsidR="002F3312" w:rsidRDefault="002F3312" w:rsidP="00A60BEC">
                      <w:pPr>
                        <w:rPr>
                          <w:sz w:val="20"/>
                          <w:szCs w:val="20"/>
                        </w:rPr>
                      </w:pPr>
                      <w:r>
                        <w:rPr>
                          <w:sz w:val="20"/>
                          <w:szCs w:val="20"/>
                        </w:rPr>
                        <w:t>MAFAP is implemented by the Food and Agriculture Organization of the United Nations (FAO) in collaboration with the Organisation for Economic Co-operation and Development (OECD) and national partners in participating countries. It is financially supported by the Bill and Melinda Gates Foundation, the United States Agency for International Developm ent (USAID) and FAO.</w:t>
                      </w:r>
                    </w:p>
                    <w:p w:rsidR="002F3312" w:rsidRDefault="002F3312" w:rsidP="00A60BEC">
                      <w:pPr>
                        <w:rPr>
                          <w:sz w:val="20"/>
                          <w:szCs w:val="20"/>
                        </w:rPr>
                      </w:pPr>
                      <w:r>
                        <w:rPr>
                          <w:sz w:val="20"/>
                          <w:szCs w:val="20"/>
                        </w:rPr>
                        <w:t>The analysis presented in this document is the result of partnerships established in the context of the MAFAP programme with the National Directorate of Economics from the Ministry of Agriculture and the Research Center for Agricultural Policies and Programs (CEPPAG) from the Eduardo Mondlane University (UEM).</w:t>
                      </w:r>
                    </w:p>
                    <w:p w:rsidR="002F3312" w:rsidRPr="00514366" w:rsidRDefault="002F3312" w:rsidP="00A60BEC">
                      <w:pPr>
                        <w:rPr>
                          <w:sz w:val="20"/>
                          <w:szCs w:val="20"/>
                        </w:rPr>
                      </w:pPr>
                      <w:r w:rsidRPr="00A95BF4">
                        <w:rPr>
                          <w:sz w:val="20"/>
                          <w:szCs w:val="20"/>
                        </w:rPr>
                        <w:t>This technical note was prepared by Helder Zavale from CEPPAG-UEM, with support and contributions from Valentina Pernechele of FAO.</w:t>
                      </w:r>
                    </w:p>
                    <w:p w:rsidR="002F3312" w:rsidRDefault="002F3312" w:rsidP="00A60BEC">
                      <w:pPr>
                        <w:rPr>
                          <w:sz w:val="20"/>
                          <w:szCs w:val="20"/>
                        </w:rPr>
                      </w:pPr>
                      <w:r>
                        <w:rPr>
                          <w:sz w:val="20"/>
                          <w:szCs w:val="20"/>
                        </w:rPr>
                        <w:t xml:space="preserve">For more information: </w:t>
                      </w:r>
                      <w:hyperlink r:id="rId17" w:history="1">
                        <w:r w:rsidRPr="00D91B5C">
                          <w:rPr>
                            <w:rStyle w:val="Hyperlink"/>
                            <w:bCs/>
                          </w:rPr>
                          <w:t>www.fao.org/in-action/mafap</w:t>
                        </w:r>
                      </w:hyperlink>
                    </w:p>
                    <w:p w:rsidR="002F3312" w:rsidRDefault="002F3312" w:rsidP="00A60BEC">
                      <w:pPr>
                        <w:rPr>
                          <w:sz w:val="24"/>
                          <w:szCs w:val="20"/>
                        </w:rPr>
                      </w:pPr>
                    </w:p>
                  </w:txbxContent>
                </v:textbox>
              </v:shape>
            </w:pict>
          </mc:Fallback>
        </mc:AlternateContent>
      </w:r>
    </w:p>
    <w:p w:rsidR="00A60BEC" w:rsidRDefault="00A60BEC" w:rsidP="00A60BEC">
      <w:pPr>
        <w:rPr>
          <w:i/>
        </w:rPr>
      </w:pPr>
    </w:p>
    <w:p w:rsidR="00A60BEC" w:rsidRDefault="00A60BEC" w:rsidP="00A60BEC">
      <w:pPr>
        <w:rPr>
          <w:i/>
        </w:rPr>
      </w:pPr>
    </w:p>
    <w:p w:rsidR="00A60BEC" w:rsidRDefault="00A60BEC" w:rsidP="00A60BEC">
      <w:pPr>
        <w:rPr>
          <w:i/>
        </w:rPr>
      </w:pPr>
    </w:p>
    <w:p w:rsidR="00A60BEC" w:rsidRDefault="00A60BEC" w:rsidP="00A60BEC">
      <w:pPr>
        <w:rPr>
          <w:i/>
        </w:rPr>
      </w:pPr>
    </w:p>
    <w:p w:rsidR="00A60BEC" w:rsidRDefault="00A60BEC" w:rsidP="00A60BEC">
      <w:pPr>
        <w:rPr>
          <w:i/>
        </w:rPr>
      </w:pPr>
    </w:p>
    <w:p w:rsidR="00A60BEC" w:rsidRDefault="00A60BEC" w:rsidP="00A60BEC">
      <w:pPr>
        <w:rPr>
          <w:i/>
        </w:rPr>
      </w:pPr>
    </w:p>
    <w:p w:rsidR="00A60BEC" w:rsidRDefault="00A60BEC" w:rsidP="00A60BEC">
      <w:pPr>
        <w:rPr>
          <w:i/>
        </w:rPr>
      </w:pPr>
    </w:p>
    <w:p w:rsidR="00A60BEC" w:rsidRDefault="00A60BEC" w:rsidP="00A60BEC">
      <w:pPr>
        <w:rPr>
          <w:i/>
        </w:rPr>
      </w:pPr>
    </w:p>
    <w:p w:rsidR="00A60BEC" w:rsidRDefault="00A60BEC" w:rsidP="00A60BEC">
      <w:pPr>
        <w:rPr>
          <w:i/>
        </w:rPr>
      </w:pPr>
    </w:p>
    <w:p w:rsidR="00A60BEC" w:rsidRDefault="00A60BEC" w:rsidP="00A60BEC">
      <w:pPr>
        <w:rPr>
          <w:i/>
        </w:rPr>
      </w:pPr>
    </w:p>
    <w:p w:rsidR="00A60BEC" w:rsidRDefault="009C347E" w:rsidP="00A60BEC">
      <w:pPr>
        <w:rPr>
          <w:i/>
        </w:rPr>
      </w:pPr>
      <w:r>
        <w:rPr>
          <w:noProof/>
        </w:rPr>
        <mc:AlternateContent>
          <mc:Choice Requires="wps">
            <w:drawing>
              <wp:anchor distT="0" distB="0" distL="114300" distR="114300" simplePos="0" relativeHeight="251653120" behindDoc="0" locked="0" layoutInCell="1" allowOverlap="1" wp14:anchorId="65D7BD46" wp14:editId="74A60702">
                <wp:simplePos x="0" y="0"/>
                <wp:positionH relativeFrom="column">
                  <wp:posOffset>3175</wp:posOffset>
                </wp:positionH>
                <wp:positionV relativeFrom="paragraph">
                  <wp:posOffset>5080</wp:posOffset>
                </wp:positionV>
                <wp:extent cx="5937885" cy="3553460"/>
                <wp:effectExtent l="0" t="0" r="24765" b="279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3553460"/>
                        </a:xfrm>
                        <a:prstGeom prst="rect">
                          <a:avLst/>
                        </a:prstGeom>
                        <a:solidFill>
                          <a:srgbClr val="FFFFFF"/>
                        </a:solidFill>
                        <a:ln w="12700">
                          <a:solidFill>
                            <a:schemeClr val="bg1">
                              <a:lumMod val="50000"/>
                              <a:lumOff val="0"/>
                            </a:schemeClr>
                          </a:solidFill>
                          <a:miter lim="800000"/>
                          <a:headEnd/>
                          <a:tailEnd/>
                        </a:ln>
                      </wps:spPr>
                      <wps:txbx>
                        <w:txbxContent>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Suggested citation:</w:t>
                            </w:r>
                          </w:p>
                          <w:p w:rsidR="002F3312" w:rsidRDefault="002F3312" w:rsidP="00AC22A4">
                            <w:pPr>
                              <w:pStyle w:val="NormalWeb"/>
                              <w:spacing w:before="0" w:beforeAutospacing="0" w:after="0" w:afterAutospacing="0" w:line="276" w:lineRule="auto"/>
                            </w:pPr>
                            <w:r>
                              <w:rPr>
                                <w:rFonts w:ascii="Calibri" w:eastAsia="Times New Roman" w:hAnsi="Calibri" w:cs="Calibri"/>
                                <w:color w:val="333333"/>
                                <w:sz w:val="20"/>
                                <w:szCs w:val="20"/>
                              </w:rPr>
                              <w:t>Zavale, H., 2014</w:t>
                            </w:r>
                            <w:r w:rsidRPr="00173AEF">
                              <w:rPr>
                                <w:rFonts w:ascii="Calibri" w:eastAsia="Times New Roman" w:hAnsi="Calibri" w:cs="Calibri"/>
                                <w:color w:val="333333"/>
                                <w:sz w:val="20"/>
                                <w:szCs w:val="20"/>
                              </w:rPr>
                              <w:t>. Analysis of price incenti</w:t>
                            </w:r>
                            <w:r>
                              <w:rPr>
                                <w:rFonts w:ascii="Calibri" w:eastAsia="Times New Roman" w:hAnsi="Calibri" w:cs="Calibri"/>
                                <w:color w:val="333333"/>
                                <w:sz w:val="20"/>
                                <w:szCs w:val="20"/>
                              </w:rPr>
                              <w:t>ves and disincentives for maize</w:t>
                            </w:r>
                            <w:r w:rsidRPr="00173AEF">
                              <w:rPr>
                                <w:rFonts w:ascii="Calibri" w:eastAsia="Times New Roman" w:hAnsi="Calibri" w:cs="Calibri"/>
                                <w:color w:val="333333"/>
                                <w:sz w:val="20"/>
                                <w:szCs w:val="20"/>
                              </w:rPr>
                              <w:t xml:space="preserve"> in the Republic of Mozambique 2005-2013. Technical notes series, MAFAP, FAO, Rome</w:t>
                            </w:r>
                            <w:r>
                              <w:rPr>
                                <w:rFonts w:ascii="Calibri" w:eastAsia="Times New Roman" w:hAnsi="Calibri" w:cs="Calibri"/>
                                <w:color w:val="333333"/>
                                <w:sz w:val="20"/>
                                <w:szCs w:val="20"/>
                              </w:rPr>
                              <w:t>.</w:t>
                            </w:r>
                          </w:p>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 </w:t>
                            </w:r>
                          </w:p>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 FAO 2013</w:t>
                            </w:r>
                          </w:p>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 </w:t>
                            </w:r>
                          </w:p>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FAO encourages the use, reproduction and dissemination of material in this information product. Except where otherwise indicated, material may be copied, downloaded and printed for private study, research and teaching purposes, or for use in non-commercial products or services, provided that appropriate acknowledgement of FAO as the source and copyright holder is given and that FAO’s endorsement of users’ views, products or services is not implied in any way.</w:t>
                            </w:r>
                          </w:p>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 </w:t>
                            </w:r>
                          </w:p>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 xml:space="preserve">All requests for translation and adaptation rights, and for resale and other commercial use rights should be made via www.fao.org/contact-us/licence-request or addressed to </w:t>
                            </w:r>
                            <w:hyperlink r:id="rId18" w:history="1">
                              <w:r>
                                <w:rPr>
                                  <w:rStyle w:val="Hyperlink"/>
                                  <w:rFonts w:ascii="Calibri" w:eastAsia="Times New Roman" w:hAnsi="Calibri" w:cs="Calibri"/>
                                  <w:sz w:val="20"/>
                                  <w:szCs w:val="20"/>
                                </w:rPr>
                                <w:t>copyright@fao.org</w:t>
                              </w:r>
                            </w:hyperlink>
                            <w:r>
                              <w:rPr>
                                <w:rFonts w:ascii="Calibri" w:eastAsia="Times New Roman" w:hAnsi="Calibri" w:cs="Calibri"/>
                                <w:color w:val="333333"/>
                                <w:sz w:val="20"/>
                                <w:szCs w:val="20"/>
                              </w:rPr>
                              <w:t>.</w:t>
                            </w:r>
                          </w:p>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 </w:t>
                            </w:r>
                          </w:p>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FAO information products are available on the FAO website (www.fao.org/publications) and can be purchased through publications-sales@fao.org.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25pt;margin-top:.4pt;width:467.55pt;height:279.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" strokecolor="#7f7f7f [1612]" strokeweight="1pt">
                <v:textbox>
                  <w:txbxContent>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Suggested citation:</w:t>
                      </w:r>
                    </w:p>
                    <w:p w:rsidR="002F3312" w:rsidRDefault="002F3312" w:rsidP="00AC22A4">
                      <w:pPr>
                        <w:pStyle w:val="NormalWeb"/>
                        <w:spacing w:before="0" w:beforeAutospacing="0" w:after="0" w:afterAutospacing="0" w:line="276" w:lineRule="auto"/>
                      </w:pPr>
                      <w:r>
                        <w:rPr>
                          <w:rFonts w:ascii="Calibri" w:eastAsia="Times New Roman" w:hAnsi="Calibri" w:cs="Calibri"/>
                          <w:color w:val="333333"/>
                          <w:sz w:val="20"/>
                          <w:szCs w:val="20"/>
                        </w:rPr>
                        <w:t>Zavale, H., 2014</w:t>
                      </w:r>
                      <w:r w:rsidRPr="00173AEF">
                        <w:rPr>
                          <w:rFonts w:ascii="Calibri" w:eastAsia="Times New Roman" w:hAnsi="Calibri" w:cs="Calibri"/>
                          <w:color w:val="333333"/>
                          <w:sz w:val="20"/>
                          <w:szCs w:val="20"/>
                        </w:rPr>
                        <w:t>. Analysis of price incenti</w:t>
                      </w:r>
                      <w:r>
                        <w:rPr>
                          <w:rFonts w:ascii="Calibri" w:eastAsia="Times New Roman" w:hAnsi="Calibri" w:cs="Calibri"/>
                          <w:color w:val="333333"/>
                          <w:sz w:val="20"/>
                          <w:szCs w:val="20"/>
                        </w:rPr>
                        <w:t>ves and disincentives for maize</w:t>
                      </w:r>
                      <w:r w:rsidRPr="00173AEF">
                        <w:rPr>
                          <w:rFonts w:ascii="Calibri" w:eastAsia="Times New Roman" w:hAnsi="Calibri" w:cs="Calibri"/>
                          <w:color w:val="333333"/>
                          <w:sz w:val="20"/>
                          <w:szCs w:val="20"/>
                        </w:rPr>
                        <w:t xml:space="preserve"> in the Republic of Mozambique 2005-2013. Technical notes series, MAFAP, FAO, </w:t>
                      </w:r>
                      <w:proofErr w:type="gramStart"/>
                      <w:r w:rsidRPr="00173AEF">
                        <w:rPr>
                          <w:rFonts w:ascii="Calibri" w:eastAsia="Times New Roman" w:hAnsi="Calibri" w:cs="Calibri"/>
                          <w:color w:val="333333"/>
                          <w:sz w:val="20"/>
                          <w:szCs w:val="20"/>
                        </w:rPr>
                        <w:t>Rome</w:t>
                      </w:r>
                      <w:proofErr w:type="gramEnd"/>
                      <w:r>
                        <w:rPr>
                          <w:rFonts w:ascii="Calibri" w:eastAsia="Times New Roman" w:hAnsi="Calibri" w:cs="Calibri"/>
                          <w:color w:val="333333"/>
                          <w:sz w:val="20"/>
                          <w:szCs w:val="20"/>
                        </w:rPr>
                        <w:t>.</w:t>
                      </w:r>
                    </w:p>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 </w:t>
                      </w:r>
                    </w:p>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 FAO 2013</w:t>
                      </w:r>
                    </w:p>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 </w:t>
                      </w:r>
                    </w:p>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FAO encourages the use, reproduction and dissemination of material in this information product. Except where otherwise indicated, material may be copied, downloaded and printed for private study, research and teaching purposes, or for use in non-commercial products or services, provided that appropriate acknowledgement of FAO as the source and copyright holder is given and that FAO’s endorsement of users’ views, products or services is not implied in any way.</w:t>
                      </w:r>
                    </w:p>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 </w:t>
                      </w:r>
                    </w:p>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 xml:space="preserve">All requests for translation and adaptation </w:t>
                      </w:r>
                      <w:proofErr w:type="gramStart"/>
                      <w:r>
                        <w:rPr>
                          <w:rFonts w:ascii="Calibri" w:eastAsia="Times New Roman" w:hAnsi="Calibri" w:cs="Calibri"/>
                          <w:color w:val="333333"/>
                          <w:sz w:val="20"/>
                          <w:szCs w:val="20"/>
                        </w:rPr>
                        <w:t>rights,</w:t>
                      </w:r>
                      <w:proofErr w:type="gramEnd"/>
                      <w:r>
                        <w:rPr>
                          <w:rFonts w:ascii="Calibri" w:eastAsia="Times New Roman" w:hAnsi="Calibri" w:cs="Calibri"/>
                          <w:color w:val="333333"/>
                          <w:sz w:val="20"/>
                          <w:szCs w:val="20"/>
                        </w:rPr>
                        <w:t xml:space="preserve"> and for resale and other commercial use rights should be made via www.fao.org/contact-us/licence-request or addressed to </w:t>
                      </w:r>
                      <w:hyperlink r:id="rId20" w:history="1">
                        <w:r>
                          <w:rPr>
                            <w:rStyle w:val="Hyperlink"/>
                            <w:rFonts w:ascii="Calibri" w:eastAsia="Times New Roman" w:hAnsi="Calibri" w:cs="Calibri"/>
                            <w:sz w:val="20"/>
                            <w:szCs w:val="20"/>
                          </w:rPr>
                          <w:t>copyright@fao.org</w:t>
                        </w:r>
                      </w:hyperlink>
                      <w:r>
                        <w:rPr>
                          <w:rFonts w:ascii="Calibri" w:eastAsia="Times New Roman" w:hAnsi="Calibri" w:cs="Calibri"/>
                          <w:color w:val="333333"/>
                          <w:sz w:val="20"/>
                          <w:szCs w:val="20"/>
                        </w:rPr>
                        <w:t>.</w:t>
                      </w:r>
                    </w:p>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 </w:t>
                      </w:r>
                    </w:p>
                    <w:p w:rsidR="002F3312" w:rsidRDefault="002F3312" w:rsidP="00A60BEC">
                      <w:pPr>
                        <w:pStyle w:val="NormalWeb"/>
                        <w:spacing w:before="0" w:beforeAutospacing="0" w:after="0" w:afterAutospacing="0" w:line="276" w:lineRule="auto"/>
                      </w:pPr>
                      <w:r>
                        <w:rPr>
                          <w:rFonts w:ascii="Calibri" w:eastAsia="Times New Roman" w:hAnsi="Calibri" w:cs="Calibri"/>
                          <w:color w:val="333333"/>
                          <w:sz w:val="20"/>
                          <w:szCs w:val="20"/>
                        </w:rPr>
                        <w:t>FAO information products are available on the FAO website (www.fao.org/publications) and can be purchased through publications-sales@fao.org.</w:t>
                      </w:r>
                    </w:p>
                  </w:txbxContent>
                </v:textbox>
              </v:shape>
            </w:pict>
          </mc:Fallback>
        </mc:AlternateContent>
      </w:r>
    </w:p>
    <w:p w:rsidR="00A60BEC" w:rsidRDefault="00A60BEC" w:rsidP="00A60BEC">
      <w:pPr>
        <w:rPr>
          <w:i/>
        </w:rPr>
      </w:pPr>
    </w:p>
    <w:p w:rsidR="00A60BEC" w:rsidRDefault="00A60BEC" w:rsidP="00A60BEC">
      <w:r>
        <w:br w:type="page"/>
      </w:r>
    </w:p>
    <w:p w:rsidR="00F326EB" w:rsidRDefault="00782338" w:rsidP="00155DE2">
      <w:pPr>
        <w:pStyle w:val="Heading1"/>
        <w:spacing w:before="240"/>
        <w:jc w:val="left"/>
      </w:pPr>
      <w:bookmarkStart w:id="0" w:name="_Toc336419325"/>
      <w:bookmarkStart w:id="1" w:name="_Toc401642213"/>
      <w:r>
        <w:lastRenderedPageBreak/>
        <w:t>SUMMARY OF THE NOTE</w:t>
      </w:r>
      <w:bookmarkEnd w:id="0"/>
      <w:bookmarkEnd w:id="1"/>
      <w:r w:rsidR="001442CA">
        <w:t xml:space="preserve"> </w:t>
      </w:r>
    </w:p>
    <w:p w:rsidR="005812B4" w:rsidRPr="00BE24F0" w:rsidRDefault="005812B4" w:rsidP="00782338">
      <w:pPr>
        <w:pStyle w:val="NoSpacing"/>
        <w:rPr>
          <w:b/>
        </w:rPr>
      </w:pPr>
      <w:r w:rsidRPr="00155DE2">
        <w:rPr>
          <w:b/>
        </w:rPr>
        <w:t xml:space="preserve">Product: </w:t>
      </w:r>
      <w:r w:rsidR="001442CA">
        <w:rPr>
          <w:b/>
        </w:rPr>
        <w:t xml:space="preserve"> </w:t>
      </w:r>
      <w:r w:rsidRPr="00155DE2">
        <w:rPr>
          <w:b/>
        </w:rPr>
        <w:tab/>
      </w:r>
      <w:r w:rsidR="00BE24F0">
        <w:rPr>
          <w:b/>
        </w:rPr>
        <w:tab/>
      </w:r>
      <w:r w:rsidR="00BE24F0" w:rsidRPr="00BE24F0">
        <w:rPr>
          <w:b/>
        </w:rPr>
        <w:t>Maize</w:t>
      </w:r>
    </w:p>
    <w:p w:rsidR="00782338" w:rsidRPr="00BE24F0" w:rsidRDefault="00782338" w:rsidP="00782338">
      <w:pPr>
        <w:pStyle w:val="NoSpacing"/>
        <w:rPr>
          <w:b/>
        </w:rPr>
      </w:pPr>
      <w:r w:rsidRPr="00BE24F0">
        <w:rPr>
          <w:b/>
        </w:rPr>
        <w:t xml:space="preserve">Period analyzed: </w:t>
      </w:r>
      <w:r w:rsidRPr="00BE24F0">
        <w:rPr>
          <w:b/>
        </w:rPr>
        <w:tab/>
      </w:r>
      <w:r w:rsidR="00BE24F0" w:rsidRPr="00BE24F0">
        <w:rPr>
          <w:b/>
        </w:rPr>
        <w:t>2005</w:t>
      </w:r>
      <w:r w:rsidR="009F4A05">
        <w:rPr>
          <w:b/>
        </w:rPr>
        <w:t>-</w:t>
      </w:r>
      <w:r w:rsidR="00BE24F0" w:rsidRPr="00BE24F0">
        <w:rPr>
          <w:b/>
        </w:rPr>
        <w:t>2013</w:t>
      </w:r>
    </w:p>
    <w:p w:rsidR="00782338" w:rsidRPr="00BE24F0" w:rsidRDefault="00782338" w:rsidP="00782338">
      <w:pPr>
        <w:pStyle w:val="NoSpacing"/>
        <w:rPr>
          <w:b/>
        </w:rPr>
      </w:pPr>
      <w:r w:rsidRPr="00BE24F0">
        <w:rPr>
          <w:b/>
        </w:rPr>
        <w:t>Trade status:</w:t>
      </w:r>
      <w:r w:rsidRPr="00BE24F0">
        <w:rPr>
          <w:b/>
        </w:rPr>
        <w:tab/>
      </w:r>
      <w:r w:rsidRPr="00BE24F0">
        <w:rPr>
          <w:b/>
        </w:rPr>
        <w:tab/>
      </w:r>
      <w:r w:rsidR="00BE24F0" w:rsidRPr="00BE24F0">
        <w:rPr>
          <w:b/>
        </w:rPr>
        <w:t>Importer</w:t>
      </w:r>
    </w:p>
    <w:p w:rsidR="00155DE2" w:rsidRDefault="00155DE2" w:rsidP="00155DE2">
      <w:pPr>
        <w:pStyle w:val="Heading3"/>
      </w:pPr>
      <w:bookmarkStart w:id="2" w:name="_Toc401642214"/>
      <w:r>
        <w:t>COMMODITY CONTEXT</w:t>
      </w:r>
      <w:bookmarkEnd w:id="2"/>
    </w:p>
    <w:p w:rsidR="005812B4" w:rsidRDefault="002574EC" w:rsidP="005812B4">
      <w:pPr>
        <w:pStyle w:val="NoSpacing"/>
        <w:numPr>
          <w:ilvl w:val="0"/>
          <w:numId w:val="39"/>
        </w:numPr>
        <w:jc w:val="both"/>
      </w:pPr>
      <w:r>
        <w:t>On</w:t>
      </w:r>
      <w:r w:rsidR="00500239">
        <w:t xml:space="preserve"> </w:t>
      </w:r>
      <w:r>
        <w:t xml:space="preserve">the </w:t>
      </w:r>
      <w:r w:rsidR="00500239">
        <w:t xml:space="preserve">food consumption </w:t>
      </w:r>
      <w:r>
        <w:t>side</w:t>
      </w:r>
      <w:r w:rsidR="00500239">
        <w:t xml:space="preserve">, maize </w:t>
      </w:r>
      <w:r w:rsidR="00BE24F0">
        <w:t xml:space="preserve">is among the most important </w:t>
      </w:r>
      <w:r w:rsidR="00500239">
        <w:t xml:space="preserve">staple food supplying </w:t>
      </w:r>
      <w:r w:rsidR="00E95E99">
        <w:t xml:space="preserve">calories </w:t>
      </w:r>
      <w:r w:rsidR="00BE24F0">
        <w:t xml:space="preserve">in Mozambique, contributing on average to </w:t>
      </w:r>
      <w:r w:rsidR="00215E78">
        <w:t>22</w:t>
      </w:r>
      <w:r w:rsidR="008772F9">
        <w:t xml:space="preserve"> percent</w:t>
      </w:r>
      <w:r w:rsidR="00215E78">
        <w:t xml:space="preserve"> of the total caloric intake</w:t>
      </w:r>
      <w:r w:rsidR="009E0AC1">
        <w:t>.</w:t>
      </w:r>
    </w:p>
    <w:p w:rsidR="009E0AC1" w:rsidRDefault="00500239" w:rsidP="005812B4">
      <w:pPr>
        <w:pStyle w:val="NoSpacing"/>
        <w:numPr>
          <w:ilvl w:val="0"/>
          <w:numId w:val="39"/>
        </w:numPr>
        <w:jc w:val="both"/>
      </w:pPr>
      <w:r>
        <w:t xml:space="preserve">On the food production side, nearly </w:t>
      </w:r>
      <w:r w:rsidR="009E0AC1">
        <w:t>three quarters</w:t>
      </w:r>
      <w:r w:rsidR="00215E78">
        <w:t xml:space="preserve"> of smallholder farmers grow</w:t>
      </w:r>
      <w:r w:rsidR="009E0AC1">
        <w:t xml:space="preserve"> maize and the grain account</w:t>
      </w:r>
      <w:r w:rsidR="00E95E99">
        <w:t>s</w:t>
      </w:r>
      <w:r>
        <w:t xml:space="preserve"> </w:t>
      </w:r>
      <w:r w:rsidR="009E0AC1">
        <w:t>for about 35</w:t>
      </w:r>
      <w:r w:rsidR="008772F9">
        <w:t xml:space="preserve"> percent</w:t>
      </w:r>
      <w:r w:rsidR="009E0AC1">
        <w:t xml:space="preserve"> of the total cultivated area.</w:t>
      </w:r>
    </w:p>
    <w:p w:rsidR="00215E78" w:rsidRDefault="00215E78" w:rsidP="005812B4">
      <w:pPr>
        <w:pStyle w:val="NoSpacing"/>
        <w:numPr>
          <w:ilvl w:val="0"/>
          <w:numId w:val="39"/>
        </w:numPr>
        <w:jc w:val="both"/>
      </w:pPr>
      <w:r>
        <w:t xml:space="preserve">Mozambique produces an average of about 1.1 million </w:t>
      </w:r>
      <w:r w:rsidR="008772F9">
        <w:t>tonnes</w:t>
      </w:r>
      <w:r>
        <w:t xml:space="preserve"> o</w:t>
      </w:r>
      <w:r w:rsidR="008772F9">
        <w:t>f maize, of which only about 20 percent</w:t>
      </w:r>
      <w:r>
        <w:t xml:space="preserve"> is sold in the market</w:t>
      </w:r>
      <w:r w:rsidR="00E95E99">
        <w:t>.</w:t>
      </w:r>
    </w:p>
    <w:p w:rsidR="009E0AC1" w:rsidRDefault="009E0AC1" w:rsidP="005812B4">
      <w:pPr>
        <w:pStyle w:val="NoSpacing"/>
        <w:numPr>
          <w:ilvl w:val="0"/>
          <w:numId w:val="39"/>
        </w:numPr>
        <w:jc w:val="both"/>
      </w:pPr>
      <w:r>
        <w:t>Central and Northern Mozambique are maize surplus regions, while Southern Mozambique is a deficit region.</w:t>
      </w:r>
    </w:p>
    <w:p w:rsidR="009E0AC1" w:rsidRDefault="009E0AC1" w:rsidP="000F0563">
      <w:pPr>
        <w:pStyle w:val="NoSpacing"/>
        <w:jc w:val="both"/>
      </w:pPr>
    </w:p>
    <w:p w:rsidR="00045AA7" w:rsidRDefault="00045AA7" w:rsidP="00045AA7">
      <w:pPr>
        <w:pStyle w:val="NoSpacing"/>
      </w:pPr>
    </w:p>
    <w:p w:rsidR="00F34BF3" w:rsidRPr="00F34BF3" w:rsidRDefault="000F0563" w:rsidP="000F0563">
      <w:pPr>
        <w:jc w:val="left"/>
      </w:pPr>
      <w:bookmarkStart w:id="3" w:name="_Ref336612926"/>
      <w:bookmarkStart w:id="4" w:name="_Ref336612945"/>
      <w:bookmarkStart w:id="5" w:name="_Ref336612947"/>
      <w:bookmarkStart w:id="6" w:name="_Ref336613014"/>
      <w:r>
        <w:rPr>
          <w:noProof/>
        </w:rPr>
        <w:drawing>
          <wp:anchor distT="0" distB="0" distL="114300" distR="114300" simplePos="0" relativeHeight="251654144" behindDoc="0" locked="0" layoutInCell="1" allowOverlap="1" wp14:anchorId="4B90D7AF" wp14:editId="0EAF2307">
            <wp:simplePos x="0" y="0"/>
            <wp:positionH relativeFrom="column">
              <wp:posOffset>-3810</wp:posOffset>
            </wp:positionH>
            <wp:positionV relativeFrom="paragraph">
              <wp:posOffset>-1270</wp:posOffset>
            </wp:positionV>
            <wp:extent cx="5759450" cy="2937510"/>
            <wp:effectExtent l="0" t="0" r="12700" b="15240"/>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AA36A8" w:rsidRPr="000510BC">
        <w:t xml:space="preserve">The observed Nominal Rate of Protection (NRP, green line) </w:t>
      </w:r>
      <w:r w:rsidR="00C74708">
        <w:t xml:space="preserve">in the graph above </w:t>
      </w:r>
      <w:r w:rsidR="003425E8" w:rsidRPr="00514366">
        <w:t xml:space="preserve">measures </w:t>
      </w:r>
      <w:r w:rsidR="008062B9" w:rsidRPr="00514366">
        <w:t xml:space="preserve">the effect of </w:t>
      </w:r>
      <w:r w:rsidR="00EA68EA" w:rsidRPr="00514366">
        <w:t>policy distortions</w:t>
      </w:r>
      <w:r w:rsidR="005B3B30" w:rsidRPr="00514366">
        <w:t xml:space="preserve"> </w:t>
      </w:r>
      <w:r w:rsidR="008062B9" w:rsidRPr="00514366">
        <w:t>and overall market performance on price incentives for producers</w:t>
      </w:r>
      <w:r w:rsidR="00AA36A8" w:rsidRPr="000510BC">
        <w:t xml:space="preserve">. The adjusted NRP (blue line) </w:t>
      </w:r>
      <w:r w:rsidR="006C638E">
        <w:t>captures the</w:t>
      </w:r>
      <w:r w:rsidR="00A7760D">
        <w:t xml:space="preserve"> same elements</w:t>
      </w:r>
      <w:r w:rsidR="003C264B">
        <w:t xml:space="preserve"> as the observed NRP</w:t>
      </w:r>
      <w:r w:rsidR="00A7760D">
        <w:t xml:space="preserve"> </w:t>
      </w:r>
      <w:r w:rsidR="003C264B">
        <w:t>in addition to</w:t>
      </w:r>
      <w:r w:rsidR="006C638E">
        <w:t xml:space="preserve"> any</w:t>
      </w:r>
      <w:r w:rsidR="00A7760D">
        <w:t xml:space="preserve"> market </w:t>
      </w:r>
      <w:r w:rsidR="008062B9">
        <w:t>distortions</w:t>
      </w:r>
      <w:r w:rsidR="006C638E">
        <w:t xml:space="preserve"> resulting</w:t>
      </w:r>
      <w:r w:rsidR="008062B9">
        <w:t xml:space="preserve"> </w:t>
      </w:r>
      <w:r w:rsidR="00A7760D">
        <w:t>from inefficiencies in the commodity</w:t>
      </w:r>
      <w:r w:rsidR="009F5C5B">
        <w:t>’s</w:t>
      </w:r>
      <w:r w:rsidR="00A7760D">
        <w:t xml:space="preserve"> value chain</w:t>
      </w:r>
      <w:r w:rsidR="00514366">
        <w:t xml:space="preserve"> and exchange rate misalignment</w:t>
      </w:r>
      <w:r w:rsidR="00AA36A8">
        <w:t xml:space="preserve">. </w:t>
      </w:r>
      <w:r w:rsidR="00AA36A8" w:rsidRPr="000510BC">
        <w:t>The area in red</w:t>
      </w:r>
      <w:r w:rsidR="00963F02">
        <w:t xml:space="preserve"> reflects</w:t>
      </w:r>
      <w:r w:rsidR="00AA36A8" w:rsidRPr="000510BC">
        <w:t xml:space="preserve"> the </w:t>
      </w:r>
      <w:r w:rsidR="006C638E">
        <w:t xml:space="preserve">estimated </w:t>
      </w:r>
      <w:r w:rsidR="00AA36A8" w:rsidRPr="000510BC">
        <w:t xml:space="preserve">cost that </w:t>
      </w:r>
      <w:r w:rsidR="003355F5">
        <w:t>value chain inefficiencies</w:t>
      </w:r>
      <w:r w:rsidR="00514366">
        <w:t xml:space="preserve"> and exchange rate misalignment</w:t>
      </w:r>
      <w:r w:rsidR="00AA36A8" w:rsidRPr="000510BC">
        <w:t xml:space="preserve"> represent </w:t>
      </w:r>
      <w:r w:rsidR="00586ADD">
        <w:t xml:space="preserve">to </w:t>
      </w:r>
      <w:r w:rsidR="00AA36A8" w:rsidRPr="000510BC">
        <w:t>producers.</w:t>
      </w:r>
    </w:p>
    <w:p w:rsidR="00F34BF3" w:rsidRDefault="00155DE2" w:rsidP="00155DE2">
      <w:pPr>
        <w:pStyle w:val="Heading3"/>
      </w:pPr>
      <w:bookmarkStart w:id="7" w:name="_Toc401642215"/>
      <w:r>
        <w:t>DRIVING FACTORS</w:t>
      </w:r>
      <w:bookmarkEnd w:id="7"/>
    </w:p>
    <w:p w:rsidR="008772F9" w:rsidRDefault="008772F9" w:rsidP="00045AA7">
      <w:pPr>
        <w:pStyle w:val="ListParagraph"/>
        <w:numPr>
          <w:ilvl w:val="0"/>
          <w:numId w:val="39"/>
        </w:numPr>
      </w:pPr>
      <w:r>
        <w:t>Cereals including maize, wheat and rice are subject to a 2.5 percent import tariff.</w:t>
      </w:r>
    </w:p>
    <w:p w:rsidR="003272E9" w:rsidRDefault="00F13274" w:rsidP="00045AA7">
      <w:pPr>
        <w:pStyle w:val="ListParagraph"/>
        <w:numPr>
          <w:ilvl w:val="0"/>
          <w:numId w:val="39"/>
        </w:numPr>
      </w:pPr>
      <w:r>
        <w:t>In addition, a</w:t>
      </w:r>
      <w:r w:rsidR="008772F9">
        <w:t xml:space="preserve"> 17 percent</w:t>
      </w:r>
      <w:r w:rsidR="00D146C9">
        <w:t xml:space="preserve"> value added tax (VAT)</w:t>
      </w:r>
      <w:r w:rsidR="008772F9">
        <w:t xml:space="preserve"> is applied</w:t>
      </w:r>
      <w:r w:rsidR="00D146C9">
        <w:t xml:space="preserve"> on maize grain imports. </w:t>
      </w:r>
      <w:r w:rsidR="00D146C9" w:rsidRPr="00D64DE7">
        <w:t>Since VAT is not applied to domestic production, this</w:t>
      </w:r>
      <w:r w:rsidR="00D146C9">
        <w:t xml:space="preserve"> </w:t>
      </w:r>
      <w:r w:rsidR="00D146C9" w:rsidRPr="00D64DE7">
        <w:t xml:space="preserve">measure </w:t>
      </w:r>
      <w:r w:rsidR="00D146C9" w:rsidRPr="00D64DE7">
        <w:rPr>
          <w:i/>
        </w:rPr>
        <w:t>de facto</w:t>
      </w:r>
      <w:r w:rsidR="00D146C9" w:rsidRPr="00D64DE7">
        <w:t xml:space="preserve"> constitutes a trade policy measure in the form of an import tax</w:t>
      </w:r>
      <w:r w:rsidR="001108DB">
        <w:t>.</w:t>
      </w:r>
    </w:p>
    <w:p w:rsidR="00E95E99" w:rsidRDefault="00E95E99" w:rsidP="00045AA7">
      <w:pPr>
        <w:pStyle w:val="ListParagraph"/>
        <w:numPr>
          <w:ilvl w:val="0"/>
          <w:numId w:val="39"/>
        </w:numPr>
      </w:pPr>
      <w:r>
        <w:t xml:space="preserve">Large-scale millers in Southern Mozambique prefer maize grain imported from South Africa, while medium-to-small millers use </w:t>
      </w:r>
      <w:r w:rsidR="008772F9">
        <w:t xml:space="preserve">predominantly </w:t>
      </w:r>
      <w:r>
        <w:t>maize sourced from surplus areas in Central and Northern Mozambique.</w:t>
      </w:r>
    </w:p>
    <w:p w:rsidR="00045AA7" w:rsidRDefault="0072264E" w:rsidP="00026DAD">
      <w:pPr>
        <w:pStyle w:val="Heading3"/>
      </w:pPr>
      <w:bookmarkStart w:id="8" w:name="_Toc401642216"/>
      <w:r>
        <w:lastRenderedPageBreak/>
        <w:t>RECOMMENDATIONS</w:t>
      </w:r>
      <w:bookmarkEnd w:id="8"/>
      <w:r>
        <w:t xml:space="preserve"> </w:t>
      </w:r>
    </w:p>
    <w:p w:rsidR="007524C3" w:rsidRPr="00BE4EBF" w:rsidRDefault="007524C3" w:rsidP="00B40671">
      <w:pPr>
        <w:pStyle w:val="ListParagraph"/>
        <w:numPr>
          <w:ilvl w:val="0"/>
          <w:numId w:val="45"/>
        </w:numPr>
        <w:ind w:left="709"/>
      </w:pPr>
      <w:r>
        <w:t>Al</w:t>
      </w:r>
      <w:r w:rsidR="00F13274">
        <w:t>though there is the</w:t>
      </w:r>
      <w:r>
        <w:t xml:space="preserve"> need to </w:t>
      </w:r>
      <w:r w:rsidR="001D30B3">
        <w:t xml:space="preserve">undertake </w:t>
      </w:r>
      <w:r>
        <w:t xml:space="preserve">additional research to draw specific policy recommendations from a more in-depth analysis, we recommend </w:t>
      </w:r>
      <w:r w:rsidR="008772F9">
        <w:t xml:space="preserve">to undertake </w:t>
      </w:r>
      <w:r>
        <w:t>an as</w:t>
      </w:r>
      <w:r w:rsidR="008772F9">
        <w:t>sessment of the potential impact of the removal of the 17 percent VAT on maize grain import.</w:t>
      </w:r>
    </w:p>
    <w:p w:rsidR="00045AA7" w:rsidRDefault="00045AA7" w:rsidP="00120B7A">
      <w:pPr>
        <w:pStyle w:val="ListParagraph"/>
        <w:rPr>
          <w:highlight w:val="yellow"/>
        </w:rPr>
      </w:pPr>
    </w:p>
    <w:p w:rsidR="007524C3" w:rsidRDefault="007524C3">
      <w:pPr>
        <w:jc w:val="left"/>
        <w:rPr>
          <w:highlight w:val="yellow"/>
        </w:rPr>
      </w:pPr>
      <w:r>
        <w:rPr>
          <w:highlight w:val="yellow"/>
        </w:rPr>
        <w:br w:type="page"/>
      </w:r>
    </w:p>
    <w:bookmarkStart w:id="9" w:name="_Toc401642217" w:displacedByCustomXml="next"/>
    <w:sdt>
      <w:sdtPr>
        <w:rPr>
          <w:rFonts w:asciiTheme="minorHAnsi" w:eastAsiaTheme="minorHAnsi" w:hAnsiTheme="minorHAnsi" w:cstheme="minorBidi"/>
          <w:b w:val="0"/>
          <w:bCs w:val="0"/>
          <w:color w:val="auto"/>
          <w:sz w:val="22"/>
          <w:szCs w:val="22"/>
        </w:rPr>
        <w:id w:val="22098447"/>
        <w:docPartObj>
          <w:docPartGallery w:val="Table of Contents"/>
          <w:docPartUnique/>
        </w:docPartObj>
      </w:sdtPr>
      <w:sdtEndPr>
        <w:rPr>
          <w:rFonts w:eastAsiaTheme="minorEastAsia"/>
        </w:rPr>
      </w:sdtEndPr>
      <w:sdtContent>
        <w:p w:rsidR="00417DFA" w:rsidRPr="00813FEC" w:rsidRDefault="00417DFA" w:rsidP="003E6269">
          <w:pPr>
            <w:pStyle w:val="Heading1"/>
            <w:spacing w:after="0" w:line="240" w:lineRule="auto"/>
          </w:pPr>
          <w:r w:rsidRPr="00813FEC">
            <w:t>CONTENTS</w:t>
          </w:r>
          <w:bookmarkEnd w:id="9"/>
        </w:p>
        <w:p w:rsidR="00D147FD" w:rsidRDefault="00323EC3" w:rsidP="003E6269">
          <w:pPr>
            <w:pStyle w:val="TOC1"/>
            <w:tabs>
              <w:tab w:val="right" w:leader="dot" w:pos="9060"/>
            </w:tabs>
            <w:spacing w:after="0" w:line="240" w:lineRule="auto"/>
            <w:rPr>
              <w:noProof/>
            </w:rPr>
          </w:pPr>
          <w:r w:rsidRPr="00813FEC">
            <w:fldChar w:fldCharType="begin"/>
          </w:r>
          <w:r w:rsidR="00417DFA" w:rsidRPr="00813FEC">
            <w:instrText xml:space="preserve"> TOC \o "1-3" \h \z \u </w:instrText>
          </w:r>
          <w:r w:rsidRPr="00813FEC">
            <w:fldChar w:fldCharType="separate"/>
          </w:r>
          <w:hyperlink w:anchor="_Toc401642213" w:history="1">
            <w:r w:rsidR="00D147FD" w:rsidRPr="00CE1B06">
              <w:rPr>
                <w:rStyle w:val="Hyperlink"/>
                <w:noProof/>
              </w:rPr>
              <w:t>SUMMARY OF THE NOTE</w:t>
            </w:r>
            <w:r w:rsidR="00D147FD">
              <w:rPr>
                <w:noProof/>
                <w:webHidden/>
              </w:rPr>
              <w:tab/>
            </w:r>
            <w:r w:rsidR="00D147FD">
              <w:rPr>
                <w:noProof/>
                <w:webHidden/>
              </w:rPr>
              <w:fldChar w:fldCharType="begin"/>
            </w:r>
            <w:r w:rsidR="00D147FD">
              <w:rPr>
                <w:noProof/>
                <w:webHidden/>
              </w:rPr>
              <w:instrText xml:space="preserve"> PAGEREF _Toc401642213 \h </w:instrText>
            </w:r>
            <w:r w:rsidR="00D147FD">
              <w:rPr>
                <w:noProof/>
                <w:webHidden/>
              </w:rPr>
            </w:r>
            <w:r w:rsidR="00D147FD">
              <w:rPr>
                <w:noProof/>
                <w:webHidden/>
              </w:rPr>
              <w:fldChar w:fldCharType="separate"/>
            </w:r>
            <w:r w:rsidR="003E6269">
              <w:rPr>
                <w:noProof/>
                <w:webHidden/>
              </w:rPr>
              <w:t>3</w:t>
            </w:r>
            <w:r w:rsidR="00D147FD">
              <w:rPr>
                <w:noProof/>
                <w:webHidden/>
              </w:rPr>
              <w:fldChar w:fldCharType="end"/>
            </w:r>
          </w:hyperlink>
        </w:p>
        <w:p w:rsidR="00D147FD" w:rsidRDefault="007C0FAB" w:rsidP="003E6269">
          <w:pPr>
            <w:pStyle w:val="TOC3"/>
            <w:tabs>
              <w:tab w:val="right" w:leader="dot" w:pos="9060"/>
            </w:tabs>
            <w:spacing w:after="0" w:line="240" w:lineRule="auto"/>
            <w:rPr>
              <w:noProof/>
            </w:rPr>
          </w:pPr>
          <w:hyperlink w:anchor="_Toc401642214" w:history="1">
            <w:r w:rsidR="00D147FD" w:rsidRPr="00CE1B06">
              <w:rPr>
                <w:rStyle w:val="Hyperlink"/>
                <w:noProof/>
              </w:rPr>
              <w:t>COMMODITY CONTEXT</w:t>
            </w:r>
            <w:r w:rsidR="00D147FD">
              <w:rPr>
                <w:noProof/>
                <w:webHidden/>
              </w:rPr>
              <w:tab/>
            </w:r>
            <w:r w:rsidR="00D147FD">
              <w:rPr>
                <w:noProof/>
                <w:webHidden/>
              </w:rPr>
              <w:fldChar w:fldCharType="begin"/>
            </w:r>
            <w:r w:rsidR="00D147FD">
              <w:rPr>
                <w:noProof/>
                <w:webHidden/>
              </w:rPr>
              <w:instrText xml:space="preserve"> PAGEREF _Toc401642214 \h </w:instrText>
            </w:r>
            <w:r w:rsidR="00D147FD">
              <w:rPr>
                <w:noProof/>
                <w:webHidden/>
              </w:rPr>
            </w:r>
            <w:r w:rsidR="00D147FD">
              <w:rPr>
                <w:noProof/>
                <w:webHidden/>
              </w:rPr>
              <w:fldChar w:fldCharType="separate"/>
            </w:r>
            <w:r w:rsidR="003E6269">
              <w:rPr>
                <w:noProof/>
                <w:webHidden/>
              </w:rPr>
              <w:t>3</w:t>
            </w:r>
            <w:r w:rsidR="00D147FD">
              <w:rPr>
                <w:noProof/>
                <w:webHidden/>
              </w:rPr>
              <w:fldChar w:fldCharType="end"/>
            </w:r>
          </w:hyperlink>
        </w:p>
        <w:p w:rsidR="00D147FD" w:rsidRDefault="007C0FAB" w:rsidP="003E6269">
          <w:pPr>
            <w:pStyle w:val="TOC3"/>
            <w:tabs>
              <w:tab w:val="right" w:leader="dot" w:pos="9060"/>
            </w:tabs>
            <w:spacing w:after="0" w:line="240" w:lineRule="auto"/>
            <w:rPr>
              <w:noProof/>
            </w:rPr>
          </w:pPr>
          <w:hyperlink w:anchor="_Toc401642215" w:history="1">
            <w:r w:rsidR="00D147FD" w:rsidRPr="00CE1B06">
              <w:rPr>
                <w:rStyle w:val="Hyperlink"/>
                <w:noProof/>
              </w:rPr>
              <w:t>DRIVING FACTORS</w:t>
            </w:r>
            <w:r w:rsidR="00D147FD">
              <w:rPr>
                <w:noProof/>
                <w:webHidden/>
              </w:rPr>
              <w:tab/>
            </w:r>
            <w:r w:rsidR="00D147FD">
              <w:rPr>
                <w:noProof/>
                <w:webHidden/>
              </w:rPr>
              <w:fldChar w:fldCharType="begin"/>
            </w:r>
            <w:r w:rsidR="00D147FD">
              <w:rPr>
                <w:noProof/>
                <w:webHidden/>
              </w:rPr>
              <w:instrText xml:space="preserve"> PAGEREF _Toc401642215 \h </w:instrText>
            </w:r>
            <w:r w:rsidR="00D147FD">
              <w:rPr>
                <w:noProof/>
                <w:webHidden/>
              </w:rPr>
            </w:r>
            <w:r w:rsidR="00D147FD">
              <w:rPr>
                <w:noProof/>
                <w:webHidden/>
              </w:rPr>
              <w:fldChar w:fldCharType="separate"/>
            </w:r>
            <w:r w:rsidR="003E6269">
              <w:rPr>
                <w:noProof/>
                <w:webHidden/>
              </w:rPr>
              <w:t>3</w:t>
            </w:r>
            <w:r w:rsidR="00D147FD">
              <w:rPr>
                <w:noProof/>
                <w:webHidden/>
              </w:rPr>
              <w:fldChar w:fldCharType="end"/>
            </w:r>
          </w:hyperlink>
        </w:p>
        <w:p w:rsidR="00D147FD" w:rsidRDefault="007C0FAB" w:rsidP="003E6269">
          <w:pPr>
            <w:pStyle w:val="TOC3"/>
            <w:tabs>
              <w:tab w:val="right" w:leader="dot" w:pos="9060"/>
            </w:tabs>
            <w:spacing w:after="0" w:line="240" w:lineRule="auto"/>
            <w:rPr>
              <w:noProof/>
            </w:rPr>
          </w:pPr>
          <w:hyperlink w:anchor="_Toc401642216" w:history="1">
            <w:r w:rsidR="00D147FD" w:rsidRPr="00CE1B06">
              <w:rPr>
                <w:rStyle w:val="Hyperlink"/>
                <w:noProof/>
              </w:rPr>
              <w:t>RECOMMENDATIONS</w:t>
            </w:r>
            <w:r w:rsidR="00D147FD">
              <w:rPr>
                <w:noProof/>
                <w:webHidden/>
              </w:rPr>
              <w:tab/>
            </w:r>
            <w:r w:rsidR="00D147FD">
              <w:rPr>
                <w:noProof/>
                <w:webHidden/>
              </w:rPr>
              <w:fldChar w:fldCharType="begin"/>
            </w:r>
            <w:r w:rsidR="00D147FD">
              <w:rPr>
                <w:noProof/>
                <w:webHidden/>
              </w:rPr>
              <w:instrText xml:space="preserve"> PAGEREF _Toc401642216 \h </w:instrText>
            </w:r>
            <w:r w:rsidR="00D147FD">
              <w:rPr>
                <w:noProof/>
                <w:webHidden/>
              </w:rPr>
            </w:r>
            <w:r w:rsidR="00D147FD">
              <w:rPr>
                <w:noProof/>
                <w:webHidden/>
              </w:rPr>
              <w:fldChar w:fldCharType="separate"/>
            </w:r>
            <w:r w:rsidR="003E6269">
              <w:rPr>
                <w:noProof/>
                <w:webHidden/>
              </w:rPr>
              <w:t>4</w:t>
            </w:r>
            <w:r w:rsidR="00D147FD">
              <w:rPr>
                <w:noProof/>
                <w:webHidden/>
              </w:rPr>
              <w:fldChar w:fldCharType="end"/>
            </w:r>
          </w:hyperlink>
        </w:p>
        <w:p w:rsidR="00D147FD" w:rsidRDefault="007C0FAB" w:rsidP="003E6269">
          <w:pPr>
            <w:pStyle w:val="TOC1"/>
            <w:tabs>
              <w:tab w:val="right" w:leader="dot" w:pos="9060"/>
            </w:tabs>
            <w:spacing w:after="0" w:line="240" w:lineRule="auto"/>
            <w:rPr>
              <w:noProof/>
            </w:rPr>
          </w:pPr>
          <w:hyperlink w:anchor="_Toc401642217" w:history="1">
            <w:r w:rsidR="00D147FD" w:rsidRPr="00CE1B06">
              <w:rPr>
                <w:rStyle w:val="Hyperlink"/>
                <w:noProof/>
              </w:rPr>
              <w:t>CONTENTS</w:t>
            </w:r>
            <w:r w:rsidR="00D147FD">
              <w:rPr>
                <w:noProof/>
                <w:webHidden/>
              </w:rPr>
              <w:tab/>
            </w:r>
            <w:r w:rsidR="00D147FD">
              <w:rPr>
                <w:noProof/>
                <w:webHidden/>
              </w:rPr>
              <w:fldChar w:fldCharType="begin"/>
            </w:r>
            <w:r w:rsidR="00D147FD">
              <w:rPr>
                <w:noProof/>
                <w:webHidden/>
              </w:rPr>
              <w:instrText xml:space="preserve"> PAGEREF _Toc401642217 \h </w:instrText>
            </w:r>
            <w:r w:rsidR="00D147FD">
              <w:rPr>
                <w:noProof/>
                <w:webHidden/>
              </w:rPr>
            </w:r>
            <w:r w:rsidR="00D147FD">
              <w:rPr>
                <w:noProof/>
                <w:webHidden/>
              </w:rPr>
              <w:fldChar w:fldCharType="separate"/>
            </w:r>
            <w:r w:rsidR="003E6269">
              <w:rPr>
                <w:noProof/>
                <w:webHidden/>
              </w:rPr>
              <w:t>5</w:t>
            </w:r>
            <w:r w:rsidR="00D147FD">
              <w:rPr>
                <w:noProof/>
                <w:webHidden/>
              </w:rPr>
              <w:fldChar w:fldCharType="end"/>
            </w:r>
          </w:hyperlink>
        </w:p>
        <w:p w:rsidR="00D147FD" w:rsidRDefault="007C0FAB" w:rsidP="003E6269">
          <w:pPr>
            <w:pStyle w:val="TOC1"/>
            <w:tabs>
              <w:tab w:val="left" w:pos="440"/>
              <w:tab w:val="right" w:leader="dot" w:pos="9060"/>
            </w:tabs>
            <w:spacing w:after="0" w:line="240" w:lineRule="auto"/>
            <w:rPr>
              <w:noProof/>
            </w:rPr>
          </w:pPr>
          <w:hyperlink w:anchor="_Toc401642218" w:history="1">
            <w:r w:rsidR="00D147FD" w:rsidRPr="00CE1B06">
              <w:rPr>
                <w:rStyle w:val="Hyperlink"/>
                <w:noProof/>
              </w:rPr>
              <w:t>1.</w:t>
            </w:r>
            <w:r w:rsidR="00D147FD">
              <w:rPr>
                <w:noProof/>
              </w:rPr>
              <w:tab/>
            </w:r>
            <w:r w:rsidR="00D147FD" w:rsidRPr="00CE1B06">
              <w:rPr>
                <w:rStyle w:val="Hyperlink"/>
                <w:noProof/>
              </w:rPr>
              <w:t>PURPOSE OF THE NOTE</w:t>
            </w:r>
            <w:r w:rsidR="00D147FD">
              <w:rPr>
                <w:noProof/>
                <w:webHidden/>
              </w:rPr>
              <w:tab/>
            </w:r>
            <w:r w:rsidR="00D147FD">
              <w:rPr>
                <w:noProof/>
                <w:webHidden/>
              </w:rPr>
              <w:fldChar w:fldCharType="begin"/>
            </w:r>
            <w:r w:rsidR="00D147FD">
              <w:rPr>
                <w:noProof/>
                <w:webHidden/>
              </w:rPr>
              <w:instrText xml:space="preserve"> PAGEREF _Toc401642218 \h </w:instrText>
            </w:r>
            <w:r w:rsidR="00D147FD">
              <w:rPr>
                <w:noProof/>
                <w:webHidden/>
              </w:rPr>
            </w:r>
            <w:r w:rsidR="00D147FD">
              <w:rPr>
                <w:noProof/>
                <w:webHidden/>
              </w:rPr>
              <w:fldChar w:fldCharType="separate"/>
            </w:r>
            <w:r w:rsidR="003E6269">
              <w:rPr>
                <w:noProof/>
                <w:webHidden/>
              </w:rPr>
              <w:t>6</w:t>
            </w:r>
            <w:r w:rsidR="00D147FD">
              <w:rPr>
                <w:noProof/>
                <w:webHidden/>
              </w:rPr>
              <w:fldChar w:fldCharType="end"/>
            </w:r>
          </w:hyperlink>
        </w:p>
        <w:p w:rsidR="00D147FD" w:rsidRDefault="007C0FAB" w:rsidP="003E6269">
          <w:pPr>
            <w:pStyle w:val="TOC1"/>
            <w:tabs>
              <w:tab w:val="left" w:pos="440"/>
              <w:tab w:val="right" w:leader="dot" w:pos="9060"/>
            </w:tabs>
            <w:spacing w:after="0" w:line="240" w:lineRule="auto"/>
            <w:rPr>
              <w:noProof/>
            </w:rPr>
          </w:pPr>
          <w:hyperlink w:anchor="_Toc401642219" w:history="1">
            <w:r w:rsidR="00D147FD" w:rsidRPr="00CE1B06">
              <w:rPr>
                <w:rStyle w:val="Hyperlink"/>
                <w:noProof/>
              </w:rPr>
              <w:t>2.</w:t>
            </w:r>
            <w:r w:rsidR="00D147FD">
              <w:rPr>
                <w:noProof/>
              </w:rPr>
              <w:tab/>
            </w:r>
            <w:r w:rsidR="00D147FD" w:rsidRPr="00CE1B06">
              <w:rPr>
                <w:rStyle w:val="Hyperlink"/>
                <w:noProof/>
              </w:rPr>
              <w:t>COMMODITY CONTEXT</w:t>
            </w:r>
            <w:r w:rsidR="00D147FD">
              <w:rPr>
                <w:noProof/>
                <w:webHidden/>
              </w:rPr>
              <w:tab/>
            </w:r>
            <w:r w:rsidR="00D147FD">
              <w:rPr>
                <w:noProof/>
                <w:webHidden/>
              </w:rPr>
              <w:fldChar w:fldCharType="begin"/>
            </w:r>
            <w:r w:rsidR="00D147FD">
              <w:rPr>
                <w:noProof/>
                <w:webHidden/>
              </w:rPr>
              <w:instrText xml:space="preserve"> PAGEREF _Toc401642219 \h </w:instrText>
            </w:r>
            <w:r w:rsidR="00D147FD">
              <w:rPr>
                <w:noProof/>
                <w:webHidden/>
              </w:rPr>
            </w:r>
            <w:r w:rsidR="00D147FD">
              <w:rPr>
                <w:noProof/>
                <w:webHidden/>
              </w:rPr>
              <w:fldChar w:fldCharType="separate"/>
            </w:r>
            <w:r w:rsidR="003E6269">
              <w:rPr>
                <w:noProof/>
                <w:webHidden/>
              </w:rPr>
              <w:t>7</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20" w:history="1">
            <w:r w:rsidR="00D147FD" w:rsidRPr="00CE1B06">
              <w:rPr>
                <w:rStyle w:val="Hyperlink"/>
                <w:noProof/>
              </w:rPr>
              <w:t>PRODUCTION</w:t>
            </w:r>
            <w:r w:rsidR="00D147FD">
              <w:rPr>
                <w:noProof/>
                <w:webHidden/>
              </w:rPr>
              <w:tab/>
            </w:r>
            <w:r w:rsidR="00D147FD">
              <w:rPr>
                <w:noProof/>
                <w:webHidden/>
              </w:rPr>
              <w:fldChar w:fldCharType="begin"/>
            </w:r>
            <w:r w:rsidR="00D147FD">
              <w:rPr>
                <w:noProof/>
                <w:webHidden/>
              </w:rPr>
              <w:instrText xml:space="preserve"> PAGEREF _Toc401642220 \h </w:instrText>
            </w:r>
            <w:r w:rsidR="00D147FD">
              <w:rPr>
                <w:noProof/>
                <w:webHidden/>
              </w:rPr>
            </w:r>
            <w:r w:rsidR="00D147FD">
              <w:rPr>
                <w:noProof/>
                <w:webHidden/>
              </w:rPr>
              <w:fldChar w:fldCharType="separate"/>
            </w:r>
            <w:r w:rsidR="003E6269">
              <w:rPr>
                <w:noProof/>
                <w:webHidden/>
              </w:rPr>
              <w:t>7</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21" w:history="1">
            <w:r w:rsidR="00D147FD" w:rsidRPr="00CE1B06">
              <w:rPr>
                <w:rStyle w:val="Hyperlink"/>
                <w:noProof/>
              </w:rPr>
              <w:t>CONSUMPTION/UTILIZATION</w:t>
            </w:r>
            <w:r w:rsidR="00D147FD">
              <w:rPr>
                <w:noProof/>
                <w:webHidden/>
              </w:rPr>
              <w:tab/>
            </w:r>
            <w:r w:rsidR="00D147FD">
              <w:rPr>
                <w:noProof/>
                <w:webHidden/>
              </w:rPr>
              <w:fldChar w:fldCharType="begin"/>
            </w:r>
            <w:r w:rsidR="00D147FD">
              <w:rPr>
                <w:noProof/>
                <w:webHidden/>
              </w:rPr>
              <w:instrText xml:space="preserve"> PAGEREF _Toc401642221 \h </w:instrText>
            </w:r>
            <w:r w:rsidR="00D147FD">
              <w:rPr>
                <w:noProof/>
                <w:webHidden/>
              </w:rPr>
            </w:r>
            <w:r w:rsidR="00D147FD">
              <w:rPr>
                <w:noProof/>
                <w:webHidden/>
              </w:rPr>
              <w:fldChar w:fldCharType="separate"/>
            </w:r>
            <w:r w:rsidR="003E6269">
              <w:rPr>
                <w:noProof/>
                <w:webHidden/>
              </w:rPr>
              <w:t>9</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22" w:history="1">
            <w:r w:rsidR="00D147FD" w:rsidRPr="00CE1B06">
              <w:rPr>
                <w:rStyle w:val="Hyperlink"/>
                <w:noProof/>
              </w:rPr>
              <w:t>MARKETING AND TRADE</w:t>
            </w:r>
            <w:r w:rsidR="00D147FD">
              <w:rPr>
                <w:noProof/>
                <w:webHidden/>
              </w:rPr>
              <w:tab/>
            </w:r>
            <w:r w:rsidR="00D147FD">
              <w:rPr>
                <w:noProof/>
                <w:webHidden/>
              </w:rPr>
              <w:fldChar w:fldCharType="begin"/>
            </w:r>
            <w:r w:rsidR="00D147FD">
              <w:rPr>
                <w:noProof/>
                <w:webHidden/>
              </w:rPr>
              <w:instrText xml:space="preserve"> PAGEREF _Toc401642222 \h </w:instrText>
            </w:r>
            <w:r w:rsidR="00D147FD">
              <w:rPr>
                <w:noProof/>
                <w:webHidden/>
              </w:rPr>
            </w:r>
            <w:r w:rsidR="00D147FD">
              <w:rPr>
                <w:noProof/>
                <w:webHidden/>
              </w:rPr>
              <w:fldChar w:fldCharType="separate"/>
            </w:r>
            <w:r w:rsidR="003E6269">
              <w:rPr>
                <w:noProof/>
                <w:webHidden/>
              </w:rPr>
              <w:t>12</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23" w:history="1">
            <w:r w:rsidR="00D147FD" w:rsidRPr="00CE1B06">
              <w:rPr>
                <w:rStyle w:val="Hyperlink"/>
                <w:noProof/>
              </w:rPr>
              <w:t>DESCRIPTION OF THE VALUE CHAIN</w:t>
            </w:r>
            <w:r w:rsidR="00D147FD">
              <w:rPr>
                <w:noProof/>
                <w:webHidden/>
              </w:rPr>
              <w:tab/>
            </w:r>
            <w:r w:rsidR="00D147FD">
              <w:rPr>
                <w:noProof/>
                <w:webHidden/>
              </w:rPr>
              <w:fldChar w:fldCharType="begin"/>
            </w:r>
            <w:r w:rsidR="00D147FD">
              <w:rPr>
                <w:noProof/>
                <w:webHidden/>
              </w:rPr>
              <w:instrText xml:space="preserve"> PAGEREF _Toc401642223 \h </w:instrText>
            </w:r>
            <w:r w:rsidR="00D147FD">
              <w:rPr>
                <w:noProof/>
                <w:webHidden/>
              </w:rPr>
            </w:r>
            <w:r w:rsidR="00D147FD">
              <w:rPr>
                <w:noProof/>
                <w:webHidden/>
              </w:rPr>
              <w:fldChar w:fldCharType="separate"/>
            </w:r>
            <w:r w:rsidR="003E6269">
              <w:rPr>
                <w:noProof/>
                <w:webHidden/>
              </w:rPr>
              <w:t>14</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24" w:history="1">
            <w:r w:rsidR="00D147FD" w:rsidRPr="00CE1B06">
              <w:rPr>
                <w:rStyle w:val="Hyperlink"/>
                <w:noProof/>
              </w:rPr>
              <w:t>POLICY DECISIONS AND MEASURES</w:t>
            </w:r>
            <w:r w:rsidR="00D147FD">
              <w:rPr>
                <w:noProof/>
                <w:webHidden/>
              </w:rPr>
              <w:tab/>
            </w:r>
            <w:r w:rsidR="00D147FD">
              <w:rPr>
                <w:noProof/>
                <w:webHidden/>
              </w:rPr>
              <w:fldChar w:fldCharType="begin"/>
            </w:r>
            <w:r w:rsidR="00D147FD">
              <w:rPr>
                <w:noProof/>
                <w:webHidden/>
              </w:rPr>
              <w:instrText xml:space="preserve"> PAGEREF _Toc401642224 \h </w:instrText>
            </w:r>
            <w:r w:rsidR="00D147FD">
              <w:rPr>
                <w:noProof/>
                <w:webHidden/>
              </w:rPr>
            </w:r>
            <w:r w:rsidR="00D147FD">
              <w:rPr>
                <w:noProof/>
                <w:webHidden/>
              </w:rPr>
              <w:fldChar w:fldCharType="separate"/>
            </w:r>
            <w:r w:rsidR="003E6269">
              <w:rPr>
                <w:noProof/>
                <w:webHidden/>
              </w:rPr>
              <w:t>16</w:t>
            </w:r>
            <w:r w:rsidR="00D147FD">
              <w:rPr>
                <w:noProof/>
                <w:webHidden/>
              </w:rPr>
              <w:fldChar w:fldCharType="end"/>
            </w:r>
          </w:hyperlink>
        </w:p>
        <w:p w:rsidR="00D147FD" w:rsidRDefault="007C0FAB" w:rsidP="003E6269">
          <w:pPr>
            <w:pStyle w:val="TOC1"/>
            <w:tabs>
              <w:tab w:val="left" w:pos="440"/>
              <w:tab w:val="right" w:leader="dot" w:pos="9060"/>
            </w:tabs>
            <w:spacing w:after="0" w:line="240" w:lineRule="auto"/>
            <w:rPr>
              <w:noProof/>
            </w:rPr>
          </w:pPr>
          <w:hyperlink w:anchor="_Toc401642225" w:history="1">
            <w:r w:rsidR="00D147FD" w:rsidRPr="00CE1B06">
              <w:rPr>
                <w:rStyle w:val="Hyperlink"/>
                <w:noProof/>
              </w:rPr>
              <w:t>3.</w:t>
            </w:r>
            <w:r w:rsidR="00D147FD">
              <w:rPr>
                <w:noProof/>
              </w:rPr>
              <w:tab/>
            </w:r>
            <w:r w:rsidR="00D147FD" w:rsidRPr="00CE1B06">
              <w:rPr>
                <w:rStyle w:val="Hyperlink"/>
                <w:noProof/>
              </w:rPr>
              <w:t>METHODOLOGY</w:t>
            </w:r>
            <w:r w:rsidR="00D147FD">
              <w:rPr>
                <w:noProof/>
                <w:webHidden/>
              </w:rPr>
              <w:tab/>
            </w:r>
            <w:r w:rsidR="00D147FD">
              <w:rPr>
                <w:noProof/>
                <w:webHidden/>
              </w:rPr>
              <w:fldChar w:fldCharType="begin"/>
            </w:r>
            <w:r w:rsidR="00D147FD">
              <w:rPr>
                <w:noProof/>
                <w:webHidden/>
              </w:rPr>
              <w:instrText xml:space="preserve"> PAGEREF _Toc401642225 \h </w:instrText>
            </w:r>
            <w:r w:rsidR="00D147FD">
              <w:rPr>
                <w:noProof/>
                <w:webHidden/>
              </w:rPr>
            </w:r>
            <w:r w:rsidR="00D147FD">
              <w:rPr>
                <w:noProof/>
                <w:webHidden/>
              </w:rPr>
              <w:fldChar w:fldCharType="separate"/>
            </w:r>
            <w:r w:rsidR="003E6269">
              <w:rPr>
                <w:noProof/>
                <w:webHidden/>
              </w:rPr>
              <w:t>20</w:t>
            </w:r>
            <w:r w:rsidR="00D147FD">
              <w:rPr>
                <w:noProof/>
                <w:webHidden/>
              </w:rPr>
              <w:fldChar w:fldCharType="end"/>
            </w:r>
          </w:hyperlink>
        </w:p>
        <w:p w:rsidR="00D147FD" w:rsidRDefault="007C0FAB" w:rsidP="003E6269">
          <w:pPr>
            <w:pStyle w:val="TOC1"/>
            <w:tabs>
              <w:tab w:val="left" w:pos="440"/>
              <w:tab w:val="right" w:leader="dot" w:pos="9060"/>
            </w:tabs>
            <w:spacing w:after="0" w:line="240" w:lineRule="auto"/>
            <w:rPr>
              <w:noProof/>
            </w:rPr>
          </w:pPr>
          <w:hyperlink w:anchor="_Toc401642226" w:history="1">
            <w:r w:rsidR="00D147FD" w:rsidRPr="00CE1B06">
              <w:rPr>
                <w:rStyle w:val="Hyperlink"/>
                <w:noProof/>
              </w:rPr>
              <w:t>4.</w:t>
            </w:r>
            <w:r w:rsidR="00D147FD">
              <w:rPr>
                <w:noProof/>
              </w:rPr>
              <w:tab/>
            </w:r>
            <w:r w:rsidR="00D147FD" w:rsidRPr="00CE1B06">
              <w:rPr>
                <w:rStyle w:val="Hyperlink"/>
                <w:noProof/>
              </w:rPr>
              <w:t>DATA REQUIREMENTS AND CALCULATION OF INDICATORS</w:t>
            </w:r>
            <w:r w:rsidR="00D147FD">
              <w:rPr>
                <w:noProof/>
                <w:webHidden/>
              </w:rPr>
              <w:tab/>
            </w:r>
            <w:r w:rsidR="00D147FD">
              <w:rPr>
                <w:noProof/>
                <w:webHidden/>
              </w:rPr>
              <w:fldChar w:fldCharType="begin"/>
            </w:r>
            <w:r w:rsidR="00D147FD">
              <w:rPr>
                <w:noProof/>
                <w:webHidden/>
              </w:rPr>
              <w:instrText xml:space="preserve"> PAGEREF _Toc401642226 \h </w:instrText>
            </w:r>
            <w:r w:rsidR="00D147FD">
              <w:rPr>
                <w:noProof/>
                <w:webHidden/>
              </w:rPr>
            </w:r>
            <w:r w:rsidR="00D147FD">
              <w:rPr>
                <w:noProof/>
                <w:webHidden/>
              </w:rPr>
              <w:fldChar w:fldCharType="separate"/>
            </w:r>
            <w:r w:rsidR="003E6269">
              <w:rPr>
                <w:noProof/>
                <w:webHidden/>
              </w:rPr>
              <w:t>24</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27" w:history="1">
            <w:r w:rsidR="00D147FD" w:rsidRPr="00CE1B06">
              <w:rPr>
                <w:rStyle w:val="Hyperlink"/>
                <w:noProof/>
              </w:rPr>
              <w:t>TRADE STATUS OF THE PRODUCT</w:t>
            </w:r>
            <w:r w:rsidR="00D147FD">
              <w:rPr>
                <w:noProof/>
                <w:webHidden/>
              </w:rPr>
              <w:tab/>
            </w:r>
            <w:r w:rsidR="00D147FD">
              <w:rPr>
                <w:noProof/>
                <w:webHidden/>
              </w:rPr>
              <w:fldChar w:fldCharType="begin"/>
            </w:r>
            <w:r w:rsidR="00D147FD">
              <w:rPr>
                <w:noProof/>
                <w:webHidden/>
              </w:rPr>
              <w:instrText xml:space="preserve"> PAGEREF _Toc401642227 \h </w:instrText>
            </w:r>
            <w:r w:rsidR="00D147FD">
              <w:rPr>
                <w:noProof/>
                <w:webHidden/>
              </w:rPr>
            </w:r>
            <w:r w:rsidR="00D147FD">
              <w:rPr>
                <w:noProof/>
                <w:webHidden/>
              </w:rPr>
              <w:fldChar w:fldCharType="separate"/>
            </w:r>
            <w:r w:rsidR="003E6269">
              <w:rPr>
                <w:noProof/>
                <w:webHidden/>
              </w:rPr>
              <w:t>24</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28" w:history="1">
            <w:r w:rsidR="00D147FD" w:rsidRPr="00CE1B06">
              <w:rPr>
                <w:rStyle w:val="Hyperlink"/>
                <w:noProof/>
              </w:rPr>
              <w:t>MARKET PATHWAY ANALYSED</w:t>
            </w:r>
            <w:r w:rsidR="00D147FD">
              <w:rPr>
                <w:noProof/>
                <w:webHidden/>
              </w:rPr>
              <w:tab/>
            </w:r>
            <w:r w:rsidR="00D147FD">
              <w:rPr>
                <w:noProof/>
                <w:webHidden/>
              </w:rPr>
              <w:fldChar w:fldCharType="begin"/>
            </w:r>
            <w:r w:rsidR="00D147FD">
              <w:rPr>
                <w:noProof/>
                <w:webHidden/>
              </w:rPr>
              <w:instrText xml:space="preserve"> PAGEREF _Toc401642228 \h </w:instrText>
            </w:r>
            <w:r w:rsidR="00D147FD">
              <w:rPr>
                <w:noProof/>
                <w:webHidden/>
              </w:rPr>
            </w:r>
            <w:r w:rsidR="00D147FD">
              <w:rPr>
                <w:noProof/>
                <w:webHidden/>
              </w:rPr>
              <w:fldChar w:fldCharType="separate"/>
            </w:r>
            <w:r w:rsidR="003E6269">
              <w:rPr>
                <w:noProof/>
                <w:webHidden/>
              </w:rPr>
              <w:t>25</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29" w:history="1">
            <w:r w:rsidR="00D147FD" w:rsidRPr="00CE1B06">
              <w:rPr>
                <w:rStyle w:val="Hyperlink"/>
                <w:noProof/>
              </w:rPr>
              <w:t>BENCHMARK PRICES</w:t>
            </w:r>
            <w:r w:rsidR="00D147FD">
              <w:rPr>
                <w:noProof/>
                <w:webHidden/>
              </w:rPr>
              <w:tab/>
            </w:r>
            <w:r w:rsidR="00D147FD">
              <w:rPr>
                <w:noProof/>
                <w:webHidden/>
              </w:rPr>
              <w:fldChar w:fldCharType="begin"/>
            </w:r>
            <w:r w:rsidR="00D147FD">
              <w:rPr>
                <w:noProof/>
                <w:webHidden/>
              </w:rPr>
              <w:instrText xml:space="preserve"> PAGEREF _Toc401642229 \h </w:instrText>
            </w:r>
            <w:r w:rsidR="00D147FD">
              <w:rPr>
                <w:noProof/>
                <w:webHidden/>
              </w:rPr>
            </w:r>
            <w:r w:rsidR="00D147FD">
              <w:rPr>
                <w:noProof/>
                <w:webHidden/>
              </w:rPr>
              <w:fldChar w:fldCharType="separate"/>
            </w:r>
            <w:r w:rsidR="003E6269">
              <w:rPr>
                <w:noProof/>
                <w:webHidden/>
              </w:rPr>
              <w:t>27</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30" w:history="1">
            <w:r w:rsidR="00D147FD" w:rsidRPr="00CE1B06">
              <w:rPr>
                <w:rStyle w:val="Hyperlink"/>
                <w:noProof/>
              </w:rPr>
              <w:t>DOMESTIC PRICES</w:t>
            </w:r>
            <w:r w:rsidR="00D147FD">
              <w:rPr>
                <w:noProof/>
                <w:webHidden/>
              </w:rPr>
              <w:tab/>
            </w:r>
            <w:r w:rsidR="00D147FD">
              <w:rPr>
                <w:noProof/>
                <w:webHidden/>
              </w:rPr>
              <w:fldChar w:fldCharType="begin"/>
            </w:r>
            <w:r w:rsidR="00D147FD">
              <w:rPr>
                <w:noProof/>
                <w:webHidden/>
              </w:rPr>
              <w:instrText xml:space="preserve"> PAGEREF _Toc401642230 \h </w:instrText>
            </w:r>
            <w:r w:rsidR="00D147FD">
              <w:rPr>
                <w:noProof/>
                <w:webHidden/>
              </w:rPr>
            </w:r>
            <w:r w:rsidR="00D147FD">
              <w:rPr>
                <w:noProof/>
                <w:webHidden/>
              </w:rPr>
              <w:fldChar w:fldCharType="separate"/>
            </w:r>
            <w:r w:rsidR="003E6269">
              <w:rPr>
                <w:noProof/>
                <w:webHidden/>
              </w:rPr>
              <w:t>28</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31" w:history="1">
            <w:r w:rsidR="00D147FD" w:rsidRPr="00CE1B06">
              <w:rPr>
                <w:rStyle w:val="Hyperlink"/>
                <w:noProof/>
              </w:rPr>
              <w:t>EXCHANGE RATES</w:t>
            </w:r>
            <w:r w:rsidR="00D147FD">
              <w:rPr>
                <w:noProof/>
                <w:webHidden/>
              </w:rPr>
              <w:tab/>
            </w:r>
            <w:r w:rsidR="00D147FD">
              <w:rPr>
                <w:noProof/>
                <w:webHidden/>
              </w:rPr>
              <w:fldChar w:fldCharType="begin"/>
            </w:r>
            <w:r w:rsidR="00D147FD">
              <w:rPr>
                <w:noProof/>
                <w:webHidden/>
              </w:rPr>
              <w:instrText xml:space="preserve"> PAGEREF _Toc401642231 \h </w:instrText>
            </w:r>
            <w:r w:rsidR="00D147FD">
              <w:rPr>
                <w:noProof/>
                <w:webHidden/>
              </w:rPr>
            </w:r>
            <w:r w:rsidR="00D147FD">
              <w:rPr>
                <w:noProof/>
                <w:webHidden/>
              </w:rPr>
              <w:fldChar w:fldCharType="separate"/>
            </w:r>
            <w:r w:rsidR="003E6269">
              <w:rPr>
                <w:noProof/>
                <w:webHidden/>
              </w:rPr>
              <w:t>29</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32" w:history="1">
            <w:r w:rsidR="00D147FD" w:rsidRPr="00CE1B06">
              <w:rPr>
                <w:rStyle w:val="Hyperlink"/>
                <w:noProof/>
              </w:rPr>
              <w:t>ACCESS COSTS</w:t>
            </w:r>
            <w:r w:rsidR="00D147FD">
              <w:rPr>
                <w:noProof/>
                <w:webHidden/>
              </w:rPr>
              <w:tab/>
            </w:r>
            <w:r w:rsidR="00D147FD">
              <w:rPr>
                <w:noProof/>
                <w:webHidden/>
              </w:rPr>
              <w:fldChar w:fldCharType="begin"/>
            </w:r>
            <w:r w:rsidR="00D147FD">
              <w:rPr>
                <w:noProof/>
                <w:webHidden/>
              </w:rPr>
              <w:instrText xml:space="preserve"> PAGEREF _Toc401642232 \h </w:instrText>
            </w:r>
            <w:r w:rsidR="00D147FD">
              <w:rPr>
                <w:noProof/>
                <w:webHidden/>
              </w:rPr>
            </w:r>
            <w:r w:rsidR="00D147FD">
              <w:rPr>
                <w:noProof/>
                <w:webHidden/>
              </w:rPr>
              <w:fldChar w:fldCharType="separate"/>
            </w:r>
            <w:r w:rsidR="003E6269">
              <w:rPr>
                <w:noProof/>
                <w:webHidden/>
              </w:rPr>
              <w:t>30</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33" w:history="1">
            <w:r w:rsidR="00D147FD" w:rsidRPr="00CE1B06">
              <w:rPr>
                <w:rStyle w:val="Hyperlink"/>
                <w:noProof/>
              </w:rPr>
              <w:t>BUDGET AND OTHER TRANSFERS</w:t>
            </w:r>
            <w:r w:rsidR="00D147FD">
              <w:rPr>
                <w:noProof/>
                <w:webHidden/>
              </w:rPr>
              <w:tab/>
            </w:r>
            <w:r w:rsidR="00D147FD">
              <w:rPr>
                <w:noProof/>
                <w:webHidden/>
              </w:rPr>
              <w:fldChar w:fldCharType="begin"/>
            </w:r>
            <w:r w:rsidR="00D147FD">
              <w:rPr>
                <w:noProof/>
                <w:webHidden/>
              </w:rPr>
              <w:instrText xml:space="preserve"> PAGEREF _Toc401642233 \h </w:instrText>
            </w:r>
            <w:r w:rsidR="00D147FD">
              <w:rPr>
                <w:noProof/>
                <w:webHidden/>
              </w:rPr>
            </w:r>
            <w:r w:rsidR="00D147FD">
              <w:rPr>
                <w:noProof/>
                <w:webHidden/>
              </w:rPr>
              <w:fldChar w:fldCharType="separate"/>
            </w:r>
            <w:r w:rsidR="003E6269">
              <w:rPr>
                <w:noProof/>
                <w:webHidden/>
              </w:rPr>
              <w:t>31</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34" w:history="1">
            <w:r w:rsidR="00D147FD" w:rsidRPr="00CE1B06">
              <w:rPr>
                <w:rStyle w:val="Hyperlink"/>
                <w:noProof/>
              </w:rPr>
              <w:t>QUALITY AND QUANTITY ADJUSTMENTS</w:t>
            </w:r>
            <w:r w:rsidR="00D147FD">
              <w:rPr>
                <w:noProof/>
                <w:webHidden/>
              </w:rPr>
              <w:tab/>
            </w:r>
            <w:r w:rsidR="00D147FD">
              <w:rPr>
                <w:noProof/>
                <w:webHidden/>
              </w:rPr>
              <w:fldChar w:fldCharType="begin"/>
            </w:r>
            <w:r w:rsidR="00D147FD">
              <w:rPr>
                <w:noProof/>
                <w:webHidden/>
              </w:rPr>
              <w:instrText xml:space="preserve"> PAGEREF _Toc401642234 \h </w:instrText>
            </w:r>
            <w:r w:rsidR="00D147FD">
              <w:rPr>
                <w:noProof/>
                <w:webHidden/>
              </w:rPr>
            </w:r>
            <w:r w:rsidR="00D147FD">
              <w:rPr>
                <w:noProof/>
                <w:webHidden/>
              </w:rPr>
              <w:fldChar w:fldCharType="separate"/>
            </w:r>
            <w:r w:rsidR="003E6269">
              <w:rPr>
                <w:noProof/>
                <w:webHidden/>
              </w:rPr>
              <w:t>32</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35" w:history="1">
            <w:r w:rsidR="00D147FD" w:rsidRPr="00CE1B06">
              <w:rPr>
                <w:rStyle w:val="Hyperlink"/>
                <w:noProof/>
              </w:rPr>
              <w:t>DATA OVERVIEW</w:t>
            </w:r>
            <w:r w:rsidR="00D147FD">
              <w:rPr>
                <w:noProof/>
                <w:webHidden/>
              </w:rPr>
              <w:tab/>
            </w:r>
            <w:r w:rsidR="00D147FD">
              <w:rPr>
                <w:noProof/>
                <w:webHidden/>
              </w:rPr>
              <w:fldChar w:fldCharType="begin"/>
            </w:r>
            <w:r w:rsidR="00D147FD">
              <w:rPr>
                <w:noProof/>
                <w:webHidden/>
              </w:rPr>
              <w:instrText xml:space="preserve"> PAGEREF _Toc401642235 \h </w:instrText>
            </w:r>
            <w:r w:rsidR="00D147FD">
              <w:rPr>
                <w:noProof/>
                <w:webHidden/>
              </w:rPr>
            </w:r>
            <w:r w:rsidR="00D147FD">
              <w:rPr>
                <w:noProof/>
                <w:webHidden/>
              </w:rPr>
              <w:fldChar w:fldCharType="separate"/>
            </w:r>
            <w:r w:rsidR="003E6269">
              <w:rPr>
                <w:noProof/>
                <w:webHidden/>
              </w:rPr>
              <w:t>32</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36" w:history="1">
            <w:r w:rsidR="00D147FD" w:rsidRPr="00CE1B06">
              <w:rPr>
                <w:rStyle w:val="Hyperlink"/>
                <w:noProof/>
              </w:rPr>
              <w:t>SUMMARY OF INDICATORS</w:t>
            </w:r>
            <w:r w:rsidR="00D147FD">
              <w:rPr>
                <w:noProof/>
                <w:webHidden/>
              </w:rPr>
              <w:tab/>
            </w:r>
            <w:r w:rsidR="00D147FD">
              <w:rPr>
                <w:noProof/>
                <w:webHidden/>
              </w:rPr>
              <w:fldChar w:fldCharType="begin"/>
            </w:r>
            <w:r w:rsidR="00D147FD">
              <w:rPr>
                <w:noProof/>
                <w:webHidden/>
              </w:rPr>
              <w:instrText xml:space="preserve"> PAGEREF _Toc401642236 \h </w:instrText>
            </w:r>
            <w:r w:rsidR="00D147FD">
              <w:rPr>
                <w:noProof/>
                <w:webHidden/>
              </w:rPr>
            </w:r>
            <w:r w:rsidR="00D147FD">
              <w:rPr>
                <w:noProof/>
                <w:webHidden/>
              </w:rPr>
              <w:fldChar w:fldCharType="separate"/>
            </w:r>
            <w:r w:rsidR="003E6269">
              <w:rPr>
                <w:noProof/>
                <w:webHidden/>
              </w:rPr>
              <w:t>34</w:t>
            </w:r>
            <w:r w:rsidR="00D147FD">
              <w:rPr>
                <w:noProof/>
                <w:webHidden/>
              </w:rPr>
              <w:fldChar w:fldCharType="end"/>
            </w:r>
          </w:hyperlink>
        </w:p>
        <w:p w:rsidR="00D147FD" w:rsidRDefault="007C0FAB" w:rsidP="003E6269">
          <w:pPr>
            <w:pStyle w:val="TOC1"/>
            <w:tabs>
              <w:tab w:val="left" w:pos="440"/>
              <w:tab w:val="right" w:leader="dot" w:pos="9060"/>
            </w:tabs>
            <w:spacing w:after="0" w:line="240" w:lineRule="auto"/>
            <w:rPr>
              <w:noProof/>
            </w:rPr>
          </w:pPr>
          <w:hyperlink w:anchor="_Toc401642237" w:history="1">
            <w:r w:rsidR="00D147FD" w:rsidRPr="00CE1B06">
              <w:rPr>
                <w:rStyle w:val="Hyperlink"/>
                <w:noProof/>
              </w:rPr>
              <w:t>5.</w:t>
            </w:r>
            <w:r w:rsidR="00D147FD">
              <w:rPr>
                <w:noProof/>
              </w:rPr>
              <w:tab/>
            </w:r>
            <w:r w:rsidR="00D147FD" w:rsidRPr="00CE1B06">
              <w:rPr>
                <w:rStyle w:val="Hyperlink"/>
                <w:noProof/>
              </w:rPr>
              <w:t>RESULTS AND INTERPRETATION</w:t>
            </w:r>
            <w:r w:rsidR="00D147FD">
              <w:rPr>
                <w:noProof/>
                <w:webHidden/>
              </w:rPr>
              <w:tab/>
            </w:r>
            <w:r w:rsidR="00D147FD">
              <w:rPr>
                <w:noProof/>
                <w:webHidden/>
              </w:rPr>
              <w:fldChar w:fldCharType="begin"/>
            </w:r>
            <w:r w:rsidR="00D147FD">
              <w:rPr>
                <w:noProof/>
                <w:webHidden/>
              </w:rPr>
              <w:instrText xml:space="preserve"> PAGEREF _Toc401642237 \h </w:instrText>
            </w:r>
            <w:r w:rsidR="00D147FD">
              <w:rPr>
                <w:noProof/>
                <w:webHidden/>
              </w:rPr>
            </w:r>
            <w:r w:rsidR="00D147FD">
              <w:rPr>
                <w:noProof/>
                <w:webHidden/>
              </w:rPr>
              <w:fldChar w:fldCharType="separate"/>
            </w:r>
            <w:r w:rsidR="003E6269">
              <w:rPr>
                <w:noProof/>
                <w:webHidden/>
              </w:rPr>
              <w:t>35</w:t>
            </w:r>
            <w:r w:rsidR="00D147FD">
              <w:rPr>
                <w:noProof/>
                <w:webHidden/>
              </w:rPr>
              <w:fldChar w:fldCharType="end"/>
            </w:r>
          </w:hyperlink>
        </w:p>
        <w:p w:rsidR="00D147FD" w:rsidRDefault="007C0FAB" w:rsidP="003E6269">
          <w:pPr>
            <w:pStyle w:val="TOC1"/>
            <w:tabs>
              <w:tab w:val="left" w:pos="440"/>
              <w:tab w:val="right" w:leader="dot" w:pos="9060"/>
            </w:tabs>
            <w:spacing w:after="0" w:line="240" w:lineRule="auto"/>
            <w:rPr>
              <w:noProof/>
            </w:rPr>
          </w:pPr>
          <w:hyperlink w:anchor="_Toc401642238" w:history="1">
            <w:r w:rsidR="00D147FD" w:rsidRPr="00CE1B06">
              <w:rPr>
                <w:rStyle w:val="Hyperlink"/>
                <w:noProof/>
              </w:rPr>
              <w:t>6.</w:t>
            </w:r>
            <w:r w:rsidR="00D147FD">
              <w:rPr>
                <w:noProof/>
              </w:rPr>
              <w:tab/>
            </w:r>
            <w:r w:rsidR="00D147FD" w:rsidRPr="00CE1B06">
              <w:rPr>
                <w:rStyle w:val="Hyperlink"/>
                <w:noProof/>
              </w:rPr>
              <w:t>CONCLUSION</w:t>
            </w:r>
            <w:r w:rsidR="00D147FD">
              <w:rPr>
                <w:noProof/>
                <w:webHidden/>
              </w:rPr>
              <w:tab/>
            </w:r>
            <w:r w:rsidR="00D147FD">
              <w:rPr>
                <w:noProof/>
                <w:webHidden/>
              </w:rPr>
              <w:fldChar w:fldCharType="begin"/>
            </w:r>
            <w:r w:rsidR="00D147FD">
              <w:rPr>
                <w:noProof/>
                <w:webHidden/>
              </w:rPr>
              <w:instrText xml:space="preserve"> PAGEREF _Toc401642238 \h </w:instrText>
            </w:r>
            <w:r w:rsidR="00D147FD">
              <w:rPr>
                <w:noProof/>
                <w:webHidden/>
              </w:rPr>
            </w:r>
            <w:r w:rsidR="00D147FD">
              <w:rPr>
                <w:noProof/>
                <w:webHidden/>
              </w:rPr>
              <w:fldChar w:fldCharType="separate"/>
            </w:r>
            <w:r w:rsidR="003E6269">
              <w:rPr>
                <w:noProof/>
                <w:webHidden/>
              </w:rPr>
              <w:t>41</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39" w:history="1">
            <w:r w:rsidR="00D147FD" w:rsidRPr="00CE1B06">
              <w:rPr>
                <w:rStyle w:val="Hyperlink"/>
                <w:noProof/>
              </w:rPr>
              <w:t>MAIN MESSAGE</w:t>
            </w:r>
            <w:r w:rsidR="00D147FD">
              <w:rPr>
                <w:noProof/>
                <w:webHidden/>
              </w:rPr>
              <w:tab/>
            </w:r>
            <w:r w:rsidR="00D147FD">
              <w:rPr>
                <w:noProof/>
                <w:webHidden/>
              </w:rPr>
              <w:fldChar w:fldCharType="begin"/>
            </w:r>
            <w:r w:rsidR="00D147FD">
              <w:rPr>
                <w:noProof/>
                <w:webHidden/>
              </w:rPr>
              <w:instrText xml:space="preserve"> PAGEREF _Toc401642239 \h </w:instrText>
            </w:r>
            <w:r w:rsidR="00D147FD">
              <w:rPr>
                <w:noProof/>
                <w:webHidden/>
              </w:rPr>
            </w:r>
            <w:r w:rsidR="00D147FD">
              <w:rPr>
                <w:noProof/>
                <w:webHidden/>
              </w:rPr>
              <w:fldChar w:fldCharType="separate"/>
            </w:r>
            <w:r w:rsidR="003E6269">
              <w:rPr>
                <w:noProof/>
                <w:webHidden/>
              </w:rPr>
              <w:t>41</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40" w:history="1">
            <w:r w:rsidR="00D147FD" w:rsidRPr="00CE1B06">
              <w:rPr>
                <w:rStyle w:val="Hyperlink"/>
                <w:noProof/>
              </w:rPr>
              <w:t>RECOMMENDATIONS</w:t>
            </w:r>
            <w:r w:rsidR="00D147FD">
              <w:rPr>
                <w:noProof/>
                <w:webHidden/>
              </w:rPr>
              <w:tab/>
            </w:r>
            <w:r w:rsidR="00D147FD">
              <w:rPr>
                <w:noProof/>
                <w:webHidden/>
              </w:rPr>
              <w:fldChar w:fldCharType="begin"/>
            </w:r>
            <w:r w:rsidR="00D147FD">
              <w:rPr>
                <w:noProof/>
                <w:webHidden/>
              </w:rPr>
              <w:instrText xml:space="preserve"> PAGEREF _Toc401642240 \h </w:instrText>
            </w:r>
            <w:r w:rsidR="00D147FD">
              <w:rPr>
                <w:noProof/>
                <w:webHidden/>
              </w:rPr>
            </w:r>
            <w:r w:rsidR="00D147FD">
              <w:rPr>
                <w:noProof/>
                <w:webHidden/>
              </w:rPr>
              <w:fldChar w:fldCharType="separate"/>
            </w:r>
            <w:r w:rsidR="003E6269">
              <w:rPr>
                <w:noProof/>
                <w:webHidden/>
              </w:rPr>
              <w:t>41</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41" w:history="1">
            <w:r w:rsidR="00D147FD" w:rsidRPr="00CE1B06">
              <w:rPr>
                <w:rStyle w:val="Hyperlink"/>
                <w:noProof/>
              </w:rPr>
              <w:t>LIMITATIONS</w:t>
            </w:r>
            <w:r w:rsidR="00D147FD">
              <w:rPr>
                <w:noProof/>
                <w:webHidden/>
              </w:rPr>
              <w:tab/>
            </w:r>
            <w:r w:rsidR="00D147FD">
              <w:rPr>
                <w:noProof/>
                <w:webHidden/>
              </w:rPr>
              <w:fldChar w:fldCharType="begin"/>
            </w:r>
            <w:r w:rsidR="00D147FD">
              <w:rPr>
                <w:noProof/>
                <w:webHidden/>
              </w:rPr>
              <w:instrText xml:space="preserve"> PAGEREF _Toc401642241 \h </w:instrText>
            </w:r>
            <w:r w:rsidR="00D147FD">
              <w:rPr>
                <w:noProof/>
                <w:webHidden/>
              </w:rPr>
            </w:r>
            <w:r w:rsidR="00D147FD">
              <w:rPr>
                <w:noProof/>
                <w:webHidden/>
              </w:rPr>
              <w:fldChar w:fldCharType="separate"/>
            </w:r>
            <w:r w:rsidR="003E6269">
              <w:rPr>
                <w:noProof/>
                <w:webHidden/>
              </w:rPr>
              <w:t>41</w:t>
            </w:r>
            <w:r w:rsidR="00D147FD">
              <w:rPr>
                <w:noProof/>
                <w:webHidden/>
              </w:rPr>
              <w:fldChar w:fldCharType="end"/>
            </w:r>
          </w:hyperlink>
        </w:p>
        <w:p w:rsidR="00D147FD" w:rsidRDefault="007C0FAB" w:rsidP="003E6269">
          <w:pPr>
            <w:pStyle w:val="TOC2"/>
            <w:tabs>
              <w:tab w:val="right" w:leader="dot" w:pos="9060"/>
            </w:tabs>
            <w:spacing w:after="0" w:line="240" w:lineRule="auto"/>
            <w:rPr>
              <w:noProof/>
            </w:rPr>
          </w:pPr>
          <w:hyperlink w:anchor="_Toc401642242" w:history="1">
            <w:r w:rsidR="00D147FD" w:rsidRPr="00CE1B06">
              <w:rPr>
                <w:rStyle w:val="Hyperlink"/>
                <w:noProof/>
              </w:rPr>
              <w:t>FURTHER INVESTIGATION AND RESEARCH</w:t>
            </w:r>
            <w:r w:rsidR="00D147FD">
              <w:rPr>
                <w:noProof/>
                <w:webHidden/>
              </w:rPr>
              <w:tab/>
            </w:r>
            <w:r w:rsidR="00D147FD">
              <w:rPr>
                <w:noProof/>
                <w:webHidden/>
              </w:rPr>
              <w:fldChar w:fldCharType="begin"/>
            </w:r>
            <w:r w:rsidR="00D147FD">
              <w:rPr>
                <w:noProof/>
                <w:webHidden/>
              </w:rPr>
              <w:instrText xml:space="preserve"> PAGEREF _Toc401642242 \h </w:instrText>
            </w:r>
            <w:r w:rsidR="00D147FD">
              <w:rPr>
                <w:noProof/>
                <w:webHidden/>
              </w:rPr>
            </w:r>
            <w:r w:rsidR="00D147FD">
              <w:rPr>
                <w:noProof/>
                <w:webHidden/>
              </w:rPr>
              <w:fldChar w:fldCharType="separate"/>
            </w:r>
            <w:r w:rsidR="003E6269">
              <w:rPr>
                <w:noProof/>
                <w:webHidden/>
              </w:rPr>
              <w:t>42</w:t>
            </w:r>
            <w:r w:rsidR="00D147FD">
              <w:rPr>
                <w:noProof/>
                <w:webHidden/>
              </w:rPr>
              <w:fldChar w:fldCharType="end"/>
            </w:r>
          </w:hyperlink>
        </w:p>
        <w:p w:rsidR="00D147FD" w:rsidRDefault="007C0FAB" w:rsidP="003E6269">
          <w:pPr>
            <w:pStyle w:val="TOC1"/>
            <w:tabs>
              <w:tab w:val="right" w:leader="dot" w:pos="9060"/>
            </w:tabs>
            <w:spacing w:after="0" w:line="240" w:lineRule="auto"/>
            <w:rPr>
              <w:noProof/>
            </w:rPr>
          </w:pPr>
          <w:hyperlink w:anchor="_Toc401642243" w:history="1">
            <w:r w:rsidR="00D147FD" w:rsidRPr="00CE1B06">
              <w:rPr>
                <w:rStyle w:val="Hyperlink"/>
                <w:noProof/>
              </w:rPr>
              <w:t>BIBLIOGRAPHY</w:t>
            </w:r>
            <w:r w:rsidR="00D147FD">
              <w:rPr>
                <w:noProof/>
                <w:webHidden/>
              </w:rPr>
              <w:tab/>
            </w:r>
            <w:r w:rsidR="00D147FD">
              <w:rPr>
                <w:noProof/>
                <w:webHidden/>
              </w:rPr>
              <w:fldChar w:fldCharType="begin"/>
            </w:r>
            <w:r w:rsidR="00D147FD">
              <w:rPr>
                <w:noProof/>
                <w:webHidden/>
              </w:rPr>
              <w:instrText xml:space="preserve"> PAGEREF _Toc401642243 \h </w:instrText>
            </w:r>
            <w:r w:rsidR="00D147FD">
              <w:rPr>
                <w:noProof/>
                <w:webHidden/>
              </w:rPr>
            </w:r>
            <w:r w:rsidR="00D147FD">
              <w:rPr>
                <w:noProof/>
                <w:webHidden/>
              </w:rPr>
              <w:fldChar w:fldCharType="separate"/>
            </w:r>
            <w:r w:rsidR="003E6269">
              <w:rPr>
                <w:noProof/>
                <w:webHidden/>
              </w:rPr>
              <w:t>43</w:t>
            </w:r>
            <w:r w:rsidR="00D147FD">
              <w:rPr>
                <w:noProof/>
                <w:webHidden/>
              </w:rPr>
              <w:fldChar w:fldCharType="end"/>
            </w:r>
          </w:hyperlink>
        </w:p>
        <w:p w:rsidR="00AA36A8" w:rsidRPr="00A43E3F" w:rsidRDefault="00323EC3" w:rsidP="003E6269">
          <w:pPr>
            <w:pStyle w:val="TOC1"/>
            <w:tabs>
              <w:tab w:val="right" w:leader="dot" w:pos="9350"/>
            </w:tabs>
            <w:spacing w:after="0" w:line="240" w:lineRule="auto"/>
          </w:pPr>
          <w:r w:rsidRPr="00813FEC">
            <w:fldChar w:fldCharType="end"/>
          </w:r>
        </w:p>
      </w:sdtContent>
    </w:sdt>
    <w:p w:rsidR="003E6269" w:rsidRDefault="003E6269">
      <w:pPr>
        <w:jc w:val="left"/>
        <w:rPr>
          <w:rFonts w:asciiTheme="majorHAnsi" w:eastAsiaTheme="majorEastAsia" w:hAnsiTheme="majorHAnsi" w:cstheme="majorBidi"/>
          <w:b/>
          <w:bCs/>
          <w:color w:val="365F91" w:themeColor="accent1" w:themeShade="BF"/>
          <w:sz w:val="28"/>
          <w:szCs w:val="28"/>
        </w:rPr>
      </w:pPr>
      <w:bookmarkStart w:id="10" w:name="_Toc401642218"/>
      <w:bookmarkEnd w:id="3"/>
      <w:bookmarkEnd w:id="4"/>
      <w:bookmarkEnd w:id="5"/>
      <w:bookmarkEnd w:id="6"/>
      <w:r>
        <w:br w:type="page"/>
      </w:r>
    </w:p>
    <w:p w:rsidR="00417DFA" w:rsidRPr="00417DFA" w:rsidRDefault="0034453C" w:rsidP="00A60BEC">
      <w:pPr>
        <w:pStyle w:val="Heading1"/>
        <w:numPr>
          <w:ilvl w:val="0"/>
          <w:numId w:val="30"/>
        </w:numPr>
        <w:spacing w:before="240"/>
      </w:pPr>
      <w:r w:rsidRPr="00D34654">
        <w:lastRenderedPageBreak/>
        <w:t>PURPOSE OF THE NOTE</w:t>
      </w:r>
      <w:bookmarkEnd w:id="10"/>
    </w:p>
    <w:p w:rsidR="003510AF" w:rsidRPr="00813FEC" w:rsidRDefault="003510AF" w:rsidP="003510AF">
      <w:r w:rsidRPr="00813FEC">
        <w:t xml:space="preserve">This technical note is an attempt to </w:t>
      </w:r>
      <w:r w:rsidR="006849E1">
        <w:t>measure</w:t>
      </w:r>
      <w:r w:rsidR="00A32218">
        <w:t>,</w:t>
      </w:r>
      <w:r w:rsidR="006849E1">
        <w:t xml:space="preserve"> </w:t>
      </w:r>
      <w:r w:rsidR="00F326EB">
        <w:t>analyze</w:t>
      </w:r>
      <w:r w:rsidR="00F326EB" w:rsidRPr="00813FEC">
        <w:t xml:space="preserve"> </w:t>
      </w:r>
      <w:r w:rsidR="00A32218">
        <w:t xml:space="preserve">and interpret </w:t>
      </w:r>
      <w:r w:rsidR="006849E1">
        <w:t>price</w:t>
      </w:r>
      <w:r w:rsidR="006849E1" w:rsidRPr="00813FEC">
        <w:t xml:space="preserve"> </w:t>
      </w:r>
      <w:r w:rsidRPr="00813FEC">
        <w:t xml:space="preserve">incentives for </w:t>
      </w:r>
      <w:r w:rsidR="00F326EB">
        <w:t xml:space="preserve">maize </w:t>
      </w:r>
      <w:r w:rsidR="003425E8" w:rsidRPr="003425E8">
        <w:t xml:space="preserve">in </w:t>
      </w:r>
      <w:r w:rsidR="00F326EB">
        <w:t>Mozambique</w:t>
      </w:r>
      <w:r w:rsidR="00802AFB" w:rsidRPr="00AF1BA9">
        <w:t xml:space="preserve"> over</w:t>
      </w:r>
      <w:r w:rsidR="003425E8" w:rsidRPr="003425E8">
        <w:t xml:space="preserve"> the period </w:t>
      </w:r>
      <w:r w:rsidR="00F326EB">
        <w:t>2005-2013</w:t>
      </w:r>
      <w:r w:rsidR="003425E8" w:rsidRPr="003425E8">
        <w:t>.</w:t>
      </w:r>
      <w:r w:rsidRPr="00813FEC">
        <w:t xml:space="preserve"> </w:t>
      </w:r>
    </w:p>
    <w:p w:rsidR="003510AF" w:rsidRPr="00813FEC" w:rsidRDefault="003510AF" w:rsidP="003510AF">
      <w:r w:rsidRPr="00813FEC">
        <w:t xml:space="preserve">For this purpose, yearly averages of </w:t>
      </w:r>
      <w:r w:rsidR="00222F3A">
        <w:t xml:space="preserve">domestic </w:t>
      </w:r>
      <w:r w:rsidR="002D31A0">
        <w:t>farm gate</w:t>
      </w:r>
      <w:r w:rsidRPr="00813FEC">
        <w:t xml:space="preserve"> and wholesale prices are compared with reference prices calculated on the basis of the price of the commodity in the international market. The price gaps between reference prices and </w:t>
      </w:r>
      <w:r w:rsidR="00222F3A">
        <w:t xml:space="preserve">domestic </w:t>
      </w:r>
      <w:r w:rsidRPr="00813FEC">
        <w:t xml:space="preserve">prices along the </w:t>
      </w:r>
      <w:r w:rsidR="00F908EB">
        <w:t xml:space="preserve">commodity’s </w:t>
      </w:r>
      <w:r w:rsidRPr="00813FEC">
        <w:t xml:space="preserve">value chain indicate the extent to which incentives (positive gaps) or disincentives (negative gaps) </w:t>
      </w:r>
      <w:r w:rsidR="00F908EB">
        <w:t xml:space="preserve">were present </w:t>
      </w:r>
      <w:r w:rsidRPr="00813FEC">
        <w:t xml:space="preserve">at the </w:t>
      </w:r>
      <w:r w:rsidR="002D31A0">
        <w:t>farm gate</w:t>
      </w:r>
      <w:r w:rsidRPr="00813FEC">
        <w:t xml:space="preserve"> and wholesale level. </w:t>
      </w:r>
      <w:r w:rsidR="00222F3A">
        <w:t xml:space="preserve">The </w:t>
      </w:r>
      <w:r w:rsidRPr="00813FEC">
        <w:t xml:space="preserve">price gaps are expressed </w:t>
      </w:r>
      <w:r w:rsidR="00222F3A">
        <w:t xml:space="preserve">in relative terms </w:t>
      </w:r>
      <w:r w:rsidRPr="00813FEC">
        <w:t>as</w:t>
      </w:r>
      <w:r w:rsidR="00222F3A">
        <w:t xml:space="preserve"> a percentage of the reference price, referred to as the</w:t>
      </w:r>
      <w:r w:rsidRPr="00813FEC">
        <w:t xml:space="preserve"> Nominal Rate of Protection (NRP). These key indicators are used by MAFAP to </w:t>
      </w:r>
      <w:r w:rsidR="00222F3A">
        <w:t>assess</w:t>
      </w:r>
      <w:r w:rsidR="00222F3A" w:rsidRPr="00813FEC">
        <w:t xml:space="preserve"> </w:t>
      </w:r>
      <w:r w:rsidRPr="00813FEC">
        <w:t xml:space="preserve">the effects of policy and market </w:t>
      </w:r>
      <w:r w:rsidR="00F908EB">
        <w:t>performance</w:t>
      </w:r>
      <w:r w:rsidRPr="00813FEC">
        <w:t xml:space="preserve"> on prices. </w:t>
      </w:r>
    </w:p>
    <w:p w:rsidR="003510AF" w:rsidRPr="00813FEC" w:rsidRDefault="003510AF" w:rsidP="003510AF">
      <w:r w:rsidRPr="00813FEC">
        <w:t>Th</w:t>
      </w:r>
      <w:r w:rsidR="003C5E95">
        <w:t>is technical</w:t>
      </w:r>
      <w:r w:rsidRPr="00813FEC">
        <w:t xml:space="preserve"> note </w:t>
      </w:r>
      <w:r w:rsidR="007A1FC7">
        <w:t>begins</w:t>
      </w:r>
      <w:r w:rsidR="007A1FC7" w:rsidRPr="00813FEC">
        <w:t xml:space="preserve"> </w:t>
      </w:r>
      <w:r w:rsidRPr="00813FEC">
        <w:t>with a review of the commodity’s production</w:t>
      </w:r>
      <w:r w:rsidR="00FD2130">
        <w:t xml:space="preserve">, </w:t>
      </w:r>
      <w:r w:rsidRPr="00813FEC">
        <w:t>consumption</w:t>
      </w:r>
      <w:r w:rsidR="00AE0279">
        <w:t xml:space="preserve">/utilization, marketing and </w:t>
      </w:r>
      <w:r w:rsidRPr="00813FEC">
        <w:t>trade</w:t>
      </w:r>
      <w:r w:rsidR="00AE0279">
        <w:t xml:space="preserve">, </w:t>
      </w:r>
      <w:r w:rsidR="003C5E95">
        <w:t>value chain</w:t>
      </w:r>
      <w:r w:rsidR="00AE0279">
        <w:t xml:space="preserve"> and </w:t>
      </w:r>
      <w:r w:rsidR="00C54837">
        <w:t>policy context (Chapter 2)</w:t>
      </w:r>
      <w:r w:rsidRPr="00813FEC">
        <w:t xml:space="preserve">. </w:t>
      </w:r>
      <w:r w:rsidR="00441648">
        <w:t>Then, the methodological approach employed in the technical note is outlined (Chapter 3). The technical note</w:t>
      </w:r>
      <w:r w:rsidR="00441648" w:rsidRPr="00813FEC">
        <w:t xml:space="preserve"> </w:t>
      </w:r>
      <w:r w:rsidRPr="00813FEC">
        <w:t xml:space="preserve">also provides a detailed description of </w:t>
      </w:r>
      <w:r w:rsidR="00721262">
        <w:t xml:space="preserve">how key data elements were obtained and indicators were calculated </w:t>
      </w:r>
      <w:r w:rsidR="00C54837">
        <w:t xml:space="preserve">(Chapter </w:t>
      </w:r>
      <w:r w:rsidR="00441648">
        <w:t>4</w:t>
      </w:r>
      <w:r w:rsidR="00C54837">
        <w:t>)</w:t>
      </w:r>
      <w:r w:rsidRPr="00813FEC">
        <w:t>.</w:t>
      </w:r>
      <w:r w:rsidR="00721262">
        <w:t xml:space="preserve"> The indicators were then</w:t>
      </w:r>
      <w:r w:rsidRPr="00813FEC">
        <w:t xml:space="preserve"> interpreted in light of existing policies and market characteristics</w:t>
      </w:r>
      <w:r w:rsidR="00C54837">
        <w:t xml:space="preserve"> (Chapter 5)</w:t>
      </w:r>
      <w:r w:rsidR="00D70376">
        <w:t>.</w:t>
      </w:r>
      <w:r w:rsidRPr="00813FEC">
        <w:t xml:space="preserve"> </w:t>
      </w:r>
      <w:r w:rsidR="00721262">
        <w:t xml:space="preserve">Finally, the note </w:t>
      </w:r>
      <w:r w:rsidR="00C54837">
        <w:t xml:space="preserve">concludes with </w:t>
      </w:r>
      <w:r w:rsidR="00721262">
        <w:t xml:space="preserve">a few </w:t>
      </w:r>
      <w:r w:rsidR="00C54837">
        <w:t xml:space="preserve">main messages, </w:t>
      </w:r>
      <w:r w:rsidR="00441648">
        <w:t xml:space="preserve">key policy recommendations were formulated on the basis of this interpretation, </w:t>
      </w:r>
      <w:r w:rsidR="00721262">
        <w:t>limitations of the analysis and areas identified for further research to improve the analysis (Chapter 6).</w:t>
      </w:r>
    </w:p>
    <w:p w:rsidR="003510AF" w:rsidRPr="00813FEC" w:rsidRDefault="003510AF" w:rsidP="003510AF">
      <w:r w:rsidRPr="00813FEC">
        <w:t xml:space="preserve">The </w:t>
      </w:r>
      <w:r w:rsidR="00721262">
        <w:t>results and recommendations</w:t>
      </w:r>
      <w:r w:rsidR="00721262" w:rsidRPr="00813FEC">
        <w:t xml:space="preserve"> </w:t>
      </w:r>
      <w:r w:rsidR="00721262">
        <w:t xml:space="preserve">presented in this </w:t>
      </w:r>
      <w:r w:rsidRPr="00813FEC">
        <w:t xml:space="preserve">analysis </w:t>
      </w:r>
      <w:r w:rsidR="00721262">
        <w:t xml:space="preserve">of price incentives </w:t>
      </w:r>
      <w:r w:rsidRPr="00813FEC">
        <w:t>can be used by stakeholders involved in policy-making for the food and agricultur</w:t>
      </w:r>
      <w:r w:rsidR="00D70376">
        <w:t>e</w:t>
      </w:r>
      <w:r w:rsidRPr="00813FEC">
        <w:t xml:space="preserve"> sector. They can also serve as input for evidence-based policy dialogue at the </w:t>
      </w:r>
      <w:r w:rsidR="009277B7">
        <w:t>national, regional or international level.</w:t>
      </w:r>
      <w:r w:rsidRPr="00813FEC">
        <w:t xml:space="preserve"> </w:t>
      </w:r>
    </w:p>
    <w:p w:rsidR="003510AF" w:rsidRPr="00813FEC" w:rsidRDefault="003510AF" w:rsidP="003510AF">
      <w:r w:rsidRPr="00813FEC">
        <w:t xml:space="preserve">This technical note </w:t>
      </w:r>
      <w:r w:rsidR="009277B7">
        <w:t>should</w:t>
      </w:r>
      <w:r w:rsidRPr="00813FEC">
        <w:t xml:space="preserve"> not be interpreted as an </w:t>
      </w:r>
      <w:r w:rsidR="009277B7">
        <w:t xml:space="preserve">in-depth </w:t>
      </w:r>
      <w:r w:rsidRPr="00813FEC">
        <w:t>value chain</w:t>
      </w:r>
      <w:r w:rsidR="009277B7">
        <w:t xml:space="preserve"> analysis</w:t>
      </w:r>
      <w:r w:rsidRPr="00813FEC">
        <w:t xml:space="preserve"> or detailed description of</w:t>
      </w:r>
      <w:r w:rsidR="009277B7">
        <w:t xml:space="preserve"> the commodity’s</w:t>
      </w:r>
      <w:r w:rsidRPr="00813FEC">
        <w:t xml:space="preserve"> production,</w:t>
      </w:r>
      <w:r>
        <w:t xml:space="preserve"> consumption</w:t>
      </w:r>
      <w:r w:rsidR="009277B7">
        <w:t>/utilization</w:t>
      </w:r>
      <w:r w:rsidR="00DC5ACC">
        <w:t xml:space="preserve">, marketing and </w:t>
      </w:r>
      <w:r>
        <w:t xml:space="preserve">trade </w:t>
      </w:r>
      <w:r w:rsidR="00DC5ACC">
        <w:t>or policy context</w:t>
      </w:r>
      <w:r>
        <w:t>.</w:t>
      </w:r>
      <w:r w:rsidRPr="00813FEC">
        <w:t xml:space="preserve"> All information related to these areas is presented merely to provide background on the commodity under review, help understand major trends and facilitate the interpretation of the indicators.</w:t>
      </w:r>
    </w:p>
    <w:p w:rsidR="00D34654" w:rsidRDefault="003510AF" w:rsidP="00D34654">
      <w:r w:rsidRPr="00813FEC">
        <w:t>All information i</w:t>
      </w:r>
      <w:r w:rsidR="00DC5ACC">
        <w:t xml:space="preserve">n this technical note is </w:t>
      </w:r>
      <w:r w:rsidRPr="00813FEC">
        <w:t xml:space="preserve">subject to review and validation. </w:t>
      </w:r>
      <w:bookmarkStart w:id="11" w:name="_Toc322416911"/>
      <w:bookmarkStart w:id="12" w:name="_Toc336419327"/>
    </w:p>
    <w:p w:rsidR="00A60BEC" w:rsidRDefault="00D34654">
      <w:pPr>
        <w:sectPr w:rsidR="00A60BEC" w:rsidSect="00A60BEC">
          <w:headerReference w:type="default" r:id="rId22"/>
          <w:footerReference w:type="default" r:id="rId23"/>
          <w:pgSz w:w="11906" w:h="16838"/>
          <w:pgMar w:top="1418" w:right="1418" w:bottom="1418" w:left="1418" w:header="708" w:footer="708" w:gutter="0"/>
          <w:cols w:space="708"/>
          <w:docGrid w:linePitch="360"/>
        </w:sectPr>
      </w:pPr>
      <w:r>
        <w:br w:type="page"/>
      </w:r>
    </w:p>
    <w:p w:rsidR="00D34654" w:rsidRDefault="00D34654" w:rsidP="00A60BEC">
      <w:pPr>
        <w:pStyle w:val="Heading1"/>
        <w:numPr>
          <w:ilvl w:val="0"/>
          <w:numId w:val="30"/>
        </w:numPr>
        <w:spacing w:before="240"/>
      </w:pPr>
      <w:bookmarkStart w:id="13" w:name="_Toc401642219"/>
      <w:r>
        <w:lastRenderedPageBreak/>
        <w:t>COMMODITY CONTEXT</w:t>
      </w:r>
      <w:bookmarkEnd w:id="11"/>
      <w:bookmarkEnd w:id="12"/>
      <w:bookmarkEnd w:id="13"/>
    </w:p>
    <w:p w:rsidR="006F0CE2" w:rsidRDefault="004057AA" w:rsidP="003272E9">
      <w:r>
        <w:t>Cassava and m</w:t>
      </w:r>
      <w:r w:rsidR="00AD254F">
        <w:t xml:space="preserve">aize </w:t>
      </w:r>
      <w:r>
        <w:t>are</w:t>
      </w:r>
      <w:r w:rsidR="00AD254F">
        <w:t xml:space="preserve"> among the most important staple </w:t>
      </w:r>
      <w:r w:rsidR="001D30B3">
        <w:t xml:space="preserve">crops </w:t>
      </w:r>
      <w:r w:rsidR="00AD254F">
        <w:t>in Mozambique</w:t>
      </w:r>
      <w:r>
        <w:t>, contributing to food security in the country</w:t>
      </w:r>
      <w:r w:rsidR="00BA4F69">
        <w:t xml:space="preserve"> especially in Central and Northern Mozambique</w:t>
      </w:r>
      <w:r w:rsidR="00AD254F">
        <w:t xml:space="preserve">. According to data from FAOSTAT, </w:t>
      </w:r>
      <w:r>
        <w:t>the maize share of the t</w:t>
      </w:r>
      <w:r w:rsidR="009414AA">
        <w:t>otal caloric intake averaged 22 percent</w:t>
      </w:r>
      <w:r>
        <w:t xml:space="preserve"> over the period 2000 to 2009, while the average contribu</w:t>
      </w:r>
      <w:r w:rsidR="009414AA">
        <w:t>tion of cassava was about 33 percent</w:t>
      </w:r>
      <w:r>
        <w:t xml:space="preserve">. </w:t>
      </w:r>
      <w:r w:rsidR="00726EC2">
        <w:t>Maize</w:t>
      </w:r>
      <w:r w:rsidR="00BA4F69">
        <w:t xml:space="preserve"> ranked</w:t>
      </w:r>
      <w:r w:rsidR="00AD254F">
        <w:t xml:space="preserve"> second only to cassava in</w:t>
      </w:r>
      <w:r>
        <w:t xml:space="preserve"> </w:t>
      </w:r>
      <w:r w:rsidR="00AD254F">
        <w:t>terms of contribution to calori</w:t>
      </w:r>
      <w:r w:rsidR="00726EC2">
        <w:t>es</w:t>
      </w:r>
      <w:r w:rsidR="00AD254F">
        <w:t xml:space="preserve"> </w:t>
      </w:r>
      <w:r w:rsidR="00726EC2">
        <w:t>consumed</w:t>
      </w:r>
      <w:r w:rsidR="00AD254F">
        <w:t xml:space="preserve"> during the same period.</w:t>
      </w:r>
      <w:r w:rsidR="007912F8">
        <w:t xml:space="preserve"> Estimates from a national agricultural survey </w:t>
      </w:r>
      <w:r w:rsidR="00726EC2">
        <w:t xml:space="preserve">covering the 2007/08 agricultural season </w:t>
      </w:r>
      <w:r w:rsidR="007912F8">
        <w:t xml:space="preserve">indicate that </w:t>
      </w:r>
      <w:r w:rsidR="00BA4F69">
        <w:t xml:space="preserve">maize was grown by 2.7 out of 3.7 million rural households </w:t>
      </w:r>
      <w:r w:rsidR="00726EC2">
        <w:t>living in the country</w:t>
      </w:r>
      <w:r w:rsidR="00B70721">
        <w:t>, with households producing on average 326 kilograms of maiz</w:t>
      </w:r>
      <w:r w:rsidR="004D716D">
        <w:t>e</w:t>
      </w:r>
      <w:r w:rsidR="00024528">
        <w:t xml:space="preserve"> per year</w:t>
      </w:r>
      <w:r w:rsidR="00B70721">
        <w:t>. The majority of t</w:t>
      </w:r>
      <w:r w:rsidR="00BA4F69">
        <w:t>hese maize-growing households reside in the Central and Northern regions</w:t>
      </w:r>
      <w:r w:rsidR="00D42073">
        <w:t>, contributing to a combined share of 82</w:t>
      </w:r>
      <w:r w:rsidR="009414AA">
        <w:t xml:space="preserve"> percent</w:t>
      </w:r>
      <w:r w:rsidR="00D42073">
        <w:t xml:space="preserve"> of the total</w:t>
      </w:r>
      <w:r w:rsidR="00A752E5">
        <w:t xml:space="preserve"> number of rural</w:t>
      </w:r>
      <w:r w:rsidR="00B954FD">
        <w:t xml:space="preserve"> </w:t>
      </w:r>
      <w:r w:rsidR="00A752E5">
        <w:t>households</w:t>
      </w:r>
      <w:r w:rsidR="00B954FD">
        <w:t xml:space="preserve"> who grow maize</w:t>
      </w:r>
      <w:r w:rsidR="00BA4F69">
        <w:t xml:space="preserve">. </w:t>
      </w:r>
      <w:r w:rsidR="009C184A">
        <w:t xml:space="preserve">About one quarter of rural maize-growing households </w:t>
      </w:r>
      <w:r w:rsidR="006F0CE2">
        <w:t xml:space="preserve">in the country </w:t>
      </w:r>
      <w:r w:rsidR="009C184A">
        <w:t>can be classified as autarkic.</w:t>
      </w:r>
      <w:r w:rsidR="0043793E">
        <w:rPr>
          <w:rStyle w:val="FootnoteReference"/>
        </w:rPr>
        <w:footnoteReference w:id="2"/>
      </w:r>
      <w:r w:rsidR="006F0CE2">
        <w:t xml:space="preserve"> Only about 20</w:t>
      </w:r>
      <w:r w:rsidR="009414AA">
        <w:t xml:space="preserve"> percent</w:t>
      </w:r>
      <w:r w:rsidR="006F0CE2">
        <w:t xml:space="preserve"> of rural households </w:t>
      </w:r>
      <w:r w:rsidR="007337D6">
        <w:t xml:space="preserve">reported that they sold </w:t>
      </w:r>
      <w:r w:rsidR="006F0CE2">
        <w:t>their maize production</w:t>
      </w:r>
      <w:r w:rsidR="00726EC2">
        <w:t xml:space="preserve"> at the market</w:t>
      </w:r>
      <w:r w:rsidR="007337D6">
        <w:t xml:space="preserve"> in the 2007/08 agricultural season</w:t>
      </w:r>
      <w:r w:rsidR="006F0CE2">
        <w:t>.</w:t>
      </w:r>
      <w:r w:rsidR="008A02E9">
        <w:t xml:space="preserve"> Maize – accounting on average for about 60</w:t>
      </w:r>
      <w:r w:rsidR="009414AA">
        <w:t xml:space="preserve"> percent</w:t>
      </w:r>
      <w:r w:rsidR="008A02E9">
        <w:t xml:space="preserve"> of the total value of production </w:t>
      </w:r>
      <w:r w:rsidR="008C4B3B">
        <w:t xml:space="preserve">(cereals plus peanut) </w:t>
      </w:r>
      <w:r w:rsidR="008A02E9">
        <w:t xml:space="preserve">in the </w:t>
      </w:r>
      <w:r w:rsidR="007337D6">
        <w:t>same</w:t>
      </w:r>
      <w:r w:rsidR="008A02E9">
        <w:t xml:space="preserve"> agricultural season – is the most important crop in terms of value of production. </w:t>
      </w:r>
      <w:r w:rsidR="00D818CD">
        <w:t xml:space="preserve">Similar patterns emerge </w:t>
      </w:r>
      <w:r w:rsidR="004413E9">
        <w:t xml:space="preserve">for other agricultural seasons, </w:t>
      </w:r>
      <w:r w:rsidR="008C4B3B">
        <w:t xml:space="preserve">using </w:t>
      </w:r>
      <w:r w:rsidR="00D818CD">
        <w:t>data from the national agricultural surveys</w:t>
      </w:r>
      <w:r w:rsidR="00B40671">
        <w:t>.</w:t>
      </w:r>
    </w:p>
    <w:p w:rsidR="0008134F" w:rsidRPr="003272E9" w:rsidRDefault="00D818CD" w:rsidP="003272E9">
      <w:r>
        <w:t xml:space="preserve">In terms of consumption, data from the Mozambique Household Budget Survey 2008/09 show that </w:t>
      </w:r>
      <w:r w:rsidR="00662443">
        <w:t>2.8 out of 4.6 mi</w:t>
      </w:r>
      <w:r w:rsidR="00D85758">
        <w:t>llion households consumed maize with</w:t>
      </w:r>
      <w:r w:rsidR="00662443">
        <w:t xml:space="preserve"> </w:t>
      </w:r>
      <w:r w:rsidR="00D85758">
        <w:t>a</w:t>
      </w:r>
      <w:r w:rsidR="00662443">
        <w:t>nnual consumption</w:t>
      </w:r>
      <w:r w:rsidR="004413E9">
        <w:t xml:space="preserve"> of maize</w:t>
      </w:r>
      <w:r w:rsidR="00662443">
        <w:t xml:space="preserve"> (either purchased or own grown) averag</w:t>
      </w:r>
      <w:r w:rsidR="00D85758">
        <w:t>ing</w:t>
      </w:r>
      <w:r w:rsidR="00662443">
        <w:t xml:space="preserve"> about 35</w:t>
      </w:r>
      <w:r w:rsidR="001C2469">
        <w:t>3</w:t>
      </w:r>
      <w:r w:rsidR="00662443">
        <w:t xml:space="preserve"> kilograms per household</w:t>
      </w:r>
      <w:r w:rsidR="007337D6">
        <w:t>, compared to average production of 326 kilograms in the 2007/08 production season</w:t>
      </w:r>
      <w:r w:rsidR="001C2469">
        <w:t xml:space="preserve">. Rural households consumed on average 410 kilograms per year, compared </w:t>
      </w:r>
      <w:r w:rsidR="00D42073">
        <w:t>to</w:t>
      </w:r>
      <w:r w:rsidR="001C2469">
        <w:t xml:space="preserve"> 214</w:t>
      </w:r>
      <w:r w:rsidR="00662443">
        <w:t xml:space="preserve"> </w:t>
      </w:r>
      <w:r w:rsidR="001C2469">
        <w:t>kilograms for urban households</w:t>
      </w:r>
      <w:r w:rsidR="00662443">
        <w:t xml:space="preserve">. The proportion of households who consume maize is </w:t>
      </w:r>
      <w:r w:rsidR="001C2469">
        <w:t xml:space="preserve">also </w:t>
      </w:r>
      <w:r w:rsidR="00662443">
        <w:t>greater in rural areas than in urban areas (65</w:t>
      </w:r>
      <w:r w:rsidR="009414AA">
        <w:t xml:space="preserve"> percent</w:t>
      </w:r>
      <w:r w:rsidR="00662443">
        <w:t xml:space="preserve"> versus 51</w:t>
      </w:r>
      <w:r w:rsidR="009414AA">
        <w:t xml:space="preserve"> percent</w:t>
      </w:r>
      <w:r w:rsidR="00662443">
        <w:t>).</w:t>
      </w:r>
      <w:r w:rsidR="001C2469">
        <w:t xml:space="preserve"> </w:t>
      </w:r>
      <w:r w:rsidR="00546F68">
        <w:t xml:space="preserve">The data from the Household Budget Survey 2008/09 also show that maize is the most important commodity in terms of food expenditure. </w:t>
      </w:r>
      <w:r w:rsidR="004413E9">
        <w:t>On average, nearly 70</w:t>
      </w:r>
      <w:r w:rsidR="009414AA">
        <w:t xml:space="preserve"> percent</w:t>
      </w:r>
      <w:r w:rsidR="004413E9">
        <w:t xml:space="preserve"> of the total household expenditures are spent on food</w:t>
      </w:r>
      <w:r w:rsidR="00024528">
        <w:t>.</w:t>
      </w:r>
      <w:r w:rsidR="001C1F29">
        <w:t xml:space="preserve"> </w:t>
      </w:r>
      <w:r w:rsidR="00B954FD">
        <w:t>The share of total household food expenditure spent on maize averaged about 25</w:t>
      </w:r>
      <w:r w:rsidR="009414AA">
        <w:t xml:space="preserve"> percent</w:t>
      </w:r>
      <w:r w:rsidR="001C2469">
        <w:t>.</w:t>
      </w:r>
      <w:r w:rsidR="005C50F5">
        <w:t xml:space="preserve"> </w:t>
      </w:r>
      <w:r w:rsidR="00546F68">
        <w:t xml:space="preserve">The </w:t>
      </w:r>
      <w:r w:rsidR="00D11E13">
        <w:t>average shares</w:t>
      </w:r>
      <w:r w:rsidR="00546F68">
        <w:t xml:space="preserve"> of maize in the household food expenditures </w:t>
      </w:r>
      <w:r w:rsidR="00D11E13">
        <w:t xml:space="preserve">are greater in Northern and Central Mozambique, compared </w:t>
      </w:r>
      <w:r w:rsidR="00B954FD">
        <w:t>to</w:t>
      </w:r>
      <w:r w:rsidR="00D11E13">
        <w:t xml:space="preserve"> Southern Mozambique (41</w:t>
      </w:r>
      <w:r w:rsidR="009414AA">
        <w:t xml:space="preserve"> percent</w:t>
      </w:r>
      <w:r w:rsidR="00D11E13">
        <w:t xml:space="preserve"> in Central and 24</w:t>
      </w:r>
      <w:r w:rsidR="009414AA">
        <w:t xml:space="preserve"> percent</w:t>
      </w:r>
      <w:r w:rsidR="00D11E13">
        <w:t xml:space="preserve"> in Northern versus 14</w:t>
      </w:r>
      <w:r w:rsidR="009414AA">
        <w:t xml:space="preserve"> percent</w:t>
      </w:r>
      <w:r w:rsidR="00D11E13">
        <w:t xml:space="preserve"> in Southern)</w:t>
      </w:r>
      <w:r w:rsidR="00546F68">
        <w:t>.</w:t>
      </w:r>
    </w:p>
    <w:p w:rsidR="00D34654" w:rsidRDefault="00D34654" w:rsidP="00D34654">
      <w:pPr>
        <w:pStyle w:val="Heading2"/>
      </w:pPr>
      <w:bookmarkStart w:id="14" w:name="_Toc336419328"/>
      <w:bookmarkStart w:id="15" w:name="_Toc401642220"/>
      <w:r>
        <w:t>PRODUCTION</w:t>
      </w:r>
      <w:bookmarkEnd w:id="14"/>
      <w:bookmarkEnd w:id="15"/>
      <w:r w:rsidR="005E3565">
        <w:t xml:space="preserve"> </w:t>
      </w:r>
    </w:p>
    <w:p w:rsidR="00D11E13" w:rsidRDefault="008D289D" w:rsidP="002D57E6">
      <w:r>
        <w:t xml:space="preserve">Maize is an important crop grown by smallholder farmers in Mozambique. </w:t>
      </w:r>
      <w:r w:rsidR="001D30B3">
        <w:t xml:space="preserve">according to data from a national sample survey – administered by the Mozambique Ministry of Agriculture (MINAG) and commonly known by its Portuguese acronym </w:t>
      </w:r>
      <w:r w:rsidR="001D30B3">
        <w:rPr>
          <w:i/>
        </w:rPr>
        <w:t xml:space="preserve">Trabalho de Inquerito Agricola </w:t>
      </w:r>
      <w:r w:rsidR="009414AA">
        <w:t>(TIA) -</w:t>
      </w:r>
      <w:r w:rsidR="001D30B3">
        <w:t xml:space="preserve"> </w:t>
      </w:r>
      <w:r>
        <w:t xml:space="preserve">early </w:t>
      </w:r>
      <w:r w:rsidR="003C4AEC">
        <w:t>three quarters</w:t>
      </w:r>
      <w:r>
        <w:t xml:space="preserve"> of</w:t>
      </w:r>
      <w:r w:rsidR="009414AA">
        <w:t xml:space="preserve"> smallholder farmers grew maize, </w:t>
      </w:r>
      <w:r w:rsidR="003C4AEC">
        <w:t>account</w:t>
      </w:r>
      <w:r w:rsidR="009414AA">
        <w:t>ing</w:t>
      </w:r>
      <w:r>
        <w:t xml:space="preserve"> for </w:t>
      </w:r>
      <w:r w:rsidR="00DE128C">
        <w:t>about 35</w:t>
      </w:r>
      <w:r w:rsidR="009414AA">
        <w:t xml:space="preserve"> percent</w:t>
      </w:r>
      <w:r>
        <w:t xml:space="preserve"> of the total cultivated area </w:t>
      </w:r>
      <w:r w:rsidR="001D30B3">
        <w:t xml:space="preserve">in the </w:t>
      </w:r>
      <w:r w:rsidR="009414AA">
        <w:t>2007/08 agricultural season</w:t>
      </w:r>
      <w:r>
        <w:t xml:space="preserve">. </w:t>
      </w:r>
      <w:r w:rsidR="00F344DF">
        <w:t>M</w:t>
      </w:r>
      <w:r w:rsidR="00DF0FF0">
        <w:t>aize production, harvested area and yield in Mozambique</w:t>
      </w:r>
      <w:r w:rsidR="00F344DF">
        <w:t xml:space="preserve"> are plotted in </w:t>
      </w:r>
      <w:r w:rsidR="009414AA">
        <w:fldChar w:fldCharType="begin"/>
      </w:r>
      <w:r w:rsidR="009414AA">
        <w:instrText xml:space="preserve"> REF _Ref394708875 \h </w:instrText>
      </w:r>
      <w:r w:rsidR="009414AA">
        <w:fldChar w:fldCharType="separate"/>
      </w:r>
      <w:r w:rsidR="009414AA">
        <w:t xml:space="preserve">Figure </w:t>
      </w:r>
      <w:r w:rsidR="009414AA">
        <w:rPr>
          <w:noProof/>
        </w:rPr>
        <w:t>1</w:t>
      </w:r>
      <w:r w:rsidR="009414AA">
        <w:fldChar w:fldCharType="end"/>
      </w:r>
      <w:r w:rsidR="009414AA">
        <w:t xml:space="preserve">. </w:t>
      </w:r>
      <w:r w:rsidR="00F344DF">
        <w:t>This figure shows that maize harvested area oscillated with an upward trend, increasing by about 60</w:t>
      </w:r>
      <w:r w:rsidR="009414AA">
        <w:t xml:space="preserve"> percent</w:t>
      </w:r>
      <w:r w:rsidR="00F344DF">
        <w:t xml:space="preserve"> from 1.15 million hectare (ha) in 1999 to 1.81 million ha in 2011. F</w:t>
      </w:r>
      <w:r w:rsidR="00DF0FF0">
        <w:t xml:space="preserve">rom 1995 to 1999, maize production increased from 0.73 million </w:t>
      </w:r>
      <w:r w:rsidR="009414AA">
        <w:t>tonne</w:t>
      </w:r>
      <w:r w:rsidR="00DF0FF0">
        <w:t xml:space="preserve">s to 1.34 million </w:t>
      </w:r>
      <w:r w:rsidR="009414AA">
        <w:t>tonnes</w:t>
      </w:r>
      <w:r w:rsidR="00DF0FF0">
        <w:t xml:space="preserve">. It </w:t>
      </w:r>
      <w:r w:rsidR="00DF0FF0">
        <w:lastRenderedPageBreak/>
        <w:t xml:space="preserve">then dropped to 0.94 million </w:t>
      </w:r>
      <w:r w:rsidR="009414AA">
        <w:t>tonnes</w:t>
      </w:r>
      <w:r w:rsidR="00DF0FF0">
        <w:t xml:space="preserve"> in 2005. Since that year, maize production experienced a </w:t>
      </w:r>
      <w:r w:rsidR="00B35D16">
        <w:t>steady</w:t>
      </w:r>
      <w:r w:rsidR="00DF0FF0">
        <w:t xml:space="preserve"> upward trend</w:t>
      </w:r>
      <w:r w:rsidR="00740ADB">
        <w:t xml:space="preserve">, jumping to 2.2 million </w:t>
      </w:r>
      <w:r w:rsidR="008851CC">
        <w:t>tonnes</w:t>
      </w:r>
      <w:r w:rsidR="00740ADB">
        <w:t xml:space="preserve"> in 2011. Maize yields followed a similar pattern; dropping from 1.16 </w:t>
      </w:r>
      <w:r w:rsidR="008851CC">
        <w:t>t</w:t>
      </w:r>
      <w:r w:rsidR="00181DA9">
        <w:t>onnes</w:t>
      </w:r>
      <w:r w:rsidR="00740ADB">
        <w:t xml:space="preserve">/ha in 1999 to 0.51 </w:t>
      </w:r>
      <w:r w:rsidR="008851CC">
        <w:t>tonnes</w:t>
      </w:r>
      <w:r w:rsidR="00740ADB">
        <w:t>/ha i</w:t>
      </w:r>
      <w:r w:rsidR="008851CC">
        <w:t>n 2005 and then rising to 1.2 tonne</w:t>
      </w:r>
      <w:r w:rsidR="00740ADB">
        <w:t>/ha in 2011</w:t>
      </w:r>
      <w:r w:rsidR="00F344DF">
        <w:t>.</w:t>
      </w:r>
    </w:p>
    <w:p w:rsidR="004F46C4" w:rsidRDefault="004F46C4" w:rsidP="004F46C4">
      <w:pPr>
        <w:pStyle w:val="Caption"/>
        <w:keepNext/>
        <w:jc w:val="both"/>
      </w:pPr>
      <w:bookmarkStart w:id="16" w:name="_Ref394708875"/>
      <w:r>
        <w:t xml:space="preserve">Figure </w:t>
      </w:r>
      <w:r w:rsidR="00323EC3">
        <w:fldChar w:fldCharType="begin"/>
      </w:r>
      <w:r w:rsidR="007E22D8">
        <w:instrText xml:space="preserve"> SEQ Figure \* ARABIC </w:instrText>
      </w:r>
      <w:r w:rsidR="00323EC3">
        <w:fldChar w:fldCharType="separate"/>
      </w:r>
      <w:r w:rsidR="00D147FD">
        <w:rPr>
          <w:noProof/>
        </w:rPr>
        <w:t>1</w:t>
      </w:r>
      <w:r w:rsidR="00323EC3">
        <w:rPr>
          <w:noProof/>
        </w:rPr>
        <w:fldChar w:fldCharType="end"/>
      </w:r>
      <w:bookmarkEnd w:id="16"/>
      <w:r w:rsidR="009414AA">
        <w:rPr>
          <w:noProof/>
        </w:rPr>
        <w:t xml:space="preserve">. </w:t>
      </w:r>
      <w:r>
        <w:rPr>
          <w:noProof/>
        </w:rPr>
        <w:t>Maize</w:t>
      </w:r>
      <w:r w:rsidRPr="004F46C4">
        <w:t xml:space="preserve"> production, harvested area and yield in Mozambique</w:t>
      </w:r>
    </w:p>
    <w:p w:rsidR="00DF0FF0" w:rsidRDefault="00DF0FF0" w:rsidP="002D57E6">
      <w:r>
        <w:rPr>
          <w:noProof/>
        </w:rPr>
        <w:drawing>
          <wp:inline distT="0" distB="0" distL="0" distR="0" wp14:anchorId="767565E5" wp14:editId="10D2F06A">
            <wp:extent cx="4096512" cy="29992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6512" cy="2999232"/>
                    </a:xfrm>
                    <a:prstGeom prst="rect">
                      <a:avLst/>
                    </a:prstGeom>
                    <a:noFill/>
                    <a:ln>
                      <a:noFill/>
                    </a:ln>
                  </pic:spPr>
                </pic:pic>
              </a:graphicData>
            </a:graphic>
          </wp:inline>
        </w:drawing>
      </w:r>
    </w:p>
    <w:p w:rsidR="00F326EB" w:rsidRDefault="00323EC3" w:rsidP="002D57E6">
      <w:r>
        <w:fldChar w:fldCharType="begin"/>
      </w:r>
      <w:r w:rsidR="00907863">
        <w:instrText xml:space="preserve"> REF _Ref394708875 \h </w:instrText>
      </w:r>
      <w:r>
        <w:fldChar w:fldCharType="separate"/>
      </w:r>
      <w:r w:rsidR="00D147FD">
        <w:t xml:space="preserve">Figure </w:t>
      </w:r>
      <w:r w:rsidR="00D147FD">
        <w:rPr>
          <w:noProof/>
        </w:rPr>
        <w:t>1</w:t>
      </w:r>
      <w:r>
        <w:fldChar w:fldCharType="end"/>
      </w:r>
      <w:r w:rsidR="002E3A49">
        <w:t xml:space="preserve"> suggests that maize yields in Mozambique have </w:t>
      </w:r>
      <w:r w:rsidR="00745F0A">
        <w:t xml:space="preserve">grown </w:t>
      </w:r>
      <w:r w:rsidR="002E3A49">
        <w:t>at a lower rate</w:t>
      </w:r>
      <w:r w:rsidR="00181DA9">
        <w:t>:</w:t>
      </w:r>
      <w:r w:rsidR="00D11E13">
        <w:t xml:space="preserve"> </w:t>
      </w:r>
      <w:r w:rsidR="002E3A49">
        <w:t xml:space="preserve">yields registered in the late 2010s are </w:t>
      </w:r>
      <w:r w:rsidR="006157B2">
        <w:t xml:space="preserve">comparable </w:t>
      </w:r>
      <w:r w:rsidR="002E3A49">
        <w:t xml:space="preserve">to those seen in the late 1990s. </w:t>
      </w:r>
      <w:r w:rsidR="00181DA9">
        <w:t>In the period 1990-</w:t>
      </w:r>
      <w:r w:rsidR="002E3A49">
        <w:t xml:space="preserve">2012, data from FAOSTAT indicate that average maize yields are lower in Mozambique (0.79 </w:t>
      </w:r>
      <w:r w:rsidR="00181DA9">
        <w:t>tonnes</w:t>
      </w:r>
      <w:r w:rsidR="002E3A49">
        <w:t xml:space="preserve">/ha) compared to its neighboring countries, namely Zambia (1.83 </w:t>
      </w:r>
      <w:r w:rsidR="00181DA9">
        <w:t>tonnes</w:t>
      </w:r>
      <w:r w:rsidR="002E3A49" w:rsidRPr="008C543D">
        <w:t xml:space="preserve">/ha), </w:t>
      </w:r>
      <w:r w:rsidR="002E3A49">
        <w:t xml:space="preserve">Tanzania (1.54 </w:t>
      </w:r>
      <w:r w:rsidR="008851CC">
        <w:t>tonne</w:t>
      </w:r>
      <w:r w:rsidR="00181DA9">
        <w:t>s</w:t>
      </w:r>
      <w:r w:rsidR="002E3A49">
        <w:t xml:space="preserve">/ha), </w:t>
      </w:r>
      <w:r w:rsidR="002E3A49" w:rsidRPr="008C543D">
        <w:t>Malawi (</w:t>
      </w:r>
      <w:r w:rsidR="002E3A49">
        <w:t>1.46</w:t>
      </w:r>
      <w:r w:rsidR="002E3A49" w:rsidRPr="008C543D">
        <w:t xml:space="preserve"> </w:t>
      </w:r>
      <w:r w:rsidR="008851CC">
        <w:t>tonne</w:t>
      </w:r>
      <w:r w:rsidR="00181DA9">
        <w:t>s</w:t>
      </w:r>
      <w:r w:rsidR="002E3A49" w:rsidRPr="008C543D">
        <w:t>/ha)</w:t>
      </w:r>
      <w:r w:rsidR="002E3A49">
        <w:t xml:space="preserve">, and Zimbabwe (1.0 </w:t>
      </w:r>
      <w:r w:rsidR="008851CC">
        <w:t>tonne</w:t>
      </w:r>
      <w:r w:rsidR="002E3A49">
        <w:t>/ha)</w:t>
      </w:r>
      <w:r w:rsidR="002E3A49" w:rsidRPr="008C543D">
        <w:t>.</w:t>
      </w:r>
      <w:r w:rsidR="002E3A49">
        <w:t xml:space="preserve"> Low use of improved inputs combined with high reliance on rain-fed production systems could be the driving factors of the observed low productivity in Mozambique. Data from TIAs indicate that less than 11</w:t>
      </w:r>
      <w:r w:rsidR="009414AA">
        <w:t xml:space="preserve"> percent</w:t>
      </w:r>
      <w:r w:rsidR="002E3A49">
        <w:t xml:space="preserve"> of smallholder farmers used improved maize seed and less than 5</w:t>
      </w:r>
      <w:r w:rsidR="009414AA">
        <w:t xml:space="preserve"> percent</w:t>
      </w:r>
      <w:r w:rsidR="002E3A49">
        <w:t xml:space="preserve"> applied fertilizers in their plots in any given agricultural season between 2002 and 2008.</w:t>
      </w:r>
    </w:p>
    <w:p w:rsidR="00A752E5" w:rsidRDefault="00323EC3" w:rsidP="002D57E6">
      <w:r>
        <w:fldChar w:fldCharType="begin"/>
      </w:r>
      <w:r w:rsidR="00907863">
        <w:instrText xml:space="preserve"> REF _Ref397047248 \h </w:instrText>
      </w:r>
      <w:r>
        <w:fldChar w:fldCharType="separate"/>
      </w:r>
      <w:r w:rsidR="00D147FD">
        <w:t xml:space="preserve">Figure </w:t>
      </w:r>
      <w:r w:rsidR="00D147FD">
        <w:rPr>
          <w:noProof/>
        </w:rPr>
        <w:t>2</w:t>
      </w:r>
      <w:r>
        <w:fldChar w:fldCharType="end"/>
      </w:r>
      <w:r w:rsidR="00D82992">
        <w:t xml:space="preserve"> shows maize production and cultivated area under maize by province in the 2007/08 agricultural season. This figure shows that the top three provinces in terms of total maize </w:t>
      </w:r>
      <w:r w:rsidR="00A752E5">
        <w:t xml:space="preserve">production </w:t>
      </w:r>
      <w:r w:rsidR="00D82992">
        <w:t xml:space="preserve">are Tete (239 thousand </w:t>
      </w:r>
      <w:r w:rsidR="00181DA9">
        <w:t>tonnes</w:t>
      </w:r>
      <w:r w:rsidR="00D82992">
        <w:t xml:space="preserve">), Zambezia (209 thousand </w:t>
      </w:r>
      <w:r w:rsidR="00181DA9">
        <w:t>tonnes</w:t>
      </w:r>
      <w:r w:rsidR="00D82992">
        <w:t>) and Manica (187 thousand</w:t>
      </w:r>
      <w:r w:rsidR="00181DA9">
        <w:t xml:space="preserve"> tonnes</w:t>
      </w:r>
      <w:r w:rsidR="00D82992">
        <w:t xml:space="preserve">). </w:t>
      </w:r>
      <w:r w:rsidR="003F0A23">
        <w:t>Zambezia with 327 thousand ha, Tete with 304 thousand ha and Manica with 266 thousand ha are also the</w:t>
      </w:r>
      <w:r w:rsidR="00D82992">
        <w:t xml:space="preserve"> three </w:t>
      </w:r>
      <w:r w:rsidR="003F0A23">
        <w:t xml:space="preserve">most important provinces </w:t>
      </w:r>
      <w:r w:rsidR="00F9551F">
        <w:t>in term</w:t>
      </w:r>
      <w:r w:rsidR="00745F0A">
        <w:t>s of</w:t>
      </w:r>
      <w:r w:rsidR="003F0A23">
        <w:t xml:space="preserve"> total </w:t>
      </w:r>
      <w:r w:rsidR="00D82992">
        <w:t xml:space="preserve">cultivated area </w:t>
      </w:r>
      <w:r w:rsidR="00A752E5">
        <w:t xml:space="preserve">allocated to </w:t>
      </w:r>
      <w:r w:rsidR="00D82992">
        <w:t>maize</w:t>
      </w:r>
      <w:r w:rsidR="00A752E5">
        <w:t xml:space="preserve"> production</w:t>
      </w:r>
      <w:r w:rsidR="003F0A23">
        <w:t>. Northern</w:t>
      </w:r>
      <w:r w:rsidR="000F1CD1">
        <w:t xml:space="preserve"> and Central</w:t>
      </w:r>
      <w:r w:rsidR="003F0A23">
        <w:t xml:space="preserve"> Mozambique</w:t>
      </w:r>
      <w:r w:rsidR="00E15702">
        <w:t>,</w:t>
      </w:r>
      <w:r w:rsidR="003F0A23">
        <w:t xml:space="preserve"> accounting for </w:t>
      </w:r>
      <w:r w:rsidR="00E15702">
        <w:t>29</w:t>
      </w:r>
      <w:r w:rsidR="009414AA">
        <w:t xml:space="preserve"> percent</w:t>
      </w:r>
      <w:r w:rsidR="00E15702">
        <w:t xml:space="preserve"> and 61</w:t>
      </w:r>
      <w:r w:rsidR="009414AA">
        <w:t xml:space="preserve"> percent</w:t>
      </w:r>
      <w:r w:rsidR="00E15702">
        <w:t xml:space="preserve"> of the total maize production</w:t>
      </w:r>
      <w:r w:rsidR="00F26DB0">
        <w:t xml:space="preserve"> in the country</w:t>
      </w:r>
      <w:r w:rsidR="00E15702">
        <w:t>, are the major maize-producing regions, usually generating maize surplus. The Southern region</w:t>
      </w:r>
      <w:r w:rsidR="00013B99">
        <w:t>,</w:t>
      </w:r>
      <w:r w:rsidR="00E15702">
        <w:t xml:space="preserve"> contributing to only </w:t>
      </w:r>
      <w:r w:rsidR="00F26DB0">
        <w:t xml:space="preserve">about </w:t>
      </w:r>
      <w:r w:rsidR="00E15702">
        <w:t>10</w:t>
      </w:r>
      <w:r w:rsidR="009414AA">
        <w:t xml:space="preserve"> percent</w:t>
      </w:r>
      <w:r w:rsidR="00E15702">
        <w:t xml:space="preserve"> of </w:t>
      </w:r>
      <w:r w:rsidR="00F26DB0">
        <w:t xml:space="preserve">the </w:t>
      </w:r>
      <w:r w:rsidR="00E15702">
        <w:t>total maize production</w:t>
      </w:r>
      <w:r w:rsidR="00013B99">
        <w:t>,</w:t>
      </w:r>
      <w:r w:rsidR="00E15702">
        <w:t xml:space="preserve"> is </w:t>
      </w:r>
      <w:r w:rsidR="00013B99">
        <w:t xml:space="preserve">a </w:t>
      </w:r>
      <w:r w:rsidR="00E15702">
        <w:t>maize deficit</w:t>
      </w:r>
      <w:r w:rsidR="00013B99">
        <w:t xml:space="preserve"> area</w:t>
      </w:r>
      <w:r w:rsidR="00E15702">
        <w:t>.</w:t>
      </w:r>
      <w:r w:rsidR="00E15702">
        <w:rPr>
          <w:rStyle w:val="FootnoteReference"/>
        </w:rPr>
        <w:footnoteReference w:id="3"/>
      </w:r>
    </w:p>
    <w:p w:rsidR="004F46C4" w:rsidRPr="004F46C4" w:rsidRDefault="004F46C4" w:rsidP="004F46C4">
      <w:pPr>
        <w:pStyle w:val="Caption"/>
        <w:keepNext/>
        <w:jc w:val="both"/>
      </w:pPr>
      <w:bookmarkStart w:id="17" w:name="_Ref397047248"/>
      <w:r>
        <w:lastRenderedPageBreak/>
        <w:t xml:space="preserve">Figure </w:t>
      </w:r>
      <w:r w:rsidR="00323EC3">
        <w:fldChar w:fldCharType="begin"/>
      </w:r>
      <w:r w:rsidR="007E22D8">
        <w:instrText xml:space="preserve"> SEQ Figure \* ARABIC </w:instrText>
      </w:r>
      <w:r w:rsidR="00323EC3">
        <w:fldChar w:fldCharType="separate"/>
      </w:r>
      <w:r w:rsidR="00D147FD">
        <w:rPr>
          <w:noProof/>
        </w:rPr>
        <w:t>2</w:t>
      </w:r>
      <w:r w:rsidR="00323EC3">
        <w:rPr>
          <w:noProof/>
        </w:rPr>
        <w:fldChar w:fldCharType="end"/>
      </w:r>
      <w:bookmarkEnd w:id="17"/>
      <w:r w:rsidR="00B35676">
        <w:rPr>
          <w:noProof/>
        </w:rPr>
        <w:t xml:space="preserve">. </w:t>
      </w:r>
      <w:r>
        <w:rPr>
          <w:noProof/>
        </w:rPr>
        <w:t>Maize productio</w:t>
      </w:r>
      <w:r w:rsidRPr="004F46C4">
        <w:rPr>
          <w:noProof/>
        </w:rPr>
        <w:t>n</w:t>
      </w:r>
      <w:r w:rsidRPr="004F46C4">
        <w:t xml:space="preserve"> an</w:t>
      </w:r>
      <w:r w:rsidR="00B35676">
        <w:t>d cultivated area by province: a</w:t>
      </w:r>
      <w:r w:rsidRPr="004F46C4">
        <w:t>gricultural season 2007/08</w:t>
      </w:r>
    </w:p>
    <w:p w:rsidR="00F326EB" w:rsidRDefault="00D82992" w:rsidP="002D57E6">
      <w:r>
        <w:rPr>
          <w:noProof/>
        </w:rPr>
        <w:drawing>
          <wp:inline distT="0" distB="0" distL="0" distR="0" wp14:anchorId="075DCD7B" wp14:editId="34A0994A">
            <wp:extent cx="4096512" cy="29992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6512" cy="2999232"/>
                    </a:xfrm>
                    <a:prstGeom prst="rect">
                      <a:avLst/>
                    </a:prstGeom>
                    <a:noFill/>
                    <a:ln>
                      <a:noFill/>
                    </a:ln>
                  </pic:spPr>
                </pic:pic>
              </a:graphicData>
            </a:graphic>
          </wp:inline>
        </w:drawing>
      </w:r>
    </w:p>
    <w:p w:rsidR="00D34654" w:rsidRDefault="00D34654" w:rsidP="00D34654">
      <w:pPr>
        <w:pStyle w:val="Heading2"/>
      </w:pPr>
      <w:bookmarkStart w:id="18" w:name="_Toc336419329"/>
      <w:bookmarkStart w:id="19" w:name="_Toc401642221"/>
      <w:r w:rsidRPr="00D34654">
        <w:t>CONSUMPTION/UTILIZATION</w:t>
      </w:r>
      <w:bookmarkEnd w:id="18"/>
      <w:bookmarkEnd w:id="19"/>
    </w:p>
    <w:p w:rsidR="008D289D" w:rsidRDefault="008C4BBB" w:rsidP="0030384F">
      <w:r>
        <w:t>Maize is one of the principal staple foods in Mozambique</w:t>
      </w:r>
      <w:r w:rsidR="0020034C">
        <w:t>, especially in rural areas</w:t>
      </w:r>
      <w:r>
        <w:t xml:space="preserve">. </w:t>
      </w:r>
      <w:r w:rsidR="001D30B3">
        <w:t>D</w:t>
      </w:r>
      <w:r>
        <w:t xml:space="preserve">ata from </w:t>
      </w:r>
      <w:r w:rsidR="0020034C">
        <w:t>the</w:t>
      </w:r>
      <w:r w:rsidR="00785BB7">
        <w:t xml:space="preserve"> </w:t>
      </w:r>
      <w:r w:rsidR="0020034C">
        <w:t>Mozambique</w:t>
      </w:r>
      <w:r w:rsidR="00785BB7">
        <w:t xml:space="preserve"> </w:t>
      </w:r>
      <w:r>
        <w:t>Household Budget Survey 2008/09 –</w:t>
      </w:r>
      <w:r w:rsidR="001D30B3">
        <w:t xml:space="preserve">administered </w:t>
      </w:r>
      <w:r>
        <w:t xml:space="preserve">by the Mozambique </w:t>
      </w:r>
      <w:r w:rsidR="00B525B9">
        <w:t xml:space="preserve">National </w:t>
      </w:r>
      <w:r>
        <w:t>Institute of Statistics</w:t>
      </w:r>
      <w:r w:rsidR="00B525B9">
        <w:t xml:space="preserve"> (INE)</w:t>
      </w:r>
      <w:r>
        <w:t xml:space="preserve"> and commonly known by its Portuguese acronym </w:t>
      </w:r>
      <w:r w:rsidR="00785BB7">
        <w:rPr>
          <w:i/>
        </w:rPr>
        <w:t>Inquérito sobre</w:t>
      </w:r>
      <w:r>
        <w:rPr>
          <w:i/>
        </w:rPr>
        <w:t xml:space="preserve"> Orçamento Familia</w:t>
      </w:r>
      <w:r w:rsidR="00785BB7">
        <w:rPr>
          <w:i/>
        </w:rPr>
        <w:t>r</w:t>
      </w:r>
      <w:r>
        <w:rPr>
          <w:i/>
        </w:rPr>
        <w:t xml:space="preserve"> </w:t>
      </w:r>
      <w:r>
        <w:t xml:space="preserve">(IOF) </w:t>
      </w:r>
      <w:r w:rsidR="00785BB7">
        <w:t>–</w:t>
      </w:r>
      <w:r>
        <w:t xml:space="preserve"> </w:t>
      </w:r>
      <w:r w:rsidR="00785BB7">
        <w:t>indicate that t</w:t>
      </w:r>
      <w:r>
        <w:t xml:space="preserve">he </w:t>
      </w:r>
      <w:r w:rsidR="00DC66D5">
        <w:t xml:space="preserve">average </w:t>
      </w:r>
      <w:r>
        <w:t>share</w:t>
      </w:r>
      <w:r w:rsidR="00785BB7">
        <w:t>s</w:t>
      </w:r>
      <w:r>
        <w:t xml:space="preserve"> of the total food expenditure</w:t>
      </w:r>
      <w:r w:rsidR="00785BB7">
        <w:t xml:space="preserve"> </w:t>
      </w:r>
      <w:r w:rsidR="00A752E5">
        <w:t xml:space="preserve">accounted </w:t>
      </w:r>
      <w:r w:rsidR="00785BB7">
        <w:t>for</w:t>
      </w:r>
      <w:r w:rsidR="00A752E5">
        <w:t xml:space="preserve"> </w:t>
      </w:r>
      <w:r w:rsidR="00785BB7">
        <w:t>maize are 1</w:t>
      </w:r>
      <w:r w:rsidR="005564B2">
        <w:t>6</w:t>
      </w:r>
      <w:r w:rsidR="009414AA">
        <w:t xml:space="preserve"> percent</w:t>
      </w:r>
      <w:r w:rsidR="00785BB7">
        <w:t xml:space="preserve"> in urban areas and 2</w:t>
      </w:r>
      <w:r w:rsidR="005564B2">
        <w:t>9</w:t>
      </w:r>
      <w:r w:rsidR="009414AA">
        <w:t xml:space="preserve"> percent</w:t>
      </w:r>
      <w:r w:rsidR="00785BB7">
        <w:t xml:space="preserve"> in rural areas. According to the same </w:t>
      </w:r>
      <w:r w:rsidR="0020034C">
        <w:t>data</w:t>
      </w:r>
      <w:r w:rsidR="00785BB7">
        <w:t xml:space="preserve">, at national level, </w:t>
      </w:r>
      <w:r w:rsidR="00B35676">
        <w:t xml:space="preserve">food </w:t>
      </w:r>
      <w:r w:rsidR="00785BB7">
        <w:t>expenditure shar</w:t>
      </w:r>
      <w:r w:rsidR="005564B2">
        <w:t>e</w:t>
      </w:r>
      <w:r w:rsidR="00B35676">
        <w:t xml:space="preserve"> for maize</w:t>
      </w:r>
      <w:r w:rsidR="005564B2">
        <w:t xml:space="preserve"> is only 3</w:t>
      </w:r>
      <w:r w:rsidR="009414AA">
        <w:t xml:space="preserve"> percent</w:t>
      </w:r>
      <w:r w:rsidR="00785BB7">
        <w:t xml:space="preserve"> lower than the combined share of rice, wheat, beans, roots and tubers.</w:t>
      </w:r>
    </w:p>
    <w:p w:rsidR="00A752E5" w:rsidRDefault="00C77476" w:rsidP="0030384F">
      <w:r>
        <w:t xml:space="preserve">Using data from FAOSTAT food balance sheets, we computed shares of </w:t>
      </w:r>
      <w:r w:rsidR="00B35676">
        <w:t>maize utilization</w:t>
      </w:r>
      <w:r>
        <w:t xml:space="preserve"> in each year </w:t>
      </w:r>
      <w:r w:rsidR="00B35676">
        <w:t>from</w:t>
      </w:r>
      <w:r>
        <w:t xml:space="preserve"> 2000 to </w:t>
      </w:r>
      <w:r w:rsidR="006E432B">
        <w:t>2011</w:t>
      </w:r>
      <w:r w:rsidR="00B35676">
        <w:t xml:space="preserve"> (</w:t>
      </w:r>
      <w:r w:rsidR="00323EC3">
        <w:fldChar w:fldCharType="begin"/>
      </w:r>
      <w:r w:rsidR="009E254B">
        <w:instrText xml:space="preserve"> REF _Ref397047305 \h </w:instrText>
      </w:r>
      <w:r w:rsidR="00323EC3">
        <w:fldChar w:fldCharType="separate"/>
      </w:r>
      <w:r w:rsidR="00D147FD">
        <w:t xml:space="preserve">Figure </w:t>
      </w:r>
      <w:r w:rsidR="00D147FD">
        <w:rPr>
          <w:noProof/>
        </w:rPr>
        <w:t>3</w:t>
      </w:r>
      <w:r w:rsidR="00323EC3">
        <w:fldChar w:fldCharType="end"/>
      </w:r>
      <w:r w:rsidR="00B35676">
        <w:t xml:space="preserve">). </w:t>
      </w:r>
      <w:r w:rsidR="00020C57">
        <w:t>Maize</w:t>
      </w:r>
      <w:r w:rsidR="00D9525F">
        <w:t xml:space="preserve"> is predominantly used as food </w:t>
      </w:r>
      <w:r w:rsidR="00B35676">
        <w:t>which accounts</w:t>
      </w:r>
      <w:r w:rsidR="00D9525F">
        <w:t xml:space="preserve"> for more than </w:t>
      </w:r>
      <w:r w:rsidR="008705A0">
        <w:t>65</w:t>
      </w:r>
      <w:r w:rsidR="009414AA">
        <w:t xml:space="preserve"> percent</w:t>
      </w:r>
      <w:r w:rsidR="00D9525F">
        <w:t xml:space="preserve"> of the total </w:t>
      </w:r>
      <w:r w:rsidR="00D33800">
        <w:t xml:space="preserve">supply </w:t>
      </w:r>
      <w:r w:rsidR="00D9525F">
        <w:t xml:space="preserve">in any given year. </w:t>
      </w:r>
      <w:r w:rsidR="00B35676">
        <w:t>The</w:t>
      </w:r>
      <w:r w:rsidR="00D9525F">
        <w:t xml:space="preserve"> share of maize supply </w:t>
      </w:r>
      <w:r w:rsidR="00B35676">
        <w:t>used for</w:t>
      </w:r>
      <w:r w:rsidR="00D9525F">
        <w:t xml:space="preserve"> animal feed averaged about </w:t>
      </w:r>
      <w:r w:rsidR="008705A0">
        <w:t>13</w:t>
      </w:r>
      <w:r w:rsidR="009414AA">
        <w:t xml:space="preserve"> percent</w:t>
      </w:r>
      <w:r w:rsidR="00B35676">
        <w:t xml:space="preserve">; this </w:t>
      </w:r>
      <w:r w:rsidR="00F57DB4">
        <w:t>proportion increased from 8</w:t>
      </w:r>
      <w:r w:rsidR="009414AA">
        <w:t xml:space="preserve"> percent</w:t>
      </w:r>
      <w:r w:rsidR="00F57DB4">
        <w:t xml:space="preserve"> in 2007 to 13</w:t>
      </w:r>
      <w:r w:rsidR="009414AA">
        <w:t xml:space="preserve"> percent</w:t>
      </w:r>
      <w:r w:rsidR="00F57DB4">
        <w:t xml:space="preserve"> in 2009. </w:t>
      </w:r>
      <w:r w:rsidR="008705A0">
        <w:t>Since then, it experienced a dramatic increase, nearly doubling to reach historical high of 24</w:t>
      </w:r>
      <w:r w:rsidR="009414AA">
        <w:t xml:space="preserve"> percent</w:t>
      </w:r>
      <w:r w:rsidR="008705A0">
        <w:t xml:space="preserve"> in 2011. </w:t>
      </w:r>
      <w:r w:rsidR="00F57DB4">
        <w:t xml:space="preserve">This </w:t>
      </w:r>
      <w:r w:rsidR="00B35676">
        <w:t>increasing</w:t>
      </w:r>
      <w:r w:rsidR="00F57DB4">
        <w:t xml:space="preserve"> </w:t>
      </w:r>
      <w:r w:rsidR="00B35676">
        <w:t>utilization of</w:t>
      </w:r>
      <w:r w:rsidR="00F57DB4">
        <w:t xml:space="preserve"> maize as animal feed could be associated with the recent surge in poultry production</w:t>
      </w:r>
      <w:r w:rsidR="00941EEF">
        <w:t xml:space="preserve"> – especially in Central and Northern Mozambique – </w:t>
      </w:r>
      <w:r w:rsidR="008B093A">
        <w:t>and consumption</w:t>
      </w:r>
      <w:r w:rsidR="00F3088B">
        <w:t xml:space="preserve"> </w:t>
      </w:r>
      <w:r w:rsidR="00941EEF">
        <w:t>driven by</w:t>
      </w:r>
      <w:r w:rsidR="008B093A">
        <w:t xml:space="preserve"> the</w:t>
      </w:r>
      <w:r w:rsidR="00941EEF">
        <w:t xml:space="preserve"> </w:t>
      </w:r>
      <w:r w:rsidR="008B093A">
        <w:t xml:space="preserve">expansion of the economy, urbanization and </w:t>
      </w:r>
      <w:r w:rsidR="00B35676">
        <w:t xml:space="preserve">shift in consumers’ </w:t>
      </w:r>
      <w:r w:rsidR="008B093A">
        <w:t xml:space="preserve">preference </w:t>
      </w:r>
      <w:r w:rsidR="00B35676">
        <w:t>towards</w:t>
      </w:r>
      <w:r w:rsidR="008B093A">
        <w:t xml:space="preserve"> </w:t>
      </w:r>
      <w:r w:rsidR="00B35676">
        <w:t xml:space="preserve">higher value-added commodities </w:t>
      </w:r>
      <w:r w:rsidR="00941EEF">
        <w:t xml:space="preserve">such as chicken and beef. </w:t>
      </w:r>
      <w:r w:rsidR="00B35676">
        <w:t>Since</w:t>
      </w:r>
      <w:r w:rsidR="009B1525">
        <w:t xml:space="preserve"> </w:t>
      </w:r>
      <w:r w:rsidR="00941EEF">
        <w:t>the 2007</w:t>
      </w:r>
      <w:r w:rsidR="00A35C5F">
        <w:t>/08</w:t>
      </w:r>
      <w:r w:rsidR="00941EEF">
        <w:t xml:space="preserve"> marketing season, large-scale poultry </w:t>
      </w:r>
      <w:r w:rsidR="009B1525">
        <w:t>processors – such as Abilio Antunes in M</w:t>
      </w:r>
      <w:r w:rsidR="008461A1">
        <w:t xml:space="preserve">anica province and </w:t>
      </w:r>
      <w:r w:rsidR="009B1525">
        <w:t xml:space="preserve">Frango </w:t>
      </w:r>
      <w:r w:rsidR="008461A1">
        <w:t xml:space="preserve">King </w:t>
      </w:r>
      <w:r w:rsidR="009B1525">
        <w:t>in Nampula province</w:t>
      </w:r>
      <w:r w:rsidR="00F64178">
        <w:t>,</w:t>
      </w:r>
      <w:r w:rsidR="00AB1C7A">
        <w:t xml:space="preserve"> </w:t>
      </w:r>
      <w:r w:rsidR="009B1525">
        <w:t>just to mention some examples – began</w:t>
      </w:r>
      <w:r w:rsidR="00F64178">
        <w:t>, and continue,</w:t>
      </w:r>
      <w:r w:rsidR="009B1525">
        <w:t xml:space="preserve"> to buy </w:t>
      </w:r>
      <w:r w:rsidR="001D30B3">
        <w:t xml:space="preserve">significant </w:t>
      </w:r>
      <w:r w:rsidR="00BA7390">
        <w:t xml:space="preserve">amounts of </w:t>
      </w:r>
      <w:r w:rsidR="009B1525">
        <w:t>maize from smallholder farmers.</w:t>
      </w:r>
    </w:p>
    <w:p w:rsidR="004F46C4" w:rsidRDefault="004F46C4" w:rsidP="004F46C4">
      <w:pPr>
        <w:pStyle w:val="Caption"/>
        <w:keepNext/>
        <w:jc w:val="both"/>
        <w:rPr>
          <w:noProof/>
        </w:rPr>
      </w:pPr>
      <w:bookmarkStart w:id="20" w:name="_Ref397047305"/>
      <w:r>
        <w:lastRenderedPageBreak/>
        <w:t xml:space="preserve">Figure </w:t>
      </w:r>
      <w:r w:rsidR="00323EC3">
        <w:fldChar w:fldCharType="begin"/>
      </w:r>
      <w:r w:rsidR="007E22D8">
        <w:instrText xml:space="preserve"> SEQ Figure \* ARABIC </w:instrText>
      </w:r>
      <w:r w:rsidR="00323EC3">
        <w:fldChar w:fldCharType="separate"/>
      </w:r>
      <w:r w:rsidR="00D147FD">
        <w:rPr>
          <w:noProof/>
        </w:rPr>
        <w:t>3</w:t>
      </w:r>
      <w:r w:rsidR="00323EC3">
        <w:rPr>
          <w:noProof/>
        </w:rPr>
        <w:fldChar w:fldCharType="end"/>
      </w:r>
      <w:bookmarkEnd w:id="20"/>
      <w:r w:rsidR="00B35676">
        <w:rPr>
          <w:noProof/>
        </w:rPr>
        <w:t xml:space="preserve">. </w:t>
      </w:r>
      <w:r>
        <w:rPr>
          <w:noProof/>
        </w:rPr>
        <w:t>Utilization of maize supply in Mozambique</w:t>
      </w:r>
    </w:p>
    <w:p w:rsidR="006E432B" w:rsidRDefault="006E432B" w:rsidP="006E432B">
      <w:r>
        <w:rPr>
          <w:noProof/>
        </w:rPr>
        <w:drawing>
          <wp:inline distT="0" distB="0" distL="0" distR="0" wp14:anchorId="79CBE7CB" wp14:editId="1E884053">
            <wp:extent cx="4078224" cy="29809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8224" cy="2980944"/>
                    </a:xfrm>
                    <a:prstGeom prst="rect">
                      <a:avLst/>
                    </a:prstGeom>
                    <a:noFill/>
                    <a:ln>
                      <a:noFill/>
                    </a:ln>
                  </pic:spPr>
                </pic:pic>
              </a:graphicData>
            </a:graphic>
          </wp:inline>
        </w:drawing>
      </w:r>
    </w:p>
    <w:p w:rsidR="00A752E5" w:rsidRDefault="00323EC3" w:rsidP="0030384F">
      <w:r>
        <w:fldChar w:fldCharType="begin"/>
      </w:r>
      <w:r w:rsidR="009E254B">
        <w:instrText xml:space="preserve"> REF _Ref397046680 \h </w:instrText>
      </w:r>
      <w:r>
        <w:fldChar w:fldCharType="separate"/>
      </w:r>
      <w:r w:rsidR="00D147FD">
        <w:t xml:space="preserve">Figure </w:t>
      </w:r>
      <w:r w:rsidR="00D147FD">
        <w:rPr>
          <w:noProof/>
        </w:rPr>
        <w:t>4</w:t>
      </w:r>
      <w:r>
        <w:fldChar w:fldCharType="end"/>
      </w:r>
      <w:r w:rsidR="002D7266">
        <w:t xml:space="preserve"> below shows that maize </w:t>
      </w:r>
      <w:r w:rsidR="00F9551F">
        <w:t xml:space="preserve">for food </w:t>
      </w:r>
      <w:r w:rsidR="002D7266">
        <w:t xml:space="preserve">consumption </w:t>
      </w:r>
      <w:r w:rsidR="00F9551F">
        <w:t xml:space="preserve">has </w:t>
      </w:r>
      <w:r w:rsidR="002D7266">
        <w:t>experienced a downward trend, dropping by 15</w:t>
      </w:r>
      <w:r w:rsidR="009414AA">
        <w:t xml:space="preserve"> percent</w:t>
      </w:r>
      <w:r w:rsidR="002D7266">
        <w:t xml:space="preserve"> from 2000 to 2009. </w:t>
      </w:r>
      <w:r w:rsidR="00F64178">
        <w:t xml:space="preserve"> </w:t>
      </w:r>
      <w:r w:rsidR="002D7266">
        <w:t xml:space="preserve">Two possible explanations for this downward trend could be advanced. </w:t>
      </w:r>
      <w:r w:rsidR="002D7266" w:rsidRPr="00143EA1">
        <w:t xml:space="preserve">First, maize </w:t>
      </w:r>
      <w:r w:rsidR="00BA7390" w:rsidRPr="00143EA1">
        <w:t xml:space="preserve">has </w:t>
      </w:r>
      <w:r w:rsidR="002D7266" w:rsidRPr="00143EA1">
        <w:t xml:space="preserve">become more expensive compared to </w:t>
      </w:r>
      <w:r w:rsidR="001E71D3" w:rsidRPr="00143EA1">
        <w:t>other important staple food in urban areas (</w:t>
      </w:r>
      <w:r w:rsidR="002D7266" w:rsidRPr="00143EA1">
        <w:t>rice and wheat</w:t>
      </w:r>
      <w:r w:rsidR="001E71D3" w:rsidRPr="00143EA1">
        <w:t>)</w:t>
      </w:r>
      <w:r w:rsidR="00AB1C7A" w:rsidRPr="00143EA1">
        <w:t>:</w:t>
      </w:r>
      <w:r w:rsidR="001E71D3" w:rsidRPr="00143EA1">
        <w:t xml:space="preserve"> maize-rice and maize-wheat price ratios are trending upward in Nampula market</w:t>
      </w:r>
      <w:r w:rsidR="00707D4D" w:rsidRPr="00143EA1">
        <w:t xml:space="preserve"> over the same period</w:t>
      </w:r>
      <w:r w:rsidR="001E71D3" w:rsidRPr="00143EA1">
        <w:t xml:space="preserve"> (see Figure 4). This</w:t>
      </w:r>
      <w:r w:rsidR="001E71D3">
        <w:t xml:space="preserve"> might suggest that households in urban areas </w:t>
      </w:r>
      <w:r w:rsidR="00857542">
        <w:t>were</w:t>
      </w:r>
      <w:r w:rsidR="001E71D3">
        <w:t xml:space="preserve"> switching consumption from maize to rice and wheat. This assertion is supported by</w:t>
      </w:r>
      <w:r w:rsidR="002D7266">
        <w:t xml:space="preserve"> </w:t>
      </w:r>
      <w:r w:rsidR="00547928">
        <w:t xml:space="preserve">data from </w:t>
      </w:r>
      <w:r w:rsidR="00736764">
        <w:t>IOF 2008/09</w:t>
      </w:r>
      <w:r w:rsidR="00547928">
        <w:t xml:space="preserve"> showing a slight increase in the average food expenditure shares in urban areas from 7.8</w:t>
      </w:r>
      <w:r w:rsidR="009414AA">
        <w:t xml:space="preserve"> percent</w:t>
      </w:r>
      <w:r w:rsidR="00547928">
        <w:t xml:space="preserve"> in 2002/03 to 8.2</w:t>
      </w:r>
      <w:r w:rsidR="009414AA">
        <w:t xml:space="preserve"> percent</w:t>
      </w:r>
      <w:r w:rsidR="00547928">
        <w:t xml:space="preserve"> in 2008/09 for rice and from 7.6</w:t>
      </w:r>
      <w:r w:rsidR="009414AA">
        <w:t xml:space="preserve"> percent</w:t>
      </w:r>
      <w:r w:rsidR="00547928">
        <w:t xml:space="preserve"> in 2002/03 to 9.3</w:t>
      </w:r>
      <w:r w:rsidR="009414AA">
        <w:t xml:space="preserve"> percent</w:t>
      </w:r>
      <w:r w:rsidR="00547928">
        <w:t xml:space="preserve"> in 2008/09 for wheat. Second, with increasing maize prices, rural households are substituting maize with cassava, especially in Northern Mozambique.</w:t>
      </w:r>
      <w:r w:rsidR="00907863">
        <w:t xml:space="preserve"> </w:t>
      </w:r>
      <w:r w:rsidR="00857542">
        <w:t xml:space="preserve">Conversely, from 2009 to 2011, </w:t>
      </w:r>
      <w:r w:rsidR="00143EA1">
        <w:t xml:space="preserve">maize consumption per capita increased; indeed </w:t>
      </w:r>
      <w:r w:rsidR="00907863">
        <w:t>maize prices relative t</w:t>
      </w:r>
      <w:r w:rsidR="00857542">
        <w:t>o rice and wheat moved downward</w:t>
      </w:r>
      <w:r w:rsidR="00143EA1">
        <w:t xml:space="preserve"> during that period </w:t>
      </w:r>
      <w:r w:rsidR="009E254B">
        <w:t>(</w:t>
      </w:r>
      <w:r w:rsidR="00857542">
        <w:t>grey</w:t>
      </w:r>
      <w:r w:rsidR="009E254B">
        <w:t xml:space="preserve"> area</w:t>
      </w:r>
      <w:r w:rsidR="00907863">
        <w:t xml:space="preserve"> in </w:t>
      </w:r>
      <w:r>
        <w:fldChar w:fldCharType="begin"/>
      </w:r>
      <w:r w:rsidR="00907863">
        <w:instrText xml:space="preserve"> REF _Ref397046680 \h </w:instrText>
      </w:r>
      <w:r>
        <w:fldChar w:fldCharType="separate"/>
      </w:r>
      <w:r w:rsidR="00D147FD">
        <w:t xml:space="preserve">Figure </w:t>
      </w:r>
      <w:r w:rsidR="00D147FD">
        <w:rPr>
          <w:noProof/>
        </w:rPr>
        <w:t>4</w:t>
      </w:r>
      <w:r>
        <w:fldChar w:fldCharType="end"/>
      </w:r>
      <w:r w:rsidR="00907863">
        <w:t>).</w:t>
      </w:r>
    </w:p>
    <w:p w:rsidR="00814B73" w:rsidRPr="00814B73" w:rsidRDefault="00C9786A" w:rsidP="00814B73">
      <w:pPr>
        <w:spacing w:after="0"/>
      </w:pPr>
      <w:r w:rsidRPr="000C190A">
        <w:t>Different price levels</w:t>
      </w:r>
      <w:r w:rsidR="00BA7390">
        <w:t xml:space="preserve"> and trends in the various regions</w:t>
      </w:r>
      <w:r w:rsidRPr="000C190A">
        <w:t xml:space="preserve"> </w:t>
      </w:r>
      <w:r w:rsidR="000C190A" w:rsidRPr="000C190A">
        <w:t xml:space="preserve">in the country </w:t>
      </w:r>
      <w:r w:rsidRPr="000C190A">
        <w:t xml:space="preserve">indicate limited market integration, high transport costs as well as </w:t>
      </w:r>
      <w:r w:rsidR="00216CD8">
        <w:t>different levels of</w:t>
      </w:r>
      <w:r w:rsidRPr="000C190A">
        <w:t xml:space="preserve"> production. Despite the comparatively higher prices observed in the </w:t>
      </w:r>
      <w:r w:rsidR="00383C44">
        <w:t>Southern region</w:t>
      </w:r>
      <w:r w:rsidRPr="000C190A">
        <w:t xml:space="preserve">, price fluctuations in </w:t>
      </w:r>
      <w:r w:rsidR="00383C44">
        <w:t>Northern Mozambique</w:t>
      </w:r>
      <w:r w:rsidRPr="000C190A">
        <w:t xml:space="preserve"> are more pronounced. The less volatile prices in </w:t>
      </w:r>
      <w:r w:rsidR="00383C44">
        <w:t>Southern Mozambique</w:t>
      </w:r>
      <w:r w:rsidRPr="000C190A">
        <w:t xml:space="preserve"> (</w:t>
      </w:r>
      <w:r w:rsidR="00383C44">
        <w:t xml:space="preserve">especially </w:t>
      </w:r>
      <w:r w:rsidRPr="000C190A">
        <w:t>Maputo) suggest that impor</w:t>
      </w:r>
      <w:r w:rsidR="00216CD8">
        <w:t xml:space="preserve">ts from South Africa ensure stability of market supplies and </w:t>
      </w:r>
      <w:r w:rsidRPr="000C190A">
        <w:t xml:space="preserve">reflect the lower variability of South African </w:t>
      </w:r>
      <w:r w:rsidR="00216CD8">
        <w:t xml:space="preserve">maize </w:t>
      </w:r>
      <w:r w:rsidRPr="000C190A">
        <w:t>prices (FAO</w:t>
      </w:r>
      <w:r w:rsidR="00D0211A">
        <w:t xml:space="preserve"> and</w:t>
      </w:r>
      <w:r w:rsidRPr="000C190A">
        <w:t xml:space="preserve"> WFP, 2010).</w:t>
      </w:r>
    </w:p>
    <w:p w:rsidR="00814B73" w:rsidRDefault="00814B73" w:rsidP="0030384F"/>
    <w:p w:rsidR="004F46C4" w:rsidRDefault="004F46C4" w:rsidP="004F46C4">
      <w:pPr>
        <w:pStyle w:val="Caption"/>
        <w:keepNext/>
        <w:jc w:val="both"/>
        <w:rPr>
          <w:noProof/>
        </w:rPr>
      </w:pPr>
      <w:bookmarkStart w:id="21" w:name="_Ref397046680"/>
      <w:r>
        <w:lastRenderedPageBreak/>
        <w:t xml:space="preserve">Figure </w:t>
      </w:r>
      <w:r w:rsidR="00323EC3">
        <w:fldChar w:fldCharType="begin"/>
      </w:r>
      <w:r w:rsidR="007E22D8">
        <w:instrText xml:space="preserve"> SEQ Figure \* ARABIC </w:instrText>
      </w:r>
      <w:r w:rsidR="00323EC3">
        <w:fldChar w:fldCharType="separate"/>
      </w:r>
      <w:r w:rsidR="00D147FD">
        <w:rPr>
          <w:noProof/>
        </w:rPr>
        <w:t>4</w:t>
      </w:r>
      <w:r w:rsidR="00323EC3">
        <w:rPr>
          <w:noProof/>
        </w:rPr>
        <w:fldChar w:fldCharType="end"/>
      </w:r>
      <w:bookmarkEnd w:id="21"/>
      <w:r>
        <w:rPr>
          <w:noProof/>
        </w:rPr>
        <w:t xml:space="preserve"> </w:t>
      </w:r>
      <w:r w:rsidRPr="00F56227">
        <w:rPr>
          <w:noProof/>
        </w:rPr>
        <w:t>Maize per capita consumption in Mozambique and retail price ratios in Nampula</w:t>
      </w:r>
    </w:p>
    <w:p w:rsidR="00AB2C19" w:rsidRDefault="00AB2C19" w:rsidP="00AB2C19">
      <w:r>
        <w:rPr>
          <w:noProof/>
        </w:rPr>
        <w:drawing>
          <wp:inline distT="0" distB="0" distL="0" distR="0" wp14:anchorId="2C8636BF" wp14:editId="33EEFCDA">
            <wp:extent cx="4078224" cy="29809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8224" cy="2980944"/>
                    </a:xfrm>
                    <a:prstGeom prst="rect">
                      <a:avLst/>
                    </a:prstGeom>
                    <a:noFill/>
                    <a:ln>
                      <a:noFill/>
                    </a:ln>
                  </pic:spPr>
                </pic:pic>
              </a:graphicData>
            </a:graphic>
          </wp:inline>
        </w:drawing>
      </w:r>
    </w:p>
    <w:p w:rsidR="00EA1CEC" w:rsidRDefault="000032B9" w:rsidP="0030384F">
      <w:r>
        <w:t>Using data from IOF 2008/09, we computed maize consumption, defined as own production plus purchases from the market, by province.</w:t>
      </w:r>
      <w:r w:rsidR="00736764">
        <w:t xml:space="preserve"> Our estimate of maize consumption is obtained by adding </w:t>
      </w:r>
      <w:r w:rsidR="00E73C6E">
        <w:t>maize grain and maize meal measured in maize grain equivalent</w:t>
      </w:r>
      <w:r w:rsidR="00736764">
        <w:t>. We converted maize meal into maize grain equivalent</w:t>
      </w:r>
      <w:r w:rsidR="00E73C6E">
        <w:t xml:space="preserve"> considering an extraction rate </w:t>
      </w:r>
      <w:r w:rsidR="00736764">
        <w:t>of 0.76</w:t>
      </w:r>
      <w:r w:rsidR="00E73C6E">
        <w:t xml:space="preserve"> for maize grain milling</w:t>
      </w:r>
      <w:r w:rsidR="00736764">
        <w:t>.</w:t>
      </w:r>
      <w:r>
        <w:t xml:space="preserve"> </w:t>
      </w:r>
      <w:r w:rsidR="00323EC3">
        <w:fldChar w:fldCharType="begin"/>
      </w:r>
      <w:r w:rsidR="009E254B">
        <w:instrText xml:space="preserve"> REF _Ref397047634 \h </w:instrText>
      </w:r>
      <w:r w:rsidR="00323EC3">
        <w:fldChar w:fldCharType="separate"/>
      </w:r>
      <w:r w:rsidR="00D147FD">
        <w:t xml:space="preserve">Figure </w:t>
      </w:r>
      <w:r w:rsidR="00D147FD">
        <w:rPr>
          <w:noProof/>
        </w:rPr>
        <w:t>5</w:t>
      </w:r>
      <w:r w:rsidR="00323EC3">
        <w:fldChar w:fldCharType="end"/>
      </w:r>
      <w:r>
        <w:t xml:space="preserve"> summarizes our findings. This figure shows that the m</w:t>
      </w:r>
      <w:r w:rsidR="00EA1CEC">
        <w:t>ost important</w:t>
      </w:r>
      <w:r>
        <w:t xml:space="preserve"> provinces in </w:t>
      </w:r>
      <w:r w:rsidR="003E1E76">
        <w:t>terms of maize consumption are</w:t>
      </w:r>
      <w:r w:rsidR="00EA1CEC">
        <w:t xml:space="preserve"> Zambezia (310 thousand </w:t>
      </w:r>
      <w:r w:rsidR="007D2471">
        <w:t>tonnes</w:t>
      </w:r>
      <w:r w:rsidR="00EA1CEC">
        <w:t xml:space="preserve">), Tete (283 thousand </w:t>
      </w:r>
      <w:r w:rsidR="007D2471">
        <w:t>tonnes</w:t>
      </w:r>
      <w:r w:rsidR="00EA1CEC">
        <w:t xml:space="preserve">), </w:t>
      </w:r>
      <w:r w:rsidR="003E1E76">
        <w:t xml:space="preserve">and </w:t>
      </w:r>
      <w:r w:rsidR="00EA1CEC">
        <w:t xml:space="preserve">Manica (209 thousand </w:t>
      </w:r>
      <w:r w:rsidR="007D2471">
        <w:t>tonnes</w:t>
      </w:r>
      <w:r w:rsidR="00EA1CEC">
        <w:t>), while th</w:t>
      </w:r>
      <w:r w:rsidR="003E1E76">
        <w:t xml:space="preserve">e less important provinces are </w:t>
      </w:r>
      <w:r w:rsidR="00EA1CEC">
        <w:t xml:space="preserve">Maputo (63 thousand </w:t>
      </w:r>
      <w:r w:rsidR="007D2471">
        <w:t>tonnes</w:t>
      </w:r>
      <w:r w:rsidR="00EA1CEC">
        <w:t xml:space="preserve">), Gaza (57 thousand </w:t>
      </w:r>
      <w:r w:rsidR="008851CC">
        <w:t>tonnes</w:t>
      </w:r>
      <w:r w:rsidR="00EA1CEC">
        <w:t xml:space="preserve">) and Inhambane (36 thousand </w:t>
      </w:r>
      <w:r w:rsidR="008851CC">
        <w:t>tonnes</w:t>
      </w:r>
      <w:r w:rsidR="00EA1CEC">
        <w:t xml:space="preserve">). </w:t>
      </w:r>
      <w:r w:rsidR="00BB1C69">
        <w:t xml:space="preserve">This ranking is similar to that obtained when provinces are ranked based on maize production, as mentioned earlier and shown in </w:t>
      </w:r>
      <w:r w:rsidR="00323EC3">
        <w:fldChar w:fldCharType="begin"/>
      </w:r>
      <w:r w:rsidR="009E254B">
        <w:instrText xml:space="preserve"> REF _Ref397047248 \h </w:instrText>
      </w:r>
      <w:r w:rsidR="00323EC3">
        <w:fldChar w:fldCharType="separate"/>
      </w:r>
      <w:r w:rsidR="00D147FD">
        <w:t xml:space="preserve">Figure </w:t>
      </w:r>
      <w:r w:rsidR="00D147FD">
        <w:rPr>
          <w:noProof/>
        </w:rPr>
        <w:t>2</w:t>
      </w:r>
      <w:r w:rsidR="00323EC3">
        <w:fldChar w:fldCharType="end"/>
      </w:r>
      <w:r w:rsidR="00BB1C69">
        <w:t xml:space="preserve"> above. </w:t>
      </w:r>
    </w:p>
    <w:p w:rsidR="004F46C4" w:rsidRDefault="004F46C4" w:rsidP="004F46C4">
      <w:pPr>
        <w:pStyle w:val="Caption"/>
        <w:keepNext/>
        <w:jc w:val="both"/>
      </w:pPr>
      <w:bookmarkStart w:id="22" w:name="_Ref397047634"/>
      <w:r>
        <w:t xml:space="preserve">Figure </w:t>
      </w:r>
      <w:r w:rsidR="00323EC3">
        <w:fldChar w:fldCharType="begin"/>
      </w:r>
      <w:r w:rsidR="007E22D8">
        <w:instrText xml:space="preserve"> SEQ Figure \* ARABIC </w:instrText>
      </w:r>
      <w:r w:rsidR="00323EC3">
        <w:fldChar w:fldCharType="separate"/>
      </w:r>
      <w:r w:rsidR="00D147FD">
        <w:rPr>
          <w:noProof/>
        </w:rPr>
        <w:t>5</w:t>
      </w:r>
      <w:r w:rsidR="00323EC3">
        <w:rPr>
          <w:noProof/>
        </w:rPr>
        <w:fldChar w:fldCharType="end"/>
      </w:r>
      <w:bookmarkEnd w:id="22"/>
      <w:r>
        <w:rPr>
          <w:noProof/>
        </w:rPr>
        <w:t xml:space="preserve"> </w:t>
      </w:r>
      <w:r w:rsidRPr="00577FCB">
        <w:rPr>
          <w:noProof/>
        </w:rPr>
        <w:t>Maize consumption by province in Mozambique: Agricultural season 2008/09</w:t>
      </w:r>
    </w:p>
    <w:p w:rsidR="00B84FBB" w:rsidRDefault="00B84FBB" w:rsidP="0030384F">
      <w:r>
        <w:rPr>
          <w:noProof/>
        </w:rPr>
        <w:drawing>
          <wp:inline distT="0" distB="0" distL="0" distR="0" wp14:anchorId="72670B43" wp14:editId="762801E6">
            <wp:extent cx="4096512" cy="29992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6512" cy="2999232"/>
                    </a:xfrm>
                    <a:prstGeom prst="rect">
                      <a:avLst/>
                    </a:prstGeom>
                    <a:noFill/>
                    <a:ln>
                      <a:noFill/>
                    </a:ln>
                  </pic:spPr>
                </pic:pic>
              </a:graphicData>
            </a:graphic>
          </wp:inline>
        </w:drawing>
      </w:r>
    </w:p>
    <w:p w:rsidR="00D34654" w:rsidRDefault="00D34654" w:rsidP="00D34654">
      <w:pPr>
        <w:pStyle w:val="Heading2"/>
      </w:pPr>
      <w:bookmarkStart w:id="23" w:name="_Toc336419330"/>
      <w:bookmarkStart w:id="24" w:name="_Toc401642222"/>
      <w:r>
        <w:lastRenderedPageBreak/>
        <w:t>MARKETING AND TRADE</w:t>
      </w:r>
      <w:bookmarkEnd w:id="23"/>
      <w:bookmarkEnd w:id="24"/>
    </w:p>
    <w:p w:rsidR="00E56C85" w:rsidRDefault="00D0211A" w:rsidP="00904DFA">
      <w:r>
        <w:t xml:space="preserve">According to FAO and WFP (2010), </w:t>
      </w:r>
      <w:r w:rsidR="000138B1">
        <w:t>long distances combines with high tra</w:t>
      </w:r>
      <w:r w:rsidR="00A10627">
        <w:t>nsport costs</w:t>
      </w:r>
      <w:r w:rsidR="000138B1">
        <w:t xml:space="preserve"> limit the movement of </w:t>
      </w:r>
      <w:r>
        <w:t>domestic</w:t>
      </w:r>
      <w:r w:rsidR="00E56C85">
        <w:t xml:space="preserve"> maize from the </w:t>
      </w:r>
      <w:r>
        <w:t>Northern</w:t>
      </w:r>
      <w:r w:rsidR="00E56C85">
        <w:t xml:space="preserve"> surplus provinces to </w:t>
      </w:r>
      <w:r>
        <w:t>the Southern deficit</w:t>
      </w:r>
      <w:r w:rsidR="00E56C85">
        <w:t xml:space="preserve"> areas</w:t>
      </w:r>
      <w:r w:rsidR="000138B1">
        <w:t>.</w:t>
      </w:r>
      <w:r w:rsidR="000138B1">
        <w:rPr>
          <w:rStyle w:val="FootnoteReference"/>
        </w:rPr>
        <w:footnoteReference w:id="4"/>
      </w:r>
      <w:r w:rsidR="000138B1">
        <w:t xml:space="preserve"> </w:t>
      </w:r>
      <w:r w:rsidR="00A10627">
        <w:t>Furthermore</w:t>
      </w:r>
      <w:r w:rsidR="000138B1">
        <w:t>, c</w:t>
      </w:r>
      <w:r w:rsidR="00A10627">
        <w:t>omparatively less stringent</w:t>
      </w:r>
      <w:r w:rsidR="000138B1">
        <w:t xml:space="preserve"> </w:t>
      </w:r>
      <w:r w:rsidR="00A10627">
        <w:t>trade</w:t>
      </w:r>
      <w:r w:rsidR="000138B1">
        <w:t xml:space="preserve"> barriers</w:t>
      </w:r>
      <w:r w:rsidR="00E56C85">
        <w:t xml:space="preserve"> </w:t>
      </w:r>
      <w:r w:rsidR="000138B1">
        <w:t>facilitates</w:t>
      </w:r>
      <w:r w:rsidR="00E56C85">
        <w:t xml:space="preserve"> the </w:t>
      </w:r>
      <w:r>
        <w:t xml:space="preserve">flow of the maize </w:t>
      </w:r>
      <w:r w:rsidR="00E56C85">
        <w:t>from</w:t>
      </w:r>
      <w:r w:rsidR="000138B1">
        <w:t xml:space="preserve"> </w:t>
      </w:r>
      <w:r w:rsidR="00E56C85">
        <w:t xml:space="preserve">South Africa to </w:t>
      </w:r>
      <w:r>
        <w:t xml:space="preserve">Southern </w:t>
      </w:r>
      <w:r w:rsidR="000138B1">
        <w:t>Mozambique</w:t>
      </w:r>
      <w:r w:rsidR="00E56C85">
        <w:t>.</w:t>
      </w:r>
    </w:p>
    <w:p w:rsidR="00A1517D" w:rsidRDefault="00323EC3" w:rsidP="00904DFA">
      <w:r>
        <w:fldChar w:fldCharType="begin"/>
      </w:r>
      <w:r w:rsidR="00D0211A">
        <w:instrText xml:space="preserve"> REF _Ref397049391 \h </w:instrText>
      </w:r>
      <w:r>
        <w:fldChar w:fldCharType="separate"/>
      </w:r>
      <w:r w:rsidR="00D147FD">
        <w:t xml:space="preserve">Figure </w:t>
      </w:r>
      <w:r w:rsidR="00D147FD">
        <w:rPr>
          <w:noProof/>
        </w:rPr>
        <w:t>6</w:t>
      </w:r>
      <w:r>
        <w:fldChar w:fldCharType="end"/>
      </w:r>
      <w:r w:rsidR="00A150DF">
        <w:t xml:space="preserve"> plots maize net </w:t>
      </w:r>
      <w:r w:rsidR="00D5233A">
        <w:t>imports – measured as</w:t>
      </w:r>
      <w:r w:rsidR="00A150DF">
        <w:t xml:space="preserve"> the difference between </w:t>
      </w:r>
      <w:r w:rsidR="00D5233A">
        <w:t>im</w:t>
      </w:r>
      <w:r w:rsidR="00A150DF">
        <w:t xml:space="preserve">ports and </w:t>
      </w:r>
      <w:r w:rsidR="00D5233A">
        <w:t>exports –</w:t>
      </w:r>
      <w:r w:rsidR="00A150DF">
        <w:t xml:space="preserve"> using data from FAOSTAT. </w:t>
      </w:r>
      <w:r w:rsidR="007C35F3">
        <w:t xml:space="preserve">Although </w:t>
      </w:r>
      <w:r w:rsidR="006F5996">
        <w:t xml:space="preserve">maize is both exported from and imported into </w:t>
      </w:r>
      <w:r w:rsidR="007C35F3">
        <w:t xml:space="preserve">Mozambique in almost every single year, </w:t>
      </w:r>
      <w:r>
        <w:fldChar w:fldCharType="begin"/>
      </w:r>
      <w:r w:rsidR="00D0211A">
        <w:instrText xml:space="preserve"> REF _Ref397049391 \h </w:instrText>
      </w:r>
      <w:r>
        <w:fldChar w:fldCharType="separate"/>
      </w:r>
      <w:r w:rsidR="00D147FD">
        <w:t xml:space="preserve">Figure </w:t>
      </w:r>
      <w:r w:rsidR="00D147FD">
        <w:rPr>
          <w:noProof/>
        </w:rPr>
        <w:t>6</w:t>
      </w:r>
      <w:r>
        <w:fldChar w:fldCharType="end"/>
      </w:r>
      <w:r w:rsidR="00A150DF">
        <w:t xml:space="preserve"> shows that Mozambique is net importer of maize </w:t>
      </w:r>
      <w:r w:rsidR="00D5233A">
        <w:t>throughout</w:t>
      </w:r>
      <w:r w:rsidR="00A150DF">
        <w:t xml:space="preserve"> the</w:t>
      </w:r>
      <w:r w:rsidR="007C35F3">
        <w:t xml:space="preserve"> period </w:t>
      </w:r>
      <w:r w:rsidR="00D0211A">
        <w:t xml:space="preserve">spanning </w:t>
      </w:r>
      <w:r w:rsidR="00A150DF">
        <w:t>2000</w:t>
      </w:r>
      <w:r w:rsidR="007C35F3">
        <w:t xml:space="preserve"> </w:t>
      </w:r>
      <w:r w:rsidR="00D0211A">
        <w:t xml:space="preserve">through </w:t>
      </w:r>
      <w:r w:rsidR="00A150DF">
        <w:t>201</w:t>
      </w:r>
      <w:r w:rsidR="007C35F3">
        <w:t>2</w:t>
      </w:r>
      <w:r w:rsidR="00D5233A">
        <w:t xml:space="preserve">. </w:t>
      </w:r>
      <w:r w:rsidR="007D235E">
        <w:t>From</w:t>
      </w:r>
      <w:r w:rsidR="00D5233A">
        <w:t xml:space="preserve"> 2000 </w:t>
      </w:r>
      <w:r w:rsidR="007D235E">
        <w:t>to</w:t>
      </w:r>
      <w:r w:rsidR="00D5233A">
        <w:t xml:space="preserve"> 2002, net maize import more than doubled, increasing from 125 thousand </w:t>
      </w:r>
      <w:r w:rsidR="008851CC">
        <w:t>tonnes</w:t>
      </w:r>
      <w:r w:rsidR="00D5233A">
        <w:t xml:space="preserve"> to 368 thousand </w:t>
      </w:r>
      <w:r w:rsidR="008851CC">
        <w:t>tonnes</w:t>
      </w:r>
      <w:r w:rsidR="00D5233A">
        <w:t>. It then experience</w:t>
      </w:r>
      <w:r w:rsidR="00F0520B">
        <w:t>d</w:t>
      </w:r>
      <w:r w:rsidR="00D5233A">
        <w:t xml:space="preserve"> a downward trend, falling to 9 thousand </w:t>
      </w:r>
      <w:r w:rsidR="008851CC">
        <w:t>tonnes</w:t>
      </w:r>
      <w:r w:rsidR="00D5233A">
        <w:t xml:space="preserve"> in 2007</w:t>
      </w:r>
      <w:r w:rsidR="00F0520B">
        <w:t xml:space="preserve">. Since </w:t>
      </w:r>
      <w:r w:rsidR="002B4947">
        <w:t>then</w:t>
      </w:r>
      <w:r w:rsidR="00F0520B">
        <w:t>, maize net import moved upward</w:t>
      </w:r>
      <w:r w:rsidR="00591EC0">
        <w:t>,</w:t>
      </w:r>
      <w:r w:rsidR="00F0520B">
        <w:t xml:space="preserve"> increas</w:t>
      </w:r>
      <w:r w:rsidR="00591EC0">
        <w:t>ing</w:t>
      </w:r>
      <w:r w:rsidR="00F0520B">
        <w:t xml:space="preserve"> to 60 thousand </w:t>
      </w:r>
      <w:r w:rsidR="008851CC">
        <w:t>tonnes</w:t>
      </w:r>
      <w:r w:rsidR="00F0520B">
        <w:t xml:space="preserve"> in 2009 and to 130 thousand </w:t>
      </w:r>
      <w:r w:rsidR="008851CC">
        <w:t>tonnes</w:t>
      </w:r>
      <w:r w:rsidR="00591EC0">
        <w:t xml:space="preserve"> in 2011. The proportion of maize import in the total maize production followed a similar pattern.</w:t>
      </w:r>
    </w:p>
    <w:p w:rsidR="004F46C4" w:rsidRDefault="004F46C4" w:rsidP="004F46C4">
      <w:pPr>
        <w:pStyle w:val="Caption"/>
        <w:keepNext/>
        <w:jc w:val="both"/>
      </w:pPr>
      <w:bookmarkStart w:id="25" w:name="_Ref397049391"/>
      <w:r>
        <w:t xml:space="preserve">Figure </w:t>
      </w:r>
      <w:r w:rsidR="00323EC3">
        <w:fldChar w:fldCharType="begin"/>
      </w:r>
      <w:r w:rsidR="007E22D8">
        <w:instrText xml:space="preserve"> SEQ Figure \* ARABIC </w:instrText>
      </w:r>
      <w:r w:rsidR="00323EC3">
        <w:fldChar w:fldCharType="separate"/>
      </w:r>
      <w:r w:rsidR="00D147FD">
        <w:rPr>
          <w:noProof/>
        </w:rPr>
        <w:t>6</w:t>
      </w:r>
      <w:r w:rsidR="00323EC3">
        <w:rPr>
          <w:noProof/>
        </w:rPr>
        <w:fldChar w:fldCharType="end"/>
      </w:r>
      <w:bookmarkEnd w:id="25"/>
      <w:r w:rsidR="003E6269">
        <w:rPr>
          <w:noProof/>
        </w:rPr>
        <w:t>.</w:t>
      </w:r>
      <w:r>
        <w:rPr>
          <w:noProof/>
        </w:rPr>
        <w:t xml:space="preserve"> </w:t>
      </w:r>
      <w:r w:rsidRPr="009B6F0D">
        <w:rPr>
          <w:noProof/>
        </w:rPr>
        <w:t>Maize net imports and share of imports in production in Mozambique</w:t>
      </w:r>
    </w:p>
    <w:p w:rsidR="00A150DF" w:rsidRDefault="00D5233A" w:rsidP="00904DFA">
      <w:r>
        <w:rPr>
          <w:noProof/>
        </w:rPr>
        <w:drawing>
          <wp:inline distT="0" distB="0" distL="0" distR="0" wp14:anchorId="77DDB86E" wp14:editId="0FF9591D">
            <wp:extent cx="4096512" cy="29992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6512" cy="2999232"/>
                    </a:xfrm>
                    <a:prstGeom prst="rect">
                      <a:avLst/>
                    </a:prstGeom>
                    <a:noFill/>
                    <a:ln>
                      <a:noFill/>
                    </a:ln>
                  </pic:spPr>
                </pic:pic>
              </a:graphicData>
            </a:graphic>
          </wp:inline>
        </w:drawing>
      </w:r>
    </w:p>
    <w:p w:rsidR="00A1517D" w:rsidRDefault="001254BF" w:rsidP="00904DFA">
      <w:r>
        <w:t>A</w:t>
      </w:r>
      <w:r w:rsidR="00122618">
        <w:t>nnual data, spanning 2000 through 201</w:t>
      </w:r>
      <w:r>
        <w:t>2</w:t>
      </w:r>
      <w:r w:rsidR="00122618">
        <w:t>, on maize exports broken down by destination country and maize imports broken down by country of origin were obtained from U</w:t>
      </w:r>
      <w:r>
        <w:t>NCOMT</w:t>
      </w:r>
      <w:r w:rsidR="00122618">
        <w:t>R</w:t>
      </w:r>
      <w:r>
        <w:t>A</w:t>
      </w:r>
      <w:r w:rsidR="00122618">
        <w:t xml:space="preserve">DE. </w:t>
      </w:r>
      <w:r w:rsidR="00C9786A" w:rsidRPr="00D00EA0">
        <w:t xml:space="preserve">For each country, we took annual </w:t>
      </w:r>
      <w:r w:rsidR="00D00EA0">
        <w:t xml:space="preserve">figures for </w:t>
      </w:r>
      <w:r w:rsidR="00C9786A" w:rsidRPr="00D00EA0">
        <w:t xml:space="preserve">maize export </w:t>
      </w:r>
      <w:r w:rsidR="00D00EA0">
        <w:t>from Mozambique</w:t>
      </w:r>
      <w:r w:rsidR="00D00EA0" w:rsidRPr="00D00EA0">
        <w:t xml:space="preserve"> </w:t>
      </w:r>
      <w:r w:rsidR="00C9786A" w:rsidRPr="00D00EA0">
        <w:t xml:space="preserve">and added them to obtain the total export quantity over the period 2000 to 2012. Then we computed the share of each country in the total Mozambique maize exports by dividing each country’s total export </w:t>
      </w:r>
      <w:r w:rsidR="00925149">
        <w:t>volumes to Mozambique</w:t>
      </w:r>
      <w:r w:rsidR="00925149" w:rsidRPr="00D00EA0">
        <w:t xml:space="preserve"> </w:t>
      </w:r>
      <w:r w:rsidR="00C9786A" w:rsidRPr="00D00EA0">
        <w:t>by the grand total exports across countries.</w:t>
      </w:r>
      <w:r w:rsidR="000F4AFA">
        <w:t xml:space="preserve"> Similar procedure was used for maize imports</w:t>
      </w:r>
      <w:r w:rsidR="00925149">
        <w:t xml:space="preserve"> from Mozambique</w:t>
      </w:r>
      <w:r w:rsidR="000F4AFA">
        <w:t xml:space="preserve">. Findings are summarized in </w:t>
      </w:r>
      <w:r w:rsidR="00D147FD">
        <w:fldChar w:fldCharType="begin"/>
      </w:r>
      <w:r w:rsidR="00D147FD">
        <w:instrText xml:space="preserve"> REF _Ref401642333 \h </w:instrText>
      </w:r>
      <w:r w:rsidR="00D147FD">
        <w:fldChar w:fldCharType="separate"/>
      </w:r>
      <w:r w:rsidR="00D147FD">
        <w:t xml:space="preserve">Figure </w:t>
      </w:r>
      <w:r w:rsidR="00D147FD">
        <w:rPr>
          <w:noProof/>
        </w:rPr>
        <w:t>7</w:t>
      </w:r>
      <w:r w:rsidR="00D147FD">
        <w:fldChar w:fldCharType="end"/>
      </w:r>
      <w:r w:rsidR="000F4AFA">
        <w:t xml:space="preserve">. </w:t>
      </w:r>
      <w:r w:rsidR="00B97EBC">
        <w:t>O</w:t>
      </w:r>
      <w:r w:rsidR="00A84091">
        <w:t>ver the p</w:t>
      </w:r>
      <w:r w:rsidR="00A10627">
        <w:t>eriod 2000-</w:t>
      </w:r>
      <w:r w:rsidR="00A84091">
        <w:t xml:space="preserve">2012, </w:t>
      </w:r>
      <w:r w:rsidR="00802367">
        <w:t xml:space="preserve">maize </w:t>
      </w:r>
      <w:r w:rsidR="00D30F5C">
        <w:t xml:space="preserve">originated from Mozambique </w:t>
      </w:r>
      <w:r w:rsidR="00802367">
        <w:t>w</w:t>
      </w:r>
      <w:r w:rsidR="00D30F5C">
        <w:t>as</w:t>
      </w:r>
      <w:r w:rsidR="00802367">
        <w:t xml:space="preserve"> </w:t>
      </w:r>
      <w:r w:rsidR="00923E12">
        <w:t>pre</w:t>
      </w:r>
      <w:r w:rsidR="00802367">
        <w:t xml:space="preserve">dominantly exported to </w:t>
      </w:r>
      <w:r w:rsidR="00A84091">
        <w:t xml:space="preserve">few countries in </w:t>
      </w:r>
      <w:r w:rsidR="00D30F5C">
        <w:t>Southern and Eastern Africa. Malawi</w:t>
      </w:r>
      <w:r w:rsidR="00B97EBC">
        <w:t xml:space="preserve"> accounts</w:t>
      </w:r>
      <w:r w:rsidR="00D30F5C">
        <w:t xml:space="preserve"> for 51</w:t>
      </w:r>
      <w:r w:rsidR="009414AA">
        <w:t xml:space="preserve"> percent</w:t>
      </w:r>
      <w:r w:rsidR="00D30F5C">
        <w:t xml:space="preserve"> of the total Mozambique maize </w:t>
      </w:r>
      <w:r w:rsidR="000F4AFA">
        <w:t>exports</w:t>
      </w:r>
      <w:r w:rsidR="00923E12">
        <w:t xml:space="preserve">, </w:t>
      </w:r>
      <w:r w:rsidR="00D30F5C">
        <w:t>followed by Zimbabwe (21</w:t>
      </w:r>
      <w:r w:rsidR="009414AA">
        <w:t xml:space="preserve"> percent</w:t>
      </w:r>
      <w:r w:rsidR="00D30F5C">
        <w:t>) and Kenya (11</w:t>
      </w:r>
      <w:r w:rsidR="009414AA">
        <w:t xml:space="preserve"> percent</w:t>
      </w:r>
      <w:r w:rsidR="00D30F5C">
        <w:t xml:space="preserve">). </w:t>
      </w:r>
      <w:r w:rsidR="00923E12">
        <w:t xml:space="preserve">The </w:t>
      </w:r>
      <w:r w:rsidR="000F4AFA">
        <w:t xml:space="preserve">individual </w:t>
      </w:r>
      <w:r w:rsidR="00923E12">
        <w:t>contribution</w:t>
      </w:r>
      <w:r w:rsidR="000F4AFA">
        <w:t>s</w:t>
      </w:r>
      <w:r w:rsidR="00923E12">
        <w:t xml:space="preserve"> of other countries to </w:t>
      </w:r>
      <w:r w:rsidR="000F4AFA">
        <w:t xml:space="preserve">the </w:t>
      </w:r>
      <w:r w:rsidR="00923E12">
        <w:t xml:space="preserve">total maize </w:t>
      </w:r>
      <w:r w:rsidR="00923E12">
        <w:lastRenderedPageBreak/>
        <w:t>exports from Mozambique w</w:t>
      </w:r>
      <w:r w:rsidR="000F4AFA">
        <w:t>ere</w:t>
      </w:r>
      <w:r w:rsidR="00923E12">
        <w:t xml:space="preserve"> 5</w:t>
      </w:r>
      <w:r w:rsidR="009414AA">
        <w:t xml:space="preserve"> percent</w:t>
      </w:r>
      <w:r w:rsidR="00923E12">
        <w:t xml:space="preserve"> or lower.</w:t>
      </w:r>
      <w:r w:rsidR="007C35F3">
        <w:t xml:space="preserve"> Interviews with players along the maize value chain combined with our knowledge of </w:t>
      </w:r>
      <w:r w:rsidR="00A10627">
        <w:t xml:space="preserve">the </w:t>
      </w:r>
      <w:r w:rsidR="007C35F3">
        <w:t xml:space="preserve">maize marketing functioning in Mozambique indicate that Southern Malawi, a </w:t>
      </w:r>
      <w:r w:rsidR="004503F2">
        <w:t xml:space="preserve">major </w:t>
      </w:r>
      <w:r w:rsidR="007C35F3">
        <w:t>maize deficit region, import</w:t>
      </w:r>
      <w:r w:rsidR="007B2394">
        <w:t>s</w:t>
      </w:r>
      <w:r w:rsidR="007C35F3">
        <w:t xml:space="preserve"> maize from Nampula and Zambezia provinces in Northern Mozambique and Tete province in Central Mozambique</w:t>
      </w:r>
      <w:r w:rsidR="00A84091">
        <w:t>.</w:t>
      </w:r>
      <w:r w:rsidR="005C62F6">
        <w:t xml:space="preserve"> Considerable quantities of Mozambique maize </w:t>
      </w:r>
      <w:r w:rsidR="00B57A17">
        <w:t xml:space="preserve">that </w:t>
      </w:r>
      <w:r w:rsidR="005C62F6">
        <w:t>cross</w:t>
      </w:r>
      <w:r w:rsidR="00B57A17">
        <w:t>es</w:t>
      </w:r>
      <w:r w:rsidR="005C62F6">
        <w:t xml:space="preserve"> the border into Malawi are traded through informal market</w:t>
      </w:r>
      <w:r w:rsidR="007B2394">
        <w:t>ing channels</w:t>
      </w:r>
      <w:r w:rsidR="005C62F6">
        <w:t xml:space="preserve">. </w:t>
      </w:r>
      <w:r w:rsidR="007B2394">
        <w:t>From 2005 to 2011, d</w:t>
      </w:r>
      <w:r w:rsidR="000C2480">
        <w:t xml:space="preserve">ata from </w:t>
      </w:r>
      <w:r w:rsidR="005C62F6">
        <w:t xml:space="preserve">FEWSNET </w:t>
      </w:r>
      <w:r w:rsidR="000C2480">
        <w:t>indicate that annual flow of maize from Mozambique to Malawi through informal channels averaged about 52</w:t>
      </w:r>
      <w:r w:rsidR="007B2394">
        <w:t>.5</w:t>
      </w:r>
      <w:r w:rsidR="000C2480">
        <w:t xml:space="preserve"> thousand </w:t>
      </w:r>
      <w:r w:rsidR="008851CC">
        <w:t>tonnes</w:t>
      </w:r>
      <w:r w:rsidR="000C2480">
        <w:t xml:space="preserve">, compared to 30.6 thousand </w:t>
      </w:r>
      <w:r w:rsidR="008851CC">
        <w:t>tonnes</w:t>
      </w:r>
      <w:r w:rsidR="000C2480">
        <w:t xml:space="preserve"> of </w:t>
      </w:r>
      <w:r w:rsidR="007B2394">
        <w:t xml:space="preserve">the total </w:t>
      </w:r>
      <w:r w:rsidR="000C2480">
        <w:t>Mozambique maize exports through formal channels based on data from FAOSTAT.</w:t>
      </w:r>
    </w:p>
    <w:p w:rsidR="004F46C4" w:rsidRDefault="004F46C4" w:rsidP="004F46C4">
      <w:pPr>
        <w:pStyle w:val="Caption"/>
        <w:keepNext/>
        <w:jc w:val="both"/>
      </w:pPr>
      <w:bookmarkStart w:id="26" w:name="_Ref401642333"/>
      <w:r>
        <w:t xml:space="preserve">Figure </w:t>
      </w:r>
      <w:bookmarkEnd w:id="26"/>
      <w:r w:rsidR="003E6269">
        <w:t>.</w:t>
      </w:r>
      <w:r>
        <w:rPr>
          <w:noProof/>
        </w:rPr>
        <w:t xml:space="preserve"> </w:t>
      </w:r>
      <w:r w:rsidRPr="002F5FA3">
        <w:rPr>
          <w:noProof/>
        </w:rPr>
        <w:t>Maize export by destination country and maize import by country of origin in Mozambique: 2000-2012</w:t>
      </w:r>
    </w:p>
    <w:p w:rsidR="00CB646E" w:rsidRDefault="00802367" w:rsidP="00904DFA">
      <w:r>
        <w:rPr>
          <w:noProof/>
        </w:rPr>
        <w:drawing>
          <wp:inline distT="0" distB="0" distL="0" distR="0" wp14:anchorId="044D46BD" wp14:editId="239F738A">
            <wp:extent cx="4514850" cy="330551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5690" cy="3306130"/>
                    </a:xfrm>
                    <a:prstGeom prst="rect">
                      <a:avLst/>
                    </a:prstGeom>
                    <a:noFill/>
                    <a:ln>
                      <a:noFill/>
                    </a:ln>
                  </pic:spPr>
                </pic:pic>
              </a:graphicData>
            </a:graphic>
          </wp:inline>
        </w:drawing>
      </w:r>
    </w:p>
    <w:p w:rsidR="00732494" w:rsidRDefault="004503F2" w:rsidP="004503F2">
      <w:r>
        <w:t>When we rank</w:t>
      </w:r>
      <w:r w:rsidR="00BA7390">
        <w:t xml:space="preserve"> maize supplying </w:t>
      </w:r>
      <w:r>
        <w:t xml:space="preserve">countries based on their shares </w:t>
      </w:r>
      <w:r w:rsidR="00767363">
        <w:t>in</w:t>
      </w:r>
      <w:r>
        <w:t xml:space="preserve"> Mozambique imports, South Africa</w:t>
      </w:r>
      <w:r w:rsidR="00A10627">
        <w:t xml:space="preserve"> </w:t>
      </w:r>
      <w:r>
        <w:t xml:space="preserve">stands out as the most important country of origin for maize </w:t>
      </w:r>
      <w:r w:rsidR="00BA7390">
        <w:t xml:space="preserve">shipped </w:t>
      </w:r>
      <w:r w:rsidR="00767363">
        <w:t xml:space="preserve">to </w:t>
      </w:r>
      <w:r>
        <w:t>M</w:t>
      </w:r>
      <w:r w:rsidR="00A10627">
        <w:t xml:space="preserve">ozambique between 2000 and 2012 with 69 percent </w:t>
      </w:r>
      <w:r>
        <w:t xml:space="preserve">(see </w:t>
      </w:r>
      <w:r w:rsidR="00D147FD">
        <w:fldChar w:fldCharType="begin"/>
      </w:r>
      <w:r w:rsidR="00D147FD">
        <w:instrText xml:space="preserve"> REF _Ref401642333 \h </w:instrText>
      </w:r>
      <w:r w:rsidR="00D147FD">
        <w:fldChar w:fldCharType="separate"/>
      </w:r>
      <w:r w:rsidR="00D147FD">
        <w:t xml:space="preserve">Figure </w:t>
      </w:r>
      <w:r w:rsidR="00D147FD">
        <w:rPr>
          <w:noProof/>
        </w:rPr>
        <w:t>7</w:t>
      </w:r>
      <w:r w:rsidR="00D147FD">
        <w:fldChar w:fldCharType="end"/>
      </w:r>
      <w:r>
        <w:t>). United States of America (15</w:t>
      </w:r>
      <w:r w:rsidR="009414AA">
        <w:t xml:space="preserve"> percent</w:t>
      </w:r>
      <w:r>
        <w:t>) and Argentina (11</w:t>
      </w:r>
      <w:r w:rsidR="009414AA">
        <w:t xml:space="preserve"> percent</w:t>
      </w:r>
      <w:r>
        <w:t xml:space="preserve">) </w:t>
      </w:r>
      <w:r w:rsidR="00D14884">
        <w:t>are also</w:t>
      </w:r>
      <w:r>
        <w:t xml:space="preserve"> important </w:t>
      </w:r>
      <w:r w:rsidR="00D14884">
        <w:t>exporters of</w:t>
      </w:r>
      <w:r>
        <w:t xml:space="preserve"> maize to Mozambique. All other countries together contributed to about 6</w:t>
      </w:r>
      <w:r w:rsidR="009414AA">
        <w:t xml:space="preserve"> percent</w:t>
      </w:r>
      <w:r>
        <w:t xml:space="preserve"> of the total quantity of maize imported. Large-scale maize millers </w:t>
      </w:r>
      <w:r w:rsidR="00E42B25">
        <w:t xml:space="preserve">operating in the </w:t>
      </w:r>
      <w:r>
        <w:t>Maputo province in Southern Mozambique – especially in Maputo</w:t>
      </w:r>
      <w:r w:rsidR="00D14884">
        <w:t>,</w:t>
      </w:r>
      <w:r>
        <w:t xml:space="preserve"> </w:t>
      </w:r>
      <w:r w:rsidR="00925149">
        <w:t xml:space="preserve">the capital city and </w:t>
      </w:r>
      <w:r>
        <w:t xml:space="preserve">the largest maize deficit urban center in the country – are the main channel through which South African maize </w:t>
      </w:r>
      <w:r w:rsidR="00BA7390">
        <w:t>enters</w:t>
      </w:r>
      <w:r>
        <w:t xml:space="preserve"> </w:t>
      </w:r>
      <w:r w:rsidR="00A10627">
        <w:t>the country</w:t>
      </w:r>
      <w:r>
        <w:t>.</w:t>
      </w:r>
    </w:p>
    <w:p w:rsidR="004503F2" w:rsidRDefault="00E11DE9" w:rsidP="004503F2">
      <w:r>
        <w:t xml:space="preserve">Data from South Africa Grain Information System (SAGIS) show that an </w:t>
      </w:r>
      <w:r w:rsidR="00810F98">
        <w:t xml:space="preserve">annual </w:t>
      </w:r>
      <w:r>
        <w:t xml:space="preserve">average of 96.4 thousand </w:t>
      </w:r>
      <w:r w:rsidR="008851CC">
        <w:t>tonnes</w:t>
      </w:r>
      <w:r>
        <w:t xml:space="preserve"> of South African </w:t>
      </w:r>
      <w:r w:rsidR="00810F98">
        <w:t>maize grain was imported into Mozambique from 2004 to 2012.</w:t>
      </w:r>
      <w:r w:rsidR="006C0AF0">
        <w:t xml:space="preserve"> This </w:t>
      </w:r>
      <w:r w:rsidR="00736764">
        <w:t xml:space="preserve">average </w:t>
      </w:r>
      <w:r w:rsidR="006C0AF0">
        <w:t xml:space="preserve">represents about </w:t>
      </w:r>
      <w:r w:rsidR="00736764">
        <w:t>40</w:t>
      </w:r>
      <w:r w:rsidR="009414AA">
        <w:t xml:space="preserve"> percent</w:t>
      </w:r>
      <w:r w:rsidR="006C0AF0">
        <w:t xml:space="preserve"> of the total maize </w:t>
      </w:r>
      <w:r w:rsidR="00736764">
        <w:t xml:space="preserve">grain </w:t>
      </w:r>
      <w:r w:rsidR="006C0AF0">
        <w:t xml:space="preserve">purchased by households </w:t>
      </w:r>
      <w:r w:rsidR="00736764">
        <w:t xml:space="preserve">in Mozambique </w:t>
      </w:r>
      <w:r w:rsidR="006C0AF0">
        <w:t>in 2008/09, according to data from IOF 2008/09.</w:t>
      </w:r>
      <w:r w:rsidR="006F5996">
        <w:t xml:space="preserve"> </w:t>
      </w:r>
      <w:r w:rsidR="004503F2">
        <w:t>Th</w:t>
      </w:r>
      <w:r w:rsidR="006F5996">
        <w:t>e</w:t>
      </w:r>
      <w:r w:rsidR="00A10627">
        <w:t xml:space="preserve"> South Africa-imported maize </w:t>
      </w:r>
      <w:r w:rsidR="004503F2">
        <w:t xml:space="preserve">is processed into maize meal </w:t>
      </w:r>
      <w:r w:rsidR="005C62F6">
        <w:t xml:space="preserve">before being sold to final consumers </w:t>
      </w:r>
      <w:r w:rsidR="005E23F3">
        <w:t xml:space="preserve">predominantly </w:t>
      </w:r>
      <w:r w:rsidR="005C62F6">
        <w:t>in Maputo city. Evidence also suggests that maize grain from Central Mozambique is shipped to Southern Mozambique</w:t>
      </w:r>
      <w:r w:rsidR="006F5996">
        <w:t>, especially Maputo city</w:t>
      </w:r>
      <w:r w:rsidR="005C62F6">
        <w:t>.</w:t>
      </w:r>
      <w:r w:rsidR="00B77357">
        <w:t xml:space="preserve"> </w:t>
      </w:r>
      <w:r w:rsidR="00767363">
        <w:t xml:space="preserve">However, concerns </w:t>
      </w:r>
      <w:r w:rsidR="00732494">
        <w:t>about quality</w:t>
      </w:r>
      <w:r w:rsidR="00925149">
        <w:t xml:space="preserve"> and quantity </w:t>
      </w:r>
      <w:r w:rsidR="00896F63">
        <w:t xml:space="preserve">of the </w:t>
      </w:r>
      <w:r w:rsidR="00732494">
        <w:lastRenderedPageBreak/>
        <w:t>domestically produced maize grain</w:t>
      </w:r>
      <w:r w:rsidR="00925149">
        <w:t xml:space="preserve"> </w:t>
      </w:r>
      <w:r w:rsidR="00732494">
        <w:t xml:space="preserve">are </w:t>
      </w:r>
      <w:r w:rsidR="00D14884">
        <w:t xml:space="preserve">considered </w:t>
      </w:r>
      <w:r w:rsidR="00925149">
        <w:t xml:space="preserve">as </w:t>
      </w:r>
      <w:r w:rsidR="00D14884">
        <w:t>the</w:t>
      </w:r>
      <w:r w:rsidR="00732494">
        <w:t xml:space="preserve"> main factors that make l</w:t>
      </w:r>
      <w:r w:rsidR="00B77357">
        <w:t>arge-</w:t>
      </w:r>
      <w:r w:rsidR="00732494">
        <w:t>scale millers import maize grain from South Africa</w:t>
      </w:r>
      <w:r w:rsidR="005E23F3">
        <w:t xml:space="preserve"> instead of </w:t>
      </w:r>
      <w:r w:rsidR="00BA7390">
        <w:t>purchasing from the domestic market</w:t>
      </w:r>
      <w:r w:rsidR="00732494">
        <w:t>.</w:t>
      </w:r>
      <w:r w:rsidR="00925149">
        <w:rPr>
          <w:rStyle w:val="FootnoteReference"/>
        </w:rPr>
        <w:footnoteReference w:id="5"/>
      </w:r>
    </w:p>
    <w:p w:rsidR="005E23F3" w:rsidRDefault="00BE51B1" w:rsidP="004503F2">
      <w:r>
        <w:t xml:space="preserve">Using data from TIA 2008, we computed maize sales by province and the results are plotted in </w:t>
      </w:r>
      <w:r w:rsidR="00323EC3">
        <w:fldChar w:fldCharType="begin"/>
      </w:r>
      <w:r w:rsidR="00A5097A">
        <w:instrText xml:space="preserve"> REF _Ref397050357 \h </w:instrText>
      </w:r>
      <w:r w:rsidR="00323EC3">
        <w:fldChar w:fldCharType="separate"/>
      </w:r>
      <w:r w:rsidR="00D147FD">
        <w:t xml:space="preserve">Figure </w:t>
      </w:r>
      <w:r w:rsidR="00D147FD">
        <w:rPr>
          <w:noProof/>
        </w:rPr>
        <w:t>8</w:t>
      </w:r>
      <w:r w:rsidR="00323EC3">
        <w:fldChar w:fldCharType="end"/>
      </w:r>
      <w:r>
        <w:t xml:space="preserve">. </w:t>
      </w:r>
      <w:r w:rsidR="00BA7390">
        <w:t>In total, maize</w:t>
      </w:r>
      <w:r w:rsidR="00BA7390" w:rsidDel="00BA7390">
        <w:t xml:space="preserve"> </w:t>
      </w:r>
      <w:r w:rsidR="00BA7390">
        <w:t>producers sold a</w:t>
      </w:r>
      <w:r w:rsidR="00D14884">
        <w:t>bout</w:t>
      </w:r>
      <w:r>
        <w:t xml:space="preserve"> 222</w:t>
      </w:r>
      <w:r w:rsidR="002A73BA">
        <w:t>.1</w:t>
      </w:r>
      <w:r>
        <w:t xml:space="preserve"> thousand </w:t>
      </w:r>
      <w:r w:rsidR="008851CC">
        <w:t>tonnes</w:t>
      </w:r>
      <w:r>
        <w:t xml:space="preserve"> </w:t>
      </w:r>
      <w:r w:rsidR="00BA7390">
        <w:t xml:space="preserve">of maize on </w:t>
      </w:r>
      <w:r>
        <w:t xml:space="preserve">the market </w:t>
      </w:r>
      <w:r w:rsidR="00BA7390">
        <w:t xml:space="preserve">during </w:t>
      </w:r>
      <w:r>
        <w:t>the agricultural season 2007/08. This represents about 20</w:t>
      </w:r>
      <w:r w:rsidR="009414AA">
        <w:t xml:space="preserve"> percent</w:t>
      </w:r>
      <w:r>
        <w:t xml:space="preserve"> of the total maize production in the same agricultural season.</w:t>
      </w:r>
      <w:r w:rsidR="002A73BA">
        <w:t xml:space="preserve"> </w:t>
      </w:r>
      <w:r w:rsidR="00740436">
        <w:t xml:space="preserve">Maize sales by smallholder farmers are concentrated in Central and </w:t>
      </w:r>
      <w:r w:rsidR="00A57952">
        <w:t>Northern regions of the country. The combined share of these two regions in the total maize sales in the agricultural season 2007/08 was 97</w:t>
      </w:r>
      <w:r w:rsidR="009414AA">
        <w:t xml:space="preserve"> percent</w:t>
      </w:r>
      <w:r w:rsidR="00A57952">
        <w:t>.</w:t>
      </w:r>
      <w:r w:rsidR="00740436">
        <w:t xml:space="preserve"> </w:t>
      </w:r>
      <w:r w:rsidR="00120B95">
        <w:t xml:space="preserve">Zambezia with 57.8 thousand </w:t>
      </w:r>
      <w:r w:rsidR="008851CC">
        <w:t>tonnes</w:t>
      </w:r>
      <w:r w:rsidR="00120B95">
        <w:t xml:space="preserve"> is the province with the largest sales of maize; followed in order by Manica (45.8 thousand </w:t>
      </w:r>
      <w:r w:rsidR="008851CC">
        <w:t>tonnes</w:t>
      </w:r>
      <w:r w:rsidR="00120B95">
        <w:t xml:space="preserve">), Tete (43.8 thousand </w:t>
      </w:r>
      <w:r w:rsidR="008851CC">
        <w:t>tonnes</w:t>
      </w:r>
      <w:r w:rsidR="00120B95">
        <w:t xml:space="preserve">) and Nampula (19.3 thousand </w:t>
      </w:r>
      <w:r w:rsidR="008851CC">
        <w:t>tonne</w:t>
      </w:r>
      <w:r w:rsidR="00120B95">
        <w:t xml:space="preserve">). </w:t>
      </w:r>
      <w:r w:rsidR="002A73BA">
        <w:t xml:space="preserve">These four provinces </w:t>
      </w:r>
      <w:r w:rsidR="00120B95">
        <w:t xml:space="preserve">together </w:t>
      </w:r>
      <w:r w:rsidR="002A73BA">
        <w:t>accounted for about 80</w:t>
      </w:r>
      <w:r w:rsidR="009414AA">
        <w:t xml:space="preserve"> percent</w:t>
      </w:r>
      <w:r w:rsidR="002A73BA">
        <w:t xml:space="preserve"> of the total maize sales.</w:t>
      </w:r>
      <w:r>
        <w:t xml:space="preserve"> </w:t>
      </w:r>
      <w:r w:rsidR="00120B95">
        <w:t xml:space="preserve">As expected, the smallest maize sales are registered in the Southern region: Inhambane (3.0 thousand </w:t>
      </w:r>
      <w:r w:rsidR="008851CC">
        <w:t>tonne</w:t>
      </w:r>
      <w:r w:rsidR="00120B95">
        <w:t xml:space="preserve">), Gaza (2.4 thousand </w:t>
      </w:r>
      <w:r w:rsidR="008851CC">
        <w:t>tonnes</w:t>
      </w:r>
      <w:r w:rsidR="00120B95">
        <w:t xml:space="preserve">) and Maputo (1.3 thousand </w:t>
      </w:r>
      <w:r w:rsidR="008851CC">
        <w:t>tonnes</w:t>
      </w:r>
      <w:r w:rsidR="00120B95">
        <w:t>).</w:t>
      </w:r>
      <w:r w:rsidR="00D571D1">
        <w:t xml:space="preserve"> As seen earlier, </w:t>
      </w:r>
      <w:r w:rsidR="00740436">
        <w:t xml:space="preserve">total </w:t>
      </w:r>
      <w:r w:rsidR="00D571D1">
        <w:t xml:space="preserve">maize production is lower in Southern Mozambique, compared to Central and Northern Mozambique (127.3 thousand </w:t>
      </w:r>
      <w:r w:rsidR="008851CC">
        <w:t>tonnes</w:t>
      </w:r>
      <w:r w:rsidR="00D571D1">
        <w:t xml:space="preserve"> versus </w:t>
      </w:r>
      <w:r w:rsidR="00740436">
        <w:t xml:space="preserve">740.2 thousand </w:t>
      </w:r>
      <w:r w:rsidR="008851CC">
        <w:t>tonnes</w:t>
      </w:r>
      <w:r w:rsidR="00740436">
        <w:t xml:space="preserve"> versus 346.1 thousand </w:t>
      </w:r>
      <w:r w:rsidR="008851CC">
        <w:t>tonnes</w:t>
      </w:r>
      <w:r w:rsidR="00740436">
        <w:t>)</w:t>
      </w:r>
      <w:r w:rsidR="00D571D1">
        <w:t>.</w:t>
      </w:r>
    </w:p>
    <w:p w:rsidR="004F46C4" w:rsidRDefault="004F46C4" w:rsidP="004F46C4">
      <w:pPr>
        <w:pStyle w:val="Caption"/>
        <w:keepNext/>
        <w:jc w:val="both"/>
      </w:pPr>
      <w:bookmarkStart w:id="27" w:name="_Ref397050357"/>
      <w:r>
        <w:t xml:space="preserve">Figure </w:t>
      </w:r>
      <w:r w:rsidR="00323EC3">
        <w:fldChar w:fldCharType="begin"/>
      </w:r>
      <w:r w:rsidR="007E22D8">
        <w:instrText xml:space="preserve"> SEQ Figure \* ARABIC </w:instrText>
      </w:r>
      <w:r w:rsidR="00323EC3">
        <w:fldChar w:fldCharType="separate"/>
      </w:r>
      <w:r w:rsidR="00D147FD">
        <w:rPr>
          <w:noProof/>
        </w:rPr>
        <w:t>8</w:t>
      </w:r>
      <w:r w:rsidR="00323EC3">
        <w:rPr>
          <w:noProof/>
        </w:rPr>
        <w:fldChar w:fldCharType="end"/>
      </w:r>
      <w:bookmarkEnd w:id="27"/>
      <w:r>
        <w:rPr>
          <w:noProof/>
        </w:rPr>
        <w:t xml:space="preserve"> Maize sales by province: a</w:t>
      </w:r>
      <w:r w:rsidRPr="00727B40">
        <w:rPr>
          <w:noProof/>
        </w:rPr>
        <w:t>gricultural season 2007/08</w:t>
      </w:r>
    </w:p>
    <w:p w:rsidR="00BE51B1" w:rsidRDefault="00BE51B1" w:rsidP="004503F2">
      <w:r>
        <w:rPr>
          <w:noProof/>
        </w:rPr>
        <w:drawing>
          <wp:inline distT="0" distB="0" distL="0" distR="0" wp14:anchorId="2FC08DB3" wp14:editId="0908D17D">
            <wp:extent cx="4096512" cy="29992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6512" cy="2999232"/>
                    </a:xfrm>
                    <a:prstGeom prst="rect">
                      <a:avLst/>
                    </a:prstGeom>
                    <a:noFill/>
                    <a:ln>
                      <a:noFill/>
                    </a:ln>
                  </pic:spPr>
                </pic:pic>
              </a:graphicData>
            </a:graphic>
          </wp:inline>
        </w:drawing>
      </w:r>
    </w:p>
    <w:p w:rsidR="007918A2" w:rsidRDefault="00D34654" w:rsidP="00D34654">
      <w:pPr>
        <w:pStyle w:val="Heading2"/>
      </w:pPr>
      <w:bookmarkStart w:id="28" w:name="_Toc322416915"/>
      <w:bookmarkStart w:id="29" w:name="_Toc336419331"/>
      <w:bookmarkStart w:id="30" w:name="_Ref361921738"/>
      <w:bookmarkStart w:id="31" w:name="_Toc401642223"/>
      <w:r w:rsidRPr="00D34654">
        <w:t>DESCRIPTION OF THE VALUE CHAIN</w:t>
      </w:r>
      <w:bookmarkEnd w:id="28"/>
      <w:bookmarkEnd w:id="29"/>
      <w:bookmarkEnd w:id="30"/>
      <w:bookmarkEnd w:id="31"/>
    </w:p>
    <w:p w:rsidR="00A1517D" w:rsidRDefault="00976AA6" w:rsidP="00976AA6">
      <w:r>
        <w:t xml:space="preserve">This section provides a </w:t>
      </w:r>
      <w:r w:rsidR="00A57952">
        <w:t xml:space="preserve">brief </w:t>
      </w:r>
      <w:r>
        <w:t>description of the different marketing channels through</w:t>
      </w:r>
      <w:r w:rsidR="00B77357">
        <w:t xml:space="preserve"> which</w:t>
      </w:r>
      <w:r w:rsidR="008C18ED">
        <w:t xml:space="preserve"> maize flows</w:t>
      </w:r>
      <w:r w:rsidR="00B77357">
        <w:t xml:space="preserve"> along the maize value chain</w:t>
      </w:r>
      <w:r w:rsidR="00A57952">
        <w:t xml:space="preserve"> in Mozambique</w:t>
      </w:r>
      <w:r w:rsidR="00B77357">
        <w:t>.</w:t>
      </w:r>
      <w:r>
        <w:t xml:space="preserve"> The movement of maize from the highly differentiated group of </w:t>
      </w:r>
      <w:r w:rsidR="00B77357">
        <w:t xml:space="preserve">maize-growing </w:t>
      </w:r>
      <w:r>
        <w:t>smallholder farmers to the final consumers</w:t>
      </w:r>
      <w:r w:rsidR="00B77357">
        <w:t>, especially</w:t>
      </w:r>
      <w:r>
        <w:t xml:space="preserve"> in urban areas</w:t>
      </w:r>
      <w:r w:rsidR="00B77357">
        <w:t>,</w:t>
      </w:r>
      <w:r>
        <w:t xml:space="preserve"> </w:t>
      </w:r>
      <w:r w:rsidR="00184FD5">
        <w:t xml:space="preserve">encompasses several stages – </w:t>
      </w:r>
      <w:r>
        <w:t>productio</w:t>
      </w:r>
      <w:r w:rsidR="00184FD5">
        <w:t xml:space="preserve">n, </w:t>
      </w:r>
      <w:r w:rsidR="00BA7390">
        <w:t xml:space="preserve">processing </w:t>
      </w:r>
      <w:r w:rsidR="00184FD5">
        <w:t>and marketing –</w:t>
      </w:r>
      <w:r>
        <w:t xml:space="preserve"> with</w:t>
      </w:r>
      <w:r w:rsidR="00184FD5">
        <w:t xml:space="preserve"> </w:t>
      </w:r>
      <w:r>
        <w:t xml:space="preserve">many players along the chain. </w:t>
      </w:r>
      <w:r w:rsidR="00E52F89">
        <w:t>Excluding the final consumer, there are six</w:t>
      </w:r>
      <w:r>
        <w:t xml:space="preserve"> major actors in the maize value chain: smallh</w:t>
      </w:r>
      <w:r w:rsidR="00E52F89">
        <w:t>older farmers, local assemblers (small-to-medium-scale assemblers including</w:t>
      </w:r>
      <w:r>
        <w:t xml:space="preserve"> itinerant </w:t>
      </w:r>
      <w:r>
        <w:lastRenderedPageBreak/>
        <w:t>traders</w:t>
      </w:r>
      <w:r w:rsidR="00E52F89">
        <w:t>)</w:t>
      </w:r>
      <w:r>
        <w:t>, large-scale assemblers, medium- and large-scale millers, wholesalers</w:t>
      </w:r>
      <w:r w:rsidR="00767363">
        <w:t>,</w:t>
      </w:r>
      <w:r>
        <w:t xml:space="preserve"> and retailers. </w:t>
      </w:r>
      <w:r w:rsidR="00323EC3">
        <w:fldChar w:fldCharType="begin"/>
      </w:r>
      <w:r w:rsidR="00FC18DD">
        <w:instrText xml:space="preserve"> REF _Ref397051128 \h </w:instrText>
      </w:r>
      <w:r w:rsidR="00323EC3">
        <w:fldChar w:fldCharType="separate"/>
      </w:r>
      <w:r w:rsidR="00D147FD">
        <w:t xml:space="preserve">Figure </w:t>
      </w:r>
      <w:r w:rsidR="00D147FD">
        <w:rPr>
          <w:noProof/>
        </w:rPr>
        <w:t>9</w:t>
      </w:r>
      <w:r w:rsidR="00323EC3">
        <w:fldChar w:fldCharType="end"/>
      </w:r>
      <w:r w:rsidR="00BE51B1">
        <w:t xml:space="preserve"> </w:t>
      </w:r>
      <w:r>
        <w:t>displays the maize value chain in Mozambique. Smallholder farmers sell their maize through three main channels: local assemblers, itinerant traders, and large-scale assemblers. Farmer-to-farmer exchange is another channel through which maize is marketed.</w:t>
      </w:r>
    </w:p>
    <w:p w:rsidR="00A67699" w:rsidRDefault="00A67699" w:rsidP="00A67699">
      <w:pPr>
        <w:pStyle w:val="Caption"/>
        <w:keepNext/>
        <w:jc w:val="both"/>
      </w:pPr>
      <w:bookmarkStart w:id="32" w:name="_Ref397051128"/>
      <w:r>
        <w:t xml:space="preserve">Figure </w:t>
      </w:r>
      <w:r w:rsidR="00323EC3">
        <w:fldChar w:fldCharType="begin"/>
      </w:r>
      <w:r w:rsidR="007E22D8">
        <w:instrText xml:space="preserve"> SEQ Figure \* ARABIC </w:instrText>
      </w:r>
      <w:r w:rsidR="00323EC3">
        <w:fldChar w:fldCharType="separate"/>
      </w:r>
      <w:r w:rsidR="00D147FD">
        <w:rPr>
          <w:noProof/>
        </w:rPr>
        <w:t>9</w:t>
      </w:r>
      <w:r w:rsidR="00323EC3">
        <w:rPr>
          <w:noProof/>
        </w:rPr>
        <w:fldChar w:fldCharType="end"/>
      </w:r>
      <w:bookmarkEnd w:id="32"/>
      <w:r>
        <w:rPr>
          <w:noProof/>
        </w:rPr>
        <w:t xml:space="preserve"> </w:t>
      </w:r>
      <w:r w:rsidRPr="00737A78">
        <w:rPr>
          <w:noProof/>
        </w:rPr>
        <w:t>Maize marketing channels in Mozambique</w:t>
      </w:r>
    </w:p>
    <w:p w:rsidR="005861AE" w:rsidRDefault="005861AE" w:rsidP="003E6269">
      <w:pPr>
        <w:spacing w:after="0"/>
      </w:pPr>
      <w:r>
        <w:rPr>
          <w:noProof/>
        </w:rPr>
        <w:drawing>
          <wp:inline distT="0" distB="0" distL="0" distR="0" wp14:anchorId="7D4A12FE" wp14:editId="1DC78F8A">
            <wp:extent cx="5140152" cy="395287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ze_value_chain.png"/>
                    <pic:cNvPicPr/>
                  </pic:nvPicPr>
                  <pic:blipFill>
                    <a:blip r:embed="rId32">
                      <a:extLst>
                        <a:ext uri="{28A0092B-C50C-407E-A947-70E740481C1C}">
                          <a14:useLocalDpi xmlns:a14="http://schemas.microsoft.com/office/drawing/2010/main" val="0"/>
                        </a:ext>
                      </a:extLst>
                    </a:blip>
                    <a:stretch>
                      <a:fillRect/>
                    </a:stretch>
                  </pic:blipFill>
                  <pic:spPr>
                    <a:xfrm>
                      <a:off x="0" y="0"/>
                      <a:ext cx="5152464" cy="3962343"/>
                    </a:xfrm>
                    <a:prstGeom prst="rect">
                      <a:avLst/>
                    </a:prstGeom>
                  </pic:spPr>
                </pic:pic>
              </a:graphicData>
            </a:graphic>
          </wp:inline>
        </w:drawing>
      </w:r>
    </w:p>
    <w:p w:rsidR="005861AE" w:rsidRPr="009E6899" w:rsidRDefault="00767363" w:rsidP="003E6269">
      <w:pPr>
        <w:spacing w:after="0"/>
        <w:jc w:val="left"/>
        <w:rPr>
          <w:sz w:val="18"/>
        </w:rPr>
      </w:pPr>
      <w:r w:rsidRPr="009E6899">
        <w:rPr>
          <w:sz w:val="18"/>
        </w:rPr>
        <w:t>Source: Authors</w:t>
      </w:r>
    </w:p>
    <w:p w:rsidR="003E6269" w:rsidRDefault="003E6269" w:rsidP="00EB5C32"/>
    <w:p w:rsidR="00EB5C32" w:rsidRDefault="00EB5C32" w:rsidP="00EB5C32">
      <w:r>
        <w:t>As mentioned earlier, maize export to Malawi also plays a critical role, especially in the Central and Northern provinces, in maize marketing in Mozambique. A study of the maize value chain done by Michigan State University in Eastern and Southern Africa reveals that concerns about food security in Mozambique and Malawi and the desire to protect prices paid to maize producers in Malawi have led to implementation of restrictions on the movement of maize between the two countries. For instan</w:t>
      </w:r>
      <w:r w:rsidR="00D46994">
        <w:t>ce</w:t>
      </w:r>
      <w:r>
        <w:t xml:space="preserve">, the Government of Malawi placed bans on maize imports from </w:t>
      </w:r>
      <w:smartTag w:uri="urn:schemas-microsoft-com:office:smarttags" w:element="country-region">
        <w:smartTag w:uri="urn:schemas-microsoft-com:office:smarttags" w:element="place">
          <w:r>
            <w:t>Mozambique</w:t>
          </w:r>
        </w:smartTag>
      </w:smartTag>
      <w:r>
        <w:t xml:space="preserve"> in the 2008 marketing season. Despite official and unofficial trade bans, in Central and Northern provinces of Mozambique, smallholder farmers</w:t>
      </w:r>
      <w:r w:rsidR="000341D7">
        <w:t xml:space="preserve"> and traders</w:t>
      </w:r>
      <w:r>
        <w:t xml:space="preserve"> find ways to place their maize in markets located in food deficit areas of Southern Malawi. Prior to the trade bans, traders from Malawi used to come to Mozambique to buy maize across the border and then take it back to Malawi.</w:t>
      </w:r>
    </w:p>
    <w:p w:rsidR="00BB0B87" w:rsidRDefault="00BB0B87" w:rsidP="00BB0B87">
      <w:r>
        <w:t xml:space="preserve">However, focus group interviews with smallholder farmers in the Central and Northern parts of Mozambique indicate that Malawian traders no longer cross the border to purchase maize. They instead set up buying points in </w:t>
      </w:r>
      <w:smartTag w:uri="urn:schemas-microsoft-com:office:smarttags" w:element="country-region">
        <w:r>
          <w:t>Malawi</w:t>
        </w:r>
      </w:smartTag>
      <w:r>
        <w:t xml:space="preserve"> where the </w:t>
      </w:r>
      <w:smartTag w:uri="urn:schemas-microsoft-com:office:smarttags" w:element="country-region">
        <w:smartTag w:uri="urn:schemas-microsoft-com:office:smarttags" w:element="place">
          <w:r>
            <w:t>Mozambique</w:t>
          </w:r>
        </w:smartTag>
      </w:smartTag>
      <w:r>
        <w:t xml:space="preserve"> smallholder farmers and traders have to take their maize if interested in reaching Malawian markets.</w:t>
      </w:r>
      <w:r w:rsidR="006C0AC0" w:rsidRPr="006C0AC0">
        <w:t xml:space="preserve"> </w:t>
      </w:r>
      <w:r w:rsidR="006C0AC0">
        <w:t xml:space="preserve">Maize grain is also shipped from international markets into Mozambique. For example, South-Africa maize is imported into Mozambique, predominantly </w:t>
      </w:r>
      <w:r w:rsidR="00184FD5">
        <w:t xml:space="preserve">in the </w:t>
      </w:r>
      <w:r w:rsidR="006C0AC0">
        <w:t>deficit Southern region, by large-scale millers and animal feeders.</w:t>
      </w:r>
    </w:p>
    <w:p w:rsidR="00976AA6" w:rsidRPr="00976AA6" w:rsidRDefault="00BB0B87" w:rsidP="002E3A49">
      <w:r>
        <w:lastRenderedPageBreak/>
        <w:t>Assemblers represent the next link in the maize value chain. Local assemblers are residents of the villages, in some cases they live outside the community, who buy maize from smallholder farmers for onward sale to itinerant traders, large-scale traders, and sometimes they export maize to Malawi. Itinerant traders, commonly known as “</w:t>
      </w:r>
      <w:r w:rsidRPr="00BB0B87">
        <w:rPr>
          <w:i/>
        </w:rPr>
        <w:t>Mamanas</w:t>
      </w:r>
      <w:r>
        <w:t xml:space="preserve">”, are normally comprised of women coming from the Southern region of the country, </w:t>
      </w:r>
      <w:r w:rsidR="00895D77">
        <w:t xml:space="preserve">mainly </w:t>
      </w:r>
      <w:r>
        <w:t>from Maputo</w:t>
      </w:r>
      <w:r w:rsidR="00D82FB8">
        <w:t xml:space="preserve"> city</w:t>
      </w:r>
      <w:r>
        <w:t>, to buy and bulk maize in surplus maize villages</w:t>
      </w:r>
      <w:r w:rsidR="00D82FB8">
        <w:t xml:space="preserve"> of Central and Northern Mozambique</w:t>
      </w:r>
      <w:r>
        <w:t xml:space="preserve"> with the objective of reselling it in the maize deficit markets of Southern Mozambique. Itinerant traders set up buying points in surplus areas. After acquiring large volumes of maize, </w:t>
      </w:r>
      <w:r w:rsidR="00D82FB8">
        <w:t>they</w:t>
      </w:r>
      <w:r>
        <w:t xml:space="preserve"> rent trucks to transport their maize to Southern markets. Itinerant traders are also involved in the commercialization of other crops such as sesame and beans.</w:t>
      </w:r>
      <w:r w:rsidR="008C18ED">
        <w:t xml:space="preserve"> </w:t>
      </w:r>
    </w:p>
    <w:p w:rsidR="00250F61" w:rsidRDefault="00D34654" w:rsidP="00D34654">
      <w:pPr>
        <w:pStyle w:val="Heading2"/>
      </w:pPr>
      <w:bookmarkStart w:id="33" w:name="_Ref336614261"/>
      <w:bookmarkStart w:id="34" w:name="_Toc322416916"/>
      <w:bookmarkStart w:id="35" w:name="_Toc336419332"/>
      <w:bookmarkStart w:id="36" w:name="_Toc401642224"/>
      <w:r>
        <w:t>POLICY DECISIONS AND MEASURES</w:t>
      </w:r>
      <w:bookmarkEnd w:id="33"/>
      <w:bookmarkEnd w:id="34"/>
      <w:bookmarkEnd w:id="35"/>
      <w:bookmarkEnd w:id="36"/>
    </w:p>
    <w:p w:rsidR="00D82FB8" w:rsidRPr="00D64DE7" w:rsidRDefault="00CD52B4" w:rsidP="00D82FB8">
      <w:r>
        <w:t xml:space="preserve">We are not aware of any policy </w:t>
      </w:r>
      <w:r w:rsidR="005F3016">
        <w:t xml:space="preserve">strategy </w:t>
      </w:r>
      <w:r>
        <w:t>designed by the Government of Mozambique (GoM) specifically for the maize sub-sector to guide production and marketing of the grain in the country. However, a</w:t>
      </w:r>
      <w:r w:rsidR="00062B7D">
        <w:t xml:space="preserve"> wide range of </w:t>
      </w:r>
      <w:r>
        <w:t xml:space="preserve">government </w:t>
      </w:r>
      <w:r w:rsidR="00062B7D">
        <w:t>polic</w:t>
      </w:r>
      <w:r w:rsidR="001F2FDC">
        <w:t xml:space="preserve">y </w:t>
      </w:r>
      <w:r w:rsidR="007A6FD2">
        <w:t>instruments</w:t>
      </w:r>
      <w:r w:rsidR="00062B7D">
        <w:t xml:space="preserve"> target the agricultural sector </w:t>
      </w:r>
      <w:r>
        <w:t>as a whole</w:t>
      </w:r>
      <w:r w:rsidR="00432CE1">
        <w:t>, touching issues related to maize production and marketing along with other strategic crops</w:t>
      </w:r>
      <w:r w:rsidR="00062B7D">
        <w:t xml:space="preserve">. These include </w:t>
      </w:r>
      <w:r w:rsidR="00C71FCB">
        <w:t xml:space="preserve">the </w:t>
      </w:r>
      <w:r w:rsidR="00C136AA">
        <w:t>Strategic Plan for Agricultural Development (PEDSA)</w:t>
      </w:r>
      <w:r w:rsidR="00895D77">
        <w:t xml:space="preserve"> 2011 to 2020</w:t>
      </w:r>
      <w:r w:rsidR="00C136AA">
        <w:t xml:space="preserve">, </w:t>
      </w:r>
      <w:r w:rsidR="00C71FCB">
        <w:t xml:space="preserve">the </w:t>
      </w:r>
      <w:r w:rsidR="002E3A49">
        <w:t>National Investment Plan for the Agricultural Sector (</w:t>
      </w:r>
      <w:r w:rsidR="001F2FDC">
        <w:t>PNISA</w:t>
      </w:r>
      <w:r w:rsidR="002E3A49">
        <w:t>)</w:t>
      </w:r>
      <w:r w:rsidR="00895D77">
        <w:t xml:space="preserve"> 2013 to 2017</w:t>
      </w:r>
      <w:r w:rsidR="00C136AA">
        <w:t>,</w:t>
      </w:r>
      <w:r w:rsidR="001F2FDC">
        <w:t xml:space="preserve"> </w:t>
      </w:r>
      <w:r w:rsidR="00C71FCB">
        <w:t xml:space="preserve">the </w:t>
      </w:r>
      <w:r w:rsidR="00C136AA">
        <w:t>Food Production Action Plan (</w:t>
      </w:r>
      <w:r w:rsidR="001F2FDC">
        <w:t>PAPA</w:t>
      </w:r>
      <w:r w:rsidR="00C136AA">
        <w:t>)</w:t>
      </w:r>
      <w:r w:rsidR="00895D77">
        <w:t xml:space="preserve"> 2008 to 2011</w:t>
      </w:r>
      <w:r w:rsidR="00062B7D">
        <w:t>,</w:t>
      </w:r>
      <w:r w:rsidR="00432CE1">
        <w:t xml:space="preserve"> and </w:t>
      </w:r>
      <w:r w:rsidR="00C71FCB">
        <w:t xml:space="preserve">the </w:t>
      </w:r>
      <w:r w:rsidR="00C136AA">
        <w:t>Green Revolution Strategy (</w:t>
      </w:r>
      <w:r w:rsidR="00432CE1">
        <w:t>RV</w:t>
      </w:r>
      <w:r w:rsidR="00C71FCB">
        <w:t>)</w:t>
      </w:r>
      <w:r w:rsidR="00895D77">
        <w:t xml:space="preserve"> approved in 2007</w:t>
      </w:r>
      <w:r w:rsidR="00C71FCB">
        <w:t xml:space="preserve">, </w:t>
      </w:r>
      <w:r w:rsidR="00062B7D">
        <w:t xml:space="preserve">just to mention a few. </w:t>
      </w:r>
      <w:r w:rsidR="00432CE1">
        <w:t xml:space="preserve">In the Southern Africa region, Mozambique </w:t>
      </w:r>
      <w:r w:rsidR="00C71FCB">
        <w:t xml:space="preserve">is </w:t>
      </w:r>
      <w:r w:rsidR="00432CE1">
        <w:t>among the few countries where government restrictions are not imposed on maize production and marketing.</w:t>
      </w:r>
      <w:r w:rsidR="00D82FB8" w:rsidRPr="00D64DE7">
        <w:t xml:space="preserve"> In this section we describe the relevant policy instruments of intervention used by the government in the recent years.</w:t>
      </w:r>
    </w:p>
    <w:p w:rsidR="00D82FB8" w:rsidRPr="00D64DE7" w:rsidRDefault="00D82FB8" w:rsidP="00D82FB8">
      <w:pPr>
        <w:spacing w:after="120" w:line="360" w:lineRule="auto"/>
        <w:rPr>
          <w:rFonts w:eastAsia="Calibri" w:cs="Arial"/>
          <w:b/>
          <w:bCs/>
        </w:rPr>
      </w:pPr>
      <w:r w:rsidRPr="00D64DE7">
        <w:rPr>
          <w:rFonts w:eastAsia="Calibri" w:cs="Arial"/>
          <w:b/>
          <w:bCs/>
        </w:rPr>
        <w:t xml:space="preserve">International and </w:t>
      </w:r>
      <w:r w:rsidR="008F5D83">
        <w:rPr>
          <w:rFonts w:eastAsia="Calibri" w:cs="Arial"/>
          <w:b/>
          <w:bCs/>
        </w:rPr>
        <w:t>r</w:t>
      </w:r>
      <w:r w:rsidRPr="00D64DE7">
        <w:rPr>
          <w:rFonts w:eastAsia="Calibri" w:cs="Arial"/>
          <w:b/>
          <w:bCs/>
        </w:rPr>
        <w:t xml:space="preserve">egional </w:t>
      </w:r>
      <w:r w:rsidR="008F5D83">
        <w:rPr>
          <w:rFonts w:eastAsia="Calibri" w:cs="Arial"/>
          <w:b/>
          <w:bCs/>
        </w:rPr>
        <w:t>t</w:t>
      </w:r>
      <w:r w:rsidRPr="00D64DE7">
        <w:rPr>
          <w:rFonts w:eastAsia="Calibri" w:cs="Arial"/>
          <w:b/>
          <w:bCs/>
        </w:rPr>
        <w:t xml:space="preserve">rade </w:t>
      </w:r>
      <w:r w:rsidR="008F5D83">
        <w:rPr>
          <w:rFonts w:eastAsia="Calibri" w:cs="Arial"/>
          <w:b/>
          <w:bCs/>
        </w:rPr>
        <w:t>p</w:t>
      </w:r>
      <w:r w:rsidRPr="00D64DE7">
        <w:rPr>
          <w:rFonts w:eastAsia="Calibri" w:cs="Arial"/>
          <w:b/>
          <w:bCs/>
        </w:rPr>
        <w:t xml:space="preserve">olicy </w:t>
      </w:r>
      <w:r w:rsidR="008F5D83">
        <w:rPr>
          <w:rFonts w:eastAsia="Calibri" w:cs="Arial"/>
          <w:b/>
          <w:bCs/>
        </w:rPr>
        <w:t>m</w:t>
      </w:r>
      <w:r w:rsidRPr="00D64DE7">
        <w:rPr>
          <w:rFonts w:eastAsia="Calibri" w:cs="Arial"/>
          <w:b/>
          <w:bCs/>
        </w:rPr>
        <w:t>easures</w:t>
      </w:r>
    </w:p>
    <w:p w:rsidR="00D82FB8" w:rsidRPr="00D64DE7" w:rsidRDefault="00497832" w:rsidP="00D82FB8">
      <w:pPr>
        <w:rPr>
          <w:rFonts w:cs="Times New Roman"/>
        </w:rPr>
      </w:pPr>
      <w:r>
        <w:t xml:space="preserve">Starting in the late 1980s, Mozambique has experienced several </w:t>
      </w:r>
      <w:r w:rsidR="002D7C9F">
        <w:t xml:space="preserve">trade-related </w:t>
      </w:r>
      <w:r>
        <w:t>policy reforms</w:t>
      </w:r>
      <w:r w:rsidR="00082129">
        <w:t>, movin</w:t>
      </w:r>
      <w:r w:rsidR="00745261">
        <w:t>g from centrally planned</w:t>
      </w:r>
      <w:r w:rsidR="00082129">
        <w:t xml:space="preserve"> to market-oriented economy</w:t>
      </w:r>
      <w:r>
        <w:t xml:space="preserve">. For example, </w:t>
      </w:r>
      <w:r w:rsidR="002D7C9F">
        <w:t xml:space="preserve">following guidance from the World Bank and the International Monetary Fund (IMF) under the Washington-consensus umbrella, </w:t>
      </w:r>
      <w:r w:rsidR="00A225C8">
        <w:t xml:space="preserve">in the later 1980s, </w:t>
      </w:r>
      <w:r w:rsidR="002D7C9F">
        <w:t xml:space="preserve">the Government of Mozambique </w:t>
      </w:r>
      <w:r w:rsidR="00377260">
        <w:t>(GoM)</w:t>
      </w:r>
      <w:r w:rsidR="007D22A6">
        <w:t xml:space="preserve"> </w:t>
      </w:r>
      <w:r w:rsidR="00A225C8">
        <w:t xml:space="preserve">put in place measures to liberalize markets </w:t>
      </w:r>
      <w:r w:rsidR="002D7C9F">
        <w:t xml:space="preserve">for </w:t>
      </w:r>
      <w:r w:rsidR="00A225C8">
        <w:t>almost all</w:t>
      </w:r>
      <w:r w:rsidR="002D7C9F">
        <w:t xml:space="preserve"> sectors of the economy including the agriculture sector. According to </w:t>
      </w:r>
      <w:r w:rsidR="00966EC9">
        <w:t>Chilonda et al (2012), under this policy reform, prices for all commodities – except sugar and petroleum products – were liberalized.</w:t>
      </w:r>
      <w:r w:rsidR="00D82FB8" w:rsidRPr="00D64DE7">
        <w:t xml:space="preserve"> </w:t>
      </w:r>
    </w:p>
    <w:p w:rsidR="00E055CC" w:rsidRDefault="00EA690E" w:rsidP="00D82FB8">
      <w:r>
        <w:t xml:space="preserve">Mozambique is member of a number of trade organizations and group of countries at </w:t>
      </w:r>
      <w:r w:rsidR="0090495A">
        <w:t xml:space="preserve">both </w:t>
      </w:r>
      <w:r>
        <w:t>international and regional levels.</w:t>
      </w:r>
      <w:r w:rsidR="00997F7C">
        <w:t xml:space="preserve"> </w:t>
      </w:r>
      <w:r w:rsidR="0090495A">
        <w:t xml:space="preserve">At international level, </w:t>
      </w:r>
      <w:r>
        <w:t xml:space="preserve">the most important </w:t>
      </w:r>
      <w:r w:rsidR="0090495A">
        <w:t xml:space="preserve">organizations </w:t>
      </w:r>
      <w:r>
        <w:t xml:space="preserve">are the </w:t>
      </w:r>
      <w:r w:rsidR="00E055CC">
        <w:t>World Trade Organization (WTO) and</w:t>
      </w:r>
      <w:r>
        <w:t xml:space="preserve"> </w:t>
      </w:r>
      <w:r w:rsidR="00E055CC">
        <w:t xml:space="preserve">the African, </w:t>
      </w:r>
      <w:r>
        <w:t>Caribbean and Pacific Group of States</w:t>
      </w:r>
      <w:r w:rsidR="00E055CC">
        <w:t xml:space="preserve"> (ACP).</w:t>
      </w:r>
      <w:r w:rsidR="007C745A">
        <w:t xml:space="preserve"> </w:t>
      </w:r>
      <w:r w:rsidR="00E055CC">
        <w:t>This</w:t>
      </w:r>
      <w:r w:rsidR="007C745A">
        <w:t xml:space="preserve"> </w:t>
      </w:r>
      <w:r w:rsidR="0090495A">
        <w:t>represent</w:t>
      </w:r>
      <w:r w:rsidR="00E055CC">
        <w:t>s</w:t>
      </w:r>
      <w:r w:rsidR="0090495A">
        <w:t xml:space="preserve"> opportunities for Mozambique to</w:t>
      </w:r>
      <w:r w:rsidR="007C745A">
        <w:t xml:space="preserve"> enjoy</w:t>
      </w:r>
      <w:r>
        <w:t xml:space="preserve"> preferential trade </w:t>
      </w:r>
      <w:r w:rsidR="007C745A">
        <w:t>agreements, such as Economic Partnership Agreements (EPAs) with the European Union (EU), African Growth and Opportunity Act (AGOA) with the United States. Th</w:t>
      </w:r>
      <w:r w:rsidR="0090495A">
        <w:t>e</w:t>
      </w:r>
      <w:r w:rsidR="007C745A">
        <w:t>s</w:t>
      </w:r>
      <w:r w:rsidR="0090495A">
        <w:t>e agreements</w:t>
      </w:r>
      <w:r>
        <w:t xml:space="preserve"> </w:t>
      </w:r>
      <w:r w:rsidR="0090495A">
        <w:t xml:space="preserve">to some extent </w:t>
      </w:r>
      <w:r>
        <w:t>facilitat</w:t>
      </w:r>
      <w:r w:rsidR="007C745A">
        <w:t>e</w:t>
      </w:r>
      <w:r>
        <w:t xml:space="preserve"> </w:t>
      </w:r>
      <w:r w:rsidR="007C745A">
        <w:t xml:space="preserve">the exchange of commodities between Mozambique and </w:t>
      </w:r>
      <w:r w:rsidR="0090495A">
        <w:t xml:space="preserve">many countries </w:t>
      </w:r>
      <w:r w:rsidR="007C745A">
        <w:t>by lessening trade barriers and restrictions</w:t>
      </w:r>
      <w:r>
        <w:t>.</w:t>
      </w:r>
    </w:p>
    <w:p w:rsidR="00D147FD" w:rsidRDefault="00E055CC" w:rsidP="00D147FD">
      <w:r>
        <w:t xml:space="preserve">At regional level, Mozambique belongs to the Southern Africa Development Community (SADC). SADC </w:t>
      </w:r>
      <w:r w:rsidR="00102D7A">
        <w:t xml:space="preserve">country members signed their Protocol on Trade in August 1996. </w:t>
      </w:r>
      <w:r w:rsidR="00997F7C">
        <w:t xml:space="preserve">The protocol was put into </w:t>
      </w:r>
      <w:r w:rsidR="00D66006">
        <w:t>effect</w:t>
      </w:r>
      <w:r w:rsidR="00997F7C">
        <w:t xml:space="preserve"> in January 2001 and outlined measures to</w:t>
      </w:r>
      <w:r w:rsidR="005A4226">
        <w:t xml:space="preserve"> remov</w:t>
      </w:r>
      <w:r w:rsidR="00997F7C">
        <w:t>e</w:t>
      </w:r>
      <w:r w:rsidR="005A4226">
        <w:t xml:space="preserve"> trade barriers</w:t>
      </w:r>
      <w:r w:rsidR="00997F7C">
        <w:t xml:space="preserve">, </w:t>
      </w:r>
      <w:r w:rsidR="005A4226">
        <w:t>eas</w:t>
      </w:r>
      <w:r w:rsidR="00997F7C">
        <w:t>e</w:t>
      </w:r>
      <w:r w:rsidR="005A4226">
        <w:t xml:space="preserve"> customs procedures</w:t>
      </w:r>
      <w:r w:rsidR="00997F7C">
        <w:t xml:space="preserve">, </w:t>
      </w:r>
      <w:r w:rsidR="005A4226">
        <w:t>harmoniz</w:t>
      </w:r>
      <w:r w:rsidR="00997F7C">
        <w:t>e</w:t>
      </w:r>
      <w:r w:rsidR="005A4226">
        <w:t xml:space="preserve"> trade policies</w:t>
      </w:r>
      <w:r w:rsidR="00997F7C">
        <w:t>,</w:t>
      </w:r>
      <w:r w:rsidR="005A4226">
        <w:t xml:space="preserve"> and prohibit unfair trade practices </w:t>
      </w:r>
      <w:r w:rsidR="00997F7C">
        <w:t xml:space="preserve">with </w:t>
      </w:r>
      <w:r w:rsidR="005A4226">
        <w:t>t</w:t>
      </w:r>
      <w:r w:rsidR="00997F7C">
        <w:t>he</w:t>
      </w:r>
      <w:r w:rsidR="005A4226">
        <w:t xml:space="preserve"> </w:t>
      </w:r>
      <w:r w:rsidR="00997F7C">
        <w:t>ultimate objective of</w:t>
      </w:r>
      <w:r w:rsidR="005A4226">
        <w:t xml:space="preserve"> facilitat</w:t>
      </w:r>
      <w:r w:rsidR="00997F7C">
        <w:t>ing</w:t>
      </w:r>
      <w:r w:rsidR="005A4226">
        <w:t xml:space="preserve"> economic development in the region</w:t>
      </w:r>
      <w:r w:rsidR="00997F7C">
        <w:t>.</w:t>
      </w:r>
      <w:r w:rsidR="00D82FB8" w:rsidRPr="00D64DE7">
        <w:t xml:space="preserve"> </w:t>
      </w:r>
      <w:r w:rsidR="00F45D29">
        <w:t>In 2001, the structure of import duties for commodities shipped to Mozambique was as follows: 25</w:t>
      </w:r>
      <w:r w:rsidR="009414AA">
        <w:t xml:space="preserve"> percent</w:t>
      </w:r>
      <w:r w:rsidR="00F45D29">
        <w:t xml:space="preserve"> for consumer goods, 7.5</w:t>
      </w:r>
      <w:r w:rsidR="009414AA">
        <w:t xml:space="preserve"> percent</w:t>
      </w:r>
      <w:r w:rsidR="00F45D29">
        <w:t xml:space="preserve"> for intermediate </w:t>
      </w:r>
      <w:r w:rsidR="00F45D29">
        <w:lastRenderedPageBreak/>
        <w:t>goods and 2.5</w:t>
      </w:r>
      <w:r w:rsidR="009414AA">
        <w:t xml:space="preserve"> percent</w:t>
      </w:r>
      <w:r w:rsidR="00F45D29">
        <w:t xml:space="preserve"> for raw materials. </w:t>
      </w:r>
      <w:r w:rsidR="008E2F10">
        <w:t>U</w:t>
      </w:r>
      <w:r w:rsidR="000B3AE0">
        <w:t>nder the SADC Trade Protocol</w:t>
      </w:r>
      <w:r w:rsidR="00267BFA" w:rsidRPr="00267BFA">
        <w:t xml:space="preserve">, </w:t>
      </w:r>
      <w:r w:rsidR="000B3AE0">
        <w:t xml:space="preserve">Mozambique has been gradually </w:t>
      </w:r>
      <w:r w:rsidR="0065516B">
        <w:t>eliminating</w:t>
      </w:r>
      <w:r w:rsidR="000B3AE0">
        <w:t xml:space="preserve"> </w:t>
      </w:r>
      <w:r w:rsidR="00414ECB">
        <w:t>import duties</w:t>
      </w:r>
      <w:r w:rsidR="000B3AE0">
        <w:t xml:space="preserve">, but duties on some commodities classified as “sensitive” have experienced smaller reductions. </w:t>
      </w:r>
      <w:r w:rsidR="0065516B">
        <w:t xml:space="preserve">For instance, </w:t>
      </w:r>
      <w:r w:rsidR="00980CAB">
        <w:t>duties on all cereals – except maize – imported from SADC countries</w:t>
      </w:r>
      <w:r w:rsidR="00F45D29">
        <w:t xml:space="preserve"> dropped from</w:t>
      </w:r>
      <w:r w:rsidR="00980CAB">
        <w:t xml:space="preserve"> 2.5</w:t>
      </w:r>
      <w:r w:rsidR="009414AA">
        <w:t xml:space="preserve"> percent</w:t>
      </w:r>
      <w:r w:rsidR="00980CAB">
        <w:t xml:space="preserve"> </w:t>
      </w:r>
      <w:r w:rsidR="00F45D29">
        <w:t xml:space="preserve">in 2008 </w:t>
      </w:r>
      <w:r w:rsidR="00980CAB">
        <w:t xml:space="preserve">to zero in 2010. By contrast, with the exception of rice, sorghum, and millet, cereals shipped from the rest of the world to Mozambique are subject to </w:t>
      </w:r>
      <w:r w:rsidR="00867DCB">
        <w:t xml:space="preserve">a </w:t>
      </w:r>
      <w:r w:rsidR="00980CAB">
        <w:t>2.5</w:t>
      </w:r>
      <w:r w:rsidR="009414AA">
        <w:t xml:space="preserve"> percent</w:t>
      </w:r>
      <w:r w:rsidR="00980CAB">
        <w:t xml:space="preserve"> import duty. </w:t>
      </w:r>
      <w:r w:rsidR="003F394A">
        <w:t>U</w:t>
      </w:r>
      <w:r w:rsidR="008E7A09">
        <w:t xml:space="preserve">ntil </w:t>
      </w:r>
      <w:r w:rsidR="00D66006">
        <w:t>2013</w:t>
      </w:r>
      <w:r w:rsidR="008E7A09">
        <w:t>, d</w:t>
      </w:r>
      <w:r w:rsidR="00867DCB">
        <w:t xml:space="preserve">uty on maize imports from South Africa </w:t>
      </w:r>
      <w:r w:rsidR="00D66006">
        <w:t xml:space="preserve">and other SADC countries </w:t>
      </w:r>
      <w:r w:rsidR="00867DCB">
        <w:t xml:space="preserve">is </w:t>
      </w:r>
      <w:r w:rsidR="008E7A09">
        <w:t>set at 2.5</w:t>
      </w:r>
      <w:r w:rsidR="009414AA">
        <w:t xml:space="preserve"> percent</w:t>
      </w:r>
      <w:r w:rsidR="00D66006">
        <w:t>.</w:t>
      </w:r>
      <w:r w:rsidR="008E7A09">
        <w:t xml:space="preserve"> </w:t>
      </w:r>
      <w:r w:rsidR="00D66006">
        <w:t>T</w:t>
      </w:r>
      <w:r w:rsidR="008E7A09">
        <w:t>h</w:t>
      </w:r>
      <w:r w:rsidR="00D66006">
        <w:t>e</w:t>
      </w:r>
      <w:r w:rsidR="00867DCB">
        <w:t xml:space="preserve"> </w:t>
      </w:r>
      <w:r w:rsidR="008E7A09">
        <w:t>charge</w:t>
      </w:r>
      <w:r w:rsidR="00867DCB">
        <w:t xml:space="preserve"> </w:t>
      </w:r>
      <w:r w:rsidR="00D66006">
        <w:t xml:space="preserve">on South Africa maize imports </w:t>
      </w:r>
      <w:r w:rsidR="00867DCB">
        <w:t xml:space="preserve">will continue </w:t>
      </w:r>
      <w:r w:rsidR="008E7A09">
        <w:t>to be in effect</w:t>
      </w:r>
      <w:r w:rsidR="00867DCB">
        <w:t xml:space="preserve"> until 2015 when it is </w:t>
      </w:r>
      <w:r w:rsidR="00F45D29">
        <w:t xml:space="preserve">scheduled </w:t>
      </w:r>
      <w:r w:rsidR="00867DCB">
        <w:t xml:space="preserve">to </w:t>
      </w:r>
      <w:r w:rsidR="006318C0">
        <w:t>phase</w:t>
      </w:r>
      <w:r w:rsidR="00867DCB">
        <w:t xml:space="preserve"> </w:t>
      </w:r>
      <w:r w:rsidR="008E7A09">
        <w:t>down to zero.</w:t>
      </w:r>
      <w:r w:rsidR="00D66006">
        <w:t xml:space="preserve"> </w:t>
      </w:r>
      <w:r w:rsidR="008E2F10">
        <w:t>Maize flour is subject to a duty of 20</w:t>
      </w:r>
      <w:r w:rsidR="009414AA">
        <w:t xml:space="preserve"> percent</w:t>
      </w:r>
      <w:r w:rsidR="008E2F10">
        <w:t xml:space="preserve"> when imported into </w:t>
      </w:r>
      <w:r w:rsidR="00D66006">
        <w:t>Mozambique</w:t>
      </w:r>
      <w:r w:rsidR="008E2F10">
        <w:t xml:space="preserve"> from SADC </w:t>
      </w:r>
      <w:r w:rsidR="006318C0">
        <w:t>or</w:t>
      </w:r>
      <w:r w:rsidR="008E2F10">
        <w:t xml:space="preserve"> non-SADC countries</w:t>
      </w:r>
      <w:r w:rsidR="006318C0">
        <w:t xml:space="preserve"> (Chilonda et al, 2012; Acosta, 2012</w:t>
      </w:r>
      <w:r w:rsidR="00890CE5">
        <w:t>; MIC, 2004</w:t>
      </w:r>
      <w:r w:rsidR="006318C0">
        <w:t>)</w:t>
      </w:r>
      <w:r w:rsidR="008E2F10">
        <w:t>.</w:t>
      </w:r>
      <w:r w:rsidR="004A4B17">
        <w:t xml:space="preserve"> </w:t>
      </w:r>
    </w:p>
    <w:p w:rsidR="00403962" w:rsidRDefault="00D147FD" w:rsidP="00D147FD">
      <w:r>
        <w:t xml:space="preserve">According to Tschirley and Abdula (2007) and Chilonda et al (2012), </w:t>
      </w:r>
      <w:r w:rsidR="000B4F76">
        <w:t>in</w:t>
      </w:r>
      <w:r w:rsidR="000B4F76" w:rsidRPr="00267BFA">
        <w:t xml:space="preserve"> addition to the</w:t>
      </w:r>
      <w:r w:rsidR="000B4F76">
        <w:t xml:space="preserve"> </w:t>
      </w:r>
      <w:r w:rsidR="000B4F76" w:rsidRPr="00267BFA">
        <w:t>2.5</w:t>
      </w:r>
      <w:r w:rsidR="009414AA">
        <w:t xml:space="preserve"> percent</w:t>
      </w:r>
      <w:r w:rsidR="000B4F76" w:rsidRPr="00267BFA">
        <w:t xml:space="preserve"> </w:t>
      </w:r>
      <w:r w:rsidR="000B4F76">
        <w:t>import duty</w:t>
      </w:r>
      <w:r w:rsidR="000B4F76" w:rsidRPr="00267BFA">
        <w:t>, Mozambique also applies a 17</w:t>
      </w:r>
      <w:r w:rsidR="009414AA">
        <w:t xml:space="preserve"> percent</w:t>
      </w:r>
      <w:r w:rsidR="000B4F76" w:rsidRPr="00267BFA">
        <w:t xml:space="preserve"> value added</w:t>
      </w:r>
      <w:r w:rsidR="000B4F76">
        <w:t xml:space="preserve"> tax (VAT) to both maize grain and maize flour. </w:t>
      </w:r>
      <w:r w:rsidR="00267BFA">
        <w:t>I</w:t>
      </w:r>
      <w:r w:rsidR="00D82FB8" w:rsidRPr="00D64DE7">
        <w:t xml:space="preserve">n the case of maize trade between Mozambique and South Africa, </w:t>
      </w:r>
      <w:r w:rsidR="00993277">
        <w:t>this</w:t>
      </w:r>
      <w:r w:rsidR="00D82FB8" w:rsidRPr="00D64DE7">
        <w:t xml:space="preserve"> creates an immediate cost disadvantage for the imported product. Since VAT is not applied to domestic production, this</w:t>
      </w:r>
      <w:r w:rsidR="00993277">
        <w:t xml:space="preserve"> </w:t>
      </w:r>
      <w:r w:rsidR="00D82FB8" w:rsidRPr="00D64DE7">
        <w:t xml:space="preserve">measure </w:t>
      </w:r>
      <w:r w:rsidR="00D82FB8" w:rsidRPr="00D64DE7">
        <w:rPr>
          <w:i/>
        </w:rPr>
        <w:t>de facto</w:t>
      </w:r>
      <w:r w:rsidR="00D82FB8" w:rsidRPr="00D64DE7">
        <w:t xml:space="preserve"> constitutes a trade policy measure in the form of an import tax. On the other hand, large</w:t>
      </w:r>
      <w:r w:rsidR="00304A3C">
        <w:t>-scale</w:t>
      </w:r>
      <w:r w:rsidR="00D82FB8" w:rsidRPr="00D64DE7">
        <w:t xml:space="preserve"> millers who import maize grain from South Africa and mill </w:t>
      </w:r>
      <w:r w:rsidR="0092099F">
        <w:t>it</w:t>
      </w:r>
      <w:r w:rsidR="00D82FB8" w:rsidRPr="00D64DE7">
        <w:t xml:space="preserve"> in Maputo are entitled to the full reimbursement of the VAT</w:t>
      </w:r>
      <w:r w:rsidR="00947699">
        <w:t xml:space="preserve"> </w:t>
      </w:r>
      <w:r w:rsidR="000B4F76">
        <w:t>w</w:t>
      </w:r>
      <w:r w:rsidR="00993277">
        <w:t xml:space="preserve">ithin </w:t>
      </w:r>
      <w:r w:rsidR="000B4F76">
        <w:t xml:space="preserve">three </w:t>
      </w:r>
      <w:r w:rsidR="00993277">
        <w:t>months</w:t>
      </w:r>
      <w:r w:rsidR="00D82FB8" w:rsidRPr="00D64DE7">
        <w:t>.</w:t>
      </w:r>
      <w:r w:rsidR="00C136AA">
        <w:t xml:space="preserve"> </w:t>
      </w:r>
      <w:r w:rsidR="00993277" w:rsidRPr="00993277">
        <w:t>However, if imported</w:t>
      </w:r>
      <w:r w:rsidR="0092099F">
        <w:t xml:space="preserve"> maize</w:t>
      </w:r>
      <w:r w:rsidR="00993277" w:rsidRPr="00993277">
        <w:t xml:space="preserve"> is processed on a small scale or sold in retail markets,</w:t>
      </w:r>
      <w:r w:rsidR="00993277">
        <w:t xml:space="preserve"> </w:t>
      </w:r>
      <w:r w:rsidR="00993277" w:rsidRPr="00993277">
        <w:t>the VAT is not reimbursed</w:t>
      </w:r>
      <w:r w:rsidR="00993277">
        <w:t xml:space="preserve"> (Tschirley </w:t>
      </w:r>
      <w:r w:rsidR="007E76C9">
        <w:t>and</w:t>
      </w:r>
      <w:r w:rsidR="00993277">
        <w:t xml:space="preserve"> Abdula, 2007).</w:t>
      </w:r>
      <w:r w:rsidR="00D82FB8" w:rsidRPr="00D64DE7">
        <w:t xml:space="preserve"> Tschirley </w:t>
      </w:r>
      <w:r w:rsidR="00304A3C">
        <w:t>and Abdula</w:t>
      </w:r>
      <w:r w:rsidR="00D82FB8" w:rsidRPr="00D64DE7">
        <w:t xml:space="preserve"> (</w:t>
      </w:r>
      <w:r w:rsidR="00304A3C" w:rsidRPr="00D64DE7">
        <w:t>200</w:t>
      </w:r>
      <w:r w:rsidR="00304A3C">
        <w:t>7</w:t>
      </w:r>
      <w:r w:rsidR="00D82FB8" w:rsidRPr="00D64DE7">
        <w:t xml:space="preserve">) conclude that due to this imbalance, grain </w:t>
      </w:r>
      <w:r w:rsidR="0092099F">
        <w:t>marketed</w:t>
      </w:r>
      <w:r w:rsidR="00D82FB8" w:rsidRPr="00D64DE7">
        <w:t xml:space="preserve"> in </w:t>
      </w:r>
      <w:r w:rsidR="007E76C9">
        <w:t>S</w:t>
      </w:r>
      <w:r w:rsidR="007E76C9" w:rsidRPr="00D64DE7">
        <w:t xml:space="preserve">outhern </w:t>
      </w:r>
      <w:r w:rsidR="00D82FB8" w:rsidRPr="00D64DE7">
        <w:t>Mozambique was mostly of domestic origin</w:t>
      </w:r>
      <w:r w:rsidR="00267BFA">
        <w:t xml:space="preserve">, </w:t>
      </w:r>
      <w:r w:rsidR="00267BFA" w:rsidRPr="00267BFA">
        <w:t>while demand from industrial process</w:t>
      </w:r>
      <w:r w:rsidR="007E76C9">
        <w:t>ors</w:t>
      </w:r>
      <w:r w:rsidR="00267BFA" w:rsidRPr="00267BFA">
        <w:t xml:space="preserve"> is met</w:t>
      </w:r>
      <w:r w:rsidR="00267BFA">
        <w:t xml:space="preserve"> </w:t>
      </w:r>
      <w:r w:rsidR="00267BFA" w:rsidRPr="00267BFA">
        <w:t xml:space="preserve">by imports from South Africa. </w:t>
      </w:r>
      <w:r w:rsidR="00D82FB8" w:rsidRPr="00D64DE7">
        <w:t xml:space="preserve">This explains the preferences of </w:t>
      </w:r>
      <w:r w:rsidR="00947699">
        <w:t xml:space="preserve">small </w:t>
      </w:r>
      <w:r w:rsidR="00D82FB8" w:rsidRPr="00D64DE7">
        <w:t xml:space="preserve">traders in Maputo to procure maize grain from </w:t>
      </w:r>
      <w:r w:rsidR="00D1126A">
        <w:t>C</w:t>
      </w:r>
      <w:r w:rsidR="00D1126A" w:rsidRPr="00D64DE7">
        <w:t xml:space="preserve">entral </w:t>
      </w:r>
      <w:r w:rsidR="00D82FB8" w:rsidRPr="00D64DE7">
        <w:t xml:space="preserve">and </w:t>
      </w:r>
      <w:r w:rsidR="00D1126A">
        <w:t>N</w:t>
      </w:r>
      <w:r w:rsidR="00D1126A" w:rsidRPr="00D64DE7">
        <w:t xml:space="preserve">orthern </w:t>
      </w:r>
      <w:r w:rsidR="00D82FB8" w:rsidRPr="00D64DE7">
        <w:t>region of Mozambique, despite the high transport cost</w:t>
      </w:r>
      <w:r w:rsidR="000B4F76">
        <w:t>s</w:t>
      </w:r>
      <w:r w:rsidR="00D82FB8" w:rsidRPr="00D64DE7">
        <w:t xml:space="preserve">, which keeps the prices in Maputo market </w:t>
      </w:r>
      <w:r w:rsidR="00304A3C">
        <w:t xml:space="preserve">considerably </w:t>
      </w:r>
      <w:r w:rsidR="00D82FB8" w:rsidRPr="00D64DE7">
        <w:t xml:space="preserve">higher </w:t>
      </w:r>
      <w:r w:rsidR="00304A3C">
        <w:t>compared to</w:t>
      </w:r>
      <w:r w:rsidR="00D82FB8" w:rsidRPr="00D64DE7">
        <w:t xml:space="preserve"> other regions</w:t>
      </w:r>
      <w:r w:rsidR="00431D67">
        <w:t xml:space="preserve"> of the country</w:t>
      </w:r>
      <w:r w:rsidR="00D82FB8" w:rsidRPr="00D64DE7">
        <w:t xml:space="preserve">.    </w:t>
      </w:r>
    </w:p>
    <w:p w:rsidR="00D82FB8" w:rsidRPr="00D64DE7" w:rsidRDefault="00403962" w:rsidP="00D82FB8">
      <w:pPr>
        <w:spacing w:after="120"/>
        <w:rPr>
          <w:b/>
        </w:rPr>
      </w:pPr>
      <w:r w:rsidRPr="00267BFA" w:rsidDel="00993277">
        <w:rPr>
          <w:b/>
        </w:rPr>
        <w:t xml:space="preserve"> </w:t>
      </w:r>
      <w:r w:rsidR="00D82FB8" w:rsidRPr="00D64DE7">
        <w:rPr>
          <w:b/>
        </w:rPr>
        <w:t xml:space="preserve">Marketing and price policies </w:t>
      </w:r>
    </w:p>
    <w:p w:rsidR="00745261" w:rsidRDefault="00294375" w:rsidP="00D147FD">
      <w:r>
        <w:t xml:space="preserve">After moving from centrally planned to market-oriented economy, </w:t>
      </w:r>
      <w:r w:rsidR="001735D2">
        <w:t>commodity prices</w:t>
      </w:r>
      <w:r w:rsidR="00745261">
        <w:t xml:space="preserve"> in Mozambique</w:t>
      </w:r>
      <w:r w:rsidR="001735D2">
        <w:t xml:space="preserve"> are generally determined by market forces with minimal government interventions. F</w:t>
      </w:r>
      <w:r w:rsidR="00CD5D0D">
        <w:t xml:space="preserve">rom time to time, </w:t>
      </w:r>
      <w:r>
        <w:t xml:space="preserve">the GoM imposes price controls on </w:t>
      </w:r>
      <w:r w:rsidR="00CD5D0D">
        <w:t xml:space="preserve">a few </w:t>
      </w:r>
      <w:r>
        <w:t xml:space="preserve">basic </w:t>
      </w:r>
      <w:r w:rsidR="00CD5D0D">
        <w:t>commodit</w:t>
      </w:r>
      <w:r w:rsidR="005E5388">
        <w:t>ies</w:t>
      </w:r>
      <w:r>
        <w:t xml:space="preserve"> </w:t>
      </w:r>
      <w:r w:rsidR="00CD5D0D">
        <w:t xml:space="preserve">in an attempt to protect vulnerable groups </w:t>
      </w:r>
      <w:r w:rsidR="00436EA2">
        <w:t xml:space="preserve">in both rural and urban areas </w:t>
      </w:r>
      <w:r w:rsidR="00CD5D0D">
        <w:t xml:space="preserve">and to </w:t>
      </w:r>
      <w:r w:rsidR="001735D2">
        <w:t>contribute</w:t>
      </w:r>
      <w:r w:rsidR="00CD5D0D">
        <w:t xml:space="preserve"> to some degree to poverty alleviation</w:t>
      </w:r>
      <w:r w:rsidR="001735D2">
        <w:t>, and food and nutrition security</w:t>
      </w:r>
      <w:r w:rsidR="00333C29">
        <w:t xml:space="preserve"> (Chilonda et al, 2012; Cunguara, 2012)</w:t>
      </w:r>
      <w:r w:rsidR="00CD5D0D">
        <w:t xml:space="preserve">. For example, in response to the sharp spike in food price experienced in 2008, the GoM introduced </w:t>
      </w:r>
      <w:r w:rsidR="00333C29">
        <w:t xml:space="preserve">price </w:t>
      </w:r>
      <w:r w:rsidR="00CD5D0D">
        <w:t xml:space="preserve">subsidies </w:t>
      </w:r>
      <w:r w:rsidR="00333C29">
        <w:t>(diesel, wheat,</w:t>
      </w:r>
      <w:r w:rsidR="00745261">
        <w:t xml:space="preserve"> rice, cooking oil,</w:t>
      </w:r>
      <w:r w:rsidR="00333C29">
        <w:t xml:space="preserve"> water and electricity) </w:t>
      </w:r>
      <w:r w:rsidR="00CD5D0D">
        <w:t xml:space="preserve">after violent riots erupted in </w:t>
      </w:r>
      <w:r w:rsidR="00C26348">
        <w:t>urban areas, especially Maputo city</w:t>
      </w:r>
      <w:r w:rsidR="00CD5D0D">
        <w:t xml:space="preserve">. </w:t>
      </w:r>
      <w:r w:rsidR="001735D2">
        <w:t>Rapid increases in commodity prices seen 2010 also led to violent</w:t>
      </w:r>
      <w:r w:rsidR="005E5388">
        <w:t xml:space="preserve"> </w:t>
      </w:r>
      <w:r w:rsidR="001735D2">
        <w:t xml:space="preserve">protests in urban areas, and the government </w:t>
      </w:r>
      <w:r w:rsidR="00333C29">
        <w:t xml:space="preserve">again </w:t>
      </w:r>
      <w:r w:rsidR="001735D2">
        <w:t xml:space="preserve">responded by reintroducing fuel and food </w:t>
      </w:r>
      <w:r w:rsidR="00333C29">
        <w:t xml:space="preserve">price </w:t>
      </w:r>
      <w:r w:rsidR="001735D2">
        <w:t xml:space="preserve">subsidies. </w:t>
      </w:r>
      <w:r w:rsidR="00333C29">
        <w:t>Acording to Cunguara (2012), d</w:t>
      </w:r>
      <w:r w:rsidR="00C26348">
        <w:t xml:space="preserve">uring both </w:t>
      </w:r>
      <w:r w:rsidR="00333C29">
        <w:t xml:space="preserve">food </w:t>
      </w:r>
      <w:r w:rsidR="00C26348">
        <w:t>riots (February 2008 and September 2010), some people were killed and several entities were paralyzed.</w:t>
      </w:r>
      <w:r w:rsidR="00333C29">
        <w:t xml:space="preserve"> Despite the relatively high importance of maize in food consumption, especially in rural areas, maize was not among the subsidized commodities.</w:t>
      </w:r>
      <w:r w:rsidR="00745261">
        <w:t xml:space="preserve"> However, subsidized fuel prices would indirectly have an impact on maize prices because fuel is used as an </w:t>
      </w:r>
      <w:r w:rsidR="007979EC">
        <w:t xml:space="preserve">intermediate </w:t>
      </w:r>
      <w:r w:rsidR="00745261">
        <w:t>input for maize production and milling.</w:t>
      </w:r>
    </w:p>
    <w:p w:rsidR="00782A46" w:rsidRDefault="00782A46" w:rsidP="00D147FD">
      <w:r>
        <w:t xml:space="preserve">Under the Food Production Action Plan (PAPA) </w:t>
      </w:r>
      <w:r w:rsidR="003F394A">
        <w:t xml:space="preserve">formulated in </w:t>
      </w:r>
      <w:r>
        <w:t>2008</w:t>
      </w:r>
      <w:r w:rsidR="003F394A">
        <w:t xml:space="preserve"> and started in 2009 as a</w:t>
      </w:r>
      <w:r>
        <w:t xml:space="preserve"> strategy in response to the worldwide </w:t>
      </w:r>
      <w:r w:rsidR="003F394A">
        <w:t xml:space="preserve">2007/08 </w:t>
      </w:r>
      <w:r>
        <w:t xml:space="preserve">food price crisis, the GoM began to build strategic silos for </w:t>
      </w:r>
      <w:r w:rsidR="003F394A">
        <w:t xml:space="preserve">storage of cereals, </w:t>
      </w:r>
      <w:r>
        <w:t>including maize</w:t>
      </w:r>
      <w:r w:rsidR="003F394A">
        <w:t>,</w:t>
      </w:r>
      <w:r>
        <w:t xml:space="preserve"> </w:t>
      </w:r>
      <w:r w:rsidR="003F394A">
        <w:t xml:space="preserve">in all provinces of the country </w:t>
      </w:r>
      <w:r>
        <w:t xml:space="preserve">except </w:t>
      </w:r>
      <w:r w:rsidR="00703945">
        <w:t xml:space="preserve">Maputo and Inhambane </w:t>
      </w:r>
      <w:r w:rsidR="00703945">
        <w:lastRenderedPageBreak/>
        <w:t xml:space="preserve">provinces, with the aim to reach a total capacity of </w:t>
      </w:r>
      <w:r>
        <w:t xml:space="preserve">143 thousand </w:t>
      </w:r>
      <w:r w:rsidR="008851CC">
        <w:t>tonnes</w:t>
      </w:r>
      <w:r>
        <w:t xml:space="preserve"> by 2011.</w:t>
      </w:r>
      <w:r w:rsidR="00703945">
        <w:rPr>
          <w:rStyle w:val="FootnoteReference"/>
        </w:rPr>
        <w:footnoteReference w:id="6"/>
      </w:r>
      <w:r>
        <w:t xml:space="preserve"> The rationale </w:t>
      </w:r>
      <w:r w:rsidR="00703945">
        <w:t>behind this policy</w:t>
      </w:r>
      <w:r>
        <w:t xml:space="preserve"> is to stabilize domestic cereals price increases and to minimize </w:t>
      </w:r>
      <w:r w:rsidR="00703945">
        <w:t>trasmission</w:t>
      </w:r>
      <w:r>
        <w:t xml:space="preserve"> of price </w:t>
      </w:r>
      <w:r w:rsidR="00703945">
        <w:t>spikes</w:t>
      </w:r>
      <w:r>
        <w:t xml:space="preserve"> from international to domestic markets. More recently, in 2013, the GoM launched the Mozambique Commodity Exchange through which the cereals reservoir kept in the silos could be traded.</w:t>
      </w:r>
    </w:p>
    <w:p w:rsidR="00D147FD" w:rsidRDefault="00DB4F23" w:rsidP="00D147FD">
      <w:r>
        <w:t>High p</w:t>
      </w:r>
      <w:r w:rsidR="00C06DD5">
        <w:t>rices of imported inputs</w:t>
      </w:r>
      <w:r w:rsidR="00CC5F9F">
        <w:t>,</w:t>
      </w:r>
      <w:r w:rsidR="00C06DD5">
        <w:t xml:space="preserve"> </w:t>
      </w:r>
      <w:r>
        <w:t>especially</w:t>
      </w:r>
      <w:r w:rsidR="00C06DD5">
        <w:t xml:space="preserve"> </w:t>
      </w:r>
      <w:r>
        <w:t>fertilizer</w:t>
      </w:r>
      <w:r w:rsidR="00CC5F9F">
        <w:t>,</w:t>
      </w:r>
      <w:r w:rsidR="00C06DD5">
        <w:t xml:space="preserve"> are </w:t>
      </w:r>
      <w:r>
        <w:t>among the factors that prevent smallholder farmers from having access to yield-boosting inputs</w:t>
      </w:r>
      <w:r w:rsidR="00CC5F9F">
        <w:t xml:space="preserve"> – required to increase productivity for maize and other crops – when they are available in local markets</w:t>
      </w:r>
      <w:r>
        <w:t xml:space="preserve">. Three main factors contribute to these high prices: government policy regarding fertilizer importation and marketing, high transport costs, and </w:t>
      </w:r>
      <w:r w:rsidR="00ED3884">
        <w:t>farmers’ lack of information</w:t>
      </w:r>
      <w:r>
        <w:t xml:space="preserve"> concerning efficient use of fertilizer. Benson, Cunguara and Tewodaj (2012) </w:t>
      </w:r>
      <w:r w:rsidR="00CC5F9F">
        <w:t>argued</w:t>
      </w:r>
      <w:r>
        <w:t xml:space="preserve"> that </w:t>
      </w:r>
      <w:r w:rsidR="0091791F">
        <w:t xml:space="preserve">government regulations on fertilizer impose indirect costs on fertilizer importers by </w:t>
      </w:r>
      <w:r w:rsidR="00ED3884">
        <w:t>increasing transaction costs related but not limited to</w:t>
      </w:r>
      <w:r w:rsidR="00CC5F9F">
        <w:t xml:space="preserve"> </w:t>
      </w:r>
      <w:r w:rsidR="0091791F">
        <w:t xml:space="preserve">time and financial means </w:t>
      </w:r>
      <w:r w:rsidR="00ED3884">
        <w:t>required</w:t>
      </w:r>
      <w:r w:rsidR="0091791F">
        <w:t xml:space="preserve"> to register and </w:t>
      </w:r>
      <w:r w:rsidR="00CC5F9F">
        <w:t xml:space="preserve">to </w:t>
      </w:r>
      <w:r w:rsidR="0091791F">
        <w:t>pay annual license fees</w:t>
      </w:r>
      <w:r w:rsidR="00CC5F9F">
        <w:t xml:space="preserve"> as a fertilizer importer.</w:t>
      </w:r>
      <w:r w:rsidR="0091791F">
        <w:t xml:space="preserve"> </w:t>
      </w:r>
      <w:r w:rsidR="00ED3884">
        <w:t xml:space="preserve">These increased transaction costs are then passed on to farmers. </w:t>
      </w:r>
      <w:r w:rsidR="00436EA2">
        <w:t xml:space="preserve">The GoM has tried to put in place some measures to </w:t>
      </w:r>
      <w:r w:rsidR="00CC5F9F">
        <w:t>promote farmers’ use of inputs to boost their productivity.</w:t>
      </w:r>
      <w:r w:rsidR="00ED3884">
        <w:t xml:space="preserve"> It is worth mentioning that removal of import tariffs under the SADC Trade Protocol sh</w:t>
      </w:r>
      <w:r w:rsidR="00782A46">
        <w:t>ould have contributed to some extent to lowering</w:t>
      </w:r>
      <w:r w:rsidR="00ED3884">
        <w:t xml:space="preserve"> fertilizer prices.</w:t>
      </w:r>
    </w:p>
    <w:p w:rsidR="00D82FB8" w:rsidRPr="00FE0EF6" w:rsidRDefault="007979EC" w:rsidP="003E6269">
      <w:pPr>
        <w:rPr>
          <w:rFonts w:eastAsia="Calibri" w:cs="Arial"/>
          <w:b/>
          <w:bCs/>
        </w:rPr>
      </w:pPr>
      <w:r>
        <w:t xml:space="preserve"> </w:t>
      </w:r>
      <w:r w:rsidR="007978C3" w:rsidRPr="00FE0EF6">
        <w:rPr>
          <w:rFonts w:eastAsia="Calibri" w:cs="Arial"/>
          <w:b/>
          <w:bCs/>
        </w:rPr>
        <w:t>Agricultur</w:t>
      </w:r>
      <w:r w:rsidR="007978C3">
        <w:rPr>
          <w:rFonts w:eastAsia="Calibri" w:cs="Arial"/>
          <w:b/>
          <w:bCs/>
        </w:rPr>
        <w:t>al</w:t>
      </w:r>
      <w:r w:rsidR="007978C3" w:rsidRPr="00FE0EF6">
        <w:rPr>
          <w:rFonts w:eastAsia="Calibri" w:cs="Arial"/>
          <w:b/>
          <w:bCs/>
        </w:rPr>
        <w:t xml:space="preserve"> </w:t>
      </w:r>
      <w:r w:rsidR="00B84910">
        <w:rPr>
          <w:rFonts w:eastAsia="Calibri" w:cs="Arial"/>
          <w:b/>
          <w:bCs/>
        </w:rPr>
        <w:t>i</w:t>
      </w:r>
      <w:r w:rsidR="00D82FB8" w:rsidRPr="00FE0EF6">
        <w:rPr>
          <w:rFonts w:eastAsia="Calibri" w:cs="Arial"/>
          <w:b/>
          <w:bCs/>
        </w:rPr>
        <w:t xml:space="preserve">nput </w:t>
      </w:r>
      <w:r w:rsidR="00B84910">
        <w:rPr>
          <w:rFonts w:eastAsia="Calibri" w:cs="Arial"/>
          <w:b/>
          <w:bCs/>
        </w:rPr>
        <w:t>m</w:t>
      </w:r>
      <w:r w:rsidR="00D82FB8" w:rsidRPr="00FE0EF6">
        <w:rPr>
          <w:rFonts w:eastAsia="Calibri" w:cs="Arial"/>
          <w:b/>
          <w:bCs/>
        </w:rPr>
        <w:t>easure</w:t>
      </w:r>
      <w:r w:rsidR="00B84910">
        <w:rPr>
          <w:rFonts w:eastAsia="Calibri" w:cs="Arial"/>
          <w:b/>
          <w:bCs/>
        </w:rPr>
        <w:t>s and s</w:t>
      </w:r>
      <w:r w:rsidR="00D82FB8" w:rsidRPr="00FE0EF6">
        <w:rPr>
          <w:rFonts w:eastAsia="Calibri" w:cs="Arial"/>
          <w:b/>
          <w:bCs/>
        </w:rPr>
        <w:t>ubsidies</w:t>
      </w:r>
    </w:p>
    <w:p w:rsidR="008009F2" w:rsidRDefault="00607A51" w:rsidP="00D147FD">
      <w:r>
        <w:t xml:space="preserve">The GoM introduced a </w:t>
      </w:r>
      <w:r w:rsidR="00377260">
        <w:t>10</w:t>
      </w:r>
      <w:r w:rsidR="009414AA">
        <w:t xml:space="preserve"> percent</w:t>
      </w:r>
      <w:r w:rsidR="00377260">
        <w:t xml:space="preserve"> </w:t>
      </w:r>
      <w:r>
        <w:t xml:space="preserve">subsidy on </w:t>
      </w:r>
      <w:r w:rsidR="00377260">
        <w:t>electricity</w:t>
      </w:r>
      <w:r>
        <w:t xml:space="preserve"> (</w:t>
      </w:r>
      <w:r w:rsidR="009E6872">
        <w:t xml:space="preserve">measured as </w:t>
      </w:r>
      <w:r>
        <w:t>kilowatt-hour)</w:t>
      </w:r>
      <w:r w:rsidR="00377260">
        <w:t xml:space="preserve"> prices </w:t>
      </w:r>
      <w:r>
        <w:t>i</w:t>
      </w:r>
      <w:r w:rsidRPr="005C0DC5">
        <w:t xml:space="preserve">n </w:t>
      </w:r>
      <w:r w:rsidR="00D82FB8" w:rsidRPr="005C0DC5">
        <w:t>2010</w:t>
      </w:r>
      <w:r>
        <w:t xml:space="preserve">. This measure was </w:t>
      </w:r>
      <w:r w:rsidR="008009F2">
        <w:t>seen</w:t>
      </w:r>
      <w:r w:rsidR="00ED3884">
        <w:t xml:space="preserve"> </w:t>
      </w:r>
      <w:r w:rsidR="009E6872">
        <w:t xml:space="preserve">as an incentive to promote domestic food and non-food industries, especially those that use </w:t>
      </w:r>
      <w:r w:rsidR="00ED3884">
        <w:t xml:space="preserve">large volumes of </w:t>
      </w:r>
      <w:r w:rsidR="009E6872">
        <w:t>electricity</w:t>
      </w:r>
      <w:r w:rsidR="00F73AA2">
        <w:t xml:space="preserve"> in their production processes</w:t>
      </w:r>
      <w:r w:rsidR="009E6872">
        <w:t>.</w:t>
      </w:r>
      <w:r w:rsidR="00ED3884">
        <w:t xml:space="preserve"> </w:t>
      </w:r>
      <w:r w:rsidR="00D82FB8" w:rsidRPr="005C0DC5">
        <w:t xml:space="preserve">Maize </w:t>
      </w:r>
      <w:r w:rsidR="00FA7E7A">
        <w:t>farmers, consumers, and millers</w:t>
      </w:r>
      <w:r w:rsidR="00FA7E7A" w:rsidRPr="005C0DC5">
        <w:t xml:space="preserve"> </w:t>
      </w:r>
      <w:r w:rsidR="009E6872">
        <w:t>direct or indirectly</w:t>
      </w:r>
      <w:r w:rsidR="009E6872" w:rsidRPr="005C0DC5">
        <w:t xml:space="preserve"> </w:t>
      </w:r>
      <w:r w:rsidR="00D82FB8" w:rsidRPr="005C0DC5">
        <w:t>benefited from this government subsidy</w:t>
      </w:r>
      <w:r w:rsidR="00530C51">
        <w:t xml:space="preserve"> </w:t>
      </w:r>
      <w:r w:rsidR="008009F2">
        <w:t>since</w:t>
      </w:r>
      <w:r w:rsidR="00530C51">
        <w:t xml:space="preserve"> maize milling </w:t>
      </w:r>
      <w:r w:rsidR="008009F2">
        <w:t>processes consume</w:t>
      </w:r>
      <w:r w:rsidR="00530C51">
        <w:t xml:space="preserve"> substantial quantities of energy.</w:t>
      </w:r>
      <w:r w:rsidR="00D82FB8" w:rsidRPr="005C0DC5">
        <w:t xml:space="preserve"> </w:t>
      </w:r>
      <w:r w:rsidR="00530C51">
        <w:t xml:space="preserve">On the other hand, according </w:t>
      </w:r>
      <w:r w:rsidR="001A27BF">
        <w:t>to FAO and WFP (2010),</w:t>
      </w:r>
      <w:r w:rsidR="00D82FB8" w:rsidRPr="005C0DC5">
        <w:t xml:space="preserve"> </w:t>
      </w:r>
      <w:r w:rsidR="00782A46">
        <w:t xml:space="preserve">in 2010, the GoM began to gradually phase down </w:t>
      </w:r>
      <w:r w:rsidR="00530C51">
        <w:t>fuel subsidies</w:t>
      </w:r>
      <w:r w:rsidR="00532942">
        <w:t xml:space="preserve"> introduced in 2008</w:t>
      </w:r>
      <w:r w:rsidR="008009F2">
        <w:t xml:space="preserve"> </w:t>
      </w:r>
      <w:r w:rsidR="00530C51">
        <w:t xml:space="preserve">to align </w:t>
      </w:r>
      <w:r w:rsidR="008009F2">
        <w:t>domestic prices with international market price; this</w:t>
      </w:r>
      <w:r w:rsidR="008009F2" w:rsidRPr="008009F2">
        <w:t xml:space="preserve"> </w:t>
      </w:r>
      <w:r w:rsidR="008009F2">
        <w:t>resulted in progressive increases in domestic fuel prices</w:t>
      </w:r>
      <w:r w:rsidR="00530C51">
        <w:t xml:space="preserve">. However, </w:t>
      </w:r>
      <w:r w:rsidR="00532942">
        <w:t xml:space="preserve">as a complementary strategy, </w:t>
      </w:r>
      <w:r w:rsidR="00530C51">
        <w:t>t</w:t>
      </w:r>
      <w:r w:rsidR="00532942">
        <w:t>he GoM subsidized public transport to minimize the impact of the rising fuel prices on the poor.</w:t>
      </w:r>
      <w:r w:rsidR="00782A46">
        <w:t xml:space="preserve"> </w:t>
      </w:r>
    </w:p>
    <w:p w:rsidR="00D82FB8" w:rsidRDefault="008009F2" w:rsidP="00D147FD">
      <w:r>
        <w:t>In</w:t>
      </w:r>
      <w:r w:rsidR="00D82FB8" w:rsidRPr="005C0DC5">
        <w:t xml:space="preserve"> 2010, the government introduced credit subsidies </w:t>
      </w:r>
      <w:r w:rsidR="00B84910">
        <w:t>totaling</w:t>
      </w:r>
      <w:r w:rsidR="00B84910" w:rsidRPr="005C0DC5">
        <w:t xml:space="preserve"> </w:t>
      </w:r>
      <w:r w:rsidR="00D82FB8" w:rsidRPr="005C0DC5">
        <w:t xml:space="preserve">USD 25 million </w:t>
      </w:r>
      <w:r w:rsidR="00B84910">
        <w:t>for providing</w:t>
      </w:r>
      <w:r w:rsidR="00B84910" w:rsidRPr="005C0DC5">
        <w:t xml:space="preserve"> </w:t>
      </w:r>
      <w:r w:rsidR="00D82FB8" w:rsidRPr="005C0DC5">
        <w:t>low interest loans to small farmers to support cereal</w:t>
      </w:r>
      <w:r w:rsidR="00B84910">
        <w:t>s’</w:t>
      </w:r>
      <w:r w:rsidR="00D82FB8" w:rsidRPr="005C0DC5">
        <w:t xml:space="preserve"> planting season. Maize producers also benefited from this government subsidy.</w:t>
      </w:r>
    </w:p>
    <w:p w:rsidR="00D82FB8" w:rsidRDefault="00D82FB8" w:rsidP="00D147FD">
      <w:r w:rsidRPr="00D64DE7">
        <w:t>A two-year Agricultural Input Subsidy Program was introduced in 2009 and targeted 25</w:t>
      </w:r>
      <w:r>
        <w:t> </w:t>
      </w:r>
      <w:r w:rsidR="00403962">
        <w:t>thousand </w:t>
      </w:r>
      <w:r w:rsidRPr="00D64DE7">
        <w:t>producers in five provinces and 17 districts</w:t>
      </w:r>
      <w:r>
        <w:t xml:space="preserve"> (</w:t>
      </w:r>
      <w:r w:rsidR="00D56FD6">
        <w:t>Chilonda et al</w:t>
      </w:r>
      <w:r w:rsidRPr="00FE0EF6">
        <w:t>, 201</w:t>
      </w:r>
      <w:r w:rsidR="00D147FD">
        <w:t>2</w:t>
      </w:r>
      <w:r>
        <w:t>).</w:t>
      </w:r>
      <w:r w:rsidR="00436EA2">
        <w:t xml:space="preserve"> </w:t>
      </w:r>
      <w:r w:rsidR="008B7440">
        <w:t>Through the program</w:t>
      </w:r>
      <w:r w:rsidR="008009F2">
        <w:t>me</w:t>
      </w:r>
      <w:r w:rsidRPr="00D64DE7">
        <w:t xml:space="preserve">, farmers received either a rice input pack (40 </w:t>
      </w:r>
      <w:r w:rsidR="007978C3">
        <w:t>kilograms of</w:t>
      </w:r>
      <w:r w:rsidR="007978C3" w:rsidRPr="00D64DE7">
        <w:t xml:space="preserve"> </w:t>
      </w:r>
      <w:r w:rsidRPr="00D64DE7">
        <w:t>seed and 2 bags of fertilizer) or maize input pack (12.5</w:t>
      </w:r>
      <w:r w:rsidR="003649CB">
        <w:t xml:space="preserve"> </w:t>
      </w:r>
      <w:r w:rsidR="007978C3">
        <w:t>kilogram of</w:t>
      </w:r>
      <w:r w:rsidR="007978C3" w:rsidRPr="00D64DE7">
        <w:t xml:space="preserve"> </w:t>
      </w:r>
      <w:r w:rsidRPr="00D64DE7">
        <w:t xml:space="preserve">seed and 2 bags of fertilizer). Own contribution of farmers consisted of </w:t>
      </w:r>
      <w:r w:rsidR="007978C3">
        <w:t>30</w:t>
      </w:r>
      <w:r w:rsidR="009414AA">
        <w:t xml:space="preserve"> percent</w:t>
      </w:r>
      <w:r w:rsidRPr="00D64DE7">
        <w:t xml:space="preserve"> of the cost of inputs. </w:t>
      </w:r>
      <w:r w:rsidR="008B7440">
        <w:t xml:space="preserve">According to </w:t>
      </w:r>
      <w:r w:rsidR="008009F2">
        <w:t xml:space="preserve">the </w:t>
      </w:r>
      <w:r w:rsidR="008009F2" w:rsidRPr="008009F2">
        <w:t xml:space="preserve">Economic and Social Plan </w:t>
      </w:r>
      <w:r w:rsidR="008B7440">
        <w:t>2012, g</w:t>
      </w:r>
      <w:r w:rsidRPr="00D64DE7">
        <w:t>overnment projections indicate that the measure has had a short</w:t>
      </w:r>
      <w:r w:rsidRPr="00D64DE7">
        <w:rPr>
          <w:color w:val="FF0000"/>
        </w:rPr>
        <w:t xml:space="preserve"> </w:t>
      </w:r>
      <w:r w:rsidRPr="00D64DE7">
        <w:t xml:space="preserve">term positive impact on increasing production and productivity of smallholder farmers in rural </w:t>
      </w:r>
      <w:r w:rsidR="007978C3" w:rsidRPr="00D64DE7">
        <w:t>areas</w:t>
      </w:r>
      <w:r w:rsidR="007978C3">
        <w:t>;</w:t>
      </w:r>
      <w:r w:rsidR="008E316F">
        <w:t xml:space="preserve"> although</w:t>
      </w:r>
      <w:r w:rsidR="008B7440">
        <w:t xml:space="preserve"> </w:t>
      </w:r>
      <w:r w:rsidRPr="00D64DE7">
        <w:t xml:space="preserve">no specific data on </w:t>
      </w:r>
      <w:r w:rsidR="008E316F" w:rsidRPr="00D64DE7">
        <w:t>th</w:t>
      </w:r>
      <w:r w:rsidR="008E316F">
        <w:t>is</w:t>
      </w:r>
      <w:r w:rsidR="008E316F" w:rsidRPr="00D64DE7">
        <w:t xml:space="preserve"> </w:t>
      </w:r>
      <w:r w:rsidRPr="00D64DE7">
        <w:t xml:space="preserve">impact </w:t>
      </w:r>
      <w:r w:rsidR="008F5D83">
        <w:t>are</w:t>
      </w:r>
      <w:r w:rsidRPr="00D64DE7">
        <w:t xml:space="preserve"> available.</w:t>
      </w:r>
      <w:r w:rsidR="00782A46">
        <w:t xml:space="preserve"> </w:t>
      </w:r>
      <w:r w:rsidRPr="00D64DE7">
        <w:t xml:space="preserve">The unavailability of data on </w:t>
      </w:r>
      <w:r w:rsidR="008E316F">
        <w:t>the</w:t>
      </w:r>
      <w:r w:rsidRPr="00D64DE7">
        <w:t xml:space="preserve"> amount of subsidies </w:t>
      </w:r>
      <w:r w:rsidR="0092099F">
        <w:t xml:space="preserve">targeting maize farmers </w:t>
      </w:r>
      <w:r w:rsidRPr="00D64DE7">
        <w:t xml:space="preserve">hampers the identification of the real impact of </w:t>
      </w:r>
      <w:r w:rsidR="00F20822">
        <w:t>this policy</w:t>
      </w:r>
      <w:r w:rsidR="00D90CCC">
        <w:t xml:space="preserve">. </w:t>
      </w:r>
      <w:r w:rsidR="008B7440">
        <w:t xml:space="preserve">Public expenditure analysis, which is </w:t>
      </w:r>
      <w:r w:rsidR="008B7440">
        <w:lastRenderedPageBreak/>
        <w:t xml:space="preserve">being undertaken under the MAFAP project, could provide useful insights on </w:t>
      </w:r>
      <w:r w:rsidR="008009F2" w:rsidRPr="00D64DE7">
        <w:t>the exact level of budgetary transfers to maize farmers</w:t>
      </w:r>
      <w:r w:rsidR="008009F2">
        <w:t>.</w:t>
      </w:r>
    </w:p>
    <w:p w:rsidR="00D82FB8" w:rsidRPr="00D82FB8" w:rsidRDefault="00D82FB8" w:rsidP="00D82FB8">
      <w:pPr>
        <w:rPr>
          <w:u w:val="words"/>
        </w:rPr>
      </w:pPr>
    </w:p>
    <w:p w:rsidR="00D82FB8" w:rsidRDefault="00D82FB8" w:rsidP="00D82FB8"/>
    <w:p w:rsidR="00D82FB8" w:rsidRPr="00D82FB8" w:rsidRDefault="00D82FB8" w:rsidP="00D30C4B">
      <w:pPr>
        <w:keepNext/>
        <w:keepLines/>
      </w:pPr>
    </w:p>
    <w:p w:rsidR="002059BF" w:rsidRDefault="002059BF" w:rsidP="00B228FE">
      <w:pPr>
        <w:sectPr w:rsidR="002059BF" w:rsidSect="00A60BEC">
          <w:pgSz w:w="11906" w:h="16838"/>
          <w:pgMar w:top="1418" w:right="1418" w:bottom="1418" w:left="1418" w:header="708" w:footer="708" w:gutter="0"/>
          <w:cols w:space="708"/>
          <w:docGrid w:linePitch="360"/>
        </w:sectPr>
      </w:pPr>
    </w:p>
    <w:p w:rsidR="00F8384F" w:rsidRDefault="00F8384F" w:rsidP="002059BF">
      <w:pPr>
        <w:pStyle w:val="Heading1"/>
        <w:numPr>
          <w:ilvl w:val="0"/>
          <w:numId w:val="30"/>
        </w:numPr>
        <w:spacing w:before="240"/>
      </w:pPr>
      <w:bookmarkStart w:id="37" w:name="_Toc401642225"/>
      <w:r>
        <w:lastRenderedPageBreak/>
        <w:t>METHODOLOGY</w:t>
      </w:r>
      <w:bookmarkEnd w:id="37"/>
    </w:p>
    <w:p w:rsidR="00F8384F" w:rsidRPr="00DC07E1" w:rsidRDefault="00F8384F" w:rsidP="00F8384F">
      <w:pPr>
        <w:rPr>
          <w:rFonts w:eastAsia="Calibri"/>
        </w:rPr>
      </w:pPr>
      <w:r w:rsidRPr="009E1F58">
        <w:rPr>
          <w:rFonts w:eastAsia="Calibri"/>
        </w:rPr>
        <w:t xml:space="preserve">MAFAP methodology seeks to measure price incentives </w:t>
      </w:r>
      <w:r>
        <w:rPr>
          <w:rFonts w:eastAsia="Calibri"/>
        </w:rPr>
        <w:t>for</w:t>
      </w:r>
      <w:r w:rsidRPr="009E1F58">
        <w:rPr>
          <w:rFonts w:eastAsia="Calibri"/>
        </w:rPr>
        <w:t xml:space="preserve"> producers and other </w:t>
      </w:r>
      <w:r>
        <w:rPr>
          <w:rFonts w:eastAsia="Calibri"/>
        </w:rPr>
        <w:t xml:space="preserve">marketing </w:t>
      </w:r>
      <w:r w:rsidRPr="009E1F58">
        <w:rPr>
          <w:rFonts w:eastAsia="Calibri"/>
        </w:rPr>
        <w:t xml:space="preserve">agents in </w:t>
      </w:r>
      <w:r>
        <w:rPr>
          <w:rFonts w:eastAsia="Calibri"/>
        </w:rPr>
        <w:t>key agricultural value chains</w:t>
      </w:r>
      <w:r w:rsidRPr="009E1F58">
        <w:rPr>
          <w:rFonts w:eastAsia="Calibri"/>
        </w:rPr>
        <w:t xml:space="preserve">. The analysis is based on the comparison between </w:t>
      </w:r>
      <w:r>
        <w:rPr>
          <w:rFonts w:eastAsia="Calibri"/>
        </w:rPr>
        <w:t>observed domestic price</w:t>
      </w:r>
      <w:r w:rsidRPr="009E1F58">
        <w:rPr>
          <w:rFonts w:eastAsia="Calibri"/>
        </w:rPr>
        <w:t xml:space="preserve">s and </w:t>
      </w:r>
      <w:r>
        <w:rPr>
          <w:rFonts w:eastAsia="Calibri"/>
        </w:rPr>
        <w:t xml:space="preserve">constructed </w:t>
      </w:r>
      <w:r w:rsidRPr="009E1F58">
        <w:rPr>
          <w:rFonts w:eastAsia="Calibri"/>
        </w:rPr>
        <w:t>reference prices.</w:t>
      </w:r>
      <w:r w:rsidRPr="009E1F58">
        <w:rPr>
          <w:iCs/>
        </w:rPr>
        <w:t xml:space="preserve"> Reference prices are calculated </w:t>
      </w:r>
      <w:r>
        <w:rPr>
          <w:iCs/>
        </w:rPr>
        <w:t>from</w:t>
      </w:r>
      <w:r w:rsidRPr="009E1F58">
        <w:rPr>
          <w:iCs/>
        </w:rPr>
        <w:t xml:space="preserve"> the</w:t>
      </w:r>
      <w:r>
        <w:rPr>
          <w:iCs/>
        </w:rPr>
        <w:t xml:space="preserve"> international</w:t>
      </w:r>
      <w:r w:rsidRPr="009E1F58">
        <w:rPr>
          <w:iCs/>
        </w:rPr>
        <w:t xml:space="preserve"> price of the product </w:t>
      </w:r>
      <w:r>
        <w:rPr>
          <w:iCs/>
        </w:rPr>
        <w:t>at the country’s border</w:t>
      </w:r>
      <w:r>
        <w:t>, where the product</w:t>
      </w:r>
      <w:r w:rsidRPr="00EC31BD">
        <w:t xml:space="preserve"> enters the country (if imported) or exits the country (if exported)</w:t>
      </w:r>
      <w:r>
        <w:t>. This price is</w:t>
      </w:r>
      <w:r w:rsidRPr="009E1F58">
        <w:rPr>
          <w:iCs/>
        </w:rPr>
        <w:t xml:space="preserve"> considered </w:t>
      </w:r>
      <w:r>
        <w:rPr>
          <w:iCs/>
        </w:rPr>
        <w:t>the</w:t>
      </w:r>
      <w:r w:rsidRPr="009E1F58">
        <w:rPr>
          <w:iCs/>
        </w:rPr>
        <w:t xml:space="preserve"> benchmark price </w:t>
      </w:r>
      <w:r w:rsidRPr="009E1F58">
        <w:rPr>
          <w:rFonts w:eastAsia="Calibri"/>
        </w:rPr>
        <w:t>free of influence from domestic policies and markets</w:t>
      </w:r>
      <w:r w:rsidRPr="009E1F58">
        <w:rPr>
          <w:iCs/>
        </w:rPr>
        <w:t>.</w:t>
      </w:r>
      <w:r>
        <w:rPr>
          <w:rFonts w:eastAsia="Calibri"/>
        </w:rPr>
        <w:t xml:space="preserve"> MAFAP</w:t>
      </w:r>
      <w:r w:rsidRPr="009E1F58">
        <w:rPr>
          <w:rFonts w:eastAsia="Calibri"/>
        </w:rPr>
        <w:t xml:space="preserve"> estimates two types of reference prices – </w:t>
      </w:r>
      <w:r w:rsidRPr="009B5AF0">
        <w:rPr>
          <w:rFonts w:eastAsia="Calibri"/>
        </w:rPr>
        <w:t>observed and adjusted</w:t>
      </w:r>
      <w:r w:rsidRPr="009E1F58">
        <w:rPr>
          <w:rFonts w:eastAsia="Calibri"/>
        </w:rPr>
        <w:t xml:space="preserve">. </w:t>
      </w:r>
      <w:r w:rsidRPr="00DC07E1">
        <w:rPr>
          <w:rFonts w:eastAsia="Calibri"/>
          <w:i/>
        </w:rPr>
        <w:t>Observed reference prices</w:t>
      </w:r>
      <w:r w:rsidRPr="009E1F58">
        <w:rPr>
          <w:rFonts w:eastAsia="Calibri"/>
        </w:rPr>
        <w:t xml:space="preserve"> are those </w:t>
      </w:r>
      <w:r>
        <w:rPr>
          <w:rFonts w:eastAsia="Calibri"/>
        </w:rPr>
        <w:t>that producers and other marketing agents could receive if the effects of distortions from domestic market and trade policies, as well as overall market performance, were removed.</w:t>
      </w:r>
      <w:r w:rsidRPr="009E1F58">
        <w:rPr>
          <w:rFonts w:eastAsia="Calibri"/>
        </w:rPr>
        <w:t xml:space="preserve"> </w:t>
      </w:r>
      <w:r w:rsidRPr="00DC07E1">
        <w:rPr>
          <w:rFonts w:eastAsia="Calibri"/>
          <w:i/>
        </w:rPr>
        <w:t>Adjusted reference prices</w:t>
      </w:r>
      <w:r>
        <w:rPr>
          <w:rFonts w:eastAsia="Calibri"/>
        </w:rPr>
        <w:t xml:space="preserve"> are the same as observed reference prices, but also exclude the effects of any additional distortions from domestic exchange rate policies, structural inefficiencies in the commodity’s value chain, and </w:t>
      </w:r>
      <w:r w:rsidRPr="009E1F58">
        <w:rPr>
          <w:rFonts w:eastAsia="Calibri"/>
        </w:rPr>
        <w:t>imperfect functioning and non-competitive pricing in international markets.</w:t>
      </w:r>
    </w:p>
    <w:p w:rsidR="00F8384F" w:rsidRPr="009E1F58" w:rsidRDefault="00F8384F" w:rsidP="00F8384F">
      <w:pPr>
        <w:rPr>
          <w:rFonts w:eastAsia="Calibri"/>
        </w:rPr>
      </w:pPr>
      <w:r>
        <w:rPr>
          <w:rFonts w:eastAsia="Calibri"/>
        </w:rPr>
        <w:t>MAFAP’s price incentives</w:t>
      </w:r>
      <w:r w:rsidRPr="009E1F58">
        <w:rPr>
          <w:rFonts w:eastAsia="Calibri"/>
        </w:rPr>
        <w:t xml:space="preserve"> analysis is based on the law of one price, which is the economic theory that there is only one prevailing price for each product in a perfectly competitive market. This law only applies in the case of homogeneous goods, if information is correct and free, and if transaction costs are zero. Thus, this analysis was conducted for goods that are either perfectly homogeneous or perfect substitutes in the local market in terms of quality, or, failing that, are simply comparable goods. Indicators calculated from reference and </w:t>
      </w:r>
      <w:r>
        <w:rPr>
          <w:rFonts w:eastAsia="Calibri"/>
        </w:rPr>
        <w:t>domestic price</w:t>
      </w:r>
      <w:r w:rsidRPr="009E1F58">
        <w:rPr>
          <w:rFonts w:eastAsia="Calibri"/>
        </w:rPr>
        <w:t>s will, therefore, reveal whether domestic prices represent support (incentives) or a tax (disincentives) to various agents in the value chain.</w:t>
      </w:r>
    </w:p>
    <w:p w:rsidR="00F8384F" w:rsidRPr="009E1F58" w:rsidRDefault="00F8384F" w:rsidP="00F8384F">
      <w:pPr>
        <w:rPr>
          <w:rFonts w:eastAsia="Calibri"/>
        </w:rPr>
      </w:pPr>
      <w:r>
        <w:rPr>
          <w:rFonts w:eastAsia="Calibri"/>
        </w:rPr>
        <w:t>Domestic price</w:t>
      </w:r>
      <w:r w:rsidRPr="009E1F58">
        <w:rPr>
          <w:rFonts w:eastAsia="Calibri"/>
        </w:rPr>
        <w:t>s are compared to reference prices at two specific locations along commodity value chains – the farm gate</w:t>
      </w:r>
      <w:r>
        <w:rPr>
          <w:rFonts w:eastAsia="Calibri"/>
        </w:rPr>
        <w:t xml:space="preserve"> (usually the main production area for the product)</w:t>
      </w:r>
      <w:r w:rsidRPr="009E1F58">
        <w:rPr>
          <w:rFonts w:eastAsia="Calibri"/>
        </w:rPr>
        <w:t xml:space="preserve"> and the point of competition</w:t>
      </w:r>
      <w:r w:rsidRPr="00B517BB">
        <w:t xml:space="preserve"> </w:t>
      </w:r>
      <w:r>
        <w:t>(usually the main wholesale market where the domestic product competes with the internationally traded product)</w:t>
      </w:r>
      <w:r w:rsidRPr="009E1F58">
        <w:rPr>
          <w:rFonts w:eastAsia="Calibri"/>
        </w:rPr>
        <w:t>. The approach for comparing prices at each location is summarized below, using an imported commodity as an example. In this situation, the country is importing a commodity that arrives in the port at the benchmark price (usually the unit value CIF price at the port of entry). In the domestic market, we observe the price of the same commodity at the point of competition</w:t>
      </w:r>
      <w:r>
        <w:rPr>
          <w:rFonts w:eastAsia="Calibri"/>
        </w:rPr>
        <w:t>, which is in this case the wholesale market,</w:t>
      </w:r>
      <w:r w:rsidRPr="009E1F58">
        <w:rPr>
          <w:rFonts w:eastAsia="Calibri"/>
        </w:rPr>
        <w:t xml:space="preserve"> and at the farm gate. We also have information on observed access costs, which are all the costs associated with bringing the commodity to market</w:t>
      </w:r>
      <w:r>
        <w:rPr>
          <w:rFonts w:eastAsia="Calibri"/>
        </w:rPr>
        <w:t xml:space="preserve">, such as </w:t>
      </w:r>
      <w:r>
        <w:t xml:space="preserve">costs for </w:t>
      </w:r>
      <w:r w:rsidRPr="00C01205">
        <w:t>processing, storage, handling, transport and the different margins applied by marketing agents</w:t>
      </w:r>
      <w:r>
        <w:t xml:space="preserve"> in the value chain</w:t>
      </w:r>
      <w:r w:rsidRPr="00C01205">
        <w:t>.</w:t>
      </w:r>
      <w:r w:rsidRPr="009E1F58">
        <w:rPr>
          <w:rFonts w:eastAsia="Calibri"/>
        </w:rPr>
        <w:t xml:space="preserve"> These include </w:t>
      </w:r>
      <w:r>
        <w:rPr>
          <w:rFonts w:eastAsia="Calibri"/>
        </w:rPr>
        <w:t>access</w:t>
      </w:r>
      <w:r w:rsidRPr="009E1F58">
        <w:rPr>
          <w:rFonts w:eastAsia="Calibri"/>
        </w:rPr>
        <w:t xml:space="preserve"> costs between the border and </w:t>
      </w:r>
      <w:r>
        <w:rPr>
          <w:rFonts w:eastAsia="Calibri"/>
        </w:rPr>
        <w:t>wholesale</w:t>
      </w:r>
      <w:r w:rsidRPr="009E1F58">
        <w:rPr>
          <w:rFonts w:eastAsia="Calibri"/>
        </w:rPr>
        <w:t>,</w:t>
      </w:r>
      <w:r w:rsidRPr="009E1F58">
        <w:rPr>
          <w:rFonts w:eastAsia="Calibri"/>
          <w:i/>
        </w:rPr>
        <w:t xml:space="preserve"> </w:t>
      </w:r>
      <w:r w:rsidRPr="009E1F58">
        <w:rPr>
          <w:rFonts w:eastAsia="Calibri"/>
        </w:rPr>
        <w:t xml:space="preserve">as well as between the farm gate and </w:t>
      </w:r>
      <w:r>
        <w:rPr>
          <w:rFonts w:eastAsia="Calibri"/>
        </w:rPr>
        <w:t>wholesale</w:t>
      </w:r>
      <w:r w:rsidRPr="009E1F58">
        <w:rPr>
          <w:rFonts w:eastAsia="Calibri"/>
        </w:rPr>
        <w:t>.</w:t>
      </w:r>
    </w:p>
    <w:p w:rsidR="00F8384F" w:rsidRPr="009E1F58" w:rsidRDefault="00F8384F" w:rsidP="00F8384F">
      <w:pPr>
        <w:rPr>
          <w:rFonts w:eastAsia="Calibri"/>
        </w:rPr>
      </w:pPr>
      <w:r w:rsidRPr="009E1F58">
        <w:rPr>
          <w:rFonts w:eastAsia="Calibri"/>
        </w:rPr>
        <w:t xml:space="preserve">The benchmark price is made comparable to the </w:t>
      </w:r>
      <w:r>
        <w:rPr>
          <w:rFonts w:eastAsia="Calibri"/>
        </w:rPr>
        <w:t>domestic price</w:t>
      </w:r>
      <w:r w:rsidRPr="009E1F58">
        <w:rPr>
          <w:rFonts w:eastAsia="Calibri"/>
        </w:rPr>
        <w:t xml:space="preserve"> at </w:t>
      </w:r>
      <w:r>
        <w:rPr>
          <w:rFonts w:eastAsia="Calibri"/>
        </w:rPr>
        <w:t>wholesale</w:t>
      </w:r>
      <w:r w:rsidRPr="009E1F58">
        <w:rPr>
          <w:rFonts w:eastAsia="Calibri"/>
        </w:rPr>
        <w:t xml:space="preserve"> by adding the access costs between the border and </w:t>
      </w:r>
      <w:r>
        <w:rPr>
          <w:rFonts w:eastAsia="Calibri"/>
        </w:rPr>
        <w:t>wholesale</w:t>
      </w:r>
      <w:r w:rsidRPr="009E1F58">
        <w:rPr>
          <w:rFonts w:eastAsia="Calibri"/>
        </w:rPr>
        <w:t xml:space="preserve">, resulting in the observed reference price at </w:t>
      </w:r>
      <w:r>
        <w:rPr>
          <w:rFonts w:eastAsia="Calibri"/>
        </w:rPr>
        <w:t>wholesale</w:t>
      </w:r>
      <w:r w:rsidRPr="009E1F58">
        <w:rPr>
          <w:rFonts w:eastAsia="Calibri"/>
        </w:rPr>
        <w:t xml:space="preserve">. This takes into account all the costs </w:t>
      </w:r>
      <w:r>
        <w:rPr>
          <w:rFonts w:eastAsia="Calibri"/>
        </w:rPr>
        <w:t>incurred by importers and other agents</w:t>
      </w:r>
      <w:r w:rsidRPr="009E1F58">
        <w:rPr>
          <w:rFonts w:eastAsia="Calibri"/>
        </w:rPr>
        <w:t xml:space="preserve"> to bring the commodity to market, which in effect, raises the price of the commodity. The reference price at </w:t>
      </w:r>
      <w:r>
        <w:rPr>
          <w:rFonts w:eastAsia="Calibri"/>
        </w:rPr>
        <w:t>wholesale</w:t>
      </w:r>
      <w:r w:rsidRPr="009E1F58">
        <w:rPr>
          <w:rFonts w:eastAsia="Calibri"/>
        </w:rPr>
        <w:t xml:space="preserve"> is further made comparable to the </w:t>
      </w:r>
      <w:r>
        <w:rPr>
          <w:rFonts w:eastAsia="Calibri"/>
        </w:rPr>
        <w:t>domestic price</w:t>
      </w:r>
      <w:r w:rsidRPr="009E1F58">
        <w:rPr>
          <w:rFonts w:eastAsia="Calibri"/>
        </w:rPr>
        <w:t xml:space="preserve"> at the farm gate by deducting the access costs between the farm gate and </w:t>
      </w:r>
      <w:r>
        <w:rPr>
          <w:rFonts w:eastAsia="Calibri"/>
        </w:rPr>
        <w:t>wholesale</w:t>
      </w:r>
      <w:r w:rsidRPr="009E1F58">
        <w:rPr>
          <w:rFonts w:eastAsia="Calibri"/>
        </w:rPr>
        <w:t xml:space="preserve">, resulting in the observed reference price at farm gate. This takes into account all the costs incurred by farmers and other agents </w:t>
      </w:r>
      <w:r>
        <w:rPr>
          <w:rFonts w:eastAsia="Calibri"/>
        </w:rPr>
        <w:t>to bring</w:t>
      </w:r>
      <w:r w:rsidRPr="009E1F58">
        <w:rPr>
          <w:rFonts w:eastAsia="Calibri"/>
        </w:rPr>
        <w:t xml:space="preserve"> the commodity from the farm to the wholesale market. Mathematically, the equations for calculating the observed </w:t>
      </w:r>
      <w:r w:rsidRPr="009E1F58">
        <w:rPr>
          <w:rFonts w:eastAsia="Calibri"/>
        </w:rPr>
        <w:lastRenderedPageBreak/>
        <w:t xml:space="preserve">reference prices at </w:t>
      </w:r>
      <w:r>
        <w:rPr>
          <w:rFonts w:eastAsia="Calibri"/>
        </w:rPr>
        <w:t>wholesale</w:t>
      </w:r>
      <w:r w:rsidRPr="009E1F58">
        <w:rPr>
          <w:rFonts w:eastAsia="Calibri"/>
        </w:rPr>
        <w:t xml:space="preserve"> </w:t>
      </w:r>
      <m:oMath>
        <m:sSub>
          <m:sSubPr>
            <m:ctrlPr>
              <w:rPr>
                <w:rFonts w:ascii="Cambria Math" w:eastAsia="Calibri" w:hAnsi="Cambria Math"/>
                <w:i/>
              </w:rPr>
            </m:ctrlPr>
          </m:sSubPr>
          <m:e>
            <m:r>
              <w:rPr>
                <w:rFonts w:ascii="Cambria Math" w:eastAsia="Calibri" w:hAnsi="Cambria Math"/>
              </w:rPr>
              <m:t>(RP</m:t>
            </m:r>
          </m:e>
          <m:sub>
            <m:r>
              <w:rPr>
                <w:rFonts w:ascii="Cambria Math" w:eastAsia="Calibri" w:hAnsi="Cambria Math"/>
              </w:rPr>
              <m:t>owh</m:t>
            </m:r>
          </m:sub>
        </m:sSub>
        <m:r>
          <w:rPr>
            <w:rFonts w:ascii="Cambria Math" w:eastAsia="Calibri" w:hAnsi="Cambria Math"/>
          </w:rPr>
          <m:t xml:space="preserve">) </m:t>
        </m:r>
      </m:oMath>
      <w:r w:rsidRPr="009E1F58">
        <w:rPr>
          <w:rFonts w:eastAsia="Calibri"/>
        </w:rPr>
        <w:t xml:space="preserve">and farm gate </w:t>
      </w:r>
      <m:oMath>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RP</m:t>
                </m:r>
              </m:e>
              <m:sub>
                <m:r>
                  <w:rPr>
                    <w:rFonts w:ascii="Cambria Math" w:eastAsia="Calibri" w:hAnsi="Cambria Math"/>
                  </w:rPr>
                  <m:t>ofg</m:t>
                </m:r>
              </m:sub>
            </m:sSub>
          </m:e>
        </m:d>
        <m:r>
          <w:rPr>
            <w:rFonts w:ascii="Cambria Math" w:eastAsia="Calibri" w:hAnsi="Cambria Math"/>
          </w:rPr>
          <m:t xml:space="preserve"> </m:t>
        </m:r>
      </m:oMath>
      <w:r w:rsidRPr="009E1F58">
        <w:rPr>
          <w:rFonts w:eastAsia="Calibri"/>
        </w:rPr>
        <w:t>for an imported commodity are as follows:</w:t>
      </w:r>
    </w:p>
    <w:p w:rsidR="00F8384F" w:rsidRPr="00916D83" w:rsidRDefault="007C0FAB" w:rsidP="00F8384F">
      <w:pPr>
        <w:rPr>
          <w:rFonts w:eastAsia="Calibri"/>
        </w:rPr>
      </w:pPr>
      <m:oMathPara>
        <m:oMathParaPr>
          <m:jc m:val="center"/>
        </m:oMathParaPr>
        <m:oMath>
          <m:sSub>
            <m:sSubPr>
              <m:ctrlPr>
                <w:rPr>
                  <w:rFonts w:ascii="Cambria Math" w:eastAsia="Calibri" w:hAnsi="Cambria Math"/>
                </w:rPr>
              </m:ctrlPr>
            </m:sSubPr>
            <m:e>
              <m:r>
                <w:rPr>
                  <w:rFonts w:ascii="Cambria Math" w:eastAsia="Calibri" w:hAnsi="Cambria Math"/>
                </w:rPr>
                <m:t>RP</m:t>
              </m:r>
            </m:e>
            <m:sub>
              <m:r>
                <w:rPr>
                  <w:rFonts w:ascii="Cambria Math" w:eastAsia="Calibri" w:hAnsi="Cambria Math"/>
                </w:rPr>
                <m:t>owh</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P</m:t>
              </m:r>
            </m:e>
            <m:sub>
              <m:r>
                <w:rPr>
                  <w:rFonts w:ascii="Cambria Math" w:eastAsia="Calibri" w:hAnsi="Cambria Math"/>
                </w:rPr>
                <m:t>b</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AC</m:t>
              </m:r>
            </m:e>
            <m:sub>
              <m:r>
                <w:rPr>
                  <w:rFonts w:ascii="Cambria Math" w:eastAsia="Calibri" w:hAnsi="Cambria Math"/>
                </w:rPr>
                <m:t>owh</m:t>
              </m:r>
            </m:sub>
          </m:sSub>
        </m:oMath>
      </m:oMathPara>
    </w:p>
    <w:p w:rsidR="00F8384F" w:rsidRPr="00916D83" w:rsidRDefault="007C0FAB" w:rsidP="00F8384F">
      <w:pPr>
        <w:rPr>
          <w:rFonts w:eastAsia="Calibri"/>
        </w:rPr>
      </w:pPr>
      <m:oMathPara>
        <m:oMathParaPr>
          <m:jc m:val="center"/>
        </m:oMathParaPr>
        <m:oMath>
          <m:sSub>
            <m:sSubPr>
              <m:ctrlPr>
                <w:rPr>
                  <w:rFonts w:ascii="Cambria Math" w:eastAsia="Calibri" w:hAnsi="Cambria Math"/>
                </w:rPr>
              </m:ctrlPr>
            </m:sSubPr>
            <m:e>
              <m:r>
                <w:rPr>
                  <w:rFonts w:ascii="Cambria Math" w:eastAsia="Calibri" w:hAnsi="Cambria Math"/>
                </w:rPr>
                <m:t>RP</m:t>
              </m:r>
            </m:e>
            <m:sub>
              <m:r>
                <w:rPr>
                  <w:rFonts w:ascii="Cambria Math" w:eastAsia="Calibri" w:hAnsi="Cambria Math"/>
                </w:rPr>
                <m:t>ofg</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RP</m:t>
              </m:r>
            </m:e>
            <m:sub>
              <m:r>
                <w:rPr>
                  <w:rFonts w:ascii="Cambria Math" w:eastAsia="Calibri" w:hAnsi="Cambria Math"/>
                </w:rPr>
                <m:t>owh</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AC</m:t>
              </m:r>
            </m:e>
            <m:sub>
              <m:r>
                <w:rPr>
                  <w:rFonts w:ascii="Cambria Math" w:eastAsia="Calibri" w:hAnsi="Cambria Math"/>
                </w:rPr>
                <m:t>ofg</m:t>
              </m:r>
            </m:sub>
          </m:sSub>
        </m:oMath>
      </m:oMathPara>
    </w:p>
    <w:p w:rsidR="00F8384F" w:rsidRPr="009E1F58" w:rsidRDefault="00F8384F" w:rsidP="00F8384F">
      <w:pPr>
        <w:rPr>
          <w:rFonts w:eastAsia="Calibri"/>
          <w:color w:val="000000" w:themeColor="text1"/>
        </w:rPr>
      </w:pPr>
      <w:r w:rsidRPr="009E1F58">
        <w:rPr>
          <w:rFonts w:eastAsia="Calibri"/>
        </w:rPr>
        <w:t xml:space="preserve">where </w:t>
      </w:r>
      <m:oMath>
        <m:sSub>
          <m:sSubPr>
            <m:ctrlPr>
              <w:rPr>
                <w:rFonts w:ascii="Cambria Math" w:eastAsia="Calibri" w:hAnsi="Cambria Math"/>
                <w:i/>
              </w:rPr>
            </m:ctrlPr>
          </m:sSubPr>
          <m:e>
            <m:r>
              <w:rPr>
                <w:rFonts w:ascii="Cambria Math" w:eastAsia="Calibri" w:hAnsi="Cambria Math"/>
              </w:rPr>
              <m:t>AC</m:t>
            </m:r>
          </m:e>
          <m:sub>
            <m:r>
              <w:rPr>
                <w:rFonts w:ascii="Cambria Math" w:eastAsia="Calibri" w:hAnsi="Cambria Math"/>
              </w:rPr>
              <m:t>owh</m:t>
            </m:r>
          </m:sub>
        </m:sSub>
      </m:oMath>
      <w:r w:rsidRPr="009E1F58">
        <w:rPr>
          <w:rFonts w:eastAsia="Calibri"/>
        </w:rPr>
        <w:t xml:space="preserve"> are the observed access costs from the border to </w:t>
      </w:r>
      <w:r>
        <w:rPr>
          <w:rFonts w:eastAsia="Calibri"/>
        </w:rPr>
        <w:t>wholesale</w:t>
      </w:r>
      <w:r w:rsidRPr="009E1F58">
        <w:rPr>
          <w:rFonts w:eastAsia="Calibri"/>
        </w:rPr>
        <w:t xml:space="preserve">, including handling costs at the border, transport costs from the border to the wholesale market, profit margins and all observed taxes and levies, except tariffs, and </w:t>
      </w:r>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b</m:t>
            </m:r>
          </m:sub>
        </m:sSub>
      </m:oMath>
      <w:r w:rsidRPr="009E1F58">
        <w:rPr>
          <w:rFonts w:eastAsia="Calibri"/>
        </w:rPr>
        <w:t xml:space="preserve"> is the benchmark price. </w:t>
      </w:r>
      <m:oMath>
        <m:sSub>
          <m:sSubPr>
            <m:ctrlPr>
              <w:rPr>
                <w:rFonts w:ascii="Cambria Math" w:eastAsia="Calibri" w:hAnsi="Cambria Math"/>
                <w:i/>
              </w:rPr>
            </m:ctrlPr>
          </m:sSubPr>
          <m:e>
            <m:r>
              <w:rPr>
                <w:rFonts w:ascii="Cambria Math" w:eastAsia="Calibri" w:hAnsi="Cambria Math"/>
              </w:rPr>
              <m:t>AC</m:t>
            </m:r>
          </m:e>
          <m:sub>
            <m:r>
              <w:rPr>
                <w:rFonts w:ascii="Cambria Math" w:eastAsia="Calibri" w:hAnsi="Cambria Math"/>
              </w:rPr>
              <m:t>ofg</m:t>
            </m:r>
          </m:sub>
        </m:sSub>
      </m:oMath>
      <w:r w:rsidRPr="009E1F58">
        <w:rPr>
          <w:rFonts w:eastAsia="Calibri"/>
        </w:rPr>
        <w:t xml:space="preserve"> are the observed access costs from the farm gate to </w:t>
      </w:r>
      <w:r>
        <w:rPr>
          <w:rFonts w:eastAsia="Calibri"/>
        </w:rPr>
        <w:t>wholesale</w:t>
      </w:r>
      <w:r w:rsidRPr="009E1F58">
        <w:rPr>
          <w:rFonts w:eastAsia="Calibri"/>
        </w:rPr>
        <w:t>, including handling costs at the farm, transport costs from farm to wholesale market, processing, profit margins and all observed taxes and levies.</w:t>
      </w:r>
    </w:p>
    <w:p w:rsidR="00F8384F" w:rsidRPr="009E1F58" w:rsidRDefault="00F8384F" w:rsidP="00F8384F">
      <w:pPr>
        <w:rPr>
          <w:rFonts w:eastAsia="Calibri"/>
        </w:rPr>
      </w:pPr>
      <w:r w:rsidRPr="009E1F58">
        <w:rPr>
          <w:rFonts w:eastAsia="Calibri"/>
        </w:rPr>
        <w:t xml:space="preserve">The same steps described above can be taken a second time using benchmark prices and access costs that have been adjusted to eliminate market distortions due to exchange rate misalignments, </w:t>
      </w:r>
      <w:r>
        <w:rPr>
          <w:rFonts w:eastAsia="Calibri"/>
        </w:rPr>
        <w:t xml:space="preserve">structural </w:t>
      </w:r>
      <w:r w:rsidRPr="009E1F58">
        <w:rPr>
          <w:rFonts w:eastAsia="Calibri"/>
        </w:rPr>
        <w:t xml:space="preserve">inefficiencies </w:t>
      </w:r>
      <w:r>
        <w:rPr>
          <w:rFonts w:eastAsia="Calibri"/>
        </w:rPr>
        <w:t>in the commodity’s</w:t>
      </w:r>
      <w:r w:rsidRPr="009E1F58">
        <w:rPr>
          <w:rFonts w:eastAsia="Calibri"/>
        </w:rPr>
        <w:t xml:space="preserve"> </w:t>
      </w:r>
      <w:r>
        <w:rPr>
          <w:rFonts w:eastAsia="Calibri"/>
        </w:rPr>
        <w:t>value chain</w:t>
      </w:r>
      <w:r w:rsidRPr="00916D83">
        <w:rPr>
          <w:rStyle w:val="FootnoteReference"/>
          <w:rFonts w:eastAsia="Calibri" w:cs="Calibri"/>
          <w:color w:val="000000" w:themeColor="text1"/>
        </w:rPr>
        <w:footnoteReference w:id="7"/>
      </w:r>
      <w:r>
        <w:rPr>
          <w:rFonts w:eastAsia="Calibri"/>
        </w:rPr>
        <w:t xml:space="preserve"> and</w:t>
      </w:r>
      <w:r w:rsidRPr="009E1F58">
        <w:rPr>
          <w:rFonts w:eastAsia="Calibri"/>
        </w:rPr>
        <w:t xml:space="preserve"> imperfect functioning and non-competitive pricing in international markets, where possible and relevant. The adjusted benchmark prices and access costs are then used to generate a second set of </w:t>
      </w:r>
      <w:r w:rsidRPr="009E1F58">
        <w:rPr>
          <w:rFonts w:eastAsia="Calibri"/>
          <w:i/>
        </w:rPr>
        <w:t>adjusted</w:t>
      </w:r>
      <w:r w:rsidRPr="009E1F58">
        <w:rPr>
          <w:rFonts w:eastAsia="Calibri"/>
        </w:rPr>
        <w:t xml:space="preserve"> reference prices</w:t>
      </w:r>
      <w:r>
        <w:rPr>
          <w:rFonts w:eastAsia="Calibri"/>
        </w:rPr>
        <w:t>,</w:t>
      </w:r>
      <w:r w:rsidRPr="009E1F58">
        <w:rPr>
          <w:rFonts w:eastAsia="Calibri"/>
        </w:rPr>
        <w:t xml:space="preserve"> in addition to the first set of </w:t>
      </w:r>
      <w:r w:rsidRPr="009E1F58">
        <w:rPr>
          <w:rFonts w:eastAsia="Calibri"/>
          <w:i/>
        </w:rPr>
        <w:t>observed</w:t>
      </w:r>
      <w:r w:rsidRPr="009E1F58">
        <w:rPr>
          <w:rFonts w:eastAsia="Calibri"/>
        </w:rPr>
        <w:t xml:space="preserve"> reference prices calculated.</w:t>
      </w:r>
    </w:p>
    <w:p w:rsidR="00F8384F" w:rsidRPr="009E1F58" w:rsidRDefault="00F8384F" w:rsidP="00F8384F">
      <w:pPr>
        <w:rPr>
          <w:rFonts w:eastAsia="Calibri"/>
        </w:rPr>
      </w:pPr>
      <w:r w:rsidRPr="009E1F58">
        <w:rPr>
          <w:rFonts w:eastAsia="Calibri"/>
        </w:rPr>
        <w:t xml:space="preserve">For exported commodities, a slightly different approach is used. In this case, the border is generally considered </w:t>
      </w:r>
      <w:r>
        <w:rPr>
          <w:rFonts w:eastAsia="Calibri"/>
        </w:rPr>
        <w:t>the point of competition (wholesale),</w:t>
      </w:r>
      <w:r w:rsidRPr="009E1F58">
        <w:rPr>
          <w:rFonts w:eastAsia="Calibri"/>
        </w:rPr>
        <w:t xml:space="preserve"> and the unit value FOB </w:t>
      </w:r>
      <w:r>
        <w:rPr>
          <w:rFonts w:eastAsia="Calibri"/>
        </w:rPr>
        <w:t xml:space="preserve">price </w:t>
      </w:r>
      <w:r w:rsidRPr="009E1F58">
        <w:rPr>
          <w:rFonts w:eastAsia="Calibri"/>
        </w:rPr>
        <w:t xml:space="preserve">for the commodity is normally taken as the benchmark price. Furthermore, observed and adjusted reference prices at </w:t>
      </w:r>
      <w:r>
        <w:rPr>
          <w:rFonts w:eastAsia="Calibri"/>
        </w:rPr>
        <w:t>wholesale</w:t>
      </w:r>
      <w:r w:rsidRPr="009E1F58">
        <w:rPr>
          <w:rFonts w:eastAsia="Calibri"/>
        </w:rPr>
        <w:t xml:space="preserve"> are obtained by subtracting, rather than adding, the access costs between the border and </w:t>
      </w:r>
      <w:r>
        <w:rPr>
          <w:rFonts w:eastAsia="Calibri"/>
        </w:rPr>
        <w:t>wholesale</w:t>
      </w:r>
      <w:r w:rsidRPr="009E1F58">
        <w:rPr>
          <w:rFonts w:eastAsia="Calibri"/>
        </w:rPr>
        <w:t xml:space="preserve">. Mathematically, the equations for calculating the observed reference prices at </w:t>
      </w:r>
      <w:r>
        <w:rPr>
          <w:rFonts w:eastAsia="Calibri"/>
        </w:rPr>
        <w:t>wholesale</w:t>
      </w:r>
      <w:r w:rsidRPr="009E1F58">
        <w:rPr>
          <w:rFonts w:eastAsia="Calibri"/>
        </w:rPr>
        <w:t xml:space="preserve"> </w:t>
      </w:r>
      <m:oMath>
        <m:sSub>
          <m:sSubPr>
            <m:ctrlPr>
              <w:rPr>
                <w:rFonts w:ascii="Cambria Math" w:eastAsia="Calibri" w:hAnsi="Cambria Math"/>
                <w:i/>
              </w:rPr>
            </m:ctrlPr>
          </m:sSubPr>
          <m:e>
            <m:r>
              <w:rPr>
                <w:rFonts w:ascii="Cambria Math" w:eastAsia="Calibri" w:hAnsi="Cambria Math"/>
              </w:rPr>
              <m:t>(RP</m:t>
            </m:r>
          </m:e>
          <m:sub>
            <m:r>
              <w:rPr>
                <w:rFonts w:ascii="Cambria Math" w:eastAsia="Calibri" w:hAnsi="Cambria Math"/>
              </w:rPr>
              <m:t>owh</m:t>
            </m:r>
          </m:sub>
        </m:sSub>
        <m:r>
          <w:rPr>
            <w:rFonts w:ascii="Cambria Math" w:eastAsia="Calibri" w:hAnsi="Cambria Math"/>
          </w:rPr>
          <m:t xml:space="preserve">) </m:t>
        </m:r>
      </m:oMath>
      <w:r w:rsidRPr="009E1F58">
        <w:rPr>
          <w:rFonts w:eastAsia="Calibri"/>
        </w:rPr>
        <w:t xml:space="preserve">and farm gate </w:t>
      </w:r>
      <m:oMath>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RP</m:t>
                </m:r>
              </m:e>
              <m:sub>
                <m:r>
                  <w:rPr>
                    <w:rFonts w:ascii="Cambria Math" w:eastAsia="Calibri" w:hAnsi="Cambria Math"/>
                  </w:rPr>
                  <m:t>ofg</m:t>
                </m:r>
              </m:sub>
            </m:sSub>
          </m:e>
        </m:d>
        <m:r>
          <w:rPr>
            <w:rFonts w:ascii="Cambria Math" w:eastAsia="Calibri" w:hAnsi="Cambria Math"/>
          </w:rPr>
          <m:t xml:space="preserve"> </m:t>
        </m:r>
      </m:oMath>
      <w:r w:rsidRPr="009E1F58">
        <w:rPr>
          <w:rFonts w:eastAsia="Calibri"/>
        </w:rPr>
        <w:t>for an exported commodity are as follows:</w:t>
      </w:r>
    </w:p>
    <w:p w:rsidR="00F8384F" w:rsidRPr="00916D83" w:rsidRDefault="007C0FAB" w:rsidP="00F8384F">
      <w:pPr>
        <w:rPr>
          <w:rFonts w:eastAsia="Calibri"/>
        </w:rPr>
      </w:pPr>
      <m:oMathPara>
        <m:oMathParaPr>
          <m:jc m:val="center"/>
        </m:oMathParaPr>
        <m:oMath>
          <m:sSub>
            <m:sSubPr>
              <m:ctrlPr>
                <w:rPr>
                  <w:rFonts w:ascii="Cambria Math" w:eastAsia="Calibri" w:hAnsi="Cambria Math"/>
                </w:rPr>
              </m:ctrlPr>
            </m:sSubPr>
            <m:e>
              <m:r>
                <w:rPr>
                  <w:rFonts w:ascii="Cambria Math" w:eastAsia="Calibri" w:hAnsi="Cambria Math"/>
                </w:rPr>
                <m:t>RP</m:t>
              </m:r>
            </m:e>
            <m:sub>
              <m:r>
                <w:rPr>
                  <w:rFonts w:ascii="Cambria Math" w:eastAsia="Calibri" w:hAnsi="Cambria Math"/>
                </w:rPr>
                <m:t>owh</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P</m:t>
              </m:r>
            </m:e>
            <m:sub>
              <m:r>
                <w:rPr>
                  <w:rFonts w:ascii="Cambria Math" w:eastAsia="Calibri" w:hAnsi="Cambria Math"/>
                </w:rPr>
                <m:t>b</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AC</m:t>
              </m:r>
            </m:e>
            <m:sub>
              <m:r>
                <w:rPr>
                  <w:rFonts w:ascii="Cambria Math" w:eastAsia="Calibri" w:hAnsi="Cambria Math"/>
                </w:rPr>
                <m:t>owh</m:t>
              </m:r>
            </m:sub>
          </m:sSub>
        </m:oMath>
      </m:oMathPara>
    </w:p>
    <w:p w:rsidR="00F8384F" w:rsidRPr="00916D83" w:rsidRDefault="007C0FAB" w:rsidP="00F8384F">
      <w:pPr>
        <w:rPr>
          <w:rFonts w:eastAsia="Calibri"/>
        </w:rPr>
      </w:pPr>
      <m:oMathPara>
        <m:oMathParaPr>
          <m:jc m:val="center"/>
        </m:oMathParaPr>
        <m:oMath>
          <m:sSub>
            <m:sSubPr>
              <m:ctrlPr>
                <w:rPr>
                  <w:rFonts w:ascii="Cambria Math" w:eastAsia="Calibri" w:hAnsi="Cambria Math"/>
                </w:rPr>
              </m:ctrlPr>
            </m:sSubPr>
            <m:e>
              <m:r>
                <w:rPr>
                  <w:rFonts w:ascii="Cambria Math" w:eastAsia="Calibri" w:hAnsi="Cambria Math"/>
                </w:rPr>
                <m:t>RP</m:t>
              </m:r>
            </m:e>
            <m:sub>
              <m:r>
                <w:rPr>
                  <w:rFonts w:ascii="Cambria Math" w:eastAsia="Calibri" w:hAnsi="Cambria Math"/>
                </w:rPr>
                <m:t>ofg</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RP</m:t>
              </m:r>
            </m:e>
            <m:sub>
              <m:r>
                <w:rPr>
                  <w:rFonts w:ascii="Cambria Math" w:eastAsia="Calibri" w:hAnsi="Cambria Math"/>
                </w:rPr>
                <m:t>owh</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AC</m:t>
              </m:r>
            </m:e>
            <m:sub>
              <m:r>
                <w:rPr>
                  <w:rFonts w:ascii="Cambria Math" w:eastAsia="Calibri" w:hAnsi="Cambria Math"/>
                </w:rPr>
                <m:t>ofg</m:t>
              </m:r>
            </m:sub>
          </m:sSub>
        </m:oMath>
      </m:oMathPara>
    </w:p>
    <w:p w:rsidR="00F8384F" w:rsidRPr="009E1F58" w:rsidRDefault="00F8384F" w:rsidP="00F8384F">
      <w:pPr>
        <w:rPr>
          <w:rFonts w:eastAsia="Calibri"/>
        </w:rPr>
      </w:pPr>
      <w:r w:rsidRPr="009E1F58">
        <w:rPr>
          <w:rFonts w:eastAsia="Calibri"/>
        </w:rPr>
        <w:t>After observed and adjusted reference prices are calculated for the commodity, they are subtracted from the domestic prices at each point in the value chain to obtain the observed and adjusted price gaps at wholesale and farm gate</w:t>
      </w:r>
      <w:r w:rsidRPr="009E1F58">
        <w:t xml:space="preserve">. </w:t>
      </w:r>
      <w:r w:rsidRPr="00DC07E1">
        <w:rPr>
          <w:rFonts w:eastAsia="Calibri"/>
          <w:i/>
        </w:rPr>
        <w:t>Observed price gaps</w:t>
      </w:r>
      <w:r w:rsidRPr="009E1F58">
        <w:rPr>
          <w:rFonts w:eastAsia="Calibri"/>
        </w:rPr>
        <w:t xml:space="preserve"> capture the effect</w:t>
      </w:r>
      <w:r>
        <w:rPr>
          <w:rFonts w:eastAsia="Calibri"/>
        </w:rPr>
        <w:t xml:space="preserve"> of distortions from</w:t>
      </w:r>
      <w:r w:rsidRPr="009E1F58">
        <w:rPr>
          <w:rFonts w:eastAsia="Calibri"/>
        </w:rPr>
        <w:t xml:space="preserve"> trade</w:t>
      </w:r>
      <w:r>
        <w:rPr>
          <w:rFonts w:eastAsia="Calibri"/>
        </w:rPr>
        <w:t xml:space="preserve"> and market</w:t>
      </w:r>
      <w:r w:rsidRPr="009E1F58">
        <w:rPr>
          <w:rFonts w:eastAsia="Calibri"/>
        </w:rPr>
        <w:t xml:space="preserve"> </w:t>
      </w:r>
      <w:r>
        <w:rPr>
          <w:rFonts w:eastAsia="Calibri"/>
        </w:rPr>
        <w:t>policies</w:t>
      </w:r>
      <w:r w:rsidRPr="009E1F58">
        <w:rPr>
          <w:rFonts w:eastAsia="Calibri"/>
        </w:rPr>
        <w:t xml:space="preserve"> directly influencing the price of the commodity in domestic markets (e.g. </w:t>
      </w:r>
      <w:r>
        <w:rPr>
          <w:rFonts w:eastAsia="Calibri"/>
        </w:rPr>
        <w:t>price ceilings</w:t>
      </w:r>
      <w:r w:rsidRPr="009E1F58">
        <w:rPr>
          <w:rFonts w:eastAsia="Calibri"/>
        </w:rPr>
        <w:t xml:space="preserve"> and tariffs)</w:t>
      </w:r>
      <w:r>
        <w:rPr>
          <w:rFonts w:eastAsia="Calibri"/>
        </w:rPr>
        <w:t>, as well as overall</w:t>
      </w:r>
      <w:r w:rsidRPr="009E1F58">
        <w:rPr>
          <w:rFonts w:eastAsia="Calibri"/>
        </w:rPr>
        <w:t xml:space="preserve"> market performance</w:t>
      </w:r>
      <w:r>
        <w:rPr>
          <w:rFonts w:eastAsia="Calibri"/>
        </w:rPr>
        <w:t xml:space="preserve">. </w:t>
      </w:r>
      <w:r w:rsidRPr="00DC07E1">
        <w:rPr>
          <w:rFonts w:eastAsia="Calibri"/>
          <w:i/>
        </w:rPr>
        <w:t>Adjusted price gaps</w:t>
      </w:r>
      <w:r w:rsidRPr="009E1F58">
        <w:rPr>
          <w:rFonts w:eastAsia="Calibri"/>
        </w:rPr>
        <w:t xml:space="preserve"> </w:t>
      </w:r>
      <w:r>
        <w:rPr>
          <w:rFonts w:eastAsia="Calibri"/>
        </w:rPr>
        <w:t>capture the same as the observed, in addition to the effect of any distortions</w:t>
      </w:r>
      <w:r w:rsidRPr="00D07F82">
        <w:rPr>
          <w:rFonts w:eastAsia="Calibri"/>
        </w:rPr>
        <w:t xml:space="preserve"> </w:t>
      </w:r>
      <w:r>
        <w:rPr>
          <w:rFonts w:eastAsia="Calibri"/>
        </w:rPr>
        <w:t xml:space="preserve">from domestic exchange rate policies, structural inefficiencies in the commodity’s value chain, and </w:t>
      </w:r>
      <w:r w:rsidRPr="009E1F58">
        <w:rPr>
          <w:rFonts w:eastAsia="Calibri"/>
        </w:rPr>
        <w:t xml:space="preserve">imperfect functioning and non-competitive pricing in international markets. Mathematically, the equations for calculating the observed price gaps at </w:t>
      </w:r>
      <w:r>
        <w:rPr>
          <w:rFonts w:eastAsia="Calibri"/>
        </w:rPr>
        <w:t>wholesale</w:t>
      </w:r>
      <w:r w:rsidRPr="009E1F58">
        <w:rPr>
          <w:rFonts w:eastAsia="Calibri"/>
        </w:rPr>
        <w:t xml:space="preserve"> </w:t>
      </w:r>
      <m:oMath>
        <m:sSub>
          <m:sSubPr>
            <m:ctrlPr>
              <w:rPr>
                <w:rFonts w:ascii="Cambria Math" w:eastAsia="Calibri" w:hAnsi="Cambria Math"/>
                <w:i/>
              </w:rPr>
            </m:ctrlPr>
          </m:sSubPr>
          <m:e>
            <m:r>
              <w:rPr>
                <w:rFonts w:ascii="Cambria Math" w:eastAsia="Calibri" w:hAnsi="Cambria Math"/>
              </w:rPr>
              <m:t>(PG</m:t>
            </m:r>
          </m:e>
          <m:sub>
            <m:r>
              <w:rPr>
                <w:rFonts w:ascii="Cambria Math" w:eastAsia="Calibri" w:hAnsi="Cambria Math"/>
              </w:rPr>
              <m:t>owh</m:t>
            </m:r>
          </m:sub>
        </m:sSub>
        <m:r>
          <w:rPr>
            <w:rFonts w:ascii="Cambria Math" w:eastAsia="Calibri" w:hAnsi="Cambria Math"/>
          </w:rPr>
          <m:t xml:space="preserve">) </m:t>
        </m:r>
      </m:oMath>
      <w:r w:rsidRPr="009E1F58">
        <w:rPr>
          <w:rFonts w:eastAsia="Calibri"/>
        </w:rPr>
        <w:t xml:space="preserve">and farm gate </w:t>
      </w:r>
      <m:oMath>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PG</m:t>
                </m:r>
              </m:e>
              <m:sub>
                <m:r>
                  <w:rPr>
                    <w:rFonts w:ascii="Cambria Math" w:eastAsia="Calibri" w:hAnsi="Cambria Math"/>
                  </w:rPr>
                  <m:t>ofg</m:t>
                </m:r>
              </m:sub>
            </m:sSub>
          </m:e>
        </m:d>
        <m:r>
          <w:rPr>
            <w:rFonts w:ascii="Cambria Math" w:eastAsia="Calibri" w:hAnsi="Cambria Math"/>
          </w:rPr>
          <m:t xml:space="preserve"> </m:t>
        </m:r>
      </m:oMath>
      <w:r w:rsidRPr="009E1F58">
        <w:rPr>
          <w:rFonts w:eastAsia="Calibri"/>
        </w:rPr>
        <w:t>are as follows:</w:t>
      </w:r>
    </w:p>
    <w:p w:rsidR="00F8384F" w:rsidRPr="00583270" w:rsidRDefault="007C0FAB" w:rsidP="00F8384F">
      <w:pPr>
        <w:rPr>
          <w:rFonts w:eastAsia="Calibri"/>
        </w:rPr>
      </w:pPr>
      <m:oMathPara>
        <m:oMathParaPr>
          <m:jc m:val="center"/>
        </m:oMathParaPr>
        <m:oMath>
          <m:sSub>
            <m:sSubPr>
              <m:ctrlPr>
                <w:rPr>
                  <w:rFonts w:ascii="Cambria Math" w:eastAsia="Calibri" w:hAnsi="Cambria Math"/>
                </w:rPr>
              </m:ctrlPr>
            </m:sSubPr>
            <m:e>
              <m:r>
                <w:rPr>
                  <w:rFonts w:ascii="Cambria Math" w:eastAsia="Calibri" w:hAnsi="Cambria Math"/>
                </w:rPr>
                <m:t>PG</m:t>
              </m:r>
            </m:e>
            <m:sub>
              <m:r>
                <w:rPr>
                  <w:rFonts w:ascii="Cambria Math" w:eastAsia="Calibri" w:hAnsi="Cambria Math"/>
                </w:rPr>
                <m:t>owh</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P</m:t>
              </m:r>
            </m:e>
            <m:sub>
              <m:r>
                <w:rPr>
                  <w:rFonts w:ascii="Cambria Math" w:eastAsia="Calibri" w:hAnsi="Cambria Math"/>
                </w:rPr>
                <m:t>wh</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RP</m:t>
              </m:r>
            </m:e>
            <m:sub>
              <m:r>
                <w:rPr>
                  <w:rFonts w:ascii="Cambria Math" w:eastAsia="Calibri" w:hAnsi="Cambria Math"/>
                </w:rPr>
                <m:t>owh</m:t>
              </m:r>
            </m:sub>
          </m:sSub>
        </m:oMath>
      </m:oMathPara>
    </w:p>
    <w:p w:rsidR="00F8384F" w:rsidRPr="00916D83" w:rsidRDefault="007C0FAB" w:rsidP="00F8384F">
      <w:pPr>
        <w:rPr>
          <w:rFonts w:eastAsia="Calibri"/>
        </w:rPr>
      </w:pPr>
      <m:oMathPara>
        <m:oMathParaPr>
          <m:jc m:val="center"/>
        </m:oMathParaPr>
        <m:oMath>
          <m:sSub>
            <m:sSubPr>
              <m:ctrlPr>
                <w:rPr>
                  <w:rFonts w:ascii="Cambria Math" w:eastAsia="Calibri" w:hAnsi="Cambria Math"/>
                </w:rPr>
              </m:ctrlPr>
            </m:sSubPr>
            <m:e>
              <m:r>
                <w:rPr>
                  <w:rFonts w:ascii="Cambria Math" w:eastAsia="Calibri" w:hAnsi="Cambria Math"/>
                </w:rPr>
                <m:t>PG</m:t>
              </m:r>
            </m:e>
            <m:sub>
              <m:r>
                <w:rPr>
                  <w:rFonts w:ascii="Cambria Math" w:eastAsia="Calibri" w:hAnsi="Cambria Math"/>
                </w:rPr>
                <m:t>ofg</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P</m:t>
              </m:r>
            </m:e>
            <m:sub>
              <m:r>
                <w:rPr>
                  <w:rFonts w:ascii="Cambria Math" w:eastAsia="Calibri" w:hAnsi="Cambria Math"/>
                </w:rPr>
                <m:t>fg</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RP</m:t>
              </m:r>
            </m:e>
            <m:sub>
              <m:r>
                <w:rPr>
                  <w:rFonts w:ascii="Cambria Math" w:eastAsia="Calibri" w:hAnsi="Cambria Math"/>
                </w:rPr>
                <m:t>ofg</m:t>
              </m:r>
            </m:sub>
          </m:sSub>
        </m:oMath>
      </m:oMathPara>
    </w:p>
    <w:p w:rsidR="00F8384F" w:rsidRPr="009E1F58" w:rsidRDefault="00F8384F" w:rsidP="00F8384F">
      <w:pPr>
        <w:rPr>
          <w:rFonts w:eastAsia="Calibri"/>
          <w:color w:val="000000" w:themeColor="text1"/>
        </w:rPr>
      </w:pPr>
      <m:oMath>
        <m:r>
          <m:rPr>
            <m:sty m:val="p"/>
          </m:rPr>
          <w:rPr>
            <w:rFonts w:ascii="Cambria Math" w:eastAsia="Calibri" w:hAnsi="Cambria Math"/>
          </w:rPr>
          <w:lastRenderedPageBreak/>
          <m:t xml:space="preserve">where </m:t>
        </m:r>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fg</m:t>
            </m:r>
          </m:sub>
        </m:sSub>
      </m:oMath>
      <w:r w:rsidRPr="009E1F58">
        <w:rPr>
          <w:rFonts w:eastAsia="Calibri"/>
        </w:rPr>
        <w:t xml:space="preserve"> is the </w:t>
      </w:r>
      <w:r>
        <w:rPr>
          <w:rFonts w:eastAsia="Calibri"/>
        </w:rPr>
        <w:t>domestic price</w:t>
      </w:r>
      <w:r w:rsidRPr="009E1F58">
        <w:rPr>
          <w:rFonts w:eastAsia="Calibri"/>
        </w:rPr>
        <w:t xml:space="preserve"> at farm gate, </w:t>
      </w:r>
      <m:oMath>
        <m:sSub>
          <m:sSubPr>
            <m:ctrlPr>
              <w:rPr>
                <w:rFonts w:ascii="Cambria Math" w:eastAsia="Calibri" w:hAnsi="Cambria Math"/>
                <w:i/>
              </w:rPr>
            </m:ctrlPr>
          </m:sSubPr>
          <m:e>
            <m:r>
              <w:rPr>
                <w:rFonts w:ascii="Cambria Math" w:eastAsia="Calibri" w:hAnsi="Cambria Math"/>
              </w:rPr>
              <m:t>RP</m:t>
            </m:r>
          </m:e>
          <m:sub>
            <m:r>
              <w:rPr>
                <w:rFonts w:ascii="Cambria Math" w:eastAsia="Calibri" w:hAnsi="Cambria Math"/>
              </w:rPr>
              <m:t>ofg</m:t>
            </m:r>
          </m:sub>
        </m:sSub>
      </m:oMath>
      <w:r w:rsidRPr="009E1F58">
        <w:rPr>
          <w:rFonts w:eastAsia="Calibri"/>
        </w:rPr>
        <w:t xml:space="preserve"> is the observed reference price at farm gate, </w:t>
      </w:r>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wh</m:t>
            </m:r>
          </m:sub>
        </m:sSub>
      </m:oMath>
      <w:r w:rsidRPr="009E1F58">
        <w:rPr>
          <w:rFonts w:eastAsia="Calibri"/>
        </w:rPr>
        <w:t xml:space="preserve"> is the </w:t>
      </w:r>
      <w:r>
        <w:rPr>
          <w:rFonts w:eastAsia="Calibri"/>
        </w:rPr>
        <w:t>domestic price</w:t>
      </w:r>
      <w:r w:rsidRPr="009E1F58">
        <w:rPr>
          <w:rFonts w:eastAsia="Calibri"/>
        </w:rPr>
        <w:t xml:space="preserve"> at wholesale, and  </w:t>
      </w:r>
      <m:oMath>
        <m:sSub>
          <m:sSubPr>
            <m:ctrlPr>
              <w:rPr>
                <w:rFonts w:ascii="Cambria Math" w:eastAsia="Calibri" w:hAnsi="Cambria Math"/>
                <w:i/>
              </w:rPr>
            </m:ctrlPr>
          </m:sSubPr>
          <m:e>
            <m:r>
              <w:rPr>
                <w:rFonts w:ascii="Cambria Math" w:eastAsia="Calibri" w:hAnsi="Cambria Math"/>
              </w:rPr>
              <m:t>RP</m:t>
            </m:r>
          </m:e>
          <m:sub>
            <m:r>
              <w:rPr>
                <w:rFonts w:ascii="Cambria Math" w:eastAsia="Calibri" w:hAnsi="Cambria Math"/>
              </w:rPr>
              <m:t>owh</m:t>
            </m:r>
          </m:sub>
        </m:sSub>
      </m:oMath>
      <w:r w:rsidRPr="009E1F58">
        <w:rPr>
          <w:rFonts w:eastAsia="Calibri"/>
        </w:rPr>
        <w:t xml:space="preserve"> is the observed reference price at wholesale.</w:t>
      </w:r>
    </w:p>
    <w:p w:rsidR="00F8384F" w:rsidRPr="009E1F58" w:rsidRDefault="00F8384F" w:rsidP="00F8384F">
      <w:pPr>
        <w:rPr>
          <w:rFonts w:eastAsia="Calibri"/>
        </w:rPr>
      </w:pPr>
      <w:r w:rsidRPr="009E1F58">
        <w:rPr>
          <w:rFonts w:eastAsia="Calibri"/>
        </w:rPr>
        <w:t xml:space="preserve">A positive price gap, resulting when the </w:t>
      </w:r>
      <w:r>
        <w:rPr>
          <w:rFonts w:eastAsia="Calibri"/>
        </w:rPr>
        <w:t>domestic price</w:t>
      </w:r>
      <w:r w:rsidRPr="009E1F58">
        <w:rPr>
          <w:rFonts w:eastAsia="Calibri"/>
        </w:rPr>
        <w:t xml:space="preserve"> exceeds the reference price, means that the policy environment and market functioning as a whole generate incentives (support) to producers or wholesalers. For an imported commodity this could be due to distortions such as the existence of a</w:t>
      </w:r>
      <w:r>
        <w:rPr>
          <w:rFonts w:eastAsia="Calibri"/>
        </w:rPr>
        <w:t xml:space="preserve">n import </w:t>
      </w:r>
      <w:r w:rsidRPr="009E1F58">
        <w:rPr>
          <w:rFonts w:eastAsia="Calibri"/>
        </w:rPr>
        <w:t xml:space="preserve">tariff. On the other hand, if the reference price exceeds the </w:t>
      </w:r>
      <w:r>
        <w:rPr>
          <w:rFonts w:eastAsia="Calibri"/>
        </w:rPr>
        <w:t>domestic price</w:t>
      </w:r>
      <w:r w:rsidRPr="009E1F58">
        <w:rPr>
          <w:rFonts w:eastAsia="Calibri"/>
        </w:rPr>
        <w:t xml:space="preserve">, resulting in a negative price gap, this means that the policy environment and market functioning as a whole generate disincentives (taxes) to producers or wholesalers. For an imported commodity this could be due to distortions such as </w:t>
      </w:r>
      <w:r>
        <w:rPr>
          <w:rFonts w:eastAsia="Calibri"/>
        </w:rPr>
        <w:t xml:space="preserve">a price ceiling established by </w:t>
      </w:r>
      <w:r w:rsidRPr="009E1F58">
        <w:rPr>
          <w:rFonts w:eastAsia="Calibri"/>
        </w:rPr>
        <w:t>the government to keep domestic prices low.</w:t>
      </w:r>
    </w:p>
    <w:p w:rsidR="00F8384F" w:rsidRPr="009E1F58" w:rsidRDefault="00F8384F" w:rsidP="00F8384F">
      <w:pPr>
        <w:rPr>
          <w:rFonts w:eastAsia="Calibri"/>
        </w:rPr>
      </w:pPr>
      <w:r w:rsidRPr="009E1F58">
        <w:rPr>
          <w:rFonts w:eastAsia="Calibri"/>
        </w:rPr>
        <w:t xml:space="preserve">In general, price gaps provide an absolute measure of the market price incentives (or disincentives) that producers and wholesalers face. Therefore, price gaps at wholesale and farm gate are divided by their corresponding reference price and expressed as a ratio, referred to as the </w:t>
      </w:r>
      <w:r w:rsidRPr="009E1F58">
        <w:rPr>
          <w:rFonts w:eastAsia="Calibri"/>
          <w:b/>
          <w:i/>
        </w:rPr>
        <w:t>Nominal Rate of Protection (NRP)</w:t>
      </w:r>
      <w:r w:rsidRPr="009E1F58">
        <w:rPr>
          <w:rFonts w:eastAsia="Calibri"/>
        </w:rPr>
        <w:t xml:space="preserve">, which can be compared </w:t>
      </w:r>
      <w:r>
        <w:rPr>
          <w:rFonts w:eastAsia="Calibri"/>
        </w:rPr>
        <w:t>between years,</w:t>
      </w:r>
      <w:r w:rsidRPr="009E1F58">
        <w:rPr>
          <w:rFonts w:eastAsia="Calibri"/>
        </w:rPr>
        <w:t xml:space="preserve"> commodities</w:t>
      </w:r>
      <w:r>
        <w:rPr>
          <w:rFonts w:eastAsia="Calibri"/>
        </w:rPr>
        <w:t>,</w:t>
      </w:r>
      <w:r w:rsidRPr="009E1F58">
        <w:rPr>
          <w:rFonts w:eastAsia="Calibri"/>
        </w:rPr>
        <w:t xml:space="preserve"> and countries.</w:t>
      </w:r>
    </w:p>
    <w:p w:rsidR="00F8384F" w:rsidRPr="009E1F58" w:rsidRDefault="00F8384F" w:rsidP="00F8384F">
      <w:pPr>
        <w:rPr>
          <w:rFonts w:eastAsia="Calibri"/>
        </w:rPr>
      </w:pPr>
      <w:r w:rsidRPr="009E1F58">
        <w:rPr>
          <w:rFonts w:eastAsia="Calibri"/>
        </w:rPr>
        <w:t xml:space="preserve">The </w:t>
      </w:r>
      <w:r w:rsidRPr="00DC07E1">
        <w:rPr>
          <w:rFonts w:eastAsia="Calibri"/>
          <w:i/>
        </w:rPr>
        <w:t>Observed Nominal Rates of Protection</w:t>
      </w:r>
      <w:r w:rsidRPr="009E1F58">
        <w:rPr>
          <w:rFonts w:eastAsia="Calibri"/>
        </w:rPr>
        <w:t xml:space="preserve"> at the farm gate (</w:t>
      </w:r>
      <m:oMath>
        <m:sSub>
          <m:sSubPr>
            <m:ctrlPr>
              <w:rPr>
                <w:rFonts w:ascii="Cambria Math" w:eastAsia="Calibri" w:hAnsi="Cambria Math"/>
                <w:i/>
              </w:rPr>
            </m:ctrlPr>
          </m:sSubPr>
          <m:e>
            <m:r>
              <w:rPr>
                <w:rFonts w:ascii="Cambria Math" w:eastAsia="Calibri" w:hAnsi="Cambria Math"/>
              </w:rPr>
              <m:t>NRP</m:t>
            </m:r>
          </m:e>
          <m:sub>
            <m:r>
              <w:rPr>
                <w:rFonts w:ascii="Cambria Math" w:eastAsia="Calibri" w:hAnsi="Cambria Math"/>
              </w:rPr>
              <m:t>ofg</m:t>
            </m:r>
          </m:sub>
        </m:sSub>
        <m:r>
          <w:rPr>
            <w:rFonts w:ascii="Cambria Math" w:eastAsia="Calibri" w:hAnsi="Cambria Math"/>
          </w:rPr>
          <m:t xml:space="preserve">) </m:t>
        </m:r>
      </m:oMath>
      <w:r w:rsidRPr="009E1F58">
        <w:rPr>
          <w:rFonts w:eastAsia="Calibri"/>
        </w:rPr>
        <w:t>and wholesale</w:t>
      </w:r>
      <m:oMath>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NRP</m:t>
            </m:r>
          </m:e>
          <m:sub>
            <m:r>
              <w:rPr>
                <w:rFonts w:ascii="Cambria Math" w:eastAsia="Calibri" w:hAnsi="Cambria Math"/>
              </w:rPr>
              <m:t>owh</m:t>
            </m:r>
          </m:sub>
        </m:sSub>
      </m:oMath>
      <w:r w:rsidRPr="009E1F58">
        <w:rPr>
          <w:rFonts w:eastAsia="Calibri"/>
        </w:rPr>
        <w:t>) are defined by the following equations:</w:t>
      </w:r>
    </w:p>
    <w:p w:rsidR="00F8384F" w:rsidRPr="00916D83" w:rsidRDefault="007C0FAB" w:rsidP="00F8384F">
      <w:pPr>
        <w:rPr>
          <w:rFonts w:eastAsia="Calibri"/>
        </w:rPr>
      </w:pPr>
      <m:oMathPara>
        <m:oMathParaPr>
          <m:jc m:val="center"/>
        </m:oMathParaPr>
        <m:oMath>
          <m:sSub>
            <m:sSubPr>
              <m:ctrlPr>
                <w:rPr>
                  <w:rFonts w:ascii="Cambria Math" w:eastAsia="Calibri" w:hAnsi="Cambria Math"/>
                </w:rPr>
              </m:ctrlPr>
            </m:sSubPr>
            <m:e>
              <m:r>
                <w:rPr>
                  <w:rFonts w:ascii="Cambria Math" w:eastAsia="Calibri" w:hAnsi="Cambria Math"/>
                </w:rPr>
                <m:t>NRP</m:t>
              </m:r>
            </m:e>
            <m:sub>
              <m:r>
                <w:rPr>
                  <w:rFonts w:ascii="Cambria Math" w:eastAsia="Calibri" w:hAnsi="Cambria Math"/>
                </w:rPr>
                <m:t>ofg</m:t>
              </m:r>
            </m:sub>
          </m:sSub>
          <m:r>
            <m:rPr>
              <m:sty m:val="p"/>
            </m:rPr>
            <w:rPr>
              <w:rFonts w:ascii="Cambria Math" w:eastAsia="Calibri" w:hAnsi="Cambria Math"/>
            </w:rPr>
            <m:t>=</m:t>
          </m:r>
          <m:f>
            <m:fPr>
              <m:ctrlPr>
                <w:rPr>
                  <w:rFonts w:ascii="Cambria Math" w:eastAsia="Calibri" w:hAnsi="Cambria Math"/>
                </w:rPr>
              </m:ctrlPr>
            </m:fPr>
            <m:num>
              <m:sSub>
                <m:sSubPr>
                  <m:ctrlPr>
                    <w:rPr>
                      <w:rFonts w:ascii="Cambria Math" w:eastAsia="Calibri" w:hAnsi="Cambria Math"/>
                    </w:rPr>
                  </m:ctrlPr>
                </m:sSubPr>
                <m:e>
                  <m:r>
                    <w:rPr>
                      <w:rFonts w:ascii="Cambria Math" w:eastAsia="Calibri" w:hAnsi="Cambria Math"/>
                    </w:rPr>
                    <m:t>PG</m:t>
                  </m:r>
                </m:e>
                <m:sub>
                  <m:r>
                    <w:rPr>
                      <w:rFonts w:ascii="Cambria Math" w:eastAsia="Calibri" w:hAnsi="Cambria Math"/>
                    </w:rPr>
                    <m:t>ofg</m:t>
                  </m:r>
                </m:sub>
              </m:sSub>
            </m:num>
            <m:den>
              <m:sSub>
                <m:sSubPr>
                  <m:ctrlPr>
                    <w:rPr>
                      <w:rFonts w:ascii="Cambria Math" w:eastAsia="Calibri" w:hAnsi="Cambria Math"/>
                    </w:rPr>
                  </m:ctrlPr>
                </m:sSubPr>
                <m:e>
                  <m:r>
                    <w:rPr>
                      <w:rFonts w:ascii="Cambria Math" w:eastAsia="Calibri" w:hAnsi="Cambria Math"/>
                    </w:rPr>
                    <m:t>RP</m:t>
                  </m:r>
                </m:e>
                <m:sub>
                  <m:r>
                    <w:rPr>
                      <w:rFonts w:ascii="Cambria Math" w:eastAsia="Calibri" w:hAnsi="Cambria Math"/>
                    </w:rPr>
                    <m:t>ofg</m:t>
                  </m:r>
                </m:sub>
              </m:sSub>
            </m:den>
          </m:f>
          <m:r>
            <m:rPr>
              <m:sty m:val="p"/>
            </m:rPr>
            <w:rPr>
              <w:rFonts w:ascii="Cambria Math" w:eastAsia="Calibri" w:hAnsi="Cambria Math"/>
            </w:rPr>
            <m:t xml:space="preserve"> ; </m:t>
          </m:r>
          <m:sSub>
            <m:sSubPr>
              <m:ctrlPr>
                <w:rPr>
                  <w:rFonts w:ascii="Cambria Math" w:eastAsia="Calibri" w:hAnsi="Cambria Math"/>
                </w:rPr>
              </m:ctrlPr>
            </m:sSubPr>
            <m:e>
              <m:r>
                <w:rPr>
                  <w:rFonts w:ascii="Cambria Math" w:eastAsia="Calibri" w:hAnsi="Cambria Math"/>
                </w:rPr>
                <m:t>NRP</m:t>
              </m:r>
            </m:e>
            <m:sub>
              <m:r>
                <w:rPr>
                  <w:rFonts w:ascii="Cambria Math" w:eastAsia="Calibri" w:hAnsi="Cambria Math"/>
                </w:rPr>
                <m:t>owh</m:t>
              </m:r>
            </m:sub>
          </m:sSub>
          <m:r>
            <m:rPr>
              <m:sty m:val="p"/>
            </m:rPr>
            <w:rPr>
              <w:rFonts w:ascii="Cambria Math" w:eastAsia="Calibri" w:hAnsi="Cambria Math"/>
            </w:rPr>
            <m:t>=</m:t>
          </m:r>
          <m:f>
            <m:fPr>
              <m:ctrlPr>
                <w:rPr>
                  <w:rFonts w:ascii="Cambria Math" w:eastAsia="Calibri" w:hAnsi="Cambria Math"/>
                </w:rPr>
              </m:ctrlPr>
            </m:fPr>
            <m:num>
              <m:sSub>
                <m:sSubPr>
                  <m:ctrlPr>
                    <w:rPr>
                      <w:rFonts w:ascii="Cambria Math" w:eastAsia="Calibri" w:hAnsi="Cambria Math"/>
                    </w:rPr>
                  </m:ctrlPr>
                </m:sSubPr>
                <m:e>
                  <m:r>
                    <w:rPr>
                      <w:rFonts w:ascii="Cambria Math" w:eastAsia="Calibri" w:hAnsi="Cambria Math"/>
                    </w:rPr>
                    <m:t>PG</m:t>
                  </m:r>
                </m:e>
                <m:sub>
                  <m:r>
                    <w:rPr>
                      <w:rFonts w:ascii="Cambria Math" w:eastAsia="Calibri" w:hAnsi="Cambria Math"/>
                    </w:rPr>
                    <m:t>owh</m:t>
                  </m:r>
                </m:sub>
              </m:sSub>
            </m:num>
            <m:den>
              <m:sSub>
                <m:sSubPr>
                  <m:ctrlPr>
                    <w:rPr>
                      <w:rFonts w:ascii="Cambria Math" w:eastAsia="Calibri" w:hAnsi="Cambria Math"/>
                    </w:rPr>
                  </m:ctrlPr>
                </m:sSubPr>
                <m:e>
                  <m:r>
                    <w:rPr>
                      <w:rFonts w:ascii="Cambria Math" w:eastAsia="Calibri" w:hAnsi="Cambria Math"/>
                    </w:rPr>
                    <m:t>RP</m:t>
                  </m:r>
                </m:e>
                <m:sub>
                  <m:r>
                    <w:rPr>
                      <w:rFonts w:ascii="Cambria Math" w:eastAsia="Calibri" w:hAnsi="Cambria Math"/>
                    </w:rPr>
                    <m:t>owh</m:t>
                  </m:r>
                </m:sub>
              </m:sSub>
            </m:den>
          </m:f>
        </m:oMath>
      </m:oMathPara>
    </w:p>
    <w:p w:rsidR="00F8384F" w:rsidRPr="009E1F58" w:rsidRDefault="00F8384F" w:rsidP="00F8384F">
      <w:pPr>
        <w:rPr>
          <w:rFonts w:eastAsia="Calibri"/>
        </w:rPr>
      </w:pPr>
      <w:r w:rsidRPr="009E1F58">
        <w:rPr>
          <w:rFonts w:eastAsia="Calibri"/>
        </w:rPr>
        <w:t xml:space="preserve">where </w:t>
      </w:r>
      <m:oMath>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PG</m:t>
            </m:r>
          </m:e>
          <m:sub>
            <m:r>
              <w:rPr>
                <w:rFonts w:ascii="Cambria Math" w:eastAsia="Calibri" w:hAnsi="Cambria Math"/>
              </w:rPr>
              <m:t>ofg</m:t>
            </m:r>
          </m:sub>
        </m:sSub>
        <m:r>
          <w:rPr>
            <w:rFonts w:ascii="Cambria Math" w:eastAsia="Calibri" w:hAnsi="Cambria Math"/>
          </w:rPr>
          <m:t xml:space="preserve"> </m:t>
        </m:r>
      </m:oMath>
      <w:r w:rsidRPr="009E1F58">
        <w:rPr>
          <w:rFonts w:eastAsia="Calibri"/>
        </w:rPr>
        <w:t xml:space="preserve">is the observed price gap at farm gate, </w:t>
      </w:r>
      <m:oMath>
        <m:sSub>
          <m:sSubPr>
            <m:ctrlPr>
              <w:rPr>
                <w:rFonts w:ascii="Cambria Math" w:eastAsia="Calibri" w:hAnsi="Cambria Math"/>
                <w:i/>
              </w:rPr>
            </m:ctrlPr>
          </m:sSubPr>
          <m:e>
            <m:r>
              <w:rPr>
                <w:rFonts w:ascii="Cambria Math" w:eastAsia="Calibri" w:hAnsi="Cambria Math"/>
              </w:rPr>
              <m:t>RP</m:t>
            </m:r>
          </m:e>
          <m:sub>
            <m:r>
              <w:rPr>
                <w:rFonts w:ascii="Cambria Math" w:eastAsia="Calibri" w:hAnsi="Cambria Math"/>
              </w:rPr>
              <m:t xml:space="preserve">ofg </m:t>
            </m:r>
          </m:sub>
        </m:sSub>
      </m:oMath>
      <w:r w:rsidRPr="009E1F58">
        <w:rPr>
          <w:rFonts w:eastAsia="Calibri"/>
        </w:rPr>
        <w:t>is the observed reference price at the farm gate,</w:t>
      </w:r>
      <m:oMath>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PG</m:t>
            </m:r>
          </m:e>
          <m:sub>
            <m:r>
              <w:rPr>
                <w:rFonts w:ascii="Cambria Math" w:eastAsia="Calibri" w:hAnsi="Cambria Math"/>
              </w:rPr>
              <m:t>owh</m:t>
            </m:r>
          </m:sub>
        </m:sSub>
      </m:oMath>
      <w:r w:rsidRPr="009E1F58">
        <w:rPr>
          <w:rFonts w:eastAsia="Calibri"/>
        </w:rPr>
        <w:t xml:space="preserve">is the observed price gap at wholesale and </w:t>
      </w:r>
      <m:oMath>
        <m:sSub>
          <m:sSubPr>
            <m:ctrlPr>
              <w:rPr>
                <w:rFonts w:ascii="Cambria Math" w:eastAsia="Calibri" w:hAnsi="Cambria Math"/>
                <w:i/>
              </w:rPr>
            </m:ctrlPr>
          </m:sSubPr>
          <m:e>
            <m:r>
              <w:rPr>
                <w:rFonts w:ascii="Cambria Math" w:eastAsia="Calibri" w:hAnsi="Cambria Math"/>
              </w:rPr>
              <m:t>RP</m:t>
            </m:r>
          </m:e>
          <m:sub>
            <m:r>
              <w:rPr>
                <w:rFonts w:ascii="Cambria Math" w:eastAsia="Calibri" w:hAnsi="Cambria Math"/>
              </w:rPr>
              <m:t>owh</m:t>
            </m:r>
          </m:sub>
        </m:sSub>
      </m:oMath>
      <w:r w:rsidRPr="009E1F58">
        <w:rPr>
          <w:rFonts w:eastAsia="Calibri"/>
        </w:rPr>
        <w:t xml:space="preserve"> is the observed reference price at wholesale. </w:t>
      </w:r>
    </w:p>
    <w:p w:rsidR="00F8384F" w:rsidRPr="009E1F58" w:rsidRDefault="00F8384F" w:rsidP="00F8384F">
      <w:pPr>
        <w:rPr>
          <w:rFonts w:eastAsia="Calibri"/>
        </w:rPr>
      </w:pPr>
      <w:r w:rsidRPr="009E1F58">
        <w:rPr>
          <w:rFonts w:eastAsia="Calibri"/>
        </w:rPr>
        <w:t xml:space="preserve">Similarly, the </w:t>
      </w:r>
      <w:r w:rsidRPr="00DC07E1">
        <w:rPr>
          <w:rFonts w:eastAsia="Calibri"/>
          <w:i/>
        </w:rPr>
        <w:t>Adjusted Nominal Rates of Protection</w:t>
      </w:r>
      <w:r w:rsidRPr="009E1F58">
        <w:rPr>
          <w:rFonts w:eastAsia="Calibri"/>
        </w:rPr>
        <w:t xml:space="preserve"> at the farm gate </w:t>
      </w:r>
      <m:oMath>
        <m:sSub>
          <m:sSubPr>
            <m:ctrlPr>
              <w:rPr>
                <w:rFonts w:ascii="Cambria Math" w:eastAsia="Calibri" w:hAnsi="Cambria Math"/>
                <w:i/>
              </w:rPr>
            </m:ctrlPr>
          </m:sSubPr>
          <m:e>
            <m:r>
              <w:rPr>
                <w:rFonts w:ascii="Cambria Math" w:eastAsia="Calibri" w:hAnsi="Cambria Math"/>
              </w:rPr>
              <m:t>(NRP</m:t>
            </m:r>
          </m:e>
          <m:sub>
            <m:r>
              <w:rPr>
                <w:rFonts w:ascii="Cambria Math" w:eastAsia="Calibri" w:hAnsi="Cambria Math"/>
              </w:rPr>
              <m:t>afg</m:t>
            </m:r>
          </m:sub>
        </m:sSub>
        <m:r>
          <w:rPr>
            <w:rFonts w:ascii="Cambria Math" w:eastAsia="Calibri" w:hAnsi="Cambria Math"/>
          </w:rPr>
          <m:t>)</m:t>
        </m:r>
      </m:oMath>
      <w:r w:rsidRPr="009E1F58">
        <w:rPr>
          <w:rFonts w:eastAsia="Calibri"/>
        </w:rPr>
        <w:t xml:space="preserve"> and wholesale</w:t>
      </w:r>
      <m:oMath>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NRP</m:t>
            </m:r>
          </m:e>
          <m:sub>
            <m:r>
              <w:rPr>
                <w:rFonts w:ascii="Cambria Math" w:eastAsia="Calibri" w:hAnsi="Cambria Math"/>
              </w:rPr>
              <m:t>awh</m:t>
            </m:r>
          </m:sub>
        </m:sSub>
      </m:oMath>
      <w:r w:rsidRPr="009E1F58">
        <w:rPr>
          <w:rFonts w:eastAsia="Calibri"/>
        </w:rPr>
        <w:t>) are defined by the following equations:</w:t>
      </w:r>
    </w:p>
    <w:p w:rsidR="00F8384F" w:rsidRPr="00916D83" w:rsidRDefault="007C0FAB" w:rsidP="00F8384F">
      <w:pPr>
        <w:rPr>
          <w:rFonts w:eastAsia="Calibri"/>
        </w:rPr>
      </w:pPr>
      <m:oMathPara>
        <m:oMathParaPr>
          <m:jc m:val="center"/>
        </m:oMathParaPr>
        <m:oMath>
          <m:sSub>
            <m:sSubPr>
              <m:ctrlPr>
                <w:rPr>
                  <w:rFonts w:ascii="Cambria Math" w:eastAsia="Calibri" w:hAnsi="Cambria Math"/>
                </w:rPr>
              </m:ctrlPr>
            </m:sSubPr>
            <m:e>
              <m:r>
                <w:rPr>
                  <w:rFonts w:ascii="Cambria Math" w:eastAsia="Calibri" w:hAnsi="Cambria Math"/>
                </w:rPr>
                <m:t>NRP</m:t>
              </m:r>
            </m:e>
            <m:sub>
              <m:r>
                <w:rPr>
                  <w:rFonts w:ascii="Cambria Math" w:eastAsia="Calibri" w:hAnsi="Cambria Math"/>
                </w:rPr>
                <m:t>afg</m:t>
              </m:r>
            </m:sub>
          </m:sSub>
          <m:r>
            <m:rPr>
              <m:sty m:val="p"/>
            </m:rPr>
            <w:rPr>
              <w:rFonts w:ascii="Cambria Math" w:eastAsia="Calibri" w:hAnsi="Cambria Math"/>
            </w:rPr>
            <m:t>=</m:t>
          </m:r>
          <m:f>
            <m:fPr>
              <m:ctrlPr>
                <w:rPr>
                  <w:rFonts w:ascii="Cambria Math" w:eastAsia="Calibri" w:hAnsi="Cambria Math"/>
                </w:rPr>
              </m:ctrlPr>
            </m:fPr>
            <m:num>
              <m:sSub>
                <m:sSubPr>
                  <m:ctrlPr>
                    <w:rPr>
                      <w:rFonts w:ascii="Cambria Math" w:eastAsia="Calibri" w:hAnsi="Cambria Math"/>
                    </w:rPr>
                  </m:ctrlPr>
                </m:sSubPr>
                <m:e>
                  <m:r>
                    <w:rPr>
                      <w:rFonts w:ascii="Cambria Math" w:eastAsia="Calibri" w:hAnsi="Cambria Math"/>
                    </w:rPr>
                    <m:t>PG</m:t>
                  </m:r>
                </m:e>
                <m:sub>
                  <m:r>
                    <w:rPr>
                      <w:rFonts w:ascii="Cambria Math" w:eastAsia="Calibri" w:hAnsi="Cambria Math"/>
                    </w:rPr>
                    <m:t>afg</m:t>
                  </m:r>
                </m:sub>
              </m:sSub>
            </m:num>
            <m:den>
              <m:sSub>
                <m:sSubPr>
                  <m:ctrlPr>
                    <w:rPr>
                      <w:rFonts w:ascii="Cambria Math" w:eastAsia="Calibri" w:hAnsi="Cambria Math"/>
                    </w:rPr>
                  </m:ctrlPr>
                </m:sSubPr>
                <m:e>
                  <m:r>
                    <w:rPr>
                      <w:rFonts w:ascii="Cambria Math" w:eastAsia="Calibri" w:hAnsi="Cambria Math"/>
                    </w:rPr>
                    <m:t>RP</m:t>
                  </m:r>
                </m:e>
                <m:sub>
                  <m:r>
                    <w:rPr>
                      <w:rFonts w:ascii="Cambria Math" w:eastAsia="Calibri" w:hAnsi="Cambria Math"/>
                    </w:rPr>
                    <m:t>afg</m:t>
                  </m:r>
                </m:sub>
              </m:sSub>
            </m:den>
          </m:f>
          <m:r>
            <m:rPr>
              <m:sty m:val="p"/>
            </m:rPr>
            <w:rPr>
              <w:rFonts w:ascii="Cambria Math" w:eastAsia="Calibri" w:hAnsi="Cambria Math"/>
            </w:rPr>
            <m:t xml:space="preserve"> ; </m:t>
          </m:r>
          <m:sSub>
            <m:sSubPr>
              <m:ctrlPr>
                <w:rPr>
                  <w:rFonts w:ascii="Cambria Math" w:eastAsia="Calibri" w:hAnsi="Cambria Math"/>
                </w:rPr>
              </m:ctrlPr>
            </m:sSubPr>
            <m:e>
              <m:r>
                <w:rPr>
                  <w:rFonts w:ascii="Cambria Math" w:eastAsia="Calibri" w:hAnsi="Cambria Math"/>
                </w:rPr>
                <m:t>NRP</m:t>
              </m:r>
            </m:e>
            <m:sub>
              <m:r>
                <w:rPr>
                  <w:rFonts w:ascii="Cambria Math" w:eastAsia="Calibri" w:hAnsi="Cambria Math"/>
                </w:rPr>
                <m:t>awh</m:t>
              </m:r>
            </m:sub>
          </m:sSub>
          <m:r>
            <m:rPr>
              <m:sty m:val="p"/>
            </m:rPr>
            <w:rPr>
              <w:rFonts w:ascii="Cambria Math" w:eastAsia="Calibri" w:hAnsi="Cambria Math"/>
            </w:rPr>
            <m:t>=</m:t>
          </m:r>
          <m:f>
            <m:fPr>
              <m:ctrlPr>
                <w:rPr>
                  <w:rFonts w:ascii="Cambria Math" w:eastAsia="Calibri" w:hAnsi="Cambria Math"/>
                </w:rPr>
              </m:ctrlPr>
            </m:fPr>
            <m:num>
              <m:sSub>
                <m:sSubPr>
                  <m:ctrlPr>
                    <w:rPr>
                      <w:rFonts w:ascii="Cambria Math" w:eastAsia="Calibri" w:hAnsi="Cambria Math"/>
                    </w:rPr>
                  </m:ctrlPr>
                </m:sSubPr>
                <m:e>
                  <m:r>
                    <w:rPr>
                      <w:rFonts w:ascii="Cambria Math" w:eastAsia="Calibri" w:hAnsi="Cambria Math"/>
                    </w:rPr>
                    <m:t>PG</m:t>
                  </m:r>
                </m:e>
                <m:sub>
                  <m:r>
                    <w:rPr>
                      <w:rFonts w:ascii="Cambria Math" w:eastAsia="Calibri" w:hAnsi="Cambria Math"/>
                    </w:rPr>
                    <m:t>awh</m:t>
                  </m:r>
                </m:sub>
              </m:sSub>
            </m:num>
            <m:den>
              <m:sSub>
                <m:sSubPr>
                  <m:ctrlPr>
                    <w:rPr>
                      <w:rFonts w:ascii="Cambria Math" w:eastAsia="Calibri" w:hAnsi="Cambria Math"/>
                    </w:rPr>
                  </m:ctrlPr>
                </m:sSubPr>
                <m:e>
                  <m:r>
                    <w:rPr>
                      <w:rFonts w:ascii="Cambria Math" w:eastAsia="Calibri" w:hAnsi="Cambria Math"/>
                    </w:rPr>
                    <m:t>RP</m:t>
                  </m:r>
                </m:e>
                <m:sub>
                  <m:r>
                    <w:rPr>
                      <w:rFonts w:ascii="Cambria Math" w:eastAsia="Calibri" w:hAnsi="Cambria Math"/>
                    </w:rPr>
                    <m:t>awh</m:t>
                  </m:r>
                </m:sub>
              </m:sSub>
            </m:den>
          </m:f>
        </m:oMath>
      </m:oMathPara>
    </w:p>
    <w:p w:rsidR="00F8384F" w:rsidRPr="009E1F58" w:rsidRDefault="00F8384F" w:rsidP="00F8384F">
      <w:pPr>
        <w:rPr>
          <w:rFonts w:eastAsia="Calibri"/>
        </w:rPr>
      </w:pPr>
      <w:r w:rsidRPr="009E1F58">
        <w:rPr>
          <w:rFonts w:eastAsia="Calibri"/>
        </w:rPr>
        <w:t xml:space="preserve">where </w:t>
      </w:r>
      <m:oMath>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PG</m:t>
            </m:r>
          </m:e>
          <m:sub>
            <m:r>
              <w:rPr>
                <w:rFonts w:ascii="Cambria Math" w:eastAsia="Calibri" w:hAnsi="Cambria Math"/>
              </w:rPr>
              <m:t>afg</m:t>
            </m:r>
          </m:sub>
        </m:sSub>
        <m:r>
          <w:rPr>
            <w:rFonts w:ascii="Cambria Math" w:eastAsia="Calibri" w:hAnsi="Cambria Math"/>
          </w:rPr>
          <m:t xml:space="preserve"> </m:t>
        </m:r>
      </m:oMath>
      <w:r w:rsidRPr="009E1F58">
        <w:rPr>
          <w:rFonts w:eastAsia="Calibri"/>
        </w:rPr>
        <w:t xml:space="preserve">is the adjusted price gap at farm gate, </w:t>
      </w:r>
      <m:oMath>
        <m:sSub>
          <m:sSubPr>
            <m:ctrlPr>
              <w:rPr>
                <w:rFonts w:ascii="Cambria Math" w:eastAsia="Calibri" w:hAnsi="Cambria Math"/>
                <w:i/>
              </w:rPr>
            </m:ctrlPr>
          </m:sSubPr>
          <m:e>
            <m:r>
              <w:rPr>
                <w:rFonts w:ascii="Cambria Math" w:eastAsia="Calibri" w:hAnsi="Cambria Math"/>
              </w:rPr>
              <m:t>RP</m:t>
            </m:r>
          </m:e>
          <m:sub>
            <m:r>
              <w:rPr>
                <w:rFonts w:ascii="Cambria Math" w:eastAsia="Calibri" w:hAnsi="Cambria Math"/>
              </w:rPr>
              <m:t xml:space="preserve">afg </m:t>
            </m:r>
          </m:sub>
        </m:sSub>
      </m:oMath>
      <w:r w:rsidRPr="009E1F58">
        <w:rPr>
          <w:rFonts w:eastAsia="Calibri"/>
        </w:rPr>
        <w:t>is the adjusted reference price at the farm gate,</w:t>
      </w:r>
      <m:oMath>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PG</m:t>
            </m:r>
          </m:e>
          <m:sub>
            <m:r>
              <w:rPr>
                <w:rFonts w:ascii="Cambria Math" w:eastAsia="Calibri" w:hAnsi="Cambria Math"/>
              </w:rPr>
              <m:t>awh</m:t>
            </m:r>
          </m:sub>
        </m:sSub>
      </m:oMath>
      <w:r w:rsidRPr="009E1F58">
        <w:rPr>
          <w:rFonts w:eastAsia="Calibri"/>
        </w:rPr>
        <w:t xml:space="preserve">is the adjusted price gap at wholesale and </w:t>
      </w:r>
      <m:oMath>
        <m:sSub>
          <m:sSubPr>
            <m:ctrlPr>
              <w:rPr>
                <w:rFonts w:ascii="Cambria Math" w:eastAsia="Calibri" w:hAnsi="Cambria Math"/>
                <w:i/>
              </w:rPr>
            </m:ctrlPr>
          </m:sSubPr>
          <m:e>
            <m:r>
              <w:rPr>
                <w:rFonts w:ascii="Cambria Math" w:eastAsia="Calibri" w:hAnsi="Cambria Math"/>
              </w:rPr>
              <m:t>RP</m:t>
            </m:r>
          </m:e>
          <m:sub>
            <m:r>
              <w:rPr>
                <w:rFonts w:ascii="Cambria Math" w:eastAsia="Calibri" w:hAnsi="Cambria Math"/>
              </w:rPr>
              <m:t>awh</m:t>
            </m:r>
          </m:sub>
        </m:sSub>
      </m:oMath>
      <w:r w:rsidRPr="009E1F58">
        <w:rPr>
          <w:rFonts w:eastAsia="Calibri"/>
        </w:rPr>
        <w:t xml:space="preserve"> is the adjusted reference price at wholesale.</w:t>
      </w:r>
    </w:p>
    <w:p w:rsidR="00F8384F" w:rsidRPr="009E1F58" w:rsidRDefault="00F8384F" w:rsidP="00F8384F">
      <w:pPr>
        <w:rPr>
          <w:rFonts w:eastAsia="Calibri"/>
        </w:rPr>
      </w:pPr>
      <w:r w:rsidRPr="009E1F58">
        <w:rPr>
          <w:rFonts w:eastAsia="Calibri"/>
        </w:rPr>
        <w:t xml:space="preserve">If public expenditure allocated to </w:t>
      </w:r>
      <w:r>
        <w:rPr>
          <w:rFonts w:eastAsia="Calibri"/>
        </w:rPr>
        <w:t>the commodity</w:t>
      </w:r>
      <w:r w:rsidRPr="009E1F58">
        <w:rPr>
          <w:rFonts w:eastAsia="Calibri"/>
        </w:rPr>
        <w:t xml:space="preserve"> is added to the price gap at farm gate when calculating the ratios, the </w:t>
      </w:r>
      <w:r w:rsidRPr="009E1F58">
        <w:rPr>
          <w:rFonts w:eastAsia="Calibri"/>
          <w:b/>
          <w:i/>
        </w:rPr>
        <w:t>Nominal Rate of Assistance (NRA)</w:t>
      </w:r>
      <w:r w:rsidRPr="009E1F58">
        <w:rPr>
          <w:rFonts w:eastAsia="Calibri"/>
        </w:rPr>
        <w:t xml:space="preserve"> is generated. This indicator summarizes the incentives (or disincentives) due to policies, market performance and public expenditure.</w:t>
      </w:r>
      <w:r w:rsidRPr="00916D83">
        <w:rPr>
          <w:rStyle w:val="FootnoteReference"/>
          <w:rFonts w:eastAsia="Calibri" w:cs="Calibri"/>
          <w:color w:val="000000" w:themeColor="text1"/>
        </w:rPr>
        <w:footnoteReference w:id="8"/>
      </w:r>
      <w:r w:rsidRPr="009E1F58">
        <w:rPr>
          <w:rFonts w:eastAsia="Calibri"/>
        </w:rPr>
        <w:t xml:space="preserve"> Mathematically, the </w:t>
      </w:r>
      <w:r>
        <w:rPr>
          <w:rFonts w:eastAsia="Calibri"/>
        </w:rPr>
        <w:t>N</w:t>
      </w:r>
      <w:r w:rsidRPr="009E1F58">
        <w:rPr>
          <w:rFonts w:eastAsia="Calibri"/>
        </w:rPr>
        <w:t xml:space="preserve">ominal </w:t>
      </w:r>
      <w:r>
        <w:rPr>
          <w:rFonts w:eastAsia="Calibri"/>
        </w:rPr>
        <w:t>R</w:t>
      </w:r>
      <w:r w:rsidRPr="009E1F58">
        <w:rPr>
          <w:rFonts w:eastAsia="Calibri"/>
        </w:rPr>
        <w:t xml:space="preserve">ate of </w:t>
      </w:r>
      <w:r>
        <w:rPr>
          <w:rFonts w:eastAsia="Calibri"/>
        </w:rPr>
        <w:t>A</w:t>
      </w:r>
      <w:r w:rsidRPr="009E1F58">
        <w:rPr>
          <w:rFonts w:eastAsia="Calibri"/>
        </w:rPr>
        <w:t xml:space="preserve">ssistance is defined by the following equation:  </w:t>
      </w:r>
    </w:p>
    <w:p w:rsidR="00F8384F" w:rsidRPr="00916D83" w:rsidRDefault="00F8384F" w:rsidP="00F8384F">
      <w:pPr>
        <w:rPr>
          <w:rFonts w:eastAsia="Calibri"/>
          <w:color w:val="000000" w:themeColor="text1"/>
        </w:rPr>
      </w:pPr>
      <m:oMathPara>
        <m:oMathParaPr>
          <m:jc m:val="center"/>
        </m:oMathParaPr>
        <m:oMath>
          <m:r>
            <w:rPr>
              <w:rFonts w:ascii="Cambria Math" w:eastAsia="Calibri" w:hAnsi="Cambria Math"/>
            </w:rPr>
            <m:t>NRA</m:t>
          </m:r>
          <m:r>
            <m:rPr>
              <m:sty m:val="p"/>
            </m:rPr>
            <w:rPr>
              <w:rFonts w:ascii="Cambria Math" w:eastAsia="Calibri" w:hAnsi="Cambria Math"/>
            </w:rPr>
            <m:t>=</m:t>
          </m:r>
          <m:f>
            <m:fPr>
              <m:ctrlPr>
                <w:rPr>
                  <w:rFonts w:ascii="Cambria Math" w:eastAsia="Calibri" w:hAnsi="Cambria Math"/>
                </w:rPr>
              </m:ctrlPr>
            </m:fPr>
            <m:num>
              <m:sSub>
                <m:sSubPr>
                  <m:ctrlPr>
                    <w:rPr>
                      <w:rFonts w:ascii="Cambria Math" w:eastAsia="Calibri" w:hAnsi="Cambria Math"/>
                    </w:rPr>
                  </m:ctrlPr>
                </m:sSubPr>
                <m:e>
                  <m:r>
                    <w:rPr>
                      <w:rFonts w:ascii="Cambria Math" w:eastAsia="Calibri" w:hAnsi="Cambria Math"/>
                    </w:rPr>
                    <m:t>PG</m:t>
                  </m:r>
                </m:e>
                <m:sub>
                  <m:r>
                    <w:rPr>
                      <w:rFonts w:ascii="Cambria Math" w:eastAsia="Calibri" w:hAnsi="Cambria Math"/>
                    </w:rPr>
                    <m:t>afg</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PE</m:t>
                  </m:r>
                </m:e>
                <m:sub>
                  <m:r>
                    <w:rPr>
                      <w:rFonts w:ascii="Cambria Math" w:eastAsia="Calibri" w:hAnsi="Cambria Math"/>
                    </w:rPr>
                    <m:t>csp</m:t>
                  </m:r>
                </m:sub>
              </m:sSub>
            </m:num>
            <m:den>
              <m:sSub>
                <m:sSubPr>
                  <m:ctrlPr>
                    <w:rPr>
                      <w:rFonts w:ascii="Cambria Math" w:eastAsia="Calibri" w:hAnsi="Cambria Math"/>
                    </w:rPr>
                  </m:ctrlPr>
                </m:sSubPr>
                <m:e>
                  <m:r>
                    <w:rPr>
                      <w:rFonts w:ascii="Cambria Math" w:eastAsia="Calibri" w:hAnsi="Cambria Math"/>
                    </w:rPr>
                    <m:t>RF</m:t>
                  </m:r>
                </m:e>
                <m:sub>
                  <m:r>
                    <w:rPr>
                      <w:rFonts w:ascii="Cambria Math" w:eastAsia="Calibri" w:hAnsi="Cambria Math"/>
                    </w:rPr>
                    <m:t>afg</m:t>
                  </m:r>
                </m:sub>
              </m:sSub>
            </m:den>
          </m:f>
        </m:oMath>
      </m:oMathPara>
    </w:p>
    <w:p w:rsidR="00F8384F" w:rsidRPr="009E1F58" w:rsidRDefault="00F8384F" w:rsidP="00F8384F">
      <w:pPr>
        <w:rPr>
          <w:rFonts w:eastAsia="Calibri"/>
        </w:rPr>
      </w:pPr>
      <w:r w:rsidRPr="009E1F58">
        <w:rPr>
          <w:rFonts w:eastAsia="Calibri"/>
        </w:rPr>
        <w:lastRenderedPageBreak/>
        <w:t>where PE</w:t>
      </w:r>
      <w:r w:rsidRPr="009E1F58">
        <w:rPr>
          <w:rFonts w:eastAsia="Calibri"/>
          <w:vertAlign w:val="subscript"/>
        </w:rPr>
        <w:t>csp</w:t>
      </w:r>
      <w:r w:rsidRPr="009E1F58">
        <w:rPr>
          <w:rFonts w:eastAsia="Calibri"/>
        </w:rPr>
        <w:t xml:space="preserve"> is commodity-specific public expenditure that has been identified and measured as monetary units per tonne.</w:t>
      </w:r>
    </w:p>
    <w:p w:rsidR="00F8384F" w:rsidRPr="009E1F58" w:rsidRDefault="00F8384F" w:rsidP="00F8384F">
      <w:pPr>
        <w:rPr>
          <w:rFonts w:eastAsia="Calibri"/>
        </w:rPr>
      </w:pPr>
      <w:r w:rsidRPr="009E1F58">
        <w:rPr>
          <w:rFonts w:eastAsia="Calibri"/>
        </w:rPr>
        <w:t xml:space="preserve">Finally, MAFAP methodology estimates the </w:t>
      </w:r>
      <w:r w:rsidRPr="009E1F58">
        <w:rPr>
          <w:rFonts w:eastAsia="Calibri"/>
          <w:b/>
          <w:i/>
        </w:rPr>
        <w:t>Market Development Gap (MDG)</w:t>
      </w:r>
      <w:r w:rsidRPr="009E1F58">
        <w:rPr>
          <w:rFonts w:eastAsia="Calibri"/>
          <w:b/>
        </w:rPr>
        <w:t>,</w:t>
      </w:r>
      <w:r w:rsidRPr="009E1F58">
        <w:rPr>
          <w:rFonts w:eastAsia="Calibri"/>
        </w:rPr>
        <w:t xml:space="preserve"> which is the portion of the price gap that can be attributed to “excessive” or inefficient access costs within a given value chain, exchange rate misalignments</w:t>
      </w:r>
      <w:r>
        <w:rPr>
          <w:rFonts w:eastAsia="Calibri"/>
        </w:rPr>
        <w:t>,</w:t>
      </w:r>
      <w:r w:rsidRPr="009E1F58">
        <w:rPr>
          <w:rFonts w:eastAsia="Calibri"/>
        </w:rPr>
        <w:t xml:space="preserve"> and imperfect functioning of international markets. “Excessive” access costs may result from factors such as poor infrastructure, high processing costs due to obsolete technology, government taxes and fees (excluding fees for services), high profit margins captured by various marketing agents, bribes and other non-tariff barriers. Therefore, the total MDG at farm gate is comprised of three components – gaps due to “excessive” access costs, the exchange rate </w:t>
      </w:r>
      <w:r w:rsidR="00CD4DDB">
        <w:rPr>
          <w:rFonts w:eastAsia="Calibri"/>
        </w:rPr>
        <w:t xml:space="preserve">policy </w:t>
      </w:r>
      <w:r w:rsidRPr="009E1F58">
        <w:rPr>
          <w:rFonts w:eastAsia="Calibri"/>
        </w:rPr>
        <w:t>gap and the international market gap. When added together, these components are equivalent to the difference between the observed and adjusted price gaps at farm gate.</w:t>
      </w:r>
    </w:p>
    <w:p w:rsidR="00F8384F" w:rsidRPr="009E1F58" w:rsidRDefault="00F8384F" w:rsidP="00F8384F">
      <w:pPr>
        <w:rPr>
          <w:rFonts w:eastAsia="Calibri"/>
        </w:rPr>
      </w:pPr>
      <w:r w:rsidRPr="009E1F58">
        <w:rPr>
          <w:rFonts w:eastAsia="Calibri"/>
        </w:rPr>
        <w:t xml:space="preserve">Similar to the price gaps calculated, the MDG is an absolute measure, which is also expressed as a ratio to allow for comparison </w:t>
      </w:r>
      <w:r>
        <w:rPr>
          <w:rFonts w:eastAsia="Calibri"/>
        </w:rPr>
        <w:t>between years,</w:t>
      </w:r>
      <w:r w:rsidRPr="009E1F58">
        <w:rPr>
          <w:rFonts w:eastAsia="Calibri"/>
        </w:rPr>
        <w:t xml:space="preserve"> commodities</w:t>
      </w:r>
      <w:r>
        <w:rPr>
          <w:rFonts w:eastAsia="Calibri"/>
        </w:rPr>
        <w:t>,</w:t>
      </w:r>
      <w:r w:rsidRPr="009E1F58">
        <w:rPr>
          <w:rFonts w:eastAsia="Calibri"/>
        </w:rPr>
        <w:t xml:space="preserve"> and countries. This relative indicator of the total MDG affecting farmers is derived by calculating the ratio between the total MDG at farm gate and the </w:t>
      </w:r>
      <w:r w:rsidRPr="00BC77BA">
        <w:rPr>
          <w:rFonts w:eastAsia="Calibri"/>
        </w:rPr>
        <w:t>adjusted reference price at farm gate</w:t>
      </w:r>
      <w:r w:rsidRPr="009E1F58">
        <w:rPr>
          <w:rFonts w:eastAsia="Calibri"/>
        </w:rPr>
        <w:t xml:space="preserve"> as follows: </w:t>
      </w:r>
    </w:p>
    <w:p w:rsidR="00F8384F" w:rsidRPr="00916D83" w:rsidRDefault="007C0FAB" w:rsidP="00F8384F">
      <w:pPr>
        <w:rPr>
          <w:rFonts w:eastAsia="Calibri"/>
          <w:color w:val="000000" w:themeColor="text1"/>
        </w:rPr>
      </w:pPr>
      <m:oMathPara>
        <m:oMathParaPr>
          <m:jc m:val="center"/>
        </m:oMathParaPr>
        <m:oMath>
          <m:sSub>
            <m:sSubPr>
              <m:ctrlPr>
                <w:rPr>
                  <w:rFonts w:ascii="Cambria Math" w:eastAsia="Calibri" w:hAnsi="Cambria Math"/>
                </w:rPr>
              </m:ctrlPr>
            </m:sSubPr>
            <m:e>
              <m:r>
                <w:rPr>
                  <w:rFonts w:ascii="Cambria Math" w:eastAsia="Calibri" w:hAnsi="Cambria Math"/>
                </w:rPr>
                <m:t>MDG</m:t>
              </m:r>
            </m:e>
            <m:sub>
              <m:r>
                <w:rPr>
                  <w:rFonts w:ascii="Cambria Math" w:eastAsia="Calibri" w:hAnsi="Cambria Math"/>
                </w:rPr>
                <m:t>fg</m:t>
              </m:r>
            </m:sub>
          </m:sSub>
          <m:r>
            <m:rPr>
              <m:sty m:val="p"/>
            </m:rPr>
            <w:rPr>
              <w:rFonts w:ascii="Cambria Math" w:eastAsia="Calibri" w:hAnsi="Cambria Math"/>
            </w:rPr>
            <m:t xml:space="preserve">= </m:t>
          </m:r>
          <m:box>
            <m:boxPr>
              <m:ctrlPr>
                <w:rPr>
                  <w:rFonts w:ascii="Cambria Math" w:eastAsia="Calibri" w:hAnsi="Cambria Math"/>
                </w:rPr>
              </m:ctrlPr>
            </m:boxPr>
            <m:e>
              <m:argPr>
                <m:argSz m:val="-1"/>
              </m:argPr>
              <m:f>
                <m:fPr>
                  <m:ctrlPr>
                    <w:rPr>
                      <w:rFonts w:ascii="Cambria Math" w:eastAsia="Calibri" w:hAnsi="Cambria Math"/>
                    </w:rPr>
                  </m:ctrlPr>
                </m:fPr>
                <m:num>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ACG</m:t>
                      </m:r>
                    </m:e>
                    <m:sub>
                      <m:r>
                        <w:rPr>
                          <w:rFonts w:ascii="Cambria Math" w:eastAsia="Calibri" w:hAnsi="Cambria Math"/>
                        </w:rPr>
                        <m:t>wh</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ACG</m:t>
                      </m:r>
                    </m:e>
                    <m:sub>
                      <m:r>
                        <w:rPr>
                          <w:rFonts w:ascii="Cambria Math" w:eastAsia="Calibri" w:hAnsi="Cambria Math"/>
                        </w:rPr>
                        <m:t>fg</m:t>
                      </m:r>
                    </m:sub>
                  </m:sSub>
                  <m:r>
                    <m:rPr>
                      <m:sty m:val="p"/>
                    </m:rPr>
                    <w:rPr>
                      <w:rFonts w:ascii="Cambria Math" w:eastAsia="Calibri" w:hAnsi="Cambria Math"/>
                    </w:rPr>
                    <m:t>+</m:t>
                  </m:r>
                  <m:r>
                    <w:rPr>
                      <w:rFonts w:ascii="Cambria Math" w:eastAsia="Calibri" w:hAnsi="Cambria Math"/>
                    </w:rPr>
                    <m:t>EXPG</m:t>
                  </m:r>
                  <m:r>
                    <m:rPr>
                      <m:sty m:val="p"/>
                    </m:rPr>
                    <w:rPr>
                      <w:rFonts w:ascii="Cambria Math" w:eastAsia="Calibri" w:hAnsi="Cambria Math"/>
                    </w:rPr>
                    <m:t>+</m:t>
                  </m:r>
                  <m:r>
                    <w:rPr>
                      <w:rFonts w:ascii="Cambria Math" w:eastAsia="Calibri" w:hAnsi="Cambria Math"/>
                    </w:rPr>
                    <m:t>IMG</m:t>
                  </m:r>
                  <m:r>
                    <m:rPr>
                      <m:sty m:val="p"/>
                    </m:rPr>
                    <w:rPr>
                      <w:rFonts w:ascii="Cambria Math" w:eastAsia="Calibri" w:hAnsi="Cambria Math"/>
                    </w:rPr>
                    <m:t>)</m:t>
                  </m:r>
                </m:num>
                <m:den>
                  <m:sSub>
                    <m:sSubPr>
                      <m:ctrlPr>
                        <w:rPr>
                          <w:rFonts w:ascii="Cambria Math" w:eastAsia="Calibri" w:hAnsi="Cambria Math"/>
                        </w:rPr>
                      </m:ctrlPr>
                    </m:sSubPr>
                    <m:e>
                      <m:r>
                        <w:rPr>
                          <w:rFonts w:ascii="Cambria Math" w:eastAsia="Calibri" w:hAnsi="Cambria Math"/>
                        </w:rPr>
                        <m:t>RP</m:t>
                      </m:r>
                    </m:e>
                    <m:sub>
                      <m:r>
                        <w:rPr>
                          <w:rFonts w:ascii="Cambria Math" w:eastAsia="Calibri" w:hAnsi="Cambria Math"/>
                        </w:rPr>
                        <m:t>afg</m:t>
                      </m:r>
                    </m:sub>
                  </m:sSub>
                </m:den>
              </m:f>
            </m:e>
          </m:box>
        </m:oMath>
      </m:oMathPara>
    </w:p>
    <w:p w:rsidR="00F8384F" w:rsidRPr="009E1F58" w:rsidRDefault="00F8384F" w:rsidP="00F8384F">
      <w:pPr>
        <w:rPr>
          <w:rFonts w:eastAsia="Calibri" w:cs="Calibri"/>
        </w:rPr>
      </w:pPr>
      <w:r w:rsidRPr="009E1F58">
        <w:t>where ACG</w:t>
      </w:r>
      <w:r w:rsidRPr="009E1F58">
        <w:rPr>
          <w:vertAlign w:val="subscript"/>
        </w:rPr>
        <w:t>wh</w:t>
      </w:r>
      <w:r w:rsidRPr="009E1F58">
        <w:t xml:space="preserve"> is the access cost gap at </w:t>
      </w:r>
      <w:r>
        <w:t>wholesale</w:t>
      </w:r>
      <w:r w:rsidRPr="009E1F58">
        <w:t xml:space="preserve"> defined as the difference between observed and adjusted access costs at </w:t>
      </w:r>
      <w:r>
        <w:t>wholesale</w:t>
      </w:r>
      <w:r w:rsidR="00352282">
        <w:t>,</w:t>
      </w:r>
      <w:r w:rsidRPr="009E1F58">
        <w:t xml:space="preserve"> ACG</w:t>
      </w:r>
      <w:r w:rsidRPr="009E1F58">
        <w:rPr>
          <w:vertAlign w:val="subscript"/>
        </w:rPr>
        <w:t>fg</w:t>
      </w:r>
      <w:r w:rsidRPr="009E1F58">
        <w:t xml:space="preserve"> is the access cost gap at farm gate defined as the difference between observed and adjusted access costs at the farm gate</w:t>
      </w:r>
      <w:r w:rsidR="00352282">
        <w:t>,</w:t>
      </w:r>
      <w:r w:rsidR="00352282" w:rsidRPr="009E1F58">
        <w:t xml:space="preserve"> ERPG is the exchange rate</w:t>
      </w:r>
      <w:r w:rsidR="00352282">
        <w:t xml:space="preserve"> policy gap, and </w:t>
      </w:r>
      <w:r w:rsidR="00352282" w:rsidRPr="009E1F58">
        <w:t xml:space="preserve">IMG </w:t>
      </w:r>
      <w:r w:rsidR="00352282">
        <w:t>is the international market gap.</w:t>
      </w:r>
    </w:p>
    <w:p w:rsidR="00F8384F" w:rsidRDefault="00F8384F" w:rsidP="00F8384F">
      <w:r w:rsidRPr="009E1F58">
        <w:rPr>
          <w:rFonts w:eastAsia="Calibri"/>
        </w:rPr>
        <w:t>A more detailed description of the methodology applied in this analysis is available on MAFAP’s website at</w:t>
      </w:r>
      <w:r>
        <w:rPr>
          <w:rFonts w:eastAsia="Calibri"/>
        </w:rPr>
        <w:t xml:space="preserve"> </w:t>
      </w:r>
      <w:hyperlink r:id="rId33" w:history="1">
        <w:r w:rsidR="007C0FAB" w:rsidRPr="00C0622D">
          <w:rPr>
            <w:rStyle w:val="Hyperlink"/>
          </w:rPr>
          <w:t>www.fao.org/in-action/mafap</w:t>
        </w:r>
      </w:hyperlink>
      <w:bookmarkStart w:id="38" w:name="_GoBack"/>
      <w:bookmarkEnd w:id="38"/>
      <w:r w:rsidRPr="009E1F58">
        <w:t>.</w:t>
      </w:r>
    </w:p>
    <w:p w:rsidR="0001539E" w:rsidRDefault="0001539E">
      <w:pPr>
        <w:jc w:val="left"/>
      </w:pPr>
      <w:r>
        <w:br w:type="page"/>
      </w:r>
    </w:p>
    <w:p w:rsidR="005E525D" w:rsidRDefault="0051492F" w:rsidP="002059BF">
      <w:pPr>
        <w:pStyle w:val="Heading1"/>
        <w:numPr>
          <w:ilvl w:val="0"/>
          <w:numId w:val="30"/>
        </w:numPr>
        <w:spacing w:before="240"/>
      </w:pPr>
      <w:bookmarkStart w:id="39" w:name="_Toc401642226"/>
      <w:r>
        <w:lastRenderedPageBreak/>
        <w:t xml:space="preserve">DATA REQUIREMENTS </w:t>
      </w:r>
      <w:r w:rsidR="00D34654">
        <w:t>AND CALCULATION OF INDICATORS</w:t>
      </w:r>
      <w:bookmarkEnd w:id="39"/>
    </w:p>
    <w:p w:rsidR="00822F7B" w:rsidRPr="00C74A44" w:rsidRDefault="00F8384F" w:rsidP="00C74A44">
      <w:pPr>
        <w:rPr>
          <w:rFonts w:eastAsia="Calibri"/>
        </w:rPr>
      </w:pPr>
      <w:bookmarkStart w:id="40" w:name="_Toc335991445"/>
      <w:bookmarkStart w:id="41" w:name="_Toc336419334"/>
      <w:r>
        <w:rPr>
          <w:rFonts w:eastAsia="Calibri"/>
        </w:rPr>
        <w:t xml:space="preserve">To calculate MAFAP’s price incentives </w:t>
      </w:r>
      <w:r w:rsidR="00C74A44" w:rsidRPr="00C74A44">
        <w:rPr>
          <w:rFonts w:eastAsia="Calibri"/>
        </w:rPr>
        <w:t>indicators</w:t>
      </w:r>
      <w:r>
        <w:rPr>
          <w:rFonts w:eastAsia="Calibri"/>
        </w:rPr>
        <w:t>,</w:t>
      </w:r>
      <w:r w:rsidR="00C74A44" w:rsidRPr="00C74A44">
        <w:rPr>
          <w:rFonts w:eastAsia="Calibri"/>
        </w:rPr>
        <w:t xml:space="preserve"> several types of data are needed. </w:t>
      </w:r>
      <w:r>
        <w:rPr>
          <w:rFonts w:eastAsia="Calibri"/>
        </w:rPr>
        <w:t>This section presents the data that was obtained and methodological decisions that were taken in this analysis.</w:t>
      </w:r>
    </w:p>
    <w:p w:rsidR="00D34654" w:rsidRDefault="00D34654" w:rsidP="00D34654">
      <w:pPr>
        <w:pStyle w:val="Heading2"/>
      </w:pPr>
      <w:bookmarkStart w:id="42" w:name="_Toc401642227"/>
      <w:r w:rsidRPr="004318F5">
        <w:t>TRADE STATUS OF THE PRODUCT</w:t>
      </w:r>
      <w:bookmarkEnd w:id="40"/>
      <w:bookmarkEnd w:id="41"/>
      <w:bookmarkEnd w:id="42"/>
    </w:p>
    <w:p w:rsidR="00334E35" w:rsidRDefault="00D54043" w:rsidP="00D147FD">
      <w:r>
        <w:t xml:space="preserve">Volumes of maize net imports are shown in Figure 6 in the </w:t>
      </w:r>
      <w:r w:rsidR="00251561">
        <w:t xml:space="preserve">Marketing and Trade </w:t>
      </w:r>
      <w:r>
        <w:t xml:space="preserve">section. As mentioned earlier, </w:t>
      </w:r>
      <w:r w:rsidR="009B5266">
        <w:t xml:space="preserve">in every single year </w:t>
      </w:r>
      <w:r w:rsidR="00C07E4E">
        <w:t>between</w:t>
      </w:r>
      <w:r w:rsidR="009B5266">
        <w:t xml:space="preserve"> </w:t>
      </w:r>
      <w:r>
        <w:t xml:space="preserve">2005 </w:t>
      </w:r>
      <w:r w:rsidR="00C07E4E">
        <w:t>and</w:t>
      </w:r>
      <w:r w:rsidR="009B5266">
        <w:t xml:space="preserve"> 2011, maize</w:t>
      </w:r>
      <w:r w:rsidR="00C07E4E">
        <w:t xml:space="preserve"> imports exceeded maize exports. </w:t>
      </w:r>
      <w:r>
        <w:t xml:space="preserve">Although volumes of maize imports and exports are not available for 2012 and 2013, we assumed that imports continued to outweigh exports </w:t>
      </w:r>
      <w:r w:rsidR="008F3F09">
        <w:t xml:space="preserve">in </w:t>
      </w:r>
      <w:r>
        <w:t>those two years.</w:t>
      </w:r>
      <w:r w:rsidR="00D54A8E">
        <w:t xml:space="preserve"> This assumption is supported by market observations and interviews with </w:t>
      </w:r>
      <w:r w:rsidR="008F3F09">
        <w:t xml:space="preserve">agents </w:t>
      </w:r>
      <w:r w:rsidR="00D54A8E">
        <w:t>in the maize supply chain, especially in Southern Mozambique where large-scale maize millers rely heavily on maize supplies from South Africa</w:t>
      </w:r>
      <w:r w:rsidR="009B5266">
        <w:t>.</w:t>
      </w:r>
      <w:r w:rsidR="00C07E4E">
        <w:t xml:space="preserve"> </w:t>
      </w:r>
      <w:r w:rsidR="008F3F09">
        <w:t xml:space="preserve">Hence Mozambique is considered as a maize importer </w:t>
      </w:r>
      <w:r w:rsidR="00C07E4E">
        <w:t>throughout the period under analysis (2000 to 2013). As mentioned earlier</w:t>
      </w:r>
      <w:r w:rsidR="00F54C43">
        <w:t xml:space="preserve"> (see Figure 7 and related discussion)</w:t>
      </w:r>
      <w:r w:rsidR="00C07E4E">
        <w:t xml:space="preserve">, </w:t>
      </w:r>
      <w:r w:rsidR="00F54C43">
        <w:t xml:space="preserve">South Africa is the main </w:t>
      </w:r>
      <w:r w:rsidR="008F3F09">
        <w:t xml:space="preserve">maize </w:t>
      </w:r>
      <w:r w:rsidR="00F54C43">
        <w:t xml:space="preserve"> </w:t>
      </w:r>
      <w:r w:rsidR="008F3F09">
        <w:t>supplier</w:t>
      </w:r>
      <w:r w:rsidR="00F54C43">
        <w:t>, contributing to nearly 70</w:t>
      </w:r>
      <w:r w:rsidR="009414AA">
        <w:t xml:space="preserve"> percent</w:t>
      </w:r>
      <w:r w:rsidR="00F54C43">
        <w:t xml:space="preserve"> of the total Mozambique maize imports over the period 2000</w:t>
      </w:r>
      <w:r w:rsidR="008009F2">
        <w:t>-</w:t>
      </w:r>
      <w:r w:rsidR="007F5F0E">
        <w:t xml:space="preserve"> </w:t>
      </w:r>
      <w:r w:rsidR="00F54C43">
        <w:t>2012.</w:t>
      </w:r>
      <w:r w:rsidR="00D54A8E">
        <w:t xml:space="preserve"> </w:t>
      </w:r>
    </w:p>
    <w:p w:rsidR="009B5266" w:rsidRDefault="00D54A8E" w:rsidP="00D147FD">
      <w:r>
        <w:t xml:space="preserve">To </w:t>
      </w:r>
      <w:r w:rsidR="008F3F09">
        <w:t xml:space="preserve">assess </w:t>
      </w:r>
      <w:r>
        <w:t>the</w:t>
      </w:r>
      <w:r w:rsidR="00DF62E5">
        <w:t xml:space="preserve"> share of maize trade (</w:t>
      </w:r>
      <w:r w:rsidR="00BE1B11">
        <w:t>i</w:t>
      </w:r>
      <w:r w:rsidR="00DF62E5">
        <w:t xml:space="preserve">mports plus exports) </w:t>
      </w:r>
      <w:r w:rsidR="008F3F09">
        <w:t xml:space="preserve">on </w:t>
      </w:r>
      <w:r w:rsidR="00DF62E5">
        <w:t xml:space="preserve">apparent domestic consumption, we computed </w:t>
      </w:r>
      <w:r w:rsidR="008F3F09">
        <w:t xml:space="preserve">the </w:t>
      </w:r>
      <w:r w:rsidR="00DF62E5">
        <w:t>trade intensity</w:t>
      </w:r>
      <w:r w:rsidR="008F3F09">
        <w:t xml:space="preserve"> (TI) </w:t>
      </w:r>
      <w:r w:rsidR="00DF62E5">
        <w:t>define</w:t>
      </w:r>
      <w:r w:rsidR="008F3F09">
        <w:t>d</w:t>
      </w:r>
      <w:r w:rsidR="00DF62E5">
        <w:t xml:space="preserve"> as</w:t>
      </w:r>
      <w:r w:rsidR="008009F2">
        <w:t>:</w:t>
      </w:r>
    </w:p>
    <w:p w:rsidR="00DF62E5" w:rsidRPr="009B5266" w:rsidRDefault="00DF62E5" w:rsidP="00DF62E5">
      <w:pPr>
        <w:pStyle w:val="MTDisplayEquation"/>
      </w:pPr>
      <w:r>
        <w:tab/>
      </w:r>
      <w:r w:rsidRPr="00DF62E5">
        <w:rPr>
          <w:position w:val="-30"/>
        </w:rPr>
        <w:object w:dxaOrig="2320" w:dyaOrig="680" w14:anchorId="368746FE">
          <v:shape id="_x0000_i1027" type="#_x0000_t75" style="width:116.25pt;height:34.5pt" o:ole="">
            <v:imagedata r:id="rId34" o:title=""/>
          </v:shape>
          <o:OLEObject Type="Embed" ProgID="Equation.DSMT4" ShapeID="_x0000_i1027" DrawAspect="Content" ObjectID="_1476861116" r:id="rId35"/>
        </w:object>
      </w:r>
      <w:r>
        <w:t xml:space="preserve"> </w:t>
      </w:r>
    </w:p>
    <w:p w:rsidR="00D147FD" w:rsidRDefault="00DF62E5" w:rsidP="00D147FD">
      <w:r>
        <w:t>w</w:t>
      </w:r>
      <w:r w:rsidRPr="00DF62E5">
        <w:t>he</w:t>
      </w:r>
      <w:r>
        <w:t>re</w:t>
      </w:r>
      <w:r w:rsidRPr="00DF62E5">
        <w:rPr>
          <w:position w:val="-12"/>
        </w:rPr>
        <w:object w:dxaOrig="340" w:dyaOrig="360" w14:anchorId="755834E2">
          <v:shape id="_x0000_i1028" type="#_x0000_t75" style="width:18pt;height:18pt" o:ole="">
            <v:imagedata r:id="rId36" o:title=""/>
          </v:shape>
          <o:OLEObject Type="Embed" ProgID="Equation.DSMT4" ShapeID="_x0000_i1028" DrawAspect="Content" ObjectID="_1476861117" r:id="rId37"/>
        </w:object>
      </w:r>
      <w:r>
        <w:t xml:space="preserve"> denotes trade intensity in year </w:t>
      </w:r>
      <w:r w:rsidRPr="00DF62E5">
        <w:rPr>
          <w:position w:val="-6"/>
        </w:rPr>
        <w:object w:dxaOrig="139" w:dyaOrig="240" w14:anchorId="7C4AC0FE">
          <v:shape id="_x0000_i1029" type="#_x0000_t75" style="width:6.75pt;height:12pt" o:ole="">
            <v:imagedata r:id="rId38" o:title=""/>
          </v:shape>
          <o:OLEObject Type="Embed" ProgID="Equation.DSMT4" ShapeID="_x0000_i1029" DrawAspect="Content" ObjectID="_1476861118" r:id="rId39"/>
        </w:object>
      </w:r>
      <w:r>
        <w:t xml:space="preserve">, </w:t>
      </w:r>
      <w:r w:rsidRPr="00DF62E5">
        <w:rPr>
          <w:position w:val="-12"/>
        </w:rPr>
        <w:object w:dxaOrig="360" w:dyaOrig="360" w14:anchorId="18EF7950">
          <v:shape id="_x0000_i1030" type="#_x0000_t75" style="width:18pt;height:18pt" o:ole="">
            <v:imagedata r:id="rId40" o:title=""/>
          </v:shape>
          <o:OLEObject Type="Embed" ProgID="Equation.DSMT4" ShapeID="_x0000_i1030" DrawAspect="Content" ObjectID="_1476861119" r:id="rId41"/>
        </w:object>
      </w:r>
      <w:r w:rsidRPr="00E55BCB">
        <w:t xml:space="preserve"> </w:t>
      </w:r>
      <w:r>
        <w:t xml:space="preserve">represents volumes of maize imports in year </w:t>
      </w:r>
      <w:r w:rsidRPr="00DF62E5">
        <w:rPr>
          <w:position w:val="-6"/>
        </w:rPr>
        <w:object w:dxaOrig="139" w:dyaOrig="240" w14:anchorId="45550824">
          <v:shape id="_x0000_i1031" type="#_x0000_t75" style="width:6.75pt;height:12pt" o:ole="">
            <v:imagedata r:id="rId38" o:title=""/>
          </v:shape>
          <o:OLEObject Type="Embed" ProgID="Equation.DSMT4" ShapeID="_x0000_i1031" DrawAspect="Content" ObjectID="_1476861120" r:id="rId42"/>
        </w:object>
      </w:r>
      <w:r>
        <w:t xml:space="preserve">, </w:t>
      </w:r>
      <w:r w:rsidRPr="00DF62E5">
        <w:rPr>
          <w:position w:val="-12"/>
        </w:rPr>
        <w:object w:dxaOrig="320" w:dyaOrig="360" w14:anchorId="537C44E1">
          <v:shape id="_x0000_i1032" type="#_x0000_t75" style="width:17.25pt;height:18pt" o:ole="">
            <v:imagedata r:id="rId43" o:title=""/>
          </v:shape>
          <o:OLEObject Type="Embed" ProgID="Equation.DSMT4" ShapeID="_x0000_i1032" DrawAspect="Content" ObjectID="_1476861121" r:id="rId44"/>
        </w:object>
      </w:r>
      <w:r>
        <w:t xml:space="preserve"> represents</w:t>
      </w:r>
      <w:r w:rsidRPr="00E55BCB">
        <w:t xml:space="preserve"> </w:t>
      </w:r>
      <w:r>
        <w:t>volumes of maize</w:t>
      </w:r>
      <w:r w:rsidRPr="00E55BCB">
        <w:t xml:space="preserve"> exports </w:t>
      </w:r>
      <w:r>
        <w:t xml:space="preserve">in year </w:t>
      </w:r>
      <w:r w:rsidRPr="00DF62E5">
        <w:rPr>
          <w:position w:val="-6"/>
        </w:rPr>
        <w:object w:dxaOrig="139" w:dyaOrig="240" w14:anchorId="6E1F107E">
          <v:shape id="_x0000_i1033" type="#_x0000_t75" style="width:6.75pt;height:12pt" o:ole="">
            <v:imagedata r:id="rId38" o:title=""/>
          </v:shape>
          <o:OLEObject Type="Embed" ProgID="Equation.DSMT4" ShapeID="_x0000_i1033" DrawAspect="Content" ObjectID="_1476861122" r:id="rId45"/>
        </w:object>
      </w:r>
      <w:r w:rsidRPr="00E55BCB">
        <w:t xml:space="preserve">, </w:t>
      </w:r>
      <w:r>
        <w:t xml:space="preserve">and </w:t>
      </w:r>
      <w:r w:rsidRPr="00DF62E5">
        <w:rPr>
          <w:position w:val="-12"/>
        </w:rPr>
        <w:object w:dxaOrig="220" w:dyaOrig="360" w14:anchorId="033E9994">
          <v:shape id="_x0000_i1034" type="#_x0000_t75" style="width:10.5pt;height:18pt" o:ole="">
            <v:imagedata r:id="rId46" o:title=""/>
          </v:shape>
          <o:OLEObject Type="Embed" ProgID="Equation.DSMT4" ShapeID="_x0000_i1034" DrawAspect="Content" ObjectID="_1476861123" r:id="rId47"/>
        </w:object>
      </w:r>
      <w:r>
        <w:t xml:space="preserve">  denotes domestic maize production</w:t>
      </w:r>
      <w:r w:rsidR="008A411B">
        <w:t xml:space="preserve"> in year </w:t>
      </w:r>
      <w:r w:rsidRPr="00DF62E5">
        <w:rPr>
          <w:position w:val="-6"/>
        </w:rPr>
        <w:object w:dxaOrig="139" w:dyaOrig="240" w14:anchorId="0E069CEB">
          <v:shape id="_x0000_i1035" type="#_x0000_t75" style="width:6.75pt;height:12pt" o:ole="">
            <v:imagedata r:id="rId38" o:title=""/>
          </v:shape>
          <o:OLEObject Type="Embed" ProgID="Equation.DSMT4" ShapeID="_x0000_i1035" DrawAspect="Content" ObjectID="_1476861124" r:id="rId48"/>
        </w:object>
      </w:r>
      <w:r w:rsidR="008A411B">
        <w:t xml:space="preserve">. </w:t>
      </w:r>
      <w:r w:rsidR="008F3F09" w:rsidRPr="008F3F09">
        <w:t xml:space="preserve"> </w:t>
      </w:r>
      <w:r w:rsidR="008F3F09">
        <w:t>To compute our estimates of trade intensity over the period 2005 to 2011, w</w:t>
      </w:r>
      <w:r w:rsidR="00893A2E">
        <w:t>e used d</w:t>
      </w:r>
      <w:r w:rsidR="008A411B">
        <w:t>ata on maize production imports and exports</w:t>
      </w:r>
      <w:r w:rsidR="00893A2E">
        <w:t>,</w:t>
      </w:r>
      <w:r w:rsidR="008A411B">
        <w:t xml:space="preserve"> </w:t>
      </w:r>
      <w:r w:rsidR="00893A2E">
        <w:t>obtained</w:t>
      </w:r>
      <w:r w:rsidR="008A411B">
        <w:t xml:space="preserve"> from FAOSTAT</w:t>
      </w:r>
      <w:r w:rsidR="00893A2E">
        <w:t>. Our findings</w:t>
      </w:r>
      <w:r w:rsidR="008A411B">
        <w:t xml:space="preserve"> are plotted in </w:t>
      </w:r>
      <w:r w:rsidR="00D147FD">
        <w:fldChar w:fldCharType="begin"/>
      </w:r>
      <w:r w:rsidR="00D147FD">
        <w:instrText xml:space="preserve"> REF _Ref401642755 \h </w:instrText>
      </w:r>
      <w:r w:rsidR="00D147FD">
        <w:fldChar w:fldCharType="separate"/>
      </w:r>
      <w:r w:rsidR="00D147FD">
        <w:t xml:space="preserve">Figure </w:t>
      </w:r>
      <w:r w:rsidR="00D147FD">
        <w:rPr>
          <w:noProof/>
        </w:rPr>
        <w:t>10</w:t>
      </w:r>
      <w:r w:rsidR="00D147FD">
        <w:fldChar w:fldCharType="end"/>
      </w:r>
      <w:r w:rsidR="008A411B">
        <w:t>. From 2005 to 2006, trade intensity increased by six percentage points, reaching historical high of 22</w:t>
      </w:r>
      <w:r w:rsidR="009414AA">
        <w:t xml:space="preserve"> percent</w:t>
      </w:r>
      <w:r w:rsidR="008A411B">
        <w:t xml:space="preserve"> over the period between 2005 and 2011. In 2007, trade intensity plummeted, reaching historical low of 3</w:t>
      </w:r>
      <w:r w:rsidR="009414AA">
        <w:t xml:space="preserve"> percent</w:t>
      </w:r>
      <w:r w:rsidR="008A411B">
        <w:t>.</w:t>
      </w:r>
      <w:r w:rsidR="00693AB7">
        <w:t xml:space="preserve"> </w:t>
      </w:r>
      <w:r w:rsidR="008A411B">
        <w:t>Since then, trade intensity oscillated but it was never higher than 8</w:t>
      </w:r>
      <w:r w:rsidR="009414AA">
        <w:t xml:space="preserve"> percent</w:t>
      </w:r>
      <w:r w:rsidR="008A411B">
        <w:t>.</w:t>
      </w:r>
      <w:r w:rsidR="00677600">
        <w:t xml:space="preserve"> From 2005 to 2011, trade intensity averaged 9</w:t>
      </w:r>
      <w:r w:rsidR="009414AA">
        <w:t xml:space="preserve"> percent</w:t>
      </w:r>
      <w:r w:rsidR="00677600">
        <w:t>. This low trade intensity suggests that unit value of maize imports may not be a good proxy for the opportunity costs of domestic production, as argued in the MAFAP methodological implementation guide. In this case, wholesale p</w:t>
      </w:r>
      <w:r w:rsidR="007907F1">
        <w:t>rice</w:t>
      </w:r>
      <w:r w:rsidR="008F3F09">
        <w:t>s</w:t>
      </w:r>
      <w:r w:rsidR="007907F1">
        <w:t xml:space="preserve"> in the country where maize is imported from </w:t>
      </w:r>
      <w:r w:rsidR="00754BF1">
        <w:t>would be</w:t>
      </w:r>
      <w:r w:rsidR="007907F1">
        <w:t xml:space="preserve"> a better proxy. </w:t>
      </w:r>
    </w:p>
    <w:p w:rsidR="0023158F" w:rsidRDefault="003D1809" w:rsidP="00D147FD">
      <w:r>
        <w:t xml:space="preserve">The period between 2007 and 2011 coincides with the period when food commodity prices in the international market experienced a sharp rise, reaching historical high since 1970. </w:t>
      </w:r>
      <w:r w:rsidR="00D669CF">
        <w:t xml:space="preserve">Commodity price data from the World Bank show that </w:t>
      </w:r>
      <w:r w:rsidR="003C5079">
        <w:t xml:space="preserve">international </w:t>
      </w:r>
      <w:r w:rsidR="00D669CF">
        <w:t>maize prices increased by 34</w:t>
      </w:r>
      <w:r w:rsidR="009414AA">
        <w:t xml:space="preserve"> percent</w:t>
      </w:r>
      <w:r w:rsidR="00D669CF">
        <w:t xml:space="preserve"> in 2007 and 83</w:t>
      </w:r>
      <w:r w:rsidR="009414AA">
        <w:t xml:space="preserve"> percent</w:t>
      </w:r>
      <w:r w:rsidR="00D669CF">
        <w:t xml:space="preserve"> in 2008, compared to 2006.</w:t>
      </w:r>
      <w:r w:rsidR="00AC33BD">
        <w:t xml:space="preserve"> </w:t>
      </w:r>
      <w:r w:rsidR="00C75ECD">
        <w:t xml:space="preserve">Average maize net imports </w:t>
      </w:r>
      <w:r w:rsidR="00903C81">
        <w:t xml:space="preserve">in Mozambique </w:t>
      </w:r>
      <w:r w:rsidR="00C75ECD">
        <w:t xml:space="preserve">dropped from 193 thousand </w:t>
      </w:r>
      <w:r w:rsidR="008851CC">
        <w:t>tonnes</w:t>
      </w:r>
      <w:r w:rsidR="00C75ECD">
        <w:t xml:space="preserve"> for the period 2005-2006 to 67 thousand </w:t>
      </w:r>
      <w:r w:rsidR="008851CC">
        <w:t>tonnes</w:t>
      </w:r>
      <w:r w:rsidR="00C75ECD">
        <w:t xml:space="preserve"> for the period 2007-2011, representing a 65</w:t>
      </w:r>
      <w:r w:rsidR="009414AA">
        <w:t xml:space="preserve"> percent</w:t>
      </w:r>
      <w:r w:rsidR="00C75ECD">
        <w:t xml:space="preserve"> reduction. </w:t>
      </w:r>
      <w:r w:rsidR="00903C81">
        <w:t xml:space="preserve">Unusually, in some months of 2007, </w:t>
      </w:r>
      <w:r w:rsidR="007F5F0E">
        <w:t xml:space="preserve">maize prices in South Africa </w:t>
      </w:r>
      <w:r w:rsidR="00903C81">
        <w:t xml:space="preserve">were up to 10 percent higher </w:t>
      </w:r>
      <w:r w:rsidR="007F5F0E">
        <w:t>than in Maputo</w:t>
      </w:r>
      <w:r w:rsidR="00903C81">
        <w:t>. In that year, a</w:t>
      </w:r>
      <w:r w:rsidR="003C5781">
        <w:t xml:space="preserve">verage annual </w:t>
      </w:r>
      <w:r w:rsidR="00841776">
        <w:t xml:space="preserve">wholesale </w:t>
      </w:r>
      <w:r w:rsidR="00903C81">
        <w:t>maize price</w:t>
      </w:r>
      <w:r w:rsidR="003C5781">
        <w:t xml:space="preserve"> in Maputo were </w:t>
      </w:r>
      <w:r w:rsidR="00903C81">
        <w:t>similar</w:t>
      </w:r>
      <w:r w:rsidR="003C5781">
        <w:t xml:space="preserve"> to those observed in South Africa (</w:t>
      </w:r>
      <w:r w:rsidR="008851CC">
        <w:t xml:space="preserve">USD </w:t>
      </w:r>
      <w:r w:rsidR="003C5781">
        <w:t xml:space="preserve">245.9 per </w:t>
      </w:r>
      <w:r w:rsidR="008851CC">
        <w:t xml:space="preserve">tonne </w:t>
      </w:r>
      <w:r w:rsidR="003C5781">
        <w:t xml:space="preserve">versus </w:t>
      </w:r>
      <w:r w:rsidR="008851CC">
        <w:t xml:space="preserve">USD </w:t>
      </w:r>
      <w:r w:rsidR="003C5781">
        <w:t xml:space="preserve">244.5 per </w:t>
      </w:r>
      <w:r w:rsidR="008851CC">
        <w:t>tonne</w:t>
      </w:r>
      <w:r w:rsidR="00903C81">
        <w:t>)</w:t>
      </w:r>
      <w:r w:rsidR="00320621">
        <w:t>.</w:t>
      </w:r>
      <w:r w:rsidR="00320621" w:rsidRPr="00E55BCB">
        <w:t xml:space="preserve"> </w:t>
      </w:r>
      <w:r w:rsidR="00320621">
        <w:t>In the</w:t>
      </w:r>
      <w:r w:rsidR="003C5781">
        <w:t xml:space="preserve"> other years between 2005 and 2013 maize prices were, on average, at least 35</w:t>
      </w:r>
      <w:r w:rsidR="009414AA">
        <w:t xml:space="preserve"> percent</w:t>
      </w:r>
      <w:r w:rsidR="003C5781">
        <w:t xml:space="preserve"> higher in Maputo than in South Africa</w:t>
      </w:r>
      <w:r w:rsidR="00841776">
        <w:t xml:space="preserve"> (see </w:t>
      </w:r>
      <w:r w:rsidR="007238B6">
        <w:fldChar w:fldCharType="begin"/>
      </w:r>
      <w:r w:rsidR="007238B6">
        <w:instrText xml:space="preserve"> REF _Ref393724236 \h </w:instrText>
      </w:r>
      <w:r w:rsidR="007238B6">
        <w:fldChar w:fldCharType="separate"/>
      </w:r>
      <w:r w:rsidR="007238B6">
        <w:t xml:space="preserve">Figure </w:t>
      </w:r>
      <w:r w:rsidR="007238B6">
        <w:rPr>
          <w:noProof/>
        </w:rPr>
        <w:t>11</w:t>
      </w:r>
      <w:r w:rsidR="007238B6">
        <w:fldChar w:fldCharType="end"/>
      </w:r>
      <w:r w:rsidR="00841776">
        <w:t>)</w:t>
      </w:r>
      <w:r w:rsidR="003C5781">
        <w:t>.</w:t>
      </w:r>
      <w:r w:rsidR="00841776">
        <w:t xml:space="preserve"> </w:t>
      </w:r>
    </w:p>
    <w:p w:rsidR="00A67699" w:rsidRPr="00AA3B5B" w:rsidRDefault="00A67699" w:rsidP="00A67699">
      <w:pPr>
        <w:pStyle w:val="Caption"/>
        <w:keepNext/>
        <w:jc w:val="both"/>
      </w:pPr>
      <w:bookmarkStart w:id="43" w:name="_Ref401642755"/>
      <w:r>
        <w:lastRenderedPageBreak/>
        <w:t xml:space="preserve">Figure </w:t>
      </w:r>
      <w:r w:rsidR="00323EC3">
        <w:fldChar w:fldCharType="begin"/>
      </w:r>
      <w:r w:rsidR="007E22D8">
        <w:instrText xml:space="preserve"> SEQ Figure \* ARABIC </w:instrText>
      </w:r>
      <w:r w:rsidR="00323EC3">
        <w:fldChar w:fldCharType="separate"/>
      </w:r>
      <w:r w:rsidR="00D147FD">
        <w:rPr>
          <w:noProof/>
        </w:rPr>
        <w:t>10</w:t>
      </w:r>
      <w:r w:rsidR="00323EC3">
        <w:rPr>
          <w:noProof/>
        </w:rPr>
        <w:fldChar w:fldCharType="end"/>
      </w:r>
      <w:bookmarkEnd w:id="43"/>
      <w:r>
        <w:rPr>
          <w:noProof/>
        </w:rPr>
        <w:t xml:space="preserve"> Maize trade intensity in Mozambique</w:t>
      </w:r>
      <w:r>
        <w:rPr>
          <w:b w:val="0"/>
        </w:rPr>
        <w:t>:</w:t>
      </w:r>
      <w:r w:rsidRPr="00AA3B5B">
        <w:t xml:space="preserve"> 2005 through 2011</w:t>
      </w:r>
    </w:p>
    <w:p w:rsidR="009B5266" w:rsidRDefault="0023158F" w:rsidP="00C74A44">
      <w:r>
        <w:rPr>
          <w:noProof/>
        </w:rPr>
        <w:drawing>
          <wp:inline distT="0" distB="0" distL="0" distR="0" wp14:anchorId="6C82B4CC" wp14:editId="6D5ED797">
            <wp:extent cx="4096512" cy="29992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96512" cy="2999232"/>
                    </a:xfrm>
                    <a:prstGeom prst="rect">
                      <a:avLst/>
                    </a:prstGeom>
                    <a:noFill/>
                    <a:ln>
                      <a:noFill/>
                    </a:ln>
                  </pic:spPr>
                </pic:pic>
              </a:graphicData>
            </a:graphic>
          </wp:inline>
        </w:drawing>
      </w:r>
    </w:p>
    <w:p w:rsidR="00A67699" w:rsidRDefault="00A67699" w:rsidP="00A67699">
      <w:pPr>
        <w:pStyle w:val="Caption"/>
        <w:keepNext/>
        <w:jc w:val="both"/>
      </w:pPr>
      <w:bookmarkStart w:id="44" w:name="_Ref393724236"/>
      <w:r>
        <w:t xml:space="preserve">Figure </w:t>
      </w:r>
      <w:r w:rsidR="00323EC3">
        <w:fldChar w:fldCharType="begin"/>
      </w:r>
      <w:r w:rsidR="007E22D8">
        <w:instrText xml:space="preserve"> SEQ Figure \* ARABIC </w:instrText>
      </w:r>
      <w:r w:rsidR="00323EC3">
        <w:fldChar w:fldCharType="separate"/>
      </w:r>
      <w:r w:rsidR="00D147FD">
        <w:rPr>
          <w:noProof/>
        </w:rPr>
        <w:t>11</w:t>
      </w:r>
      <w:r w:rsidR="00323EC3">
        <w:rPr>
          <w:noProof/>
        </w:rPr>
        <w:fldChar w:fldCharType="end"/>
      </w:r>
      <w:bookmarkEnd w:id="44"/>
      <w:r>
        <w:rPr>
          <w:noProof/>
        </w:rPr>
        <w:t xml:space="preserve"> </w:t>
      </w:r>
      <w:r w:rsidRPr="00780D1F">
        <w:rPr>
          <w:noProof/>
        </w:rPr>
        <w:t>Wholesale maize prices in Maputo and South Africa</w:t>
      </w:r>
    </w:p>
    <w:p w:rsidR="0023158F" w:rsidRDefault="0023158F" w:rsidP="00C74A44">
      <w:r>
        <w:rPr>
          <w:noProof/>
        </w:rPr>
        <w:drawing>
          <wp:inline distT="0" distB="0" distL="0" distR="0" wp14:anchorId="6A81A1D5" wp14:editId="0A2A4A77">
            <wp:extent cx="4096512" cy="29992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6512" cy="2999232"/>
                    </a:xfrm>
                    <a:prstGeom prst="rect">
                      <a:avLst/>
                    </a:prstGeom>
                    <a:noFill/>
                    <a:ln>
                      <a:noFill/>
                    </a:ln>
                  </pic:spPr>
                </pic:pic>
              </a:graphicData>
            </a:graphic>
          </wp:inline>
        </w:drawing>
      </w:r>
    </w:p>
    <w:p w:rsidR="00C74A44" w:rsidRPr="004031D1" w:rsidRDefault="000825E0" w:rsidP="00C74A44">
      <w:pPr>
        <w:pStyle w:val="Heading2"/>
      </w:pPr>
      <w:bookmarkStart w:id="45" w:name="_Toc401642228"/>
      <w:r w:rsidRPr="004031D1">
        <w:t>MARKET PATHWAY</w:t>
      </w:r>
      <w:r w:rsidR="00466556" w:rsidRPr="004031D1">
        <w:t xml:space="preserve"> ANALYSED</w:t>
      </w:r>
      <w:bookmarkEnd w:id="45"/>
    </w:p>
    <w:p w:rsidR="004025F6" w:rsidRDefault="005D0C7F" w:rsidP="000825E0">
      <w:r>
        <w:t>The domestic maize pathway we considered in this study is that of production in Central Mozambique (maize surplus region) and consumption in Southern Mozambique (maize deficit region). A</w:t>
      </w:r>
      <w:r w:rsidR="00EB7982">
        <w:t xml:space="preserve">s discussed earlier, </w:t>
      </w:r>
      <w:r>
        <w:t xml:space="preserve">Mozambique also imports considerable volumes of maize and South Africa stands out as the dominant supplier. Nearly </w:t>
      </w:r>
      <w:r w:rsidR="00EB7982">
        <w:t xml:space="preserve">all maize imports from South Africa </w:t>
      </w:r>
      <w:r w:rsidR="004825C6">
        <w:t>are directed to</w:t>
      </w:r>
      <w:r w:rsidR="00EB7982">
        <w:t xml:space="preserve"> Maputo</w:t>
      </w:r>
      <w:r w:rsidR="001F0576">
        <w:t xml:space="preserve"> </w:t>
      </w:r>
      <w:r w:rsidR="00EB7982">
        <w:t xml:space="preserve">where </w:t>
      </w:r>
      <w:r w:rsidR="004825C6">
        <w:t>maize</w:t>
      </w:r>
      <w:r w:rsidR="00EB7982">
        <w:t xml:space="preserve"> is </w:t>
      </w:r>
      <w:r w:rsidR="004825C6">
        <w:t>processed into</w:t>
      </w:r>
      <w:r w:rsidR="00EB7982">
        <w:t xml:space="preserve"> flour by large-scale miller</w:t>
      </w:r>
      <w:r w:rsidR="004825C6">
        <w:t>s</w:t>
      </w:r>
      <w:r w:rsidR="00EB7982">
        <w:t xml:space="preserve">. Maputo is </w:t>
      </w:r>
      <w:r w:rsidR="007C71CA">
        <w:t xml:space="preserve">the largest city and </w:t>
      </w:r>
      <w:r w:rsidR="00EB7982">
        <w:t>the major maize deficit market in the country</w:t>
      </w:r>
      <w:r w:rsidR="007C71CA">
        <w:t>, generating considerable demand for maize</w:t>
      </w:r>
      <w:r w:rsidR="00EB7982">
        <w:t xml:space="preserve">. </w:t>
      </w:r>
      <w:r w:rsidR="007C71CA">
        <w:t xml:space="preserve">For this reason, we consider Maputo as the point of competition. </w:t>
      </w:r>
      <w:r>
        <w:t xml:space="preserve">Domestic </w:t>
      </w:r>
      <w:r w:rsidR="00EB7982">
        <w:t>m</w:t>
      </w:r>
      <w:r w:rsidR="00FD1112">
        <w:t xml:space="preserve">aize grain surplus – </w:t>
      </w:r>
      <w:r w:rsidR="00EB7982">
        <w:t>predominantly</w:t>
      </w:r>
      <w:r w:rsidR="00FD1112">
        <w:t xml:space="preserve"> </w:t>
      </w:r>
      <w:r w:rsidR="00EB7982">
        <w:t xml:space="preserve">from Central Mozambique </w:t>
      </w:r>
      <w:r w:rsidR="00FD1112">
        <w:t xml:space="preserve">– </w:t>
      </w:r>
      <w:r w:rsidR="00EB7982">
        <w:t xml:space="preserve">flow to Maputo, competing to some extent with maize grain imported from South Africa. </w:t>
      </w:r>
      <w:r w:rsidR="003632D6">
        <w:t>For these reasons, our analysis of the price incentives focus</w:t>
      </w:r>
      <w:r w:rsidR="00717C00">
        <w:t>es</w:t>
      </w:r>
      <w:r w:rsidR="003632D6">
        <w:t xml:space="preserve"> on </w:t>
      </w:r>
      <w:r w:rsidR="003632D6">
        <w:lastRenderedPageBreak/>
        <w:t>Southern Mozambique, more specifically on Maputo city</w:t>
      </w:r>
      <w:r w:rsidR="007C71CA">
        <w:t>, as the point of competition</w:t>
      </w:r>
      <w:r w:rsidR="003632D6">
        <w:t xml:space="preserve">. </w:t>
      </w:r>
      <w:r w:rsidR="004025F6">
        <w:t>Ressano Garcia (</w:t>
      </w:r>
      <w:r>
        <w:t>o</w:t>
      </w:r>
      <w:r w:rsidR="004025F6">
        <w:t xml:space="preserve">n Mozambique side) is the main border through which South African maize enters Mozambique. The border is located about 96 kilometers from Maputo (Mozambique capital city) </w:t>
      </w:r>
      <w:r w:rsidR="003028EE">
        <w:t>and 474</w:t>
      </w:r>
      <w:r w:rsidR="004025F6">
        <w:t xml:space="preserve"> kilometers from Johannesburg (South Africa capital city). Our an</w:t>
      </w:r>
      <w:r w:rsidR="00795523">
        <w:t>alysis focuses on this market</w:t>
      </w:r>
      <w:r w:rsidR="004025F6">
        <w:t xml:space="preserve"> pathway on the import side.</w:t>
      </w:r>
    </w:p>
    <w:p w:rsidR="007F5F0E" w:rsidRDefault="004025F6" w:rsidP="007238B6">
      <w:r>
        <w:t xml:space="preserve">From the domestic production viewpoint, </w:t>
      </w:r>
      <w:r w:rsidR="00F409DE">
        <w:t xml:space="preserve">Manica province </w:t>
      </w:r>
      <w:r w:rsidR="003B0945">
        <w:t xml:space="preserve">ranks third only to Tete and Zambezia provinces in terms of maize production and cultivated area under maize (see </w:t>
      </w:r>
      <w:r w:rsidR="003B0945">
        <w:fldChar w:fldCharType="begin"/>
      </w:r>
      <w:r w:rsidR="003B0945">
        <w:instrText xml:space="preserve"> REF _Ref397047248 \h </w:instrText>
      </w:r>
      <w:r w:rsidR="003B0945">
        <w:fldChar w:fldCharType="separate"/>
      </w:r>
      <w:r w:rsidR="00D147FD">
        <w:t xml:space="preserve">Figure </w:t>
      </w:r>
      <w:r w:rsidR="00D147FD">
        <w:rPr>
          <w:noProof/>
        </w:rPr>
        <w:t>2</w:t>
      </w:r>
      <w:r w:rsidR="003B0945">
        <w:fldChar w:fldCharType="end"/>
      </w:r>
      <w:r>
        <w:t xml:space="preserve"> in the section on Production</w:t>
      </w:r>
      <w:r w:rsidR="003B0945">
        <w:t>). Among these three provinces, Manica is the closest one to Maputo located about 1,200 kilometers away from Chimoio (the</w:t>
      </w:r>
      <w:r>
        <w:t xml:space="preserve"> capital city of Manica</w:t>
      </w:r>
      <w:r w:rsidR="003B0945">
        <w:t xml:space="preserve">). </w:t>
      </w:r>
      <w:r w:rsidR="00EB2FEE">
        <w:t>Maize surplus from Tete and Zambezia provinces flows predominantly to Southern Malawi. F</w:t>
      </w:r>
      <w:r w:rsidR="006249F7">
        <w:t>or considerable portion of</w:t>
      </w:r>
      <w:r w:rsidR="00EB2FEE">
        <w:t xml:space="preserve"> the period analyzed in this </w:t>
      </w:r>
      <w:r>
        <w:t>technical note</w:t>
      </w:r>
      <w:r w:rsidR="006249F7">
        <w:t xml:space="preserve"> (2005 to 2013)</w:t>
      </w:r>
      <w:r w:rsidR="00EB2FEE">
        <w:t>, Zambezi River – the fourth largest river in Africa – was a natural trade barrier preventing the ease flow of maize from Northern Mozambique (including Zambezia province) to Central and Southern Mozambique. This is because ther</w:t>
      </w:r>
      <w:r w:rsidR="00C07785">
        <w:t>e was no bridge over the Zambezi</w:t>
      </w:r>
      <w:r w:rsidR="00EB2FEE">
        <w:t xml:space="preserve"> River up until August 2009</w:t>
      </w:r>
      <w:r w:rsidR="00C07785">
        <w:t>, dividing the country into two separate marketing segments</w:t>
      </w:r>
      <w:r w:rsidR="00EB2FEE">
        <w:t xml:space="preserve">. </w:t>
      </w:r>
      <w:r w:rsidR="00C07785">
        <w:t xml:space="preserve">For these reasons, we considered Manica province as the main </w:t>
      </w:r>
      <w:r>
        <w:t xml:space="preserve">domestic maize </w:t>
      </w:r>
      <w:r w:rsidR="00C07785">
        <w:t>producing area</w:t>
      </w:r>
      <w:r>
        <w:t xml:space="preserve"> for our analysis of pr</w:t>
      </w:r>
      <w:r w:rsidR="00795523">
        <w:t>ice incentives</w:t>
      </w:r>
      <w:r w:rsidR="00C07785">
        <w:t>.</w:t>
      </w:r>
      <w:r w:rsidR="00795523">
        <w:t xml:space="preserve"> </w:t>
      </w:r>
      <w:r w:rsidR="00A05E05">
        <w:t xml:space="preserve">Availability of price data at farm-gate level was </w:t>
      </w:r>
      <w:r w:rsidR="005D0C7F">
        <w:t>the main</w:t>
      </w:r>
      <w:r w:rsidR="00A05E05">
        <w:t xml:space="preserve"> reason we considered to choose </w:t>
      </w:r>
      <w:r w:rsidR="005D0C7F">
        <w:t>Chimoio as the reference market</w:t>
      </w:r>
      <w:r w:rsidR="00A05E05">
        <w:t>. Maize prices at farm-gate level are available for Chimoio market throughout our p</w:t>
      </w:r>
      <w:r w:rsidR="006249F7">
        <w:t>eriod of analysis</w:t>
      </w:r>
      <w:r w:rsidR="00A05E05">
        <w:t xml:space="preserve">. </w:t>
      </w:r>
      <w:r w:rsidR="003632D6">
        <w:t>It is worth mentioning that we could also analyze the market pathway in Northern Mozambique where domestic maize is predominantly exported to Southern Malawi.</w:t>
      </w:r>
      <w:r w:rsidR="00302D93">
        <w:t xml:space="preserve"> However, lack of data – more specifically prices, access cost, and import and production volumes over time – prevented us from undertaking the price incentives analysis in Northern Mozambique.</w:t>
      </w:r>
    </w:p>
    <w:p w:rsidR="00876DCC" w:rsidRPr="00F54C43" w:rsidRDefault="003E6269" w:rsidP="00876DCC">
      <w:pPr>
        <w:jc w:val="center"/>
      </w:pPr>
      <w:r>
        <w:rPr>
          <w:noProof/>
        </w:rPr>
        <mc:AlternateContent>
          <mc:Choice Requires="wpg">
            <w:drawing>
              <wp:anchor distT="0" distB="0" distL="114300" distR="114300" simplePos="0" relativeHeight="251673600" behindDoc="0" locked="0" layoutInCell="1" allowOverlap="1">
                <wp:simplePos x="0" y="0"/>
                <wp:positionH relativeFrom="column">
                  <wp:posOffset>1833245</wp:posOffset>
                </wp:positionH>
                <wp:positionV relativeFrom="paragraph">
                  <wp:posOffset>2027555</wp:posOffset>
                </wp:positionV>
                <wp:extent cx="2057400" cy="1571625"/>
                <wp:effectExtent l="0" t="0" r="19050" b="28575"/>
                <wp:wrapNone/>
                <wp:docPr id="37" name="Group 37"/>
                <wp:cNvGraphicFramePr/>
                <a:graphic xmlns:a="http://schemas.openxmlformats.org/drawingml/2006/main">
                  <a:graphicData uri="http://schemas.microsoft.com/office/word/2010/wordprocessingGroup">
                    <wpg:wgp>
                      <wpg:cNvGrpSpPr/>
                      <wpg:grpSpPr>
                        <a:xfrm>
                          <a:off x="0" y="0"/>
                          <a:ext cx="2057400" cy="1571625"/>
                          <a:chOff x="0" y="0"/>
                          <a:chExt cx="2057400" cy="1571625"/>
                        </a:xfrm>
                      </wpg:grpSpPr>
                      <wps:wsp>
                        <wps:cNvPr id="28" name="Oval 28"/>
                        <wps:cNvSpPr/>
                        <wps:spPr>
                          <a:xfrm>
                            <a:off x="581025" y="9525"/>
                            <a:ext cx="456905" cy="23391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1152525" y="0"/>
                            <a:ext cx="904875" cy="21907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F3312" w:rsidRPr="00876DCC" w:rsidRDefault="002F3312">
                              <w:pPr>
                                <w:rPr>
                                  <w:rFonts w:ascii="Corbel" w:hAnsi="Corbel"/>
                                  <w:b/>
                                  <w:color w:val="FF0000"/>
                                  <w:sz w:val="16"/>
                                </w:rPr>
                              </w:pPr>
                              <w:r>
                                <w:rPr>
                                  <w:rFonts w:ascii="Corbel" w:hAnsi="Corbel"/>
                                  <w:b/>
                                  <w:color w:val="FF0000"/>
                                  <w:sz w:val="16"/>
                                </w:rPr>
                                <w:t>Producing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Oval 30"/>
                        <wps:cNvSpPr/>
                        <wps:spPr>
                          <a:xfrm>
                            <a:off x="504825" y="1343025"/>
                            <a:ext cx="499730" cy="228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942975" y="1123950"/>
                            <a:ext cx="1114425" cy="21907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F3312" w:rsidRPr="00876DCC" w:rsidRDefault="002F3312" w:rsidP="00F511E0">
                              <w:pPr>
                                <w:jc w:val="left"/>
                                <w:rPr>
                                  <w:rFonts w:ascii="Corbel" w:hAnsi="Corbel"/>
                                  <w:b/>
                                  <w:color w:val="FF0000"/>
                                  <w:sz w:val="16"/>
                                </w:rPr>
                              </w:pPr>
                              <w:r>
                                <w:rPr>
                                  <w:rFonts w:ascii="Corbel" w:hAnsi="Corbel"/>
                                  <w:b/>
                                  <w:color w:val="FF0000"/>
                                  <w:sz w:val="16"/>
                                </w:rPr>
                                <w:t>Point of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Freeform 33"/>
                        <wps:cNvSpPr/>
                        <wps:spPr>
                          <a:xfrm>
                            <a:off x="590550" y="247650"/>
                            <a:ext cx="187804" cy="1076325"/>
                          </a:xfrm>
                          <a:custGeom>
                            <a:avLst/>
                            <a:gdLst>
                              <a:gd name="connsiteX0" fmla="*/ 163341 w 187804"/>
                              <a:gd name="connsiteY0" fmla="*/ 0 h 1076325"/>
                              <a:gd name="connsiteX1" fmla="*/ 182391 w 187804"/>
                              <a:gd name="connsiteY1" fmla="*/ 171450 h 1076325"/>
                              <a:gd name="connsiteX2" fmla="*/ 77616 w 187804"/>
                              <a:gd name="connsiteY2" fmla="*/ 247650 h 1076325"/>
                              <a:gd name="connsiteX3" fmla="*/ 172866 w 187804"/>
                              <a:gd name="connsiteY3" fmla="*/ 409575 h 1076325"/>
                              <a:gd name="connsiteX4" fmla="*/ 1416 w 187804"/>
                              <a:gd name="connsiteY4" fmla="*/ 638175 h 1076325"/>
                              <a:gd name="connsiteX5" fmla="*/ 87141 w 187804"/>
                              <a:gd name="connsiteY5" fmla="*/ 828675 h 1076325"/>
                              <a:gd name="connsiteX6" fmla="*/ 10941 w 187804"/>
                              <a:gd name="connsiteY6" fmla="*/ 981075 h 1076325"/>
                              <a:gd name="connsiteX7" fmla="*/ 106191 w 187804"/>
                              <a:gd name="connsiteY7" fmla="*/ 1076325 h 1076325"/>
                              <a:gd name="connsiteX8" fmla="*/ 106191 w 187804"/>
                              <a:gd name="connsiteY8" fmla="*/ 1076325 h 1076325"/>
                              <a:gd name="connsiteX9" fmla="*/ 106191 w 187804"/>
                              <a:gd name="connsiteY9" fmla="*/ 1076325 h 1076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7804" h="1076325">
                                <a:moveTo>
                                  <a:pt x="163341" y="0"/>
                                </a:moveTo>
                                <a:cubicBezTo>
                                  <a:pt x="180010" y="65087"/>
                                  <a:pt x="196679" y="130175"/>
                                  <a:pt x="182391" y="171450"/>
                                </a:cubicBezTo>
                                <a:cubicBezTo>
                                  <a:pt x="168104" y="212725"/>
                                  <a:pt x="79203" y="207963"/>
                                  <a:pt x="77616" y="247650"/>
                                </a:cubicBezTo>
                                <a:cubicBezTo>
                                  <a:pt x="76029" y="287337"/>
                                  <a:pt x="185566" y="344488"/>
                                  <a:pt x="172866" y="409575"/>
                                </a:cubicBezTo>
                                <a:cubicBezTo>
                                  <a:pt x="160166" y="474662"/>
                                  <a:pt x="15703" y="568325"/>
                                  <a:pt x="1416" y="638175"/>
                                </a:cubicBezTo>
                                <a:cubicBezTo>
                                  <a:pt x="-12871" y="708025"/>
                                  <a:pt x="85553" y="771525"/>
                                  <a:pt x="87141" y="828675"/>
                                </a:cubicBezTo>
                                <a:cubicBezTo>
                                  <a:pt x="88728" y="885825"/>
                                  <a:pt x="7766" y="939800"/>
                                  <a:pt x="10941" y="981075"/>
                                </a:cubicBezTo>
                                <a:cubicBezTo>
                                  <a:pt x="14116" y="1022350"/>
                                  <a:pt x="106191" y="1076325"/>
                                  <a:pt x="106191" y="1076325"/>
                                </a:cubicBezTo>
                                <a:lnTo>
                                  <a:pt x="106191" y="1076325"/>
                                </a:lnTo>
                                <a:lnTo>
                                  <a:pt x="106191" y="1076325"/>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295275" y="1371600"/>
                            <a:ext cx="191312" cy="19670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0" y="1123950"/>
                            <a:ext cx="498475" cy="21971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F3312" w:rsidRPr="00876DCC" w:rsidRDefault="002F3312" w:rsidP="005608C9">
                              <w:pPr>
                                <w:jc w:val="left"/>
                                <w:rPr>
                                  <w:rFonts w:ascii="Corbel" w:hAnsi="Corbel"/>
                                  <w:b/>
                                  <w:color w:val="FF0000"/>
                                  <w:sz w:val="16"/>
                                </w:rPr>
                              </w:pPr>
                              <w:r>
                                <w:rPr>
                                  <w:rFonts w:ascii="Corbel" w:hAnsi="Corbel"/>
                                  <w:b/>
                                  <w:color w:val="FF0000"/>
                                  <w:sz w:val="16"/>
                                </w:rPr>
                                <w:t>Border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7" o:spid="_x0000_s1028" style="position:absolute;left:0;text-align:left;margin-left:144.35pt;margin-top:159.65pt;width:162pt;height:123.75pt;z-index:251673600" coordsize="20574,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">
                <v:oval id="Oval 28" o:spid="_x0000_s1029" style="position:absolute;left:5810;top:95;width:4569;height:2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cCLsA&#10;AADbAAAADwAAAGRycy9kb3ducmV2LnhtbERPuwrCMBTdBf8hXMFNUx2kVqOIIihOPnC+NNem2NyU&#10;Jmr1680gOB7Oe75sbSWe1PjSsYLRMAFBnDtdcqHgct4OUhA+IGusHJOCN3lYLrqdOWbavfhIz1Mo&#10;RAxhn6ECE0KdSelzQxb90NXEkbu5xmKIsCmkbvAVw20lx0kykRZLjg0Ga1obyu+nh1Uw3ez0+Zp8&#10;jE2rNxXtZ4+HtFaq32tXMxCB2vAX/9w7rWAcx8Yv8QfIx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XYHAi7AAAA2wAAAA8AAAAAAAAAAAAAAAAAmAIAAGRycy9kb3ducmV2Lnht&#10;bFBLBQYAAAAABAAEAPUAAACAAwAAAAA=&#10;" filled="f" strokecolor="red" strokeweight="1.5pt"/>
                <v:shape id="Text Box 29" o:spid="_x0000_s1030" type="#_x0000_t202" style="position:absolute;left:11525;width:9049;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0vMQA&#10;AADbAAAADwAAAGRycy9kb3ducmV2LnhtbESPQWvCQBSE7wX/w/KE3urGFGybuoooreKtqQjeHtln&#10;Epp9G3bXJP57VxB6HGbmG2a+HEwjOnK+tqxgOklAEBdW11wqOPx+vbyD8AFZY2OZFFzJw3Ixeppj&#10;pm3PP9TloRQRwj5DBVUIbSalLyoy6Ce2JY7e2TqDIUpXSu2wj3DTyDRJZtJgzXGhwpbWFRV/+cUo&#10;2G+2b+GcH17zcv/dn7ppild3VOp5PKw+QQQawn/40d5pBekH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9LzEAAAA2wAAAA8AAAAAAAAAAAAAAAAAmAIAAGRycy9k&#10;b3ducmV2LnhtbFBLBQYAAAAABAAEAPUAAACJAwAAAAA=&#10;" fillcolor="white [3201]" strokecolor="red" strokeweight=".5pt">
                  <v:textbox>
                    <w:txbxContent>
                      <w:p w:rsidR="002F3312" w:rsidRPr="00876DCC" w:rsidRDefault="002F3312">
                        <w:pPr>
                          <w:rPr>
                            <w:rFonts w:ascii="Corbel" w:hAnsi="Corbel"/>
                            <w:b/>
                            <w:color w:val="FF0000"/>
                            <w:sz w:val="16"/>
                          </w:rPr>
                        </w:pPr>
                        <w:r>
                          <w:rPr>
                            <w:rFonts w:ascii="Corbel" w:hAnsi="Corbel"/>
                            <w:b/>
                            <w:color w:val="FF0000"/>
                            <w:sz w:val="16"/>
                          </w:rPr>
                          <w:t>Producing area</w:t>
                        </w:r>
                      </w:p>
                    </w:txbxContent>
                  </v:textbox>
                </v:shape>
                <v:oval id="Oval 30" o:spid="_x0000_s1031" style="position:absolute;left:5048;top:13430;width:499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G078A&#10;AADbAAAADwAAAGRycy9kb3ducmV2LnhtbERPz2vCMBS+C/sfwht4s+kUpHaNMjYEZSet7Pxo3pqy&#10;5qU0sa3+9ctB8Pjx/S52k23FQL1vHCt4S1IQxJXTDdcKLuV+kYHwAVlj65gU3MjDbvsyKzDXbuQT&#10;DedQixjCPkcFJoQul9JXhiz6xHXEkft1vcUQYV9L3eMYw20rl2m6lhYbjg0GO/o0VP2dr1bB5uug&#10;y5/0bmzW3qie7kf8zjql5q/TxzuIQFN4ih/ug1awiuvjl/g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d4bTvwAAANsAAAAPAAAAAAAAAAAAAAAAAJgCAABkcnMvZG93bnJl&#10;di54bWxQSwUGAAAAAAQABAD1AAAAhAMAAAAA&#10;" filled="f" strokecolor="red" strokeweight="1.5pt"/>
                <v:shape id="Text Box 31" o:spid="_x0000_s1032" type="#_x0000_t202" style="position:absolute;left:9429;top:11239;width:1114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uZ8MA&#10;AADbAAAADwAAAGRycy9kb3ducmV2LnhtbESPQWvCQBSE7wX/w/IEb3UTBVuiq4ilWrw1FcHbI/tM&#10;gtm3YXdN4r/vCoUeh5n5hlltBtOIjpyvLStIpwkI4sLqmksFp5/P13cQPiBrbCyTggd52KxHLyvM&#10;tO35m7o8lCJC2GeooAqhzaT0RUUG/dS2xNG7WmcwROlKqR32EW4aOUuShTRYc1yosKVdRcUtvxsF&#10;x4/DW7jmp3leHvf9pUtn+HBnpSbjYbsEEWgI/+G/9pdWME/h+S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luZ8MAAADbAAAADwAAAAAAAAAAAAAAAACYAgAAZHJzL2Rv&#10;d25yZXYueG1sUEsFBgAAAAAEAAQA9QAAAIgDAAAAAA==&#10;" fillcolor="white [3201]" strokecolor="red" strokeweight=".5pt">
                  <v:textbox>
                    <w:txbxContent>
                      <w:p w:rsidR="002F3312" w:rsidRPr="00876DCC" w:rsidRDefault="002F3312" w:rsidP="00F511E0">
                        <w:pPr>
                          <w:jc w:val="left"/>
                          <w:rPr>
                            <w:rFonts w:ascii="Corbel" w:hAnsi="Corbel"/>
                            <w:b/>
                            <w:color w:val="FF0000"/>
                            <w:sz w:val="16"/>
                          </w:rPr>
                        </w:pPr>
                        <w:r>
                          <w:rPr>
                            <w:rFonts w:ascii="Corbel" w:hAnsi="Corbel"/>
                            <w:b/>
                            <w:color w:val="FF0000"/>
                            <w:sz w:val="16"/>
                          </w:rPr>
                          <w:t>Point of competition</w:t>
                        </w:r>
                      </w:p>
                    </w:txbxContent>
                  </v:textbox>
                </v:shape>
                <v:shape id="Freeform 33" o:spid="_x0000_s1033" style="position:absolute;left:5905;top:2476;width:1878;height:10763;visibility:visible;mso-wrap-style:square;v-text-anchor:middle" coordsize="187804,107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7EMcYA&#10;AADbAAAADwAAAGRycy9kb3ducmV2LnhtbESPQWvCQBSE70L/w/IKXkQ3VZGaupESqpQeBFMPHh/Z&#10;1yQk+zbNbnX777sFweMwM98wm20wnbjQ4BrLCp5mCQji0uqGKwWnz930GYTzyBo7y6Tglxxss4fR&#10;BlNtr3ykS+ErESHsUlRQe9+nUrqyJoNuZnvi6H3ZwaCPcqikHvAa4aaT8yRZSYMNx4Uae8prKtvi&#10;xyjYf6zD275oJvn5e5kf2l2eLEOh1PgxvL6A8BT8PXxrv2sFiwX8f4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7EMcYAAADbAAAADwAAAAAAAAAAAAAAAACYAgAAZHJz&#10;L2Rvd25yZXYueG1sUEsFBgAAAAAEAAQA9QAAAIsDAAAAAA==&#10;" path="m163341,v16669,65087,33338,130175,19050,171450c168104,212725,79203,207963,77616,247650v-1587,39687,107950,96838,95250,161925c160166,474662,15703,568325,1416,638175v-14287,69850,84137,133350,85725,190500c88728,885825,7766,939800,10941,981075v3175,41275,95250,95250,95250,95250l106191,1076325r,e" filled="f" strokecolor="red" strokeweight="1.5pt">
                  <v:path arrowok="t" o:connecttype="custom" o:connectlocs="163341,0;182391,171450;77616,247650;172866,409575;1416,638175;87141,828675;10941,981075;106191,1076325;106191,1076325;106191,1076325" o:connectangles="0,0,0,0,0,0,0,0,0,0"/>
                </v:shape>
                <v:oval id="Oval 35" o:spid="_x0000_s1034" style="position:absolute;left:2952;top:13716;width:1913;height:1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lS8EA&#10;AADbAAAADwAAAGRycy9kb3ducmV2LnhtbESPQYvCMBSE7wv+h/AEb2uq4lKrUUQRFE+ry54fzbMp&#10;Ni+liVr99UYQPA4z8w0zW7S2EldqfOlYwaCfgCDOnS65UPB33HynIHxA1lg5JgV38rCYd75mmGl3&#10;41+6HkIhIoR9hgpMCHUmpc8NWfR9VxNH7+QaiyHKppC6wVuE20oOk+RHWiw5LhisaWUoPx8uVsFk&#10;vdXH/+RhbFrdqWgfO9yntVK9brucggjUhk/43d5qBaMxvL7EH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AJUvBAAAA2wAAAA8AAAAAAAAAAAAAAAAAmAIAAGRycy9kb3du&#10;cmV2LnhtbFBLBQYAAAAABAAEAPUAAACGAwAAAAA=&#10;" filled="f" strokecolor="red" strokeweight="1.5pt"/>
                <v:shape id="Text Box 36" o:spid="_x0000_s1035" type="#_x0000_t202" style="position:absolute;top:11239;width:4984;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2E8MA&#10;AADbAAAADwAAAGRycy9kb3ducmV2LnhtbESPQWvCQBSE7wX/w/IEb3WjgpXoKqJUi7dGEbw9ss8k&#10;mH0bdrdJ/PduodDjMDPfMKtNb2rRkvOVZQWTcQKCOLe64kLB5fz5vgDhA7LG2jIpeJKHzXrwtsJU&#10;246/qc1CISKEfYoKyhCaVEqfl2TQj21DHL27dQZDlK6Q2mEX4aaW0ySZS4MVx4USG9qVlD+yH6Pg&#10;tD9+hHt2mWXF6dDd2skUn+6q1GjYb5cgAvXhP/zX/tIKZn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D2E8MAAADbAAAADwAAAAAAAAAAAAAAAACYAgAAZHJzL2Rv&#10;d25yZXYueG1sUEsFBgAAAAAEAAQA9QAAAIgDAAAAAA==&#10;" fillcolor="white [3201]" strokecolor="red" strokeweight=".5pt">
                  <v:textbox>
                    <w:txbxContent>
                      <w:p w:rsidR="002F3312" w:rsidRPr="00876DCC" w:rsidRDefault="002F3312" w:rsidP="005608C9">
                        <w:pPr>
                          <w:jc w:val="left"/>
                          <w:rPr>
                            <w:rFonts w:ascii="Corbel" w:hAnsi="Corbel"/>
                            <w:b/>
                            <w:color w:val="FF0000"/>
                            <w:sz w:val="16"/>
                          </w:rPr>
                        </w:pPr>
                        <w:r>
                          <w:rPr>
                            <w:rFonts w:ascii="Corbel" w:hAnsi="Corbel"/>
                            <w:b/>
                            <w:color w:val="FF0000"/>
                            <w:sz w:val="16"/>
                          </w:rPr>
                          <w:t>Border</w:t>
                        </w:r>
                      </w:p>
                    </w:txbxContent>
                  </v:textbox>
                </v:shape>
              </v:group>
            </w:pict>
          </mc:Fallback>
        </mc:AlternateContent>
      </w:r>
      <w:r w:rsidR="00876DCC">
        <w:rPr>
          <w:noProof/>
        </w:rPr>
        <w:drawing>
          <wp:inline distT="0" distB="0" distL="0" distR="0" wp14:anchorId="103D2362" wp14:editId="14831223">
            <wp:extent cx="2097323" cy="4114800"/>
            <wp:effectExtent l="19050" t="19050" r="17780" b="19050"/>
            <wp:docPr id="26" name="Picture 26" descr="C:\Users\Pernechele\Desktop\mozambi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Pernechele\Desktop\mozambique.gif"/>
                    <pic:cNvPicPr>
                      <a:picLocks noChangeAspect="1" noChangeArrowheads="1"/>
                    </pic:cNvPicPr>
                  </pic:nvPicPr>
                  <pic:blipFill rotWithShape="1">
                    <a:blip r:embed="rId51">
                      <a:extLst>
                        <a:ext uri="{28A0092B-C50C-407E-A947-70E740481C1C}">
                          <a14:useLocalDpi xmlns:a14="http://schemas.microsoft.com/office/drawing/2010/main" val="0"/>
                        </a:ext>
                      </a:extLst>
                    </a:blip>
                    <a:srcRect t="3045" b="6674"/>
                    <a:stretch/>
                  </pic:blipFill>
                  <pic:spPr bwMode="auto">
                    <a:xfrm>
                      <a:off x="0" y="0"/>
                      <a:ext cx="2097749" cy="411563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34654" w:rsidRDefault="00D34654" w:rsidP="00D34654">
      <w:pPr>
        <w:pStyle w:val="Heading2"/>
      </w:pPr>
      <w:bookmarkStart w:id="46" w:name="_Toc335991446"/>
      <w:bookmarkStart w:id="47" w:name="_Toc336419335"/>
      <w:bookmarkStart w:id="48" w:name="_Toc401642229"/>
      <w:r>
        <w:lastRenderedPageBreak/>
        <w:t>BENCHMARK PRICES</w:t>
      </w:r>
      <w:bookmarkEnd w:id="46"/>
      <w:bookmarkEnd w:id="47"/>
      <w:bookmarkEnd w:id="48"/>
    </w:p>
    <w:p w:rsidR="00D34654" w:rsidRPr="00D34654" w:rsidRDefault="00D34654" w:rsidP="00D34654">
      <w:pPr>
        <w:rPr>
          <w:b/>
        </w:rPr>
      </w:pPr>
      <w:r w:rsidRPr="001C4C16">
        <w:rPr>
          <w:b/>
        </w:rPr>
        <w:t>Observed</w:t>
      </w:r>
    </w:p>
    <w:p w:rsidR="00A67A04" w:rsidRDefault="00CB47B0" w:rsidP="007238B6">
      <w:r>
        <w:t xml:space="preserve">Analysis of price incentives for Mozambique maize requires that benchmark prices are established in order to compute reference prices against which domestic prices are compared. Benchmark prices for maize represent the price free of domestic policy and market distortions. </w:t>
      </w:r>
      <w:r w:rsidR="00F77EF9">
        <w:t>Since Mozambique is a net importer of maize during the period 2005 to 2013, we considered CIF maize prices as the benchmark prices.</w:t>
      </w:r>
      <w:r w:rsidR="00F77EF9">
        <w:rPr>
          <w:rStyle w:val="FootnoteReference"/>
        </w:rPr>
        <w:footnoteReference w:id="9"/>
      </w:r>
      <w:r>
        <w:t xml:space="preserve"> </w:t>
      </w:r>
      <w:r w:rsidR="00F52799">
        <w:t xml:space="preserve">We obtained historical </w:t>
      </w:r>
      <w:r w:rsidR="005559B8">
        <w:t xml:space="preserve">daily wholesale </w:t>
      </w:r>
      <w:r w:rsidR="00F52799">
        <w:t>maize prices in Johannesburg from the South African Futures Exchange (SAFEX), a subsidiary of the Johannesburg Stock Exchange.</w:t>
      </w:r>
      <w:r w:rsidR="00870968">
        <w:t xml:space="preserve"> </w:t>
      </w:r>
      <w:r w:rsidR="00F52799">
        <w:t xml:space="preserve">SAFEX prices cover the period from January 2000 to December 2013. We averaged </w:t>
      </w:r>
      <w:r w:rsidR="005559B8">
        <w:t xml:space="preserve">daily SAFEX prices within each month and year to obtain monthly prices. Then annual SAFEX prices were computed by averaging </w:t>
      </w:r>
      <w:r w:rsidR="00F52799">
        <w:t xml:space="preserve">monthly prices </w:t>
      </w:r>
      <w:r w:rsidR="005559B8">
        <w:t>within each year</w:t>
      </w:r>
      <w:r w:rsidR="00065461">
        <w:t>.</w:t>
      </w:r>
      <w:r w:rsidR="003E6269">
        <w:t xml:space="preserve"> </w:t>
      </w:r>
      <w:r w:rsidR="00870968">
        <w:t xml:space="preserve">A study by </w:t>
      </w:r>
      <w:r w:rsidR="00006EF3">
        <w:t>Meeuws</w:t>
      </w:r>
      <w:r w:rsidR="00870968">
        <w:t xml:space="preserve"> (2004) on trade and transport facilitation in Mozambique estimated that road transport cost from Maputo to Johannesburg averaged 0.06 USD/</w:t>
      </w:r>
      <w:r w:rsidR="008851CC">
        <w:t>tonne</w:t>
      </w:r>
      <w:r w:rsidR="00870968">
        <w:t xml:space="preserve">/Km in 2004. We took this estimate of road transport cost and multiplied it by </w:t>
      </w:r>
      <w:r w:rsidR="00F52799">
        <w:t xml:space="preserve">annual consumer price index (CPI) – </w:t>
      </w:r>
      <w:r w:rsidR="00065461">
        <w:t xml:space="preserve">obtained from Mozambique National </w:t>
      </w:r>
      <w:r w:rsidR="0083583D">
        <w:t xml:space="preserve">Institute of </w:t>
      </w:r>
      <w:r w:rsidR="00065461">
        <w:t xml:space="preserve">Statistics (INE) and </w:t>
      </w:r>
      <w:r w:rsidR="00F52799">
        <w:t xml:space="preserve">using 2004 as the base year – to </w:t>
      </w:r>
      <w:r w:rsidR="00065461">
        <w:t>obtain</w:t>
      </w:r>
      <w:r w:rsidR="00F52799">
        <w:t xml:space="preserve"> estimates of road transport cost for each year over the period 2005 to 2013. Then, these </w:t>
      </w:r>
      <w:r w:rsidR="00065461">
        <w:t xml:space="preserve">annual </w:t>
      </w:r>
      <w:r w:rsidR="00F52799">
        <w:t>estimates were multiplied by the distance between Johannesburg and Ressano Garcia (border between South Africa and Mozambique) to get estimates of transport cost from Johannesburg to Ressano Garcia, measured in USD/</w:t>
      </w:r>
      <w:r w:rsidR="008851CC">
        <w:t>tonne</w:t>
      </w:r>
      <w:r w:rsidR="00F52799">
        <w:t>.</w:t>
      </w:r>
      <w:r w:rsidR="00E7320E">
        <w:rPr>
          <w:rStyle w:val="FootnoteReference"/>
        </w:rPr>
        <w:footnoteReference w:id="10"/>
      </w:r>
      <w:r w:rsidR="00F52799">
        <w:t xml:space="preserve"> Finally, our estimates of CIF prices for maize are computed by adding </w:t>
      </w:r>
      <w:r w:rsidR="00065461">
        <w:t xml:space="preserve">road </w:t>
      </w:r>
      <w:r w:rsidR="00F52799">
        <w:t>transport cost</w:t>
      </w:r>
      <w:r w:rsidR="009F707C">
        <w:t xml:space="preserve"> (from Johannesburg to Ressano Garcia)</w:t>
      </w:r>
      <w:r w:rsidR="00F52799">
        <w:t xml:space="preserve"> to SAFEX </w:t>
      </w:r>
      <w:r w:rsidR="00065461">
        <w:t xml:space="preserve">maize </w:t>
      </w:r>
      <w:r w:rsidR="00F52799">
        <w:t>prices, both measured in USD/</w:t>
      </w:r>
      <w:r w:rsidR="008851CC">
        <w:t>tonne</w:t>
      </w:r>
      <w:r w:rsidR="00F52799">
        <w:t>.</w:t>
      </w:r>
      <w:r w:rsidR="009F707C">
        <w:t xml:space="preserve"> We plotted SAFEX prices and CIF prices for maize in </w:t>
      </w:r>
      <w:r w:rsidR="00C77873">
        <w:fldChar w:fldCharType="begin"/>
      </w:r>
      <w:r w:rsidR="00C77873">
        <w:instrText xml:space="preserve"> REF _Ref401637881 \h </w:instrText>
      </w:r>
      <w:r w:rsidR="00C77873">
        <w:fldChar w:fldCharType="separate"/>
      </w:r>
      <w:r w:rsidR="00D147FD">
        <w:t xml:space="preserve">Figure </w:t>
      </w:r>
      <w:r w:rsidR="00D147FD">
        <w:rPr>
          <w:noProof/>
        </w:rPr>
        <w:t>12</w:t>
      </w:r>
      <w:r w:rsidR="00C77873">
        <w:fldChar w:fldCharType="end"/>
      </w:r>
      <w:r w:rsidR="009F707C">
        <w:t>. This figure show</w:t>
      </w:r>
      <w:r w:rsidR="00402927">
        <w:t>s</w:t>
      </w:r>
      <w:r w:rsidR="009F707C">
        <w:t xml:space="preserve"> that CIF maize prices</w:t>
      </w:r>
      <w:r w:rsidR="00F52799">
        <w:t xml:space="preserve"> </w:t>
      </w:r>
      <w:r w:rsidR="009F707C">
        <w:t>fluctuated with an upward trend, increasing from 137 USD/</w:t>
      </w:r>
      <w:r w:rsidR="008851CC">
        <w:t>tonne</w:t>
      </w:r>
      <w:r w:rsidR="009F707C">
        <w:t xml:space="preserve"> in 2005 to 346 USD/</w:t>
      </w:r>
      <w:r w:rsidR="008851CC">
        <w:t>tonne</w:t>
      </w:r>
      <w:r w:rsidR="009F707C">
        <w:t xml:space="preserve"> in 2012 to </w:t>
      </w:r>
      <w:r w:rsidR="000D554E">
        <w:t>297 USD/</w:t>
      </w:r>
      <w:r w:rsidR="008851CC">
        <w:t>tonne</w:t>
      </w:r>
      <w:r w:rsidR="000D554E">
        <w:t xml:space="preserve"> in 2013</w:t>
      </w:r>
      <w:r w:rsidR="00C77873">
        <w:t xml:space="preserve"> (see also </w:t>
      </w:r>
      <w:r w:rsidR="00C77873">
        <w:fldChar w:fldCharType="begin"/>
      </w:r>
      <w:r w:rsidR="00C77873">
        <w:instrText xml:space="preserve"> REF _Ref401637937 \h </w:instrText>
      </w:r>
      <w:r w:rsidR="00C77873">
        <w:fldChar w:fldCharType="separate"/>
      </w:r>
      <w:r w:rsidR="00D147FD">
        <w:t xml:space="preserve">Table </w:t>
      </w:r>
      <w:r w:rsidR="00D147FD">
        <w:rPr>
          <w:noProof/>
        </w:rPr>
        <w:t>1</w:t>
      </w:r>
      <w:r w:rsidR="00C77873">
        <w:fldChar w:fldCharType="end"/>
      </w:r>
      <w:r w:rsidR="00C77873">
        <w:t>)</w:t>
      </w:r>
      <w:r w:rsidR="000D554E">
        <w:t>.</w:t>
      </w:r>
    </w:p>
    <w:p w:rsidR="00A67A04" w:rsidRDefault="00A67A04" w:rsidP="00A67A04">
      <w:pPr>
        <w:pStyle w:val="Caption"/>
        <w:keepNext/>
      </w:pPr>
      <w:bookmarkStart w:id="49" w:name="_Ref401637937"/>
      <w:r>
        <w:t xml:space="preserve">Table </w:t>
      </w:r>
      <w:r w:rsidR="007C0FAB">
        <w:fldChar w:fldCharType="begin"/>
      </w:r>
      <w:r w:rsidR="007C0FAB">
        <w:instrText xml:space="preserve"> SEQ Table \* ARABIC </w:instrText>
      </w:r>
      <w:r w:rsidR="007C0FAB">
        <w:fldChar w:fldCharType="separate"/>
      </w:r>
      <w:r w:rsidR="00D147FD">
        <w:rPr>
          <w:noProof/>
        </w:rPr>
        <w:t>1</w:t>
      </w:r>
      <w:r w:rsidR="007C0FAB">
        <w:rPr>
          <w:noProof/>
        </w:rPr>
        <w:fldChar w:fldCharType="end"/>
      </w:r>
      <w:bookmarkEnd w:id="49"/>
      <w:r>
        <w:rPr>
          <w:noProof/>
        </w:rPr>
        <w:t xml:space="preserve"> SAFEX maize price, transport cost and CIF maize prices</w:t>
      </w:r>
    </w:p>
    <w:tbl>
      <w:tblPr>
        <w:tblW w:w="5000" w:type="pct"/>
        <w:tblLook w:val="04A0" w:firstRow="1" w:lastRow="0" w:firstColumn="1" w:lastColumn="0" w:noHBand="0" w:noVBand="1"/>
      </w:tblPr>
      <w:tblGrid>
        <w:gridCol w:w="2824"/>
        <w:gridCol w:w="718"/>
        <w:gridCol w:w="719"/>
        <w:gridCol w:w="719"/>
        <w:gridCol w:w="719"/>
        <w:gridCol w:w="719"/>
        <w:gridCol w:w="719"/>
        <w:gridCol w:w="719"/>
        <w:gridCol w:w="719"/>
        <w:gridCol w:w="711"/>
      </w:tblGrid>
      <w:tr w:rsidR="00A67A04" w:rsidRPr="00A67A04" w:rsidTr="00A67A04">
        <w:trPr>
          <w:trHeight w:val="300"/>
        </w:trPr>
        <w:tc>
          <w:tcPr>
            <w:tcW w:w="1521" w:type="pct"/>
            <w:tcBorders>
              <w:top w:val="single" w:sz="4" w:space="0" w:color="auto"/>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left"/>
              <w:rPr>
                <w:rFonts w:ascii="Calibri" w:eastAsia="Times New Roman" w:hAnsi="Calibri" w:cs="Times New Roman"/>
                <w:color w:val="000000"/>
                <w:sz w:val="20"/>
                <w:szCs w:val="20"/>
              </w:rPr>
            </w:pPr>
          </w:p>
        </w:tc>
        <w:tc>
          <w:tcPr>
            <w:tcW w:w="387" w:type="pct"/>
            <w:tcBorders>
              <w:top w:val="single" w:sz="4" w:space="0" w:color="auto"/>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2005</w:t>
            </w:r>
          </w:p>
        </w:tc>
        <w:tc>
          <w:tcPr>
            <w:tcW w:w="387" w:type="pct"/>
            <w:tcBorders>
              <w:top w:val="single" w:sz="4" w:space="0" w:color="auto"/>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2006</w:t>
            </w:r>
          </w:p>
        </w:tc>
        <w:tc>
          <w:tcPr>
            <w:tcW w:w="387" w:type="pct"/>
            <w:tcBorders>
              <w:top w:val="single" w:sz="4" w:space="0" w:color="auto"/>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2007</w:t>
            </w:r>
          </w:p>
        </w:tc>
        <w:tc>
          <w:tcPr>
            <w:tcW w:w="387" w:type="pct"/>
            <w:tcBorders>
              <w:top w:val="single" w:sz="4" w:space="0" w:color="auto"/>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2008</w:t>
            </w:r>
          </w:p>
        </w:tc>
        <w:tc>
          <w:tcPr>
            <w:tcW w:w="387" w:type="pct"/>
            <w:tcBorders>
              <w:top w:val="single" w:sz="4" w:space="0" w:color="auto"/>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2009</w:t>
            </w:r>
          </w:p>
        </w:tc>
        <w:tc>
          <w:tcPr>
            <w:tcW w:w="387" w:type="pct"/>
            <w:tcBorders>
              <w:top w:val="single" w:sz="4" w:space="0" w:color="auto"/>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2010</w:t>
            </w:r>
          </w:p>
        </w:tc>
        <w:tc>
          <w:tcPr>
            <w:tcW w:w="387" w:type="pct"/>
            <w:tcBorders>
              <w:top w:val="single" w:sz="4" w:space="0" w:color="auto"/>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2011</w:t>
            </w:r>
          </w:p>
        </w:tc>
        <w:tc>
          <w:tcPr>
            <w:tcW w:w="387" w:type="pct"/>
            <w:tcBorders>
              <w:top w:val="single" w:sz="4" w:space="0" w:color="auto"/>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2012</w:t>
            </w:r>
          </w:p>
        </w:tc>
        <w:tc>
          <w:tcPr>
            <w:tcW w:w="387" w:type="pct"/>
            <w:tcBorders>
              <w:top w:val="single" w:sz="4" w:space="0" w:color="auto"/>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2013</w:t>
            </w:r>
          </w:p>
        </w:tc>
      </w:tr>
      <w:tr w:rsidR="00A67A04" w:rsidRPr="00A67A04" w:rsidTr="00A67A04">
        <w:trPr>
          <w:trHeight w:val="300"/>
        </w:trPr>
        <w:tc>
          <w:tcPr>
            <w:tcW w:w="1521"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lef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SAFEX price (USD/</w:t>
            </w:r>
            <w:r w:rsidR="008851CC" w:rsidRPr="00253267">
              <w:rPr>
                <w:rFonts w:ascii="Calibri" w:eastAsia="Times New Roman" w:hAnsi="Calibri" w:cs="Times New Roman"/>
                <w:color w:val="000000"/>
                <w:sz w:val="20"/>
                <w:szCs w:val="20"/>
              </w:rPr>
              <w:t>tonne</w:t>
            </w:r>
            <w:r w:rsidRPr="00253267">
              <w:rPr>
                <w:rFonts w:ascii="Calibri" w:eastAsia="Times New Roman" w:hAnsi="Calibri" w:cs="Times New Roman"/>
                <w:color w:val="000000"/>
                <w:sz w:val="20"/>
                <w:szCs w:val="20"/>
              </w:rPr>
              <w:t>)</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108.6</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181.9</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244.5</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225.2</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186.8</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164.8</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260.0</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293.7</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243.1</w:t>
            </w:r>
          </w:p>
        </w:tc>
      </w:tr>
      <w:tr w:rsidR="00A67A04" w:rsidRPr="00A67A04" w:rsidTr="00A67A04">
        <w:trPr>
          <w:trHeight w:val="300"/>
        </w:trPr>
        <w:tc>
          <w:tcPr>
            <w:tcW w:w="1521"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lef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Transport cost (USD/</w:t>
            </w:r>
            <w:r w:rsidR="008851CC" w:rsidRPr="00253267">
              <w:rPr>
                <w:rFonts w:ascii="Calibri" w:eastAsia="Times New Roman" w:hAnsi="Calibri" w:cs="Times New Roman"/>
                <w:color w:val="000000"/>
                <w:sz w:val="20"/>
                <w:szCs w:val="20"/>
              </w:rPr>
              <w:t>tonne</w:t>
            </w:r>
            <w:r w:rsidRPr="00253267">
              <w:rPr>
                <w:rFonts w:ascii="Calibri" w:eastAsia="Times New Roman" w:hAnsi="Calibri" w:cs="Times New Roman"/>
                <w:color w:val="000000"/>
                <w:sz w:val="20"/>
                <w:szCs w:val="20"/>
              </w:rPr>
              <w:t>/Km)</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0.06</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0.06</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0.07</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0.08</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0.09</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0.09</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0.10</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0.11</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0.11</w:t>
            </w:r>
          </w:p>
        </w:tc>
      </w:tr>
      <w:tr w:rsidR="00A67A04" w:rsidRPr="00A67A04" w:rsidTr="00A67A04">
        <w:trPr>
          <w:trHeight w:val="300"/>
        </w:trPr>
        <w:tc>
          <w:tcPr>
            <w:tcW w:w="1521"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lef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Distance (Km)</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474</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474</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474</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474</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474</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474</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474</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474</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474</w:t>
            </w:r>
          </w:p>
        </w:tc>
      </w:tr>
      <w:tr w:rsidR="00A67A04" w:rsidRPr="00A67A04" w:rsidTr="00A67A04">
        <w:trPr>
          <w:trHeight w:val="300"/>
        </w:trPr>
        <w:tc>
          <w:tcPr>
            <w:tcW w:w="1521"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lef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Transport cost (USD/</w:t>
            </w:r>
            <w:r w:rsidR="008851CC" w:rsidRPr="00253267">
              <w:rPr>
                <w:rFonts w:ascii="Calibri" w:eastAsia="Times New Roman" w:hAnsi="Calibri" w:cs="Times New Roman"/>
                <w:color w:val="000000"/>
                <w:sz w:val="20"/>
                <w:szCs w:val="20"/>
              </w:rPr>
              <w:t>tonne</w:t>
            </w:r>
            <w:r w:rsidRPr="00253267">
              <w:rPr>
                <w:rFonts w:ascii="Calibri" w:eastAsia="Times New Roman" w:hAnsi="Calibri" w:cs="Times New Roman"/>
                <w:color w:val="000000"/>
                <w:sz w:val="20"/>
                <w:szCs w:val="20"/>
              </w:rPr>
              <w:t>)</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28.4</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30.5</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34.3</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37.1</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40.9</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42.3</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47.6</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52.5</w:t>
            </w:r>
          </w:p>
        </w:tc>
        <w:tc>
          <w:tcPr>
            <w:tcW w:w="387" w:type="pct"/>
            <w:tcBorders>
              <w:top w:val="nil"/>
              <w:left w:val="nil"/>
              <w:bottom w:val="nil"/>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53.6</w:t>
            </w:r>
          </w:p>
        </w:tc>
      </w:tr>
      <w:tr w:rsidR="00A67A04" w:rsidRPr="00A67A04" w:rsidTr="00A67A04">
        <w:trPr>
          <w:trHeight w:val="300"/>
        </w:trPr>
        <w:tc>
          <w:tcPr>
            <w:tcW w:w="1521" w:type="pct"/>
            <w:tcBorders>
              <w:top w:val="nil"/>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lef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CIF price (USD/</w:t>
            </w:r>
            <w:r w:rsidR="008851CC" w:rsidRPr="00253267">
              <w:rPr>
                <w:rFonts w:ascii="Calibri" w:eastAsia="Times New Roman" w:hAnsi="Calibri" w:cs="Times New Roman"/>
                <w:color w:val="000000"/>
                <w:sz w:val="20"/>
                <w:szCs w:val="20"/>
              </w:rPr>
              <w:t>tonne</w:t>
            </w:r>
            <w:r w:rsidRPr="00253267">
              <w:rPr>
                <w:rFonts w:ascii="Calibri" w:eastAsia="Times New Roman" w:hAnsi="Calibri" w:cs="Times New Roman"/>
                <w:color w:val="000000"/>
                <w:sz w:val="20"/>
                <w:szCs w:val="20"/>
              </w:rPr>
              <w:t>)</w:t>
            </w:r>
          </w:p>
        </w:tc>
        <w:tc>
          <w:tcPr>
            <w:tcW w:w="387" w:type="pct"/>
            <w:tcBorders>
              <w:top w:val="nil"/>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137.1</w:t>
            </w:r>
          </w:p>
        </w:tc>
        <w:tc>
          <w:tcPr>
            <w:tcW w:w="387" w:type="pct"/>
            <w:tcBorders>
              <w:top w:val="nil"/>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212.4</w:t>
            </w:r>
          </w:p>
        </w:tc>
        <w:tc>
          <w:tcPr>
            <w:tcW w:w="387" w:type="pct"/>
            <w:tcBorders>
              <w:top w:val="nil"/>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278.8</w:t>
            </w:r>
          </w:p>
        </w:tc>
        <w:tc>
          <w:tcPr>
            <w:tcW w:w="387" w:type="pct"/>
            <w:tcBorders>
              <w:top w:val="nil"/>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262.3</w:t>
            </w:r>
          </w:p>
        </w:tc>
        <w:tc>
          <w:tcPr>
            <w:tcW w:w="387" w:type="pct"/>
            <w:tcBorders>
              <w:top w:val="nil"/>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227.7</w:t>
            </w:r>
          </w:p>
        </w:tc>
        <w:tc>
          <w:tcPr>
            <w:tcW w:w="387" w:type="pct"/>
            <w:tcBorders>
              <w:top w:val="nil"/>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207.0</w:t>
            </w:r>
          </w:p>
        </w:tc>
        <w:tc>
          <w:tcPr>
            <w:tcW w:w="387" w:type="pct"/>
            <w:tcBorders>
              <w:top w:val="nil"/>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307.6</w:t>
            </w:r>
          </w:p>
        </w:tc>
        <w:tc>
          <w:tcPr>
            <w:tcW w:w="387" w:type="pct"/>
            <w:tcBorders>
              <w:top w:val="nil"/>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346.2</w:t>
            </w:r>
          </w:p>
        </w:tc>
        <w:tc>
          <w:tcPr>
            <w:tcW w:w="387" w:type="pct"/>
            <w:tcBorders>
              <w:top w:val="nil"/>
              <w:left w:val="nil"/>
              <w:bottom w:val="single" w:sz="4" w:space="0" w:color="auto"/>
              <w:right w:val="nil"/>
            </w:tcBorders>
            <w:shd w:val="clear" w:color="auto" w:fill="auto"/>
            <w:noWrap/>
            <w:vAlign w:val="bottom"/>
            <w:hideMark/>
          </w:tcPr>
          <w:p w:rsidR="00A67A04" w:rsidRPr="00253267" w:rsidRDefault="00A67A04" w:rsidP="00A67A04">
            <w:pPr>
              <w:spacing w:after="0" w:line="240" w:lineRule="auto"/>
              <w:jc w:val="right"/>
              <w:rPr>
                <w:rFonts w:ascii="Calibri" w:eastAsia="Times New Roman" w:hAnsi="Calibri" w:cs="Times New Roman"/>
                <w:color w:val="000000"/>
                <w:sz w:val="20"/>
                <w:szCs w:val="20"/>
              </w:rPr>
            </w:pPr>
            <w:r w:rsidRPr="00253267">
              <w:rPr>
                <w:rFonts w:ascii="Calibri" w:eastAsia="Times New Roman" w:hAnsi="Calibri" w:cs="Times New Roman"/>
                <w:color w:val="000000"/>
                <w:sz w:val="20"/>
                <w:szCs w:val="20"/>
              </w:rPr>
              <w:t>296.7</w:t>
            </w:r>
          </w:p>
        </w:tc>
      </w:tr>
    </w:tbl>
    <w:p w:rsidR="000D554E" w:rsidRDefault="000D554E" w:rsidP="001A1096"/>
    <w:p w:rsidR="00A67699" w:rsidRDefault="00A67699" w:rsidP="00A67699">
      <w:pPr>
        <w:pStyle w:val="Caption"/>
        <w:keepNext/>
      </w:pPr>
      <w:bookmarkStart w:id="50" w:name="_Ref401637881"/>
      <w:r>
        <w:lastRenderedPageBreak/>
        <w:t xml:space="preserve">Figure </w:t>
      </w:r>
      <w:r w:rsidR="00323EC3">
        <w:fldChar w:fldCharType="begin"/>
      </w:r>
      <w:r w:rsidR="007E22D8">
        <w:instrText xml:space="preserve"> SEQ Figure \* ARABIC </w:instrText>
      </w:r>
      <w:r w:rsidR="00323EC3">
        <w:fldChar w:fldCharType="separate"/>
      </w:r>
      <w:r w:rsidR="00D147FD">
        <w:rPr>
          <w:noProof/>
        </w:rPr>
        <w:t>12</w:t>
      </w:r>
      <w:r w:rsidR="00323EC3">
        <w:rPr>
          <w:noProof/>
        </w:rPr>
        <w:fldChar w:fldCharType="end"/>
      </w:r>
      <w:bookmarkEnd w:id="50"/>
      <w:r>
        <w:rPr>
          <w:noProof/>
        </w:rPr>
        <w:t xml:space="preserve"> </w:t>
      </w:r>
      <w:r w:rsidRPr="00A247F5">
        <w:rPr>
          <w:noProof/>
        </w:rPr>
        <w:t>CIF maize prices in Mozambique: 2005 – 2013</w:t>
      </w:r>
    </w:p>
    <w:p w:rsidR="00CB47B0" w:rsidRPr="00CB47B0" w:rsidRDefault="009F707C" w:rsidP="00CE1E90">
      <w:pPr>
        <w:jc w:val="left"/>
      </w:pPr>
      <w:r>
        <w:rPr>
          <w:noProof/>
        </w:rPr>
        <w:drawing>
          <wp:inline distT="0" distB="0" distL="0" distR="0" wp14:anchorId="137761CB" wp14:editId="65EF62D0">
            <wp:extent cx="4087368" cy="2990088"/>
            <wp:effectExtent l="0" t="0" r="889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87368" cy="2990088"/>
                    </a:xfrm>
                    <a:prstGeom prst="rect">
                      <a:avLst/>
                    </a:prstGeom>
                    <a:noFill/>
                    <a:ln>
                      <a:noFill/>
                    </a:ln>
                  </pic:spPr>
                </pic:pic>
              </a:graphicData>
            </a:graphic>
          </wp:inline>
        </w:drawing>
      </w:r>
    </w:p>
    <w:p w:rsidR="00D34654" w:rsidRDefault="00D34654" w:rsidP="00D34654">
      <w:pPr>
        <w:rPr>
          <w:b/>
        </w:rPr>
      </w:pPr>
      <w:r w:rsidRPr="001C4C16">
        <w:rPr>
          <w:b/>
        </w:rPr>
        <w:t>Adjusted</w:t>
      </w:r>
    </w:p>
    <w:p w:rsidR="005B70F6" w:rsidRPr="005B70F6" w:rsidRDefault="0058648D" w:rsidP="007238B6">
      <w:r>
        <w:t xml:space="preserve">We have no information to </w:t>
      </w:r>
      <w:r w:rsidR="00FA276A">
        <w:t>support the argument that</w:t>
      </w:r>
      <w:r>
        <w:t xml:space="preserve"> CIF prices, used as benchmark prices, reflect market distortions, leading to higher or lower import prices for maize in Mozambique. For this reason, no adjustments were made to our estimates of benchmark prices for maize.</w:t>
      </w:r>
    </w:p>
    <w:p w:rsidR="00D34654" w:rsidRDefault="00D34654" w:rsidP="00D34654">
      <w:pPr>
        <w:pStyle w:val="Heading2"/>
      </w:pPr>
      <w:bookmarkStart w:id="51" w:name="_Toc335991447"/>
      <w:bookmarkStart w:id="52" w:name="_Toc336419336"/>
      <w:bookmarkStart w:id="53" w:name="_Toc401642230"/>
      <w:r>
        <w:t>DOMESTIC PRICES</w:t>
      </w:r>
      <w:bookmarkEnd w:id="51"/>
      <w:bookmarkEnd w:id="52"/>
      <w:bookmarkEnd w:id="53"/>
    </w:p>
    <w:p w:rsidR="00332F3D" w:rsidRDefault="00332F3D" w:rsidP="00A022B8">
      <w:pPr>
        <w:rPr>
          <w:b/>
        </w:rPr>
      </w:pPr>
      <w:r w:rsidRPr="00D34654">
        <w:rPr>
          <w:b/>
        </w:rPr>
        <w:t xml:space="preserve">Observed </w:t>
      </w:r>
      <w:r w:rsidR="0003604A">
        <w:rPr>
          <w:b/>
        </w:rPr>
        <w:t>price</w:t>
      </w:r>
      <w:r w:rsidR="00957F00">
        <w:rPr>
          <w:b/>
        </w:rPr>
        <w:t>s</w:t>
      </w:r>
      <w:r w:rsidR="0003604A">
        <w:rPr>
          <w:b/>
        </w:rPr>
        <w:t xml:space="preserve"> at point of competition</w:t>
      </w:r>
    </w:p>
    <w:p w:rsidR="00FA276A" w:rsidRDefault="00C557B7" w:rsidP="007238B6">
      <w:r w:rsidRPr="00C136AA">
        <w:t xml:space="preserve">From the discussion above, we consider Maputo </w:t>
      </w:r>
      <w:r w:rsidR="00C136AA" w:rsidRPr="00C136AA">
        <w:t>a</w:t>
      </w:r>
      <w:r w:rsidRPr="00C136AA">
        <w:t xml:space="preserve">s the major deficit area in the country and </w:t>
      </w:r>
      <w:r w:rsidR="00C136AA">
        <w:t xml:space="preserve">it </w:t>
      </w:r>
      <w:r w:rsidRPr="00C136AA">
        <w:t xml:space="preserve">is seen as the point of competition between domestic maize and maize imports from South Africa. Monthly wholesale maize prices in Maputo were gathered from the </w:t>
      </w:r>
      <w:r w:rsidR="00991F32" w:rsidRPr="00C136AA">
        <w:t xml:space="preserve">Agricultural </w:t>
      </w:r>
      <w:r w:rsidRPr="00C136AA">
        <w:t xml:space="preserve">Market Information System (SIMA) of the Mozambique Ministry of Agriculture (MINAG). We took these monthly prices and </w:t>
      </w:r>
      <w:r w:rsidR="00507638" w:rsidRPr="00C136AA">
        <w:t>averaged</w:t>
      </w:r>
      <w:r w:rsidR="00991F32" w:rsidRPr="00C136AA">
        <w:t xml:space="preserve"> </w:t>
      </w:r>
      <w:r w:rsidRPr="00C136AA">
        <w:t>them to obtain estimates of annual wholesale maize prices</w:t>
      </w:r>
      <w:r w:rsidR="00507638" w:rsidRPr="00C136AA">
        <w:t xml:space="preserve"> for </w:t>
      </w:r>
      <w:r w:rsidR="000D554E">
        <w:t xml:space="preserve">each </w:t>
      </w:r>
      <w:r w:rsidR="00507638" w:rsidRPr="00C136AA">
        <w:t>year over the period 2005 through 2013</w:t>
      </w:r>
      <w:r w:rsidRPr="00C136AA">
        <w:t xml:space="preserve">. </w:t>
      </w:r>
      <w:r w:rsidR="00A127E0">
        <w:fldChar w:fldCharType="begin"/>
      </w:r>
      <w:r w:rsidR="00A127E0">
        <w:instrText xml:space="preserve"> REF _Ref401637992 \h </w:instrText>
      </w:r>
      <w:r w:rsidR="00A127E0">
        <w:fldChar w:fldCharType="separate"/>
      </w:r>
      <w:r w:rsidR="00D147FD">
        <w:t xml:space="preserve">Figure </w:t>
      </w:r>
      <w:r w:rsidR="00D147FD">
        <w:rPr>
          <w:noProof/>
        </w:rPr>
        <w:t>13</w:t>
      </w:r>
      <w:r w:rsidR="00A127E0">
        <w:fldChar w:fldCharType="end"/>
      </w:r>
      <w:r w:rsidR="000D554E" w:rsidRPr="00C136AA">
        <w:t xml:space="preserve"> </w:t>
      </w:r>
      <w:r w:rsidRPr="00C136AA">
        <w:t>shows average wholesale maize prices in Maputo</w:t>
      </w:r>
      <w:r w:rsidR="00204702">
        <w:t xml:space="preserve"> which</w:t>
      </w:r>
      <w:r w:rsidR="00D56952" w:rsidRPr="00C136AA">
        <w:t xml:space="preserve"> experienced an upward trend from 2005 to 2013. </w:t>
      </w:r>
      <w:r w:rsidR="00204702">
        <w:t>Our</w:t>
      </w:r>
      <w:r w:rsidR="00D56952" w:rsidRPr="00C136AA">
        <w:t xml:space="preserve"> estimates indicate that wholesale </w:t>
      </w:r>
      <w:r w:rsidR="00991F32" w:rsidRPr="00C136AA">
        <w:t xml:space="preserve">maize </w:t>
      </w:r>
      <w:r w:rsidR="00D56952" w:rsidRPr="00C136AA">
        <w:t xml:space="preserve">prices grew at </w:t>
      </w:r>
      <w:r w:rsidR="00991F32" w:rsidRPr="00C136AA">
        <w:t xml:space="preserve">an </w:t>
      </w:r>
      <w:r w:rsidR="00D56952" w:rsidRPr="00C136AA">
        <w:t>average annual rate of 10</w:t>
      </w:r>
      <w:r w:rsidR="009414AA">
        <w:t xml:space="preserve"> percent</w:t>
      </w:r>
      <w:r w:rsidR="00507638" w:rsidRPr="00C136AA">
        <w:t>, ri</w:t>
      </w:r>
      <w:r w:rsidR="00991F32" w:rsidRPr="00C136AA">
        <w:t xml:space="preserve">sing from </w:t>
      </w:r>
      <w:r w:rsidR="00204702">
        <w:t>5 800</w:t>
      </w:r>
      <w:r w:rsidR="00991F32" w:rsidRPr="00C136AA">
        <w:t xml:space="preserve"> MZN/</w:t>
      </w:r>
      <w:r w:rsidR="008851CC">
        <w:t>tonne</w:t>
      </w:r>
      <w:r w:rsidR="00991F32" w:rsidRPr="00C136AA">
        <w:t xml:space="preserve"> in 2005 to </w:t>
      </w:r>
      <w:r w:rsidR="00204702">
        <w:t>13 400</w:t>
      </w:r>
      <w:r w:rsidR="00991F32" w:rsidRPr="00C136AA">
        <w:t xml:space="preserve"> MZN/</w:t>
      </w:r>
      <w:r w:rsidR="008851CC">
        <w:t>tonne</w:t>
      </w:r>
      <w:r w:rsidR="00991F32" w:rsidRPr="00C136AA">
        <w:t xml:space="preserve"> in 2013.</w:t>
      </w:r>
      <w:r w:rsidR="00F651F6">
        <w:t xml:space="preserve"> T</w:t>
      </w:r>
      <w:r w:rsidR="0085159C">
        <w:t>his upward trend in Maputo</w:t>
      </w:r>
      <w:r w:rsidR="00F651F6">
        <w:t xml:space="preserve"> is not surprising because </w:t>
      </w:r>
      <w:r w:rsidR="00DA483D">
        <w:t>comparable growth rates of maize prices were registered in South Africa with 7</w:t>
      </w:r>
      <w:r w:rsidR="009414AA">
        <w:t xml:space="preserve"> percent</w:t>
      </w:r>
      <w:r w:rsidR="00DA483D">
        <w:t xml:space="preserve"> and international market with 10</w:t>
      </w:r>
      <w:r w:rsidR="009414AA">
        <w:t xml:space="preserve"> percent</w:t>
      </w:r>
      <w:r w:rsidR="00DA483D">
        <w:t xml:space="preserve"> during the same period.</w:t>
      </w:r>
    </w:p>
    <w:p w:rsidR="00C557B7" w:rsidRPr="00C136AA" w:rsidRDefault="00F651F6" w:rsidP="007238B6">
      <w:r>
        <w:t xml:space="preserve"> </w:t>
      </w:r>
    </w:p>
    <w:p w:rsidR="00A67699" w:rsidRDefault="00A67699" w:rsidP="00A67699">
      <w:pPr>
        <w:pStyle w:val="Caption"/>
        <w:keepNext/>
        <w:jc w:val="both"/>
      </w:pPr>
      <w:bookmarkStart w:id="54" w:name="_Ref401637992"/>
      <w:r>
        <w:lastRenderedPageBreak/>
        <w:t xml:space="preserve">Figure </w:t>
      </w:r>
      <w:r w:rsidR="00323EC3">
        <w:fldChar w:fldCharType="begin"/>
      </w:r>
      <w:r w:rsidR="007E22D8">
        <w:instrText xml:space="preserve"> SEQ Figure \* ARABIC </w:instrText>
      </w:r>
      <w:r w:rsidR="00323EC3">
        <w:fldChar w:fldCharType="separate"/>
      </w:r>
      <w:r w:rsidR="00D147FD">
        <w:rPr>
          <w:noProof/>
        </w:rPr>
        <w:t>13</w:t>
      </w:r>
      <w:r w:rsidR="00323EC3">
        <w:rPr>
          <w:noProof/>
        </w:rPr>
        <w:fldChar w:fldCharType="end"/>
      </w:r>
      <w:bookmarkEnd w:id="54"/>
      <w:r>
        <w:rPr>
          <w:noProof/>
        </w:rPr>
        <w:t xml:space="preserve"> </w:t>
      </w:r>
      <w:r w:rsidRPr="001A7416">
        <w:rPr>
          <w:noProof/>
        </w:rPr>
        <w:t>Wholesale and farm gate prices for maize in Mozambique</w:t>
      </w:r>
    </w:p>
    <w:p w:rsidR="00507638" w:rsidRDefault="00507638" w:rsidP="00A022B8">
      <w:pPr>
        <w:rPr>
          <w:color w:val="FF0000"/>
        </w:rPr>
      </w:pPr>
      <w:r>
        <w:rPr>
          <w:noProof/>
          <w:color w:val="FF0000"/>
        </w:rPr>
        <w:drawing>
          <wp:inline distT="0" distB="0" distL="0" distR="0" wp14:anchorId="236B7B89" wp14:editId="6D6F0A9D">
            <wp:extent cx="4087368" cy="2990088"/>
            <wp:effectExtent l="0" t="0" r="889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87368" cy="2990088"/>
                    </a:xfrm>
                    <a:prstGeom prst="rect">
                      <a:avLst/>
                    </a:prstGeom>
                    <a:noFill/>
                    <a:ln>
                      <a:noFill/>
                    </a:ln>
                  </pic:spPr>
                </pic:pic>
              </a:graphicData>
            </a:graphic>
          </wp:inline>
        </w:drawing>
      </w:r>
    </w:p>
    <w:p w:rsidR="00A022B8" w:rsidRDefault="00332F3D" w:rsidP="00A022B8">
      <w:pPr>
        <w:rPr>
          <w:b/>
        </w:rPr>
      </w:pPr>
      <w:r w:rsidRPr="00D34654">
        <w:rPr>
          <w:b/>
        </w:rPr>
        <w:t xml:space="preserve">Observed </w:t>
      </w:r>
      <w:r w:rsidR="00957F00">
        <w:rPr>
          <w:b/>
        </w:rPr>
        <w:t>prices at farm gate</w:t>
      </w:r>
    </w:p>
    <w:p w:rsidR="00507638" w:rsidRDefault="007564B9" w:rsidP="007238B6">
      <w:r>
        <w:t xml:space="preserve">We obtained monthly farm-level maize prices </w:t>
      </w:r>
      <w:r w:rsidR="00204702">
        <w:t>from</w:t>
      </w:r>
      <w:r>
        <w:t xml:space="preserve"> January 2005 to December 2013 in Chimoio from SIMA.</w:t>
      </w:r>
      <w:r w:rsidR="003E73AA">
        <w:t xml:space="preserve"> Using monthly prices, we computed </w:t>
      </w:r>
      <w:r w:rsidR="00FA276A">
        <w:t xml:space="preserve">average </w:t>
      </w:r>
      <w:r w:rsidR="003E73AA">
        <w:t>annual maize prices at farm-</w:t>
      </w:r>
      <w:r w:rsidR="00382E18">
        <w:t>gate</w:t>
      </w:r>
      <w:r w:rsidR="00006EF3">
        <w:t>.</w:t>
      </w:r>
      <w:r w:rsidR="00382E18">
        <w:t xml:space="preserve"> </w:t>
      </w:r>
      <w:r w:rsidR="003E73AA">
        <w:t xml:space="preserve">Annual maize prices in Chimoio are plotted in Figure </w:t>
      </w:r>
      <w:r w:rsidR="00DA483D">
        <w:t xml:space="preserve">13 </w:t>
      </w:r>
      <w:r w:rsidR="00587C44">
        <w:t>above</w:t>
      </w:r>
      <w:r w:rsidR="003E73AA">
        <w:t>. This Figure indicates that farm-level maize prices in Chimoio are lower than wholesale maize prices in Maputo throughout the period under analysis</w:t>
      </w:r>
      <w:r w:rsidR="00382E18">
        <w:t>, as expected</w:t>
      </w:r>
      <w:r w:rsidR="003E73AA">
        <w:t xml:space="preserve">. </w:t>
      </w:r>
      <w:r w:rsidR="00587C44">
        <w:t>Comparing farm- and wholesale-level prices from 2005 to 2013, maize prices are on average about 40</w:t>
      </w:r>
      <w:r w:rsidR="009414AA">
        <w:t xml:space="preserve"> percent</w:t>
      </w:r>
      <w:r w:rsidR="00587C44">
        <w:t xml:space="preserve"> lower in Chimoio than in Maputo. The annual growth rate of Chimoio maize prices averaged about 11</w:t>
      </w:r>
      <w:r w:rsidR="009414AA">
        <w:t xml:space="preserve"> percent</w:t>
      </w:r>
      <w:r w:rsidR="00587C44">
        <w:t xml:space="preserve"> over the period 2005 through 2013. This growth rate is comparable to that registered in Maputo for wholesale maize prices.</w:t>
      </w:r>
    </w:p>
    <w:p w:rsidR="00D34654" w:rsidRDefault="00D34654" w:rsidP="00D34654">
      <w:pPr>
        <w:pStyle w:val="Heading2"/>
      </w:pPr>
      <w:bookmarkStart w:id="55" w:name="_Toc335991448"/>
      <w:bookmarkStart w:id="56" w:name="_Toc336419337"/>
      <w:bookmarkStart w:id="57" w:name="_Toc401642231"/>
      <w:r>
        <w:t>EXCHANGE RATES</w:t>
      </w:r>
      <w:bookmarkEnd w:id="55"/>
      <w:bookmarkEnd w:id="56"/>
      <w:bookmarkEnd w:id="57"/>
    </w:p>
    <w:p w:rsidR="00CF7945" w:rsidRDefault="00026A6F" w:rsidP="00053E31">
      <w:pPr>
        <w:rPr>
          <w:b/>
        </w:rPr>
      </w:pPr>
      <w:r w:rsidRPr="00206E49">
        <w:rPr>
          <w:b/>
        </w:rPr>
        <w:t>Observed</w:t>
      </w:r>
    </w:p>
    <w:p w:rsidR="006D11B2" w:rsidRDefault="00382E18" w:rsidP="007238B6">
      <w:r>
        <w:t xml:space="preserve">We gathered </w:t>
      </w:r>
      <w:r w:rsidR="001C1331">
        <w:t xml:space="preserve">monthly </w:t>
      </w:r>
      <w:r>
        <w:t>exchange rates between the Mozambique Metical (MZN) and the United States Dollar (USD) f</w:t>
      </w:r>
      <w:r w:rsidR="001C1331">
        <w:t>rom the Mozambique Central Bank. We averaged monthly exchange rates to obtain annual exchange rates and the results are summarized in</w:t>
      </w:r>
      <w:r w:rsidR="00A127E0">
        <w:t xml:space="preserve"> </w:t>
      </w:r>
      <w:r w:rsidR="00A127E0">
        <w:fldChar w:fldCharType="begin"/>
      </w:r>
      <w:r w:rsidR="00A127E0">
        <w:instrText xml:space="preserve"> REF _Ref401638059 \h </w:instrText>
      </w:r>
      <w:r w:rsidR="00A127E0">
        <w:fldChar w:fldCharType="separate"/>
      </w:r>
      <w:r w:rsidR="00D147FD">
        <w:t xml:space="preserve">Table </w:t>
      </w:r>
      <w:r w:rsidR="00D147FD">
        <w:rPr>
          <w:noProof/>
        </w:rPr>
        <w:t>2</w:t>
      </w:r>
      <w:r w:rsidR="00A127E0">
        <w:fldChar w:fldCharType="end"/>
      </w:r>
      <w:r w:rsidR="001C1331">
        <w:t xml:space="preserve"> below.</w:t>
      </w:r>
      <w:bookmarkStart w:id="58" w:name="_Ref394722521"/>
    </w:p>
    <w:p w:rsidR="003649CB" w:rsidRDefault="003649CB" w:rsidP="003649CB">
      <w:pPr>
        <w:pStyle w:val="Caption"/>
        <w:keepNext/>
      </w:pPr>
      <w:bookmarkStart w:id="59" w:name="_Ref401638059"/>
      <w:r>
        <w:t xml:space="preserve">Table </w:t>
      </w:r>
      <w:r w:rsidR="00323EC3">
        <w:fldChar w:fldCharType="begin"/>
      </w:r>
      <w:r>
        <w:instrText xml:space="preserve"> SEQ Table \* ARABIC </w:instrText>
      </w:r>
      <w:r w:rsidR="00323EC3">
        <w:fldChar w:fldCharType="separate"/>
      </w:r>
      <w:r w:rsidR="00D147FD">
        <w:rPr>
          <w:noProof/>
        </w:rPr>
        <w:t>2</w:t>
      </w:r>
      <w:r w:rsidR="00323EC3">
        <w:fldChar w:fldCharType="end"/>
      </w:r>
      <w:bookmarkEnd w:id="58"/>
      <w:bookmarkEnd w:id="59"/>
      <w:r>
        <w:rPr>
          <w:noProof/>
        </w:rPr>
        <w:t xml:space="preserve"> </w:t>
      </w:r>
      <w:r w:rsidRPr="003A1E42">
        <w:rPr>
          <w:noProof/>
        </w:rPr>
        <w:t>Nominal exchange rate (MZN/USD)</w:t>
      </w:r>
    </w:p>
    <w:tbl>
      <w:tblPr>
        <w:tblW w:w="5000" w:type="pct"/>
        <w:tblLook w:val="04A0" w:firstRow="1" w:lastRow="0" w:firstColumn="1" w:lastColumn="0" w:noHBand="0" w:noVBand="1"/>
      </w:tblPr>
      <w:tblGrid>
        <w:gridCol w:w="2558"/>
        <w:gridCol w:w="748"/>
        <w:gridCol w:w="747"/>
        <w:gridCol w:w="748"/>
        <w:gridCol w:w="748"/>
        <w:gridCol w:w="748"/>
        <w:gridCol w:w="748"/>
        <w:gridCol w:w="748"/>
        <w:gridCol w:w="748"/>
        <w:gridCol w:w="745"/>
      </w:tblGrid>
      <w:tr w:rsidR="006F01C7" w:rsidRPr="001C1331" w:rsidTr="003649CB">
        <w:trPr>
          <w:trHeight w:val="454"/>
        </w:trPr>
        <w:tc>
          <w:tcPr>
            <w:tcW w:w="1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C1331" w:rsidRPr="003E6269" w:rsidRDefault="001C1331" w:rsidP="001C1331">
            <w:pPr>
              <w:spacing w:after="0" w:line="240" w:lineRule="auto"/>
              <w:jc w:val="left"/>
              <w:rPr>
                <w:rFonts w:eastAsia="Times New Roman" w:cs="Arial"/>
                <w:color w:val="000000"/>
                <w:sz w:val="20"/>
                <w:szCs w:val="20"/>
              </w:rPr>
            </w:pPr>
            <w:r w:rsidRPr="003E6269">
              <w:rPr>
                <w:rFonts w:eastAsia="Times New Roman" w:cs="Arial"/>
                <w:color w:val="000000"/>
                <w:sz w:val="20"/>
                <w:szCs w:val="20"/>
              </w:rPr>
              <w:t>Year</w:t>
            </w:r>
          </w:p>
        </w:tc>
        <w:tc>
          <w:tcPr>
            <w:tcW w:w="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2005</w:t>
            </w:r>
          </w:p>
        </w:tc>
        <w:tc>
          <w:tcPr>
            <w:tcW w:w="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2006</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2007</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2008</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2009</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2010</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2011</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2012</w:t>
            </w:r>
          </w:p>
        </w:tc>
        <w:tc>
          <w:tcPr>
            <w:tcW w:w="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2013</w:t>
            </w:r>
          </w:p>
        </w:tc>
      </w:tr>
      <w:tr w:rsidR="001C1331" w:rsidRPr="001C1331" w:rsidTr="003649CB">
        <w:trPr>
          <w:trHeight w:val="255"/>
        </w:trPr>
        <w:tc>
          <w:tcPr>
            <w:tcW w:w="1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31" w:rsidRPr="003E6269" w:rsidRDefault="001C1331" w:rsidP="001C1331">
            <w:pPr>
              <w:spacing w:after="0" w:line="240" w:lineRule="auto"/>
              <w:jc w:val="left"/>
              <w:rPr>
                <w:rFonts w:eastAsia="Times New Roman" w:cs="Arial"/>
                <w:color w:val="000000"/>
                <w:sz w:val="20"/>
                <w:szCs w:val="20"/>
              </w:rPr>
            </w:pPr>
            <w:r w:rsidRPr="003E6269">
              <w:rPr>
                <w:rFonts w:eastAsia="Times New Roman" w:cs="Arial"/>
                <w:color w:val="000000"/>
                <w:sz w:val="20"/>
                <w:szCs w:val="20"/>
              </w:rPr>
              <w:t>Exchange rate (MZN/USD)</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23.1</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25.0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25.6</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24.2</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26.7</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33.0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28.9</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28.4</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1331" w:rsidRPr="003E6269" w:rsidRDefault="001C1331" w:rsidP="001C1331">
            <w:pPr>
              <w:spacing w:after="0" w:line="240" w:lineRule="auto"/>
              <w:jc w:val="right"/>
              <w:rPr>
                <w:rFonts w:eastAsia="Times New Roman" w:cs="Arial"/>
                <w:color w:val="000000"/>
                <w:sz w:val="20"/>
                <w:szCs w:val="20"/>
              </w:rPr>
            </w:pPr>
            <w:r w:rsidRPr="003E6269">
              <w:rPr>
                <w:rFonts w:eastAsia="Times New Roman" w:cs="Arial"/>
                <w:color w:val="000000"/>
                <w:sz w:val="20"/>
                <w:szCs w:val="20"/>
              </w:rPr>
              <w:t>29.8</w:t>
            </w:r>
          </w:p>
        </w:tc>
      </w:tr>
      <w:tr w:rsidR="001C1331" w:rsidRPr="001C1331" w:rsidTr="003649CB">
        <w:trPr>
          <w:trHeight w:val="445"/>
        </w:trPr>
        <w:tc>
          <w:tcPr>
            <w:tcW w:w="5000" w:type="pct"/>
            <w:gridSpan w:val="10"/>
            <w:tcBorders>
              <w:top w:val="single" w:sz="4" w:space="0" w:color="auto"/>
              <w:left w:val="nil"/>
              <w:bottom w:val="nil"/>
              <w:right w:val="nil"/>
            </w:tcBorders>
            <w:shd w:val="clear" w:color="auto" w:fill="auto"/>
            <w:noWrap/>
          </w:tcPr>
          <w:p w:rsidR="001C1331" w:rsidRPr="001C1331" w:rsidRDefault="001C1331" w:rsidP="003E6269">
            <w:pPr>
              <w:spacing w:after="0" w:line="240" w:lineRule="auto"/>
              <w:jc w:val="center"/>
              <w:rPr>
                <w:rFonts w:eastAsia="Times New Roman" w:cs="Arial"/>
                <w:color w:val="000000"/>
                <w:sz w:val="20"/>
                <w:szCs w:val="20"/>
              </w:rPr>
            </w:pPr>
            <w:r w:rsidRPr="001C1331">
              <w:rPr>
                <w:rFonts w:eastAsia="Times New Roman" w:cs="Arial"/>
                <w:color w:val="000000"/>
                <w:sz w:val="20"/>
                <w:szCs w:val="20"/>
              </w:rPr>
              <w:t>Source: Mozambique Central Bank</w:t>
            </w:r>
          </w:p>
        </w:tc>
      </w:tr>
    </w:tbl>
    <w:p w:rsidR="00026A6F" w:rsidRDefault="00026A6F" w:rsidP="00053E31">
      <w:pPr>
        <w:rPr>
          <w:b/>
        </w:rPr>
      </w:pPr>
      <w:r w:rsidRPr="00206E49">
        <w:rPr>
          <w:b/>
        </w:rPr>
        <w:t xml:space="preserve">Adjusted </w:t>
      </w:r>
    </w:p>
    <w:p w:rsidR="0058117A" w:rsidRDefault="0058117A" w:rsidP="007238B6">
      <w:r>
        <w:t>We did not make any adjustments to the exchange rates because we are not aware of any explicit exchange rate policy or foreign currency controls undertaken by the Government of Mozambique over the period under analysis.</w:t>
      </w:r>
    </w:p>
    <w:p w:rsidR="00D34654" w:rsidRDefault="00D34654" w:rsidP="00D34654">
      <w:pPr>
        <w:pStyle w:val="Heading2"/>
      </w:pPr>
      <w:bookmarkStart w:id="60" w:name="_Toc335991449"/>
      <w:bookmarkStart w:id="61" w:name="_Toc336419338"/>
      <w:bookmarkStart w:id="62" w:name="_Toc401642232"/>
      <w:r>
        <w:lastRenderedPageBreak/>
        <w:t>ACCESS COSTS</w:t>
      </w:r>
      <w:bookmarkEnd w:id="60"/>
      <w:bookmarkEnd w:id="61"/>
      <w:bookmarkEnd w:id="62"/>
    </w:p>
    <w:p w:rsidR="00D34654" w:rsidRDefault="00D34654" w:rsidP="00D34654">
      <w:pPr>
        <w:rPr>
          <w:b/>
        </w:rPr>
      </w:pPr>
      <w:r w:rsidRPr="001C4C16">
        <w:rPr>
          <w:b/>
        </w:rPr>
        <w:t>Observed</w:t>
      </w:r>
    </w:p>
    <w:p w:rsidR="003F1EB8" w:rsidRDefault="003F1EB8" w:rsidP="00D34654">
      <w:pPr>
        <w:rPr>
          <w:u w:val="single"/>
        </w:rPr>
      </w:pPr>
      <w:r w:rsidRPr="003F1EB8">
        <w:rPr>
          <w:u w:val="single"/>
        </w:rPr>
        <w:t>Border to point of competition</w:t>
      </w:r>
    </w:p>
    <w:p w:rsidR="00E820D6" w:rsidRDefault="001879E3" w:rsidP="007238B6">
      <w:r>
        <w:t>As mentioned earlier, estimates from a</w:t>
      </w:r>
      <w:r w:rsidR="00E7320E">
        <w:t xml:space="preserve"> study by </w:t>
      </w:r>
      <w:r>
        <w:t xml:space="preserve">the </w:t>
      </w:r>
      <w:r w:rsidR="00E7320E">
        <w:t xml:space="preserve">World Bank (2004) </w:t>
      </w:r>
      <w:r>
        <w:t>pointed out that</w:t>
      </w:r>
      <w:r w:rsidR="00E7320E">
        <w:t xml:space="preserve"> road transport cost from Maputo to Johannesburg averaged 0.06 USD/</w:t>
      </w:r>
      <w:r w:rsidR="008851CC">
        <w:t>tonne</w:t>
      </w:r>
      <w:r w:rsidR="00E7320E">
        <w:t xml:space="preserve">/Km in 2004. </w:t>
      </w:r>
      <w:r w:rsidR="00580ECF">
        <w:t>Our estimates of the transport costs for other years are computed by deflating the 2004 transport cost using CPI for each year between 2005 and 2013, considering 2004 as the base year.</w:t>
      </w:r>
      <w:r w:rsidR="00E7320E">
        <w:t xml:space="preserve"> </w:t>
      </w:r>
      <w:r>
        <w:t>We then took the resulting estimates and multiplied them</w:t>
      </w:r>
      <w:r w:rsidR="00E7320E">
        <w:t xml:space="preserve"> by the distance between </w:t>
      </w:r>
      <w:r>
        <w:t>Ressano Garcia and Maputo</w:t>
      </w:r>
      <w:r w:rsidR="00006EF3">
        <w:t xml:space="preserve">. </w:t>
      </w:r>
      <w:r>
        <w:t xml:space="preserve">We </w:t>
      </w:r>
      <w:r w:rsidR="00006EF3">
        <w:t xml:space="preserve">finally </w:t>
      </w:r>
      <w:r>
        <w:t>converted these estimates of transport costs into MZN/</w:t>
      </w:r>
      <w:r w:rsidR="008851CC">
        <w:t>tonne</w:t>
      </w:r>
      <w:r>
        <w:t xml:space="preserve"> by multiplying them by exchange rates between MZN and USD. </w:t>
      </w:r>
      <w:r w:rsidR="00E820D6">
        <w:t xml:space="preserve">Our estimates of costs related to customs and processing </w:t>
      </w:r>
      <w:r w:rsidR="006B27B0">
        <w:t xml:space="preserve">of </w:t>
      </w:r>
      <w:r w:rsidR="00E820D6">
        <w:t xml:space="preserve">paperwork </w:t>
      </w:r>
      <w:r w:rsidR="006B27B0">
        <w:t xml:space="preserve">required to import commodities into Mozambique </w:t>
      </w:r>
      <w:r w:rsidR="00E820D6">
        <w:t xml:space="preserve">are obtained from the </w:t>
      </w:r>
      <w:r w:rsidR="006B27B0">
        <w:t>World Bank doing business data.</w:t>
      </w:r>
    </w:p>
    <w:p w:rsidR="00E7320E" w:rsidRDefault="00E820D6" w:rsidP="007238B6">
      <w:r>
        <w:t>Based on our interviews with players in the maize value chain and our knowledge of maize marketing in Mozambique, we assumed that profit margins are 10</w:t>
      </w:r>
      <w:r w:rsidR="009414AA">
        <w:t xml:space="preserve"> percent</w:t>
      </w:r>
      <w:r>
        <w:t xml:space="preserve"> of wholesale maize prices and costs associated with customs brokers represent 0.5</w:t>
      </w:r>
      <w:r w:rsidR="009414AA">
        <w:t xml:space="preserve"> percent</w:t>
      </w:r>
      <w:r>
        <w:t xml:space="preserve"> of CIF maize prices.</w:t>
      </w:r>
      <w:r w:rsidR="0083583D">
        <w:t xml:space="preserve"> Access costs from the border to point of competition are summarized in </w:t>
      </w:r>
      <w:r w:rsidR="00323EC3">
        <w:fldChar w:fldCharType="begin"/>
      </w:r>
      <w:r w:rsidR="003649CB">
        <w:instrText xml:space="preserve"> REF _Ref394722745 \h </w:instrText>
      </w:r>
      <w:r w:rsidR="00323EC3">
        <w:fldChar w:fldCharType="separate"/>
      </w:r>
      <w:r w:rsidR="00D147FD">
        <w:t xml:space="preserve">Table </w:t>
      </w:r>
      <w:r w:rsidR="00D147FD">
        <w:rPr>
          <w:noProof/>
        </w:rPr>
        <w:t>3</w:t>
      </w:r>
      <w:r w:rsidR="00323EC3">
        <w:fldChar w:fldCharType="end"/>
      </w:r>
      <w:r w:rsidR="0083583D">
        <w:t xml:space="preserve"> below. </w:t>
      </w:r>
      <w:r w:rsidR="00580ECF">
        <w:t>Between 2005 and 2013, t</w:t>
      </w:r>
      <w:r w:rsidR="0083583D">
        <w:t>his table shows that access costs for this segment range</w:t>
      </w:r>
      <w:r w:rsidR="006B27B0">
        <w:t>d</w:t>
      </w:r>
      <w:r w:rsidR="0083583D">
        <w:t xml:space="preserve"> from </w:t>
      </w:r>
      <w:r w:rsidR="00580ECF">
        <w:t>1,891 MZN/</w:t>
      </w:r>
      <w:r w:rsidR="008851CC">
        <w:t>tonne</w:t>
      </w:r>
      <w:r w:rsidR="00580ECF">
        <w:t xml:space="preserve"> in 2005 </w:t>
      </w:r>
      <w:r w:rsidR="0083583D">
        <w:t xml:space="preserve">to </w:t>
      </w:r>
      <w:r w:rsidR="00580ECF">
        <w:t>3,993 MZN/</w:t>
      </w:r>
      <w:r w:rsidR="008851CC">
        <w:t>tonne</w:t>
      </w:r>
      <w:r w:rsidR="00580ECF">
        <w:t xml:space="preserve"> in 2013</w:t>
      </w:r>
      <w:r w:rsidR="0083583D">
        <w:t>.</w:t>
      </w:r>
    </w:p>
    <w:p w:rsidR="003649CB" w:rsidRDefault="003649CB" w:rsidP="003649CB">
      <w:pPr>
        <w:pStyle w:val="Caption"/>
        <w:keepNext/>
      </w:pPr>
      <w:bookmarkStart w:id="63" w:name="_Ref394722745"/>
      <w:r>
        <w:t xml:space="preserve">Table </w:t>
      </w:r>
      <w:r w:rsidR="00323EC3">
        <w:fldChar w:fldCharType="begin"/>
      </w:r>
      <w:r>
        <w:instrText xml:space="preserve"> SEQ Table \* ARABIC </w:instrText>
      </w:r>
      <w:r w:rsidR="00323EC3">
        <w:fldChar w:fldCharType="separate"/>
      </w:r>
      <w:r w:rsidR="00D147FD">
        <w:rPr>
          <w:noProof/>
        </w:rPr>
        <w:t>3</w:t>
      </w:r>
      <w:r w:rsidR="00323EC3">
        <w:fldChar w:fldCharType="end"/>
      </w:r>
      <w:bookmarkEnd w:id="63"/>
      <w:r>
        <w:rPr>
          <w:noProof/>
        </w:rPr>
        <w:t xml:space="preserve"> </w:t>
      </w:r>
      <w:r w:rsidRPr="00A940F0">
        <w:rPr>
          <w:noProof/>
        </w:rPr>
        <w:t>Observed access costs (MZN/</w:t>
      </w:r>
      <w:r w:rsidR="008851CC">
        <w:rPr>
          <w:noProof/>
        </w:rPr>
        <w:t>tonne</w:t>
      </w:r>
      <w:r w:rsidRPr="00A940F0">
        <w:rPr>
          <w:noProof/>
        </w:rPr>
        <w:t xml:space="preserve"> of maize grain)</w:t>
      </w:r>
    </w:p>
    <w:tbl>
      <w:tblPr>
        <w:tblW w:w="5000" w:type="pct"/>
        <w:tblLook w:val="04A0" w:firstRow="1" w:lastRow="0" w:firstColumn="1" w:lastColumn="0" w:noHBand="0" w:noVBand="1"/>
      </w:tblPr>
      <w:tblGrid>
        <w:gridCol w:w="2813"/>
        <w:gridCol w:w="718"/>
        <w:gridCol w:w="719"/>
        <w:gridCol w:w="719"/>
        <w:gridCol w:w="719"/>
        <w:gridCol w:w="719"/>
        <w:gridCol w:w="719"/>
        <w:gridCol w:w="719"/>
        <w:gridCol w:w="719"/>
        <w:gridCol w:w="722"/>
      </w:tblGrid>
      <w:tr w:rsidR="00E81B88" w:rsidRPr="00E81B88" w:rsidTr="00E81B88">
        <w:trPr>
          <w:trHeight w:val="255"/>
        </w:trPr>
        <w:tc>
          <w:tcPr>
            <w:tcW w:w="1515" w:type="pct"/>
            <w:tcBorders>
              <w:top w:val="single" w:sz="4" w:space="0" w:color="auto"/>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left"/>
              <w:rPr>
                <w:rFonts w:eastAsia="Times New Roman" w:cs="Arial"/>
                <w:color w:val="000000"/>
                <w:sz w:val="20"/>
                <w:szCs w:val="20"/>
              </w:rPr>
            </w:pPr>
            <w:r w:rsidRPr="00C25F56">
              <w:rPr>
                <w:rFonts w:eastAsia="Times New Roman" w:cs="Arial"/>
                <w:color w:val="000000"/>
                <w:sz w:val="20"/>
                <w:szCs w:val="20"/>
              </w:rPr>
              <w:t> </w:t>
            </w:r>
          </w:p>
        </w:tc>
        <w:tc>
          <w:tcPr>
            <w:tcW w:w="387" w:type="pct"/>
            <w:tcBorders>
              <w:top w:val="single" w:sz="4" w:space="0" w:color="auto"/>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2005</w:t>
            </w:r>
          </w:p>
        </w:tc>
        <w:tc>
          <w:tcPr>
            <w:tcW w:w="387" w:type="pct"/>
            <w:tcBorders>
              <w:top w:val="single" w:sz="4" w:space="0" w:color="auto"/>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2006</w:t>
            </w:r>
          </w:p>
        </w:tc>
        <w:tc>
          <w:tcPr>
            <w:tcW w:w="387" w:type="pct"/>
            <w:tcBorders>
              <w:top w:val="single" w:sz="4" w:space="0" w:color="auto"/>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2007</w:t>
            </w:r>
          </w:p>
        </w:tc>
        <w:tc>
          <w:tcPr>
            <w:tcW w:w="387" w:type="pct"/>
            <w:tcBorders>
              <w:top w:val="single" w:sz="4" w:space="0" w:color="auto"/>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2008</w:t>
            </w:r>
          </w:p>
        </w:tc>
        <w:tc>
          <w:tcPr>
            <w:tcW w:w="387" w:type="pct"/>
            <w:tcBorders>
              <w:top w:val="single" w:sz="4" w:space="0" w:color="auto"/>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2009</w:t>
            </w:r>
          </w:p>
        </w:tc>
        <w:tc>
          <w:tcPr>
            <w:tcW w:w="387" w:type="pct"/>
            <w:tcBorders>
              <w:top w:val="single" w:sz="4" w:space="0" w:color="auto"/>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2010</w:t>
            </w:r>
          </w:p>
        </w:tc>
        <w:tc>
          <w:tcPr>
            <w:tcW w:w="387" w:type="pct"/>
            <w:tcBorders>
              <w:top w:val="single" w:sz="4" w:space="0" w:color="auto"/>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2011</w:t>
            </w:r>
          </w:p>
        </w:tc>
        <w:tc>
          <w:tcPr>
            <w:tcW w:w="387" w:type="pct"/>
            <w:tcBorders>
              <w:top w:val="single" w:sz="4" w:space="0" w:color="auto"/>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2012</w:t>
            </w:r>
          </w:p>
        </w:tc>
        <w:tc>
          <w:tcPr>
            <w:tcW w:w="388" w:type="pct"/>
            <w:tcBorders>
              <w:top w:val="single" w:sz="4" w:space="0" w:color="auto"/>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2013</w:t>
            </w:r>
          </w:p>
        </w:tc>
      </w:tr>
      <w:tr w:rsidR="00E81B88" w:rsidRPr="00E81B88" w:rsidTr="00E81B88">
        <w:trPr>
          <w:trHeight w:val="255"/>
        </w:trPr>
        <w:tc>
          <w:tcPr>
            <w:tcW w:w="1515"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left"/>
              <w:rPr>
                <w:rFonts w:eastAsia="Times New Roman" w:cs="Arial"/>
                <w:color w:val="000000"/>
                <w:sz w:val="20"/>
                <w:szCs w:val="20"/>
              </w:rPr>
            </w:pPr>
            <w:r w:rsidRPr="00C25F56">
              <w:rPr>
                <w:rFonts w:eastAsia="Times New Roman" w:cs="Arial"/>
                <w:color w:val="000000"/>
                <w:sz w:val="20"/>
                <w:szCs w:val="20"/>
              </w:rPr>
              <w:t> </w:t>
            </w:r>
          </w:p>
        </w:tc>
        <w:tc>
          <w:tcPr>
            <w:tcW w:w="3485" w:type="pct"/>
            <w:gridSpan w:val="9"/>
            <w:tcBorders>
              <w:top w:val="single" w:sz="4" w:space="0" w:color="auto"/>
              <w:left w:val="nil"/>
              <w:bottom w:val="nil"/>
              <w:right w:val="nil"/>
            </w:tcBorders>
            <w:shd w:val="clear" w:color="auto" w:fill="auto"/>
            <w:noWrap/>
            <w:vAlign w:val="bottom"/>
            <w:hideMark/>
          </w:tcPr>
          <w:p w:rsidR="00E81B88" w:rsidRPr="00C25F56" w:rsidRDefault="00E81B88" w:rsidP="00E81B88">
            <w:pPr>
              <w:spacing w:after="0" w:line="240" w:lineRule="auto"/>
              <w:jc w:val="center"/>
              <w:rPr>
                <w:rFonts w:eastAsia="Times New Roman" w:cs="Arial"/>
                <w:color w:val="000000"/>
                <w:sz w:val="20"/>
                <w:szCs w:val="20"/>
              </w:rPr>
            </w:pPr>
            <w:r w:rsidRPr="00C25F56">
              <w:rPr>
                <w:rFonts w:eastAsia="Times New Roman" w:cs="Arial"/>
                <w:color w:val="000000"/>
                <w:sz w:val="20"/>
                <w:szCs w:val="20"/>
              </w:rPr>
              <w:t>Border to point of competition (96.3 Km)</w:t>
            </w:r>
          </w:p>
        </w:tc>
      </w:tr>
      <w:tr w:rsidR="00E81B88" w:rsidRPr="00E81B88" w:rsidTr="00E81B88">
        <w:trPr>
          <w:trHeight w:val="255"/>
        </w:trPr>
        <w:tc>
          <w:tcPr>
            <w:tcW w:w="1515"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left"/>
              <w:rPr>
                <w:rFonts w:eastAsia="Times New Roman" w:cs="Arial"/>
                <w:color w:val="000000"/>
                <w:sz w:val="20"/>
                <w:szCs w:val="20"/>
              </w:rPr>
            </w:pPr>
            <w:r w:rsidRPr="00C25F56">
              <w:rPr>
                <w:rFonts w:eastAsia="Times New Roman" w:cs="Arial"/>
                <w:color w:val="000000"/>
                <w:sz w:val="20"/>
                <w:szCs w:val="20"/>
              </w:rPr>
              <w:t>Transport</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143</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174</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193</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201</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229</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320</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309</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309</w:t>
            </w:r>
          </w:p>
        </w:tc>
        <w:tc>
          <w:tcPr>
            <w:tcW w:w="388"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339</w:t>
            </w:r>
          </w:p>
        </w:tc>
      </w:tr>
      <w:tr w:rsidR="00E81B88" w:rsidRPr="00E81B88" w:rsidTr="00E81B88">
        <w:trPr>
          <w:trHeight w:val="255"/>
        </w:trPr>
        <w:tc>
          <w:tcPr>
            <w:tcW w:w="1515"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left"/>
              <w:rPr>
                <w:rFonts w:eastAsia="Times New Roman" w:cs="Arial"/>
                <w:color w:val="000000"/>
                <w:sz w:val="20"/>
                <w:szCs w:val="20"/>
              </w:rPr>
            </w:pPr>
            <w:r w:rsidRPr="00C25F56">
              <w:rPr>
                <w:rFonts w:eastAsia="Times New Roman" w:cs="Arial"/>
                <w:color w:val="000000"/>
                <w:sz w:val="20"/>
                <w:szCs w:val="20"/>
              </w:rPr>
              <w:t>Margins</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583</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623</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627</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1,023</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1,006</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1,150</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1,080</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1,126</w:t>
            </w:r>
          </w:p>
        </w:tc>
        <w:tc>
          <w:tcPr>
            <w:tcW w:w="388"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1,335</w:t>
            </w:r>
          </w:p>
        </w:tc>
      </w:tr>
      <w:tr w:rsidR="00E81B88" w:rsidRPr="00E81B88" w:rsidTr="00E81B88">
        <w:trPr>
          <w:trHeight w:val="255"/>
        </w:trPr>
        <w:tc>
          <w:tcPr>
            <w:tcW w:w="1515"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left"/>
              <w:rPr>
                <w:rFonts w:eastAsia="Times New Roman" w:cs="Arial"/>
                <w:color w:val="000000"/>
                <w:sz w:val="20"/>
                <w:szCs w:val="20"/>
              </w:rPr>
            </w:pPr>
            <w:r w:rsidRPr="00C25F56">
              <w:rPr>
                <w:rFonts w:eastAsia="Times New Roman" w:cs="Arial"/>
                <w:color w:val="000000"/>
                <w:sz w:val="20"/>
                <w:szCs w:val="20"/>
              </w:rPr>
              <w:t>Handling</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1,165</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1,444</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1,589</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1,494</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1,936</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2,394</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2,049</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2,199</w:t>
            </w:r>
          </w:p>
        </w:tc>
        <w:tc>
          <w:tcPr>
            <w:tcW w:w="388"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2,320</w:t>
            </w:r>
          </w:p>
        </w:tc>
      </w:tr>
      <w:tr w:rsidR="00E81B88" w:rsidRPr="00E81B88" w:rsidTr="00E81B88">
        <w:trPr>
          <w:trHeight w:val="255"/>
        </w:trPr>
        <w:tc>
          <w:tcPr>
            <w:tcW w:w="1515"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left"/>
              <w:rPr>
                <w:rFonts w:eastAsia="Times New Roman" w:cs="Arial"/>
                <w:b/>
                <w:bCs/>
                <w:color w:val="000000"/>
                <w:sz w:val="20"/>
                <w:szCs w:val="20"/>
              </w:rPr>
            </w:pPr>
            <w:r w:rsidRPr="00C25F56">
              <w:rPr>
                <w:rFonts w:eastAsia="Times New Roman" w:cs="Arial"/>
                <w:b/>
                <w:bCs/>
                <w:color w:val="000000"/>
                <w:sz w:val="20"/>
                <w:szCs w:val="20"/>
              </w:rPr>
              <w:t>Total</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1,891</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2,241</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2,409</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2,718</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3,171</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3,864</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3,438</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3,633</w:t>
            </w:r>
          </w:p>
        </w:tc>
        <w:tc>
          <w:tcPr>
            <w:tcW w:w="388"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3,993</w:t>
            </w:r>
          </w:p>
        </w:tc>
      </w:tr>
      <w:tr w:rsidR="00E81B88" w:rsidRPr="00E81B88" w:rsidTr="00E81B88">
        <w:trPr>
          <w:trHeight w:val="255"/>
        </w:trPr>
        <w:tc>
          <w:tcPr>
            <w:tcW w:w="1515" w:type="pct"/>
            <w:tcBorders>
              <w:top w:val="dotted" w:sz="4" w:space="0" w:color="auto"/>
              <w:left w:val="nil"/>
              <w:bottom w:val="nil"/>
              <w:right w:val="nil"/>
            </w:tcBorders>
            <w:shd w:val="clear" w:color="auto" w:fill="auto"/>
            <w:noWrap/>
            <w:vAlign w:val="bottom"/>
            <w:hideMark/>
          </w:tcPr>
          <w:p w:rsidR="00E81B88" w:rsidRPr="00C25F56" w:rsidRDefault="00E81B88" w:rsidP="00E81B88">
            <w:pPr>
              <w:spacing w:after="0" w:line="240" w:lineRule="auto"/>
              <w:jc w:val="left"/>
              <w:rPr>
                <w:rFonts w:eastAsia="Times New Roman" w:cs="Arial"/>
                <w:color w:val="000000"/>
                <w:sz w:val="20"/>
                <w:szCs w:val="20"/>
              </w:rPr>
            </w:pPr>
            <w:r w:rsidRPr="00C25F56">
              <w:rPr>
                <w:rFonts w:eastAsia="Times New Roman" w:cs="Arial"/>
                <w:color w:val="000000"/>
                <w:sz w:val="20"/>
                <w:szCs w:val="20"/>
              </w:rPr>
              <w:t> </w:t>
            </w:r>
          </w:p>
        </w:tc>
        <w:tc>
          <w:tcPr>
            <w:tcW w:w="3485" w:type="pct"/>
            <w:gridSpan w:val="9"/>
            <w:tcBorders>
              <w:top w:val="dotted" w:sz="4" w:space="0" w:color="auto"/>
              <w:left w:val="nil"/>
              <w:bottom w:val="nil"/>
              <w:right w:val="nil"/>
            </w:tcBorders>
            <w:shd w:val="clear" w:color="auto" w:fill="auto"/>
            <w:noWrap/>
            <w:vAlign w:val="bottom"/>
            <w:hideMark/>
          </w:tcPr>
          <w:p w:rsidR="00E81B88" w:rsidRPr="00C25F56" w:rsidRDefault="00E81B88" w:rsidP="00E81B88">
            <w:pPr>
              <w:spacing w:after="0" w:line="240" w:lineRule="auto"/>
              <w:jc w:val="center"/>
              <w:rPr>
                <w:rFonts w:eastAsia="Times New Roman" w:cs="Arial"/>
                <w:color w:val="000000"/>
                <w:sz w:val="20"/>
                <w:szCs w:val="20"/>
              </w:rPr>
            </w:pPr>
            <w:r w:rsidRPr="00C25F56">
              <w:rPr>
                <w:rFonts w:eastAsia="Times New Roman" w:cs="Arial"/>
                <w:color w:val="000000"/>
                <w:sz w:val="20"/>
                <w:szCs w:val="20"/>
              </w:rPr>
              <w:t>Point of competition to farm gate (1,149 Km)</w:t>
            </w:r>
          </w:p>
        </w:tc>
      </w:tr>
      <w:tr w:rsidR="00E81B88" w:rsidRPr="00E81B88" w:rsidTr="00E81B88">
        <w:trPr>
          <w:trHeight w:val="255"/>
        </w:trPr>
        <w:tc>
          <w:tcPr>
            <w:tcW w:w="1515"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left"/>
              <w:rPr>
                <w:rFonts w:eastAsia="Times New Roman" w:cs="Arial"/>
                <w:color w:val="000000"/>
                <w:sz w:val="20"/>
                <w:szCs w:val="20"/>
              </w:rPr>
            </w:pPr>
            <w:r w:rsidRPr="00C25F56">
              <w:rPr>
                <w:rFonts w:eastAsia="Times New Roman" w:cs="Arial"/>
                <w:color w:val="000000"/>
                <w:sz w:val="20"/>
                <w:szCs w:val="20"/>
              </w:rPr>
              <w:t>Transport</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873</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896</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1,160</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1,413</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1,103</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1,138</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1,252</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1,252</w:t>
            </w:r>
          </w:p>
        </w:tc>
        <w:tc>
          <w:tcPr>
            <w:tcW w:w="388"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1,034</w:t>
            </w:r>
          </w:p>
        </w:tc>
      </w:tr>
      <w:tr w:rsidR="00E81B88" w:rsidRPr="00E81B88" w:rsidTr="00E81B88">
        <w:trPr>
          <w:trHeight w:val="255"/>
        </w:trPr>
        <w:tc>
          <w:tcPr>
            <w:tcW w:w="1515"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left"/>
              <w:rPr>
                <w:rFonts w:eastAsia="Times New Roman" w:cs="Arial"/>
                <w:color w:val="000000"/>
                <w:sz w:val="20"/>
                <w:szCs w:val="20"/>
              </w:rPr>
            </w:pPr>
            <w:r w:rsidRPr="00C25F56">
              <w:rPr>
                <w:rFonts w:eastAsia="Times New Roman" w:cs="Arial"/>
                <w:color w:val="000000"/>
                <w:sz w:val="20"/>
                <w:szCs w:val="20"/>
              </w:rPr>
              <w:t>Margins</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1,798</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1,923</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1,935</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3,156</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3,103</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3,549</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3,334</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3,474</w:t>
            </w:r>
          </w:p>
        </w:tc>
        <w:tc>
          <w:tcPr>
            <w:tcW w:w="388"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4,120</w:t>
            </w:r>
          </w:p>
        </w:tc>
      </w:tr>
      <w:tr w:rsidR="00E81B88" w:rsidRPr="00E81B88" w:rsidTr="00E81B88">
        <w:trPr>
          <w:trHeight w:val="255"/>
        </w:trPr>
        <w:tc>
          <w:tcPr>
            <w:tcW w:w="1515"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left"/>
              <w:rPr>
                <w:rFonts w:eastAsia="Times New Roman" w:cs="Arial"/>
                <w:color w:val="000000"/>
                <w:sz w:val="20"/>
                <w:szCs w:val="20"/>
              </w:rPr>
            </w:pPr>
            <w:r w:rsidRPr="00C25F56">
              <w:rPr>
                <w:rFonts w:eastAsia="Times New Roman" w:cs="Arial"/>
                <w:color w:val="000000"/>
                <w:sz w:val="20"/>
                <w:szCs w:val="20"/>
              </w:rPr>
              <w:t>Handling</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49</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55</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60</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66</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68</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77</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85</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86</w:t>
            </w:r>
          </w:p>
        </w:tc>
        <w:tc>
          <w:tcPr>
            <w:tcW w:w="388"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90</w:t>
            </w:r>
          </w:p>
        </w:tc>
      </w:tr>
      <w:tr w:rsidR="00E81B88" w:rsidRPr="00E81B88" w:rsidTr="00E81B88">
        <w:trPr>
          <w:trHeight w:val="255"/>
        </w:trPr>
        <w:tc>
          <w:tcPr>
            <w:tcW w:w="1515"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left"/>
              <w:rPr>
                <w:rFonts w:eastAsia="Times New Roman" w:cs="Arial"/>
                <w:color w:val="000000"/>
                <w:sz w:val="20"/>
                <w:szCs w:val="20"/>
              </w:rPr>
            </w:pPr>
            <w:r w:rsidRPr="00C25F56">
              <w:rPr>
                <w:rFonts w:eastAsia="Times New Roman" w:cs="Arial"/>
                <w:color w:val="000000"/>
                <w:sz w:val="20"/>
                <w:szCs w:val="20"/>
              </w:rPr>
              <w:t>Others</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38</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43</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46</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51</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53</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60</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66</w:t>
            </w:r>
          </w:p>
        </w:tc>
        <w:tc>
          <w:tcPr>
            <w:tcW w:w="387"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67</w:t>
            </w:r>
          </w:p>
        </w:tc>
        <w:tc>
          <w:tcPr>
            <w:tcW w:w="388" w:type="pct"/>
            <w:tcBorders>
              <w:top w:val="nil"/>
              <w:left w:val="nil"/>
              <w:bottom w:val="nil"/>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color w:val="000000"/>
                <w:sz w:val="20"/>
                <w:szCs w:val="20"/>
              </w:rPr>
            </w:pPr>
            <w:r w:rsidRPr="00C25F56">
              <w:rPr>
                <w:rFonts w:eastAsia="Times New Roman" w:cs="Arial"/>
                <w:color w:val="000000"/>
                <w:sz w:val="20"/>
                <w:szCs w:val="20"/>
              </w:rPr>
              <w:t>70</w:t>
            </w:r>
          </w:p>
        </w:tc>
      </w:tr>
      <w:tr w:rsidR="00E81B88" w:rsidRPr="00E81B88" w:rsidTr="00E81B88">
        <w:trPr>
          <w:trHeight w:val="255"/>
        </w:trPr>
        <w:tc>
          <w:tcPr>
            <w:tcW w:w="1515" w:type="pct"/>
            <w:tcBorders>
              <w:top w:val="nil"/>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left"/>
              <w:rPr>
                <w:rFonts w:eastAsia="Times New Roman" w:cs="Arial"/>
                <w:b/>
                <w:bCs/>
                <w:color w:val="000000"/>
                <w:sz w:val="20"/>
                <w:szCs w:val="20"/>
              </w:rPr>
            </w:pPr>
            <w:r w:rsidRPr="00C25F56">
              <w:rPr>
                <w:rFonts w:eastAsia="Times New Roman" w:cs="Arial"/>
                <w:b/>
                <w:bCs/>
                <w:color w:val="000000"/>
                <w:sz w:val="20"/>
                <w:szCs w:val="20"/>
              </w:rPr>
              <w:t>Total</w:t>
            </w:r>
          </w:p>
        </w:tc>
        <w:tc>
          <w:tcPr>
            <w:tcW w:w="387" w:type="pct"/>
            <w:tcBorders>
              <w:top w:val="nil"/>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2,758</w:t>
            </w:r>
          </w:p>
        </w:tc>
        <w:tc>
          <w:tcPr>
            <w:tcW w:w="387" w:type="pct"/>
            <w:tcBorders>
              <w:top w:val="nil"/>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2,917</w:t>
            </w:r>
          </w:p>
        </w:tc>
        <w:tc>
          <w:tcPr>
            <w:tcW w:w="387" w:type="pct"/>
            <w:tcBorders>
              <w:top w:val="nil"/>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3,202</w:t>
            </w:r>
          </w:p>
        </w:tc>
        <w:tc>
          <w:tcPr>
            <w:tcW w:w="387" w:type="pct"/>
            <w:tcBorders>
              <w:top w:val="nil"/>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4,686</w:t>
            </w:r>
          </w:p>
        </w:tc>
        <w:tc>
          <w:tcPr>
            <w:tcW w:w="387" w:type="pct"/>
            <w:tcBorders>
              <w:top w:val="nil"/>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4,327</w:t>
            </w:r>
          </w:p>
        </w:tc>
        <w:tc>
          <w:tcPr>
            <w:tcW w:w="387" w:type="pct"/>
            <w:tcBorders>
              <w:top w:val="nil"/>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4,822</w:t>
            </w:r>
          </w:p>
        </w:tc>
        <w:tc>
          <w:tcPr>
            <w:tcW w:w="387" w:type="pct"/>
            <w:tcBorders>
              <w:top w:val="nil"/>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4,737</w:t>
            </w:r>
          </w:p>
        </w:tc>
        <w:tc>
          <w:tcPr>
            <w:tcW w:w="387" w:type="pct"/>
            <w:tcBorders>
              <w:top w:val="nil"/>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4,880</w:t>
            </w:r>
          </w:p>
        </w:tc>
        <w:tc>
          <w:tcPr>
            <w:tcW w:w="388" w:type="pct"/>
            <w:tcBorders>
              <w:top w:val="nil"/>
              <w:left w:val="nil"/>
              <w:bottom w:val="single" w:sz="4" w:space="0" w:color="auto"/>
              <w:right w:val="nil"/>
            </w:tcBorders>
            <w:shd w:val="clear" w:color="auto" w:fill="auto"/>
            <w:noWrap/>
            <w:vAlign w:val="bottom"/>
            <w:hideMark/>
          </w:tcPr>
          <w:p w:rsidR="00E81B88" w:rsidRPr="00C25F56" w:rsidRDefault="00E81B88" w:rsidP="00E81B88">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5,314</w:t>
            </w:r>
          </w:p>
        </w:tc>
      </w:tr>
    </w:tbl>
    <w:p w:rsidR="00E81B88" w:rsidRDefault="00E81B88" w:rsidP="00D34654"/>
    <w:p w:rsidR="003F1EB8" w:rsidRDefault="003F1EB8" w:rsidP="00D34654">
      <w:pPr>
        <w:rPr>
          <w:u w:val="single"/>
        </w:rPr>
      </w:pPr>
      <w:r w:rsidRPr="003F1EB8">
        <w:rPr>
          <w:u w:val="single"/>
        </w:rPr>
        <w:t>Farm gate to point of competition</w:t>
      </w:r>
    </w:p>
    <w:p w:rsidR="00CC09F0" w:rsidRDefault="00214308" w:rsidP="007238B6">
      <w:r>
        <w:t xml:space="preserve">We </w:t>
      </w:r>
      <w:r w:rsidR="00CC09F0">
        <w:t>gathered</w:t>
      </w:r>
      <w:r>
        <w:t xml:space="preserve"> estimates of transport cost, measured in MZN/</w:t>
      </w:r>
      <w:r w:rsidR="008851CC">
        <w:t>tonne</w:t>
      </w:r>
      <w:r>
        <w:t>/Km, from SIMA for each year between 2005 and 2013. We multiplied these estimates with the distance between Chimoio and Maputo (estimated to be 1,149 Km) to get estimates of transport costs measured in MZN/</w:t>
      </w:r>
      <w:r w:rsidR="008851CC">
        <w:t>tonne</w:t>
      </w:r>
      <w:r>
        <w:t xml:space="preserve">. </w:t>
      </w:r>
      <w:r w:rsidR="00CC09F0">
        <w:t>We obtained estimates of costs related to marketing of maize in 2013 from a</w:t>
      </w:r>
      <w:r>
        <w:t xml:space="preserve"> study of the </w:t>
      </w:r>
      <w:r w:rsidR="00CC09F0">
        <w:t xml:space="preserve">maize and rice </w:t>
      </w:r>
      <w:r>
        <w:t>value chain</w:t>
      </w:r>
      <w:r w:rsidR="00CC09F0">
        <w:t>s</w:t>
      </w:r>
      <w:r w:rsidR="00800A9E">
        <w:t xml:space="preserve"> in Mozambique</w:t>
      </w:r>
      <w:r>
        <w:t xml:space="preserve"> </w:t>
      </w:r>
      <w:r w:rsidR="00CC09F0">
        <w:t>commissioned by the National Directorate for Promotion of Rural Development (DNPDR) under the Mozambique Ministry of Planning and Development (MPD). The study classified the marketing costs into the following categor</w:t>
      </w:r>
      <w:r w:rsidR="00800A9E">
        <w:t>ies</w:t>
      </w:r>
      <w:r w:rsidR="00CC09F0">
        <w:t>: truck loading and unloading, accommodation, and other costs. We took each component of the 2013 estimated costs and deflated them using the CPI – considering 2013 as the base year – to compute estimates for other years between 2005 and 2012.</w:t>
      </w:r>
      <w:r w:rsidR="000C733E">
        <w:t xml:space="preserve"> The DNPDR study also provided estimates of wholesalers’ profits in </w:t>
      </w:r>
      <w:r w:rsidR="000C733E">
        <w:lastRenderedPageBreak/>
        <w:t>2013. These profits represented about 31</w:t>
      </w:r>
      <w:r w:rsidR="009414AA">
        <w:t xml:space="preserve"> percent</w:t>
      </w:r>
      <w:r w:rsidR="000C733E">
        <w:t xml:space="preserve"> of wholesale maize price in 2013. We took this share and multiplied it by wholesale maize prices for each year to compute wholesalers’ profits for years between 2005 and 2012. Results are summarized in </w:t>
      </w:r>
      <w:r w:rsidR="00323EC3">
        <w:fldChar w:fldCharType="begin"/>
      </w:r>
      <w:r w:rsidR="003649CB">
        <w:instrText xml:space="preserve"> REF _Ref394722745 \h </w:instrText>
      </w:r>
      <w:r w:rsidR="00323EC3">
        <w:fldChar w:fldCharType="separate"/>
      </w:r>
      <w:r w:rsidR="00D147FD">
        <w:t xml:space="preserve">Table </w:t>
      </w:r>
      <w:r w:rsidR="00D147FD">
        <w:rPr>
          <w:noProof/>
        </w:rPr>
        <w:t>3</w:t>
      </w:r>
      <w:r w:rsidR="00323EC3">
        <w:fldChar w:fldCharType="end"/>
      </w:r>
      <w:r w:rsidR="000C733E">
        <w:t xml:space="preserve"> above. Over the period 2005 to 2013, access costs </w:t>
      </w:r>
      <w:r w:rsidR="00D941A4">
        <w:t>from farm gate to point of competition</w:t>
      </w:r>
      <w:r w:rsidR="000C733E">
        <w:t xml:space="preserve"> </w:t>
      </w:r>
      <w:r w:rsidR="00800A9E">
        <w:t>doubled</w:t>
      </w:r>
      <w:r w:rsidR="00160F77">
        <w:t>,</w:t>
      </w:r>
      <w:r w:rsidR="00800A9E">
        <w:t xml:space="preserve"> increas</w:t>
      </w:r>
      <w:r w:rsidR="00160F77">
        <w:t>ing</w:t>
      </w:r>
      <w:r w:rsidR="00800A9E">
        <w:t xml:space="preserve"> from</w:t>
      </w:r>
      <w:r w:rsidR="000C733E">
        <w:t xml:space="preserve"> 2,758 MZN/</w:t>
      </w:r>
      <w:r w:rsidR="008851CC">
        <w:t>tonne</w:t>
      </w:r>
      <w:r w:rsidR="000C733E">
        <w:t xml:space="preserve"> in 2005 </w:t>
      </w:r>
      <w:r w:rsidR="00800A9E">
        <w:t>to</w:t>
      </w:r>
      <w:r w:rsidR="000C733E">
        <w:t xml:space="preserve"> 5,314 MZN/</w:t>
      </w:r>
      <w:r w:rsidR="008851CC">
        <w:t>tonne</w:t>
      </w:r>
      <w:r w:rsidR="000C733E">
        <w:t xml:space="preserve"> in 2013.</w:t>
      </w:r>
    </w:p>
    <w:p w:rsidR="00D34654" w:rsidRDefault="00D34654" w:rsidP="00D34654">
      <w:pPr>
        <w:rPr>
          <w:b/>
        </w:rPr>
      </w:pPr>
      <w:r w:rsidRPr="001C4C16">
        <w:rPr>
          <w:b/>
        </w:rPr>
        <w:t>Adjusted</w:t>
      </w:r>
    </w:p>
    <w:p w:rsidR="00791E74" w:rsidRDefault="00791E74" w:rsidP="00791E74">
      <w:pPr>
        <w:rPr>
          <w:u w:val="single"/>
        </w:rPr>
      </w:pPr>
      <w:r w:rsidRPr="003F1EB8">
        <w:rPr>
          <w:u w:val="single"/>
        </w:rPr>
        <w:t>Border to point of competition</w:t>
      </w:r>
    </w:p>
    <w:p w:rsidR="00160F77" w:rsidRDefault="00E2233D" w:rsidP="007238B6">
      <w:r>
        <w:t xml:space="preserve">We computed the proportion of profit margins in total investment costs (operational and financial costs plus price paid to </w:t>
      </w:r>
      <w:r w:rsidR="00F566A6">
        <w:t xml:space="preserve">purchase </w:t>
      </w:r>
      <w:r>
        <w:t>imported maize). From 2005 to 2013, the margins shares of the total investment costs ranged from 7</w:t>
      </w:r>
      <w:r w:rsidR="009414AA">
        <w:t xml:space="preserve"> percent</w:t>
      </w:r>
      <w:r>
        <w:t xml:space="preserve"> in 2007 to 13</w:t>
      </w:r>
      <w:r w:rsidR="009414AA">
        <w:t xml:space="preserve"> percent</w:t>
      </w:r>
      <w:r>
        <w:t xml:space="preserve"> in 2005. </w:t>
      </w:r>
      <w:r w:rsidR="00486DE9">
        <w:t xml:space="preserve">Given our knowledge about </w:t>
      </w:r>
      <w:r w:rsidR="00825243">
        <w:t>the functioning of</w:t>
      </w:r>
      <w:r w:rsidR="00486DE9">
        <w:t xml:space="preserve"> maize markets in Mozambique, we believe that these shares represent excessive profit margins. </w:t>
      </w:r>
      <w:r>
        <w:t xml:space="preserve">We </w:t>
      </w:r>
      <w:r w:rsidR="00486DE9">
        <w:t xml:space="preserve">therefore </w:t>
      </w:r>
      <w:r>
        <w:t>adjusted profit margins for every year u</w:t>
      </w:r>
      <w:r w:rsidR="003E6269">
        <w:t xml:space="preserve">sing the minimum margins share </w:t>
      </w:r>
      <w:r>
        <w:t>of 7</w:t>
      </w:r>
      <w:r w:rsidR="009414AA">
        <w:t xml:space="preserve"> percent</w:t>
      </w:r>
      <w:r>
        <w:t xml:space="preserve"> during </w:t>
      </w:r>
      <w:r w:rsidR="003E6269">
        <w:t>2005-</w:t>
      </w:r>
      <w:r>
        <w:t>2013</w:t>
      </w:r>
      <w:r w:rsidR="00825243">
        <w:t xml:space="preserve"> because we could not obtain a more reliable estimate of profit margins</w:t>
      </w:r>
      <w:r>
        <w:t>.</w:t>
      </w:r>
      <w:r w:rsidR="009D73EF">
        <w:t xml:space="preserve"> Findings are reported in</w:t>
      </w:r>
      <w:r w:rsidR="00A127E0">
        <w:t xml:space="preserve"> </w:t>
      </w:r>
      <w:r w:rsidR="00A127E0">
        <w:fldChar w:fldCharType="begin"/>
      </w:r>
      <w:r w:rsidR="00A127E0">
        <w:instrText xml:space="preserve"> REF _Ref394722792 \h </w:instrText>
      </w:r>
      <w:r w:rsidR="00A127E0">
        <w:fldChar w:fldCharType="separate"/>
      </w:r>
      <w:r w:rsidR="00D147FD">
        <w:t xml:space="preserve">Table </w:t>
      </w:r>
      <w:r w:rsidR="00D147FD">
        <w:rPr>
          <w:noProof/>
        </w:rPr>
        <w:t>4</w:t>
      </w:r>
      <w:r w:rsidR="00A127E0">
        <w:fldChar w:fldCharType="end"/>
      </w:r>
      <w:r w:rsidR="009D73EF">
        <w:t>.</w:t>
      </w:r>
    </w:p>
    <w:p w:rsidR="003649CB" w:rsidRDefault="003649CB" w:rsidP="003649CB">
      <w:pPr>
        <w:pStyle w:val="Caption"/>
        <w:keepNext/>
      </w:pPr>
      <w:bookmarkStart w:id="64" w:name="_Ref394722792"/>
      <w:r>
        <w:t xml:space="preserve">Table </w:t>
      </w:r>
      <w:r w:rsidR="00323EC3">
        <w:fldChar w:fldCharType="begin"/>
      </w:r>
      <w:r>
        <w:instrText xml:space="preserve"> SEQ Table \* ARABIC </w:instrText>
      </w:r>
      <w:r w:rsidR="00323EC3">
        <w:fldChar w:fldCharType="separate"/>
      </w:r>
      <w:r w:rsidR="00D147FD">
        <w:rPr>
          <w:noProof/>
        </w:rPr>
        <w:t>4</w:t>
      </w:r>
      <w:r w:rsidR="00323EC3">
        <w:fldChar w:fldCharType="end"/>
      </w:r>
      <w:bookmarkEnd w:id="64"/>
      <w:r w:rsidR="003E6269">
        <w:rPr>
          <w:noProof/>
        </w:rPr>
        <w:t xml:space="preserve">. </w:t>
      </w:r>
      <w:r w:rsidRPr="00DB5F82">
        <w:rPr>
          <w:noProof/>
        </w:rPr>
        <w:t>Adjusted access costs (MZN/</w:t>
      </w:r>
      <w:r w:rsidR="008851CC">
        <w:rPr>
          <w:noProof/>
        </w:rPr>
        <w:t>tonne</w:t>
      </w:r>
      <w:r w:rsidRPr="00DB5F82">
        <w:rPr>
          <w:noProof/>
        </w:rPr>
        <w:t xml:space="preserve"> of maize grain)</w:t>
      </w:r>
    </w:p>
    <w:tbl>
      <w:tblPr>
        <w:tblW w:w="5000" w:type="pct"/>
        <w:tblLook w:val="04A0" w:firstRow="1" w:lastRow="0" w:firstColumn="1" w:lastColumn="0" w:noHBand="0" w:noVBand="1"/>
      </w:tblPr>
      <w:tblGrid>
        <w:gridCol w:w="2813"/>
        <w:gridCol w:w="718"/>
        <w:gridCol w:w="719"/>
        <w:gridCol w:w="719"/>
        <w:gridCol w:w="719"/>
        <w:gridCol w:w="719"/>
        <w:gridCol w:w="719"/>
        <w:gridCol w:w="719"/>
        <w:gridCol w:w="719"/>
        <w:gridCol w:w="722"/>
      </w:tblGrid>
      <w:tr w:rsidR="00856B55" w:rsidRPr="00856B55" w:rsidTr="00856B55">
        <w:trPr>
          <w:trHeight w:val="255"/>
        </w:trPr>
        <w:tc>
          <w:tcPr>
            <w:tcW w:w="1515" w:type="pct"/>
            <w:tcBorders>
              <w:top w:val="single" w:sz="4" w:space="0" w:color="auto"/>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left"/>
              <w:rPr>
                <w:rFonts w:eastAsia="Times New Roman" w:cs="Arial"/>
                <w:color w:val="000000"/>
                <w:sz w:val="20"/>
                <w:szCs w:val="20"/>
              </w:rPr>
            </w:pPr>
            <w:r w:rsidRPr="00C25F56">
              <w:rPr>
                <w:rFonts w:eastAsia="Times New Roman" w:cs="Arial"/>
                <w:color w:val="000000"/>
                <w:sz w:val="20"/>
                <w:szCs w:val="20"/>
              </w:rPr>
              <w:t> </w:t>
            </w:r>
          </w:p>
        </w:tc>
        <w:tc>
          <w:tcPr>
            <w:tcW w:w="387" w:type="pct"/>
            <w:tcBorders>
              <w:top w:val="single" w:sz="4" w:space="0" w:color="auto"/>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2005</w:t>
            </w:r>
          </w:p>
        </w:tc>
        <w:tc>
          <w:tcPr>
            <w:tcW w:w="387" w:type="pct"/>
            <w:tcBorders>
              <w:top w:val="single" w:sz="4" w:space="0" w:color="auto"/>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2006</w:t>
            </w:r>
          </w:p>
        </w:tc>
        <w:tc>
          <w:tcPr>
            <w:tcW w:w="387" w:type="pct"/>
            <w:tcBorders>
              <w:top w:val="single" w:sz="4" w:space="0" w:color="auto"/>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2007</w:t>
            </w:r>
          </w:p>
        </w:tc>
        <w:tc>
          <w:tcPr>
            <w:tcW w:w="387" w:type="pct"/>
            <w:tcBorders>
              <w:top w:val="single" w:sz="4" w:space="0" w:color="auto"/>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2008</w:t>
            </w:r>
          </w:p>
        </w:tc>
        <w:tc>
          <w:tcPr>
            <w:tcW w:w="387" w:type="pct"/>
            <w:tcBorders>
              <w:top w:val="single" w:sz="4" w:space="0" w:color="auto"/>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2009</w:t>
            </w:r>
          </w:p>
        </w:tc>
        <w:tc>
          <w:tcPr>
            <w:tcW w:w="387" w:type="pct"/>
            <w:tcBorders>
              <w:top w:val="single" w:sz="4" w:space="0" w:color="auto"/>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2010</w:t>
            </w:r>
          </w:p>
        </w:tc>
        <w:tc>
          <w:tcPr>
            <w:tcW w:w="387" w:type="pct"/>
            <w:tcBorders>
              <w:top w:val="single" w:sz="4" w:space="0" w:color="auto"/>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2011</w:t>
            </w:r>
          </w:p>
        </w:tc>
        <w:tc>
          <w:tcPr>
            <w:tcW w:w="387" w:type="pct"/>
            <w:tcBorders>
              <w:top w:val="single" w:sz="4" w:space="0" w:color="auto"/>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2012</w:t>
            </w:r>
          </w:p>
        </w:tc>
        <w:tc>
          <w:tcPr>
            <w:tcW w:w="388" w:type="pct"/>
            <w:tcBorders>
              <w:top w:val="single" w:sz="4" w:space="0" w:color="auto"/>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2013</w:t>
            </w:r>
          </w:p>
        </w:tc>
      </w:tr>
      <w:tr w:rsidR="00856B55" w:rsidRPr="00856B55" w:rsidTr="00856B55">
        <w:trPr>
          <w:trHeight w:val="255"/>
        </w:trPr>
        <w:tc>
          <w:tcPr>
            <w:tcW w:w="1515"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left"/>
              <w:rPr>
                <w:rFonts w:eastAsia="Times New Roman" w:cs="Arial"/>
                <w:color w:val="000000"/>
                <w:sz w:val="20"/>
                <w:szCs w:val="20"/>
              </w:rPr>
            </w:pPr>
            <w:r w:rsidRPr="00C25F56">
              <w:rPr>
                <w:rFonts w:eastAsia="Times New Roman" w:cs="Arial"/>
                <w:color w:val="000000"/>
                <w:sz w:val="20"/>
                <w:szCs w:val="20"/>
              </w:rPr>
              <w:t> </w:t>
            </w:r>
          </w:p>
        </w:tc>
        <w:tc>
          <w:tcPr>
            <w:tcW w:w="3485" w:type="pct"/>
            <w:gridSpan w:val="9"/>
            <w:tcBorders>
              <w:top w:val="single" w:sz="4" w:space="0" w:color="auto"/>
              <w:left w:val="nil"/>
              <w:bottom w:val="nil"/>
              <w:right w:val="nil"/>
            </w:tcBorders>
            <w:shd w:val="clear" w:color="auto" w:fill="auto"/>
            <w:noWrap/>
            <w:vAlign w:val="bottom"/>
            <w:hideMark/>
          </w:tcPr>
          <w:p w:rsidR="00856B55" w:rsidRPr="00C25F56" w:rsidRDefault="00856B55" w:rsidP="00856B55">
            <w:pPr>
              <w:spacing w:after="0" w:line="240" w:lineRule="auto"/>
              <w:jc w:val="center"/>
              <w:rPr>
                <w:rFonts w:eastAsia="Times New Roman" w:cs="Arial"/>
                <w:color w:val="000000"/>
                <w:sz w:val="20"/>
                <w:szCs w:val="20"/>
              </w:rPr>
            </w:pPr>
            <w:r w:rsidRPr="00C25F56">
              <w:rPr>
                <w:rFonts w:eastAsia="Times New Roman" w:cs="Arial"/>
                <w:color w:val="000000"/>
                <w:sz w:val="20"/>
                <w:szCs w:val="20"/>
              </w:rPr>
              <w:t>Border to point of competition (96.3 Km)</w:t>
            </w:r>
          </w:p>
        </w:tc>
      </w:tr>
      <w:tr w:rsidR="00856B55" w:rsidRPr="00856B55" w:rsidTr="00856B55">
        <w:trPr>
          <w:trHeight w:val="255"/>
        </w:trPr>
        <w:tc>
          <w:tcPr>
            <w:tcW w:w="1515"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left"/>
              <w:rPr>
                <w:rFonts w:eastAsia="Times New Roman" w:cs="Arial"/>
                <w:color w:val="000000"/>
                <w:sz w:val="20"/>
                <w:szCs w:val="20"/>
              </w:rPr>
            </w:pPr>
            <w:r w:rsidRPr="00C25F56">
              <w:rPr>
                <w:rFonts w:eastAsia="Times New Roman" w:cs="Arial"/>
                <w:color w:val="000000"/>
                <w:sz w:val="20"/>
                <w:szCs w:val="20"/>
              </w:rPr>
              <w:t>Transport</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143</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174</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193</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201</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229</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320</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309</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309</w:t>
            </w:r>
          </w:p>
        </w:tc>
        <w:tc>
          <w:tcPr>
            <w:tcW w:w="388"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339</w:t>
            </w:r>
          </w:p>
        </w:tc>
      </w:tr>
      <w:tr w:rsidR="00856B55" w:rsidRPr="00856B55" w:rsidTr="00856B55">
        <w:trPr>
          <w:trHeight w:val="255"/>
        </w:trPr>
        <w:tc>
          <w:tcPr>
            <w:tcW w:w="1515"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left"/>
              <w:rPr>
                <w:rFonts w:eastAsia="Times New Roman" w:cs="Arial"/>
                <w:color w:val="000000"/>
                <w:sz w:val="20"/>
                <w:szCs w:val="20"/>
              </w:rPr>
            </w:pPr>
            <w:r w:rsidRPr="00C25F56">
              <w:rPr>
                <w:rFonts w:eastAsia="Times New Roman" w:cs="Arial"/>
                <w:color w:val="000000"/>
                <w:sz w:val="20"/>
                <w:szCs w:val="20"/>
              </w:rPr>
              <w:t>Margins</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314</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487</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626</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565</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579</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671</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791</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866</w:t>
            </w:r>
          </w:p>
        </w:tc>
        <w:tc>
          <w:tcPr>
            <w:tcW w:w="388"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809</w:t>
            </w:r>
          </w:p>
        </w:tc>
      </w:tr>
      <w:tr w:rsidR="00856B55" w:rsidRPr="00856B55" w:rsidTr="00856B55">
        <w:trPr>
          <w:trHeight w:val="255"/>
        </w:trPr>
        <w:tc>
          <w:tcPr>
            <w:tcW w:w="1515"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left"/>
              <w:rPr>
                <w:rFonts w:eastAsia="Times New Roman" w:cs="Arial"/>
                <w:color w:val="000000"/>
                <w:sz w:val="20"/>
                <w:szCs w:val="20"/>
              </w:rPr>
            </w:pPr>
            <w:r w:rsidRPr="00C25F56">
              <w:rPr>
                <w:rFonts w:eastAsia="Times New Roman" w:cs="Arial"/>
                <w:color w:val="000000"/>
                <w:sz w:val="20"/>
                <w:szCs w:val="20"/>
              </w:rPr>
              <w:t>Handling</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1,165</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1,444</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1,589</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1,494</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1,936</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2,394</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2,049</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2,199</w:t>
            </w:r>
          </w:p>
        </w:tc>
        <w:tc>
          <w:tcPr>
            <w:tcW w:w="388"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2,320</w:t>
            </w:r>
          </w:p>
        </w:tc>
      </w:tr>
      <w:tr w:rsidR="00856B55" w:rsidRPr="00856B55" w:rsidTr="00856B55">
        <w:trPr>
          <w:trHeight w:val="255"/>
        </w:trPr>
        <w:tc>
          <w:tcPr>
            <w:tcW w:w="1515"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left"/>
              <w:rPr>
                <w:rFonts w:eastAsia="Times New Roman" w:cs="Arial"/>
                <w:b/>
                <w:bCs/>
                <w:color w:val="000000"/>
                <w:sz w:val="20"/>
                <w:szCs w:val="20"/>
              </w:rPr>
            </w:pPr>
            <w:r w:rsidRPr="00C25F56">
              <w:rPr>
                <w:rFonts w:eastAsia="Times New Roman" w:cs="Arial"/>
                <w:b/>
                <w:bCs/>
                <w:color w:val="000000"/>
                <w:sz w:val="20"/>
                <w:szCs w:val="20"/>
              </w:rPr>
              <w:t>Total</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1,622</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2,105</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2,408</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2,260</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2,745</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3,385</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3,149</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3,374</w:t>
            </w:r>
          </w:p>
        </w:tc>
        <w:tc>
          <w:tcPr>
            <w:tcW w:w="388"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3,467</w:t>
            </w:r>
          </w:p>
        </w:tc>
      </w:tr>
      <w:tr w:rsidR="00856B55" w:rsidRPr="00856B55" w:rsidTr="00856B55">
        <w:trPr>
          <w:trHeight w:val="255"/>
        </w:trPr>
        <w:tc>
          <w:tcPr>
            <w:tcW w:w="1515" w:type="pct"/>
            <w:tcBorders>
              <w:top w:val="dotted" w:sz="4" w:space="0" w:color="auto"/>
              <w:left w:val="nil"/>
              <w:bottom w:val="nil"/>
              <w:right w:val="nil"/>
            </w:tcBorders>
            <w:shd w:val="clear" w:color="auto" w:fill="auto"/>
            <w:noWrap/>
            <w:vAlign w:val="bottom"/>
            <w:hideMark/>
          </w:tcPr>
          <w:p w:rsidR="00856B55" w:rsidRPr="00C25F56" w:rsidRDefault="00856B55" w:rsidP="00856B55">
            <w:pPr>
              <w:spacing w:after="0" w:line="240" w:lineRule="auto"/>
              <w:jc w:val="left"/>
              <w:rPr>
                <w:rFonts w:eastAsia="Times New Roman" w:cs="Arial"/>
                <w:color w:val="000000"/>
                <w:sz w:val="20"/>
                <w:szCs w:val="20"/>
              </w:rPr>
            </w:pPr>
            <w:r w:rsidRPr="00C25F56">
              <w:rPr>
                <w:rFonts w:eastAsia="Times New Roman" w:cs="Arial"/>
                <w:color w:val="000000"/>
                <w:sz w:val="20"/>
                <w:szCs w:val="20"/>
              </w:rPr>
              <w:t> </w:t>
            </w:r>
          </w:p>
        </w:tc>
        <w:tc>
          <w:tcPr>
            <w:tcW w:w="3485" w:type="pct"/>
            <w:gridSpan w:val="9"/>
            <w:tcBorders>
              <w:top w:val="dotted" w:sz="4" w:space="0" w:color="auto"/>
              <w:left w:val="nil"/>
              <w:bottom w:val="nil"/>
              <w:right w:val="nil"/>
            </w:tcBorders>
            <w:shd w:val="clear" w:color="auto" w:fill="auto"/>
            <w:noWrap/>
            <w:vAlign w:val="bottom"/>
            <w:hideMark/>
          </w:tcPr>
          <w:p w:rsidR="00856B55" w:rsidRPr="00C25F56" w:rsidRDefault="00856B55" w:rsidP="00856B55">
            <w:pPr>
              <w:spacing w:after="0" w:line="240" w:lineRule="auto"/>
              <w:jc w:val="center"/>
              <w:rPr>
                <w:rFonts w:eastAsia="Times New Roman" w:cs="Arial"/>
                <w:color w:val="000000"/>
                <w:sz w:val="20"/>
                <w:szCs w:val="20"/>
              </w:rPr>
            </w:pPr>
            <w:r w:rsidRPr="00C25F56">
              <w:rPr>
                <w:rFonts w:eastAsia="Times New Roman" w:cs="Arial"/>
                <w:color w:val="000000"/>
                <w:sz w:val="20"/>
                <w:szCs w:val="20"/>
              </w:rPr>
              <w:t>Point of competition to farm gate (1,149 Km)</w:t>
            </w:r>
          </w:p>
        </w:tc>
      </w:tr>
      <w:tr w:rsidR="00856B55" w:rsidRPr="00856B55" w:rsidTr="00856B55">
        <w:trPr>
          <w:trHeight w:val="255"/>
        </w:trPr>
        <w:tc>
          <w:tcPr>
            <w:tcW w:w="1515"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left"/>
              <w:rPr>
                <w:rFonts w:eastAsia="Times New Roman" w:cs="Arial"/>
                <w:color w:val="000000"/>
                <w:sz w:val="20"/>
                <w:szCs w:val="20"/>
              </w:rPr>
            </w:pPr>
            <w:r w:rsidRPr="00C25F56">
              <w:rPr>
                <w:rFonts w:eastAsia="Times New Roman" w:cs="Arial"/>
                <w:color w:val="000000"/>
                <w:sz w:val="20"/>
                <w:szCs w:val="20"/>
              </w:rPr>
              <w:t>Transport</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873</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896</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1,160</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1,413</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1,103</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1,138</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1,252</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1,252</w:t>
            </w:r>
          </w:p>
        </w:tc>
        <w:tc>
          <w:tcPr>
            <w:tcW w:w="388"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1,034</w:t>
            </w:r>
          </w:p>
        </w:tc>
      </w:tr>
      <w:tr w:rsidR="00856B55" w:rsidRPr="00856B55" w:rsidTr="00856B55">
        <w:trPr>
          <w:trHeight w:val="255"/>
        </w:trPr>
        <w:tc>
          <w:tcPr>
            <w:tcW w:w="1515"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left"/>
              <w:rPr>
                <w:rFonts w:eastAsia="Times New Roman" w:cs="Arial"/>
                <w:color w:val="000000"/>
                <w:sz w:val="20"/>
                <w:szCs w:val="20"/>
              </w:rPr>
            </w:pPr>
            <w:r w:rsidRPr="00C25F56">
              <w:rPr>
                <w:rFonts w:eastAsia="Times New Roman" w:cs="Arial"/>
                <w:color w:val="000000"/>
                <w:sz w:val="20"/>
                <w:szCs w:val="20"/>
              </w:rPr>
              <w:t>Margins</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1,613</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1,783</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1,688</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2,794</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2,935</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3,109</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3,304</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2,896</w:t>
            </w:r>
          </w:p>
        </w:tc>
        <w:tc>
          <w:tcPr>
            <w:tcW w:w="388"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3,487</w:t>
            </w:r>
          </w:p>
        </w:tc>
      </w:tr>
      <w:tr w:rsidR="00856B55" w:rsidRPr="00856B55" w:rsidTr="00856B55">
        <w:trPr>
          <w:trHeight w:val="255"/>
        </w:trPr>
        <w:tc>
          <w:tcPr>
            <w:tcW w:w="1515"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left"/>
              <w:rPr>
                <w:rFonts w:eastAsia="Times New Roman" w:cs="Arial"/>
                <w:color w:val="000000"/>
                <w:sz w:val="20"/>
                <w:szCs w:val="20"/>
              </w:rPr>
            </w:pPr>
            <w:r w:rsidRPr="00C25F56">
              <w:rPr>
                <w:rFonts w:eastAsia="Times New Roman" w:cs="Arial"/>
                <w:color w:val="000000"/>
                <w:sz w:val="20"/>
                <w:szCs w:val="20"/>
              </w:rPr>
              <w:t>Handling</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49</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55</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60</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66</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68</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77</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85</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86</w:t>
            </w:r>
          </w:p>
        </w:tc>
        <w:tc>
          <w:tcPr>
            <w:tcW w:w="388"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90</w:t>
            </w:r>
          </w:p>
        </w:tc>
      </w:tr>
      <w:tr w:rsidR="00856B55" w:rsidRPr="00856B55" w:rsidTr="00856B55">
        <w:trPr>
          <w:trHeight w:val="255"/>
        </w:trPr>
        <w:tc>
          <w:tcPr>
            <w:tcW w:w="1515"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left"/>
              <w:rPr>
                <w:rFonts w:eastAsia="Times New Roman" w:cs="Arial"/>
                <w:color w:val="000000"/>
                <w:sz w:val="20"/>
                <w:szCs w:val="20"/>
              </w:rPr>
            </w:pPr>
            <w:r w:rsidRPr="00C25F56">
              <w:rPr>
                <w:rFonts w:eastAsia="Times New Roman" w:cs="Arial"/>
                <w:color w:val="000000"/>
                <w:sz w:val="20"/>
                <w:szCs w:val="20"/>
              </w:rPr>
              <w:t>Others</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38</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43</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46</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51</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53</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60</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66</w:t>
            </w:r>
          </w:p>
        </w:tc>
        <w:tc>
          <w:tcPr>
            <w:tcW w:w="387"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67</w:t>
            </w:r>
          </w:p>
        </w:tc>
        <w:tc>
          <w:tcPr>
            <w:tcW w:w="388" w:type="pct"/>
            <w:tcBorders>
              <w:top w:val="nil"/>
              <w:left w:val="nil"/>
              <w:bottom w:val="nil"/>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color w:val="000000"/>
                <w:sz w:val="20"/>
                <w:szCs w:val="20"/>
              </w:rPr>
            </w:pPr>
            <w:r w:rsidRPr="00C25F56">
              <w:rPr>
                <w:rFonts w:eastAsia="Times New Roman" w:cs="Arial"/>
                <w:color w:val="000000"/>
                <w:sz w:val="20"/>
                <w:szCs w:val="20"/>
              </w:rPr>
              <w:t>70</w:t>
            </w:r>
          </w:p>
        </w:tc>
      </w:tr>
      <w:tr w:rsidR="00856B55" w:rsidRPr="00856B55" w:rsidTr="00856B55">
        <w:trPr>
          <w:trHeight w:val="255"/>
        </w:trPr>
        <w:tc>
          <w:tcPr>
            <w:tcW w:w="1515" w:type="pct"/>
            <w:tcBorders>
              <w:top w:val="nil"/>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left"/>
              <w:rPr>
                <w:rFonts w:eastAsia="Times New Roman" w:cs="Arial"/>
                <w:b/>
                <w:bCs/>
                <w:color w:val="000000"/>
                <w:sz w:val="20"/>
                <w:szCs w:val="20"/>
              </w:rPr>
            </w:pPr>
            <w:r w:rsidRPr="00C25F56">
              <w:rPr>
                <w:rFonts w:eastAsia="Times New Roman" w:cs="Arial"/>
                <w:b/>
                <w:bCs/>
                <w:color w:val="000000"/>
                <w:sz w:val="20"/>
                <w:szCs w:val="20"/>
              </w:rPr>
              <w:t>Total</w:t>
            </w:r>
          </w:p>
        </w:tc>
        <w:tc>
          <w:tcPr>
            <w:tcW w:w="387" w:type="pct"/>
            <w:tcBorders>
              <w:top w:val="nil"/>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2,574</w:t>
            </w:r>
          </w:p>
        </w:tc>
        <w:tc>
          <w:tcPr>
            <w:tcW w:w="387" w:type="pct"/>
            <w:tcBorders>
              <w:top w:val="nil"/>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2,778</w:t>
            </w:r>
          </w:p>
        </w:tc>
        <w:tc>
          <w:tcPr>
            <w:tcW w:w="387" w:type="pct"/>
            <w:tcBorders>
              <w:top w:val="nil"/>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2,955</w:t>
            </w:r>
          </w:p>
        </w:tc>
        <w:tc>
          <w:tcPr>
            <w:tcW w:w="387" w:type="pct"/>
            <w:tcBorders>
              <w:top w:val="nil"/>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4,324</w:t>
            </w:r>
          </w:p>
        </w:tc>
        <w:tc>
          <w:tcPr>
            <w:tcW w:w="387" w:type="pct"/>
            <w:tcBorders>
              <w:top w:val="nil"/>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4,159</w:t>
            </w:r>
          </w:p>
        </w:tc>
        <w:tc>
          <w:tcPr>
            <w:tcW w:w="387" w:type="pct"/>
            <w:tcBorders>
              <w:top w:val="nil"/>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4,383</w:t>
            </w:r>
          </w:p>
        </w:tc>
        <w:tc>
          <w:tcPr>
            <w:tcW w:w="387" w:type="pct"/>
            <w:tcBorders>
              <w:top w:val="nil"/>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4,707</w:t>
            </w:r>
          </w:p>
        </w:tc>
        <w:tc>
          <w:tcPr>
            <w:tcW w:w="387" w:type="pct"/>
            <w:tcBorders>
              <w:top w:val="nil"/>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4,302</w:t>
            </w:r>
          </w:p>
        </w:tc>
        <w:tc>
          <w:tcPr>
            <w:tcW w:w="388" w:type="pct"/>
            <w:tcBorders>
              <w:top w:val="nil"/>
              <w:left w:val="nil"/>
              <w:bottom w:val="single" w:sz="4" w:space="0" w:color="auto"/>
              <w:right w:val="nil"/>
            </w:tcBorders>
            <w:shd w:val="clear" w:color="auto" w:fill="auto"/>
            <w:noWrap/>
            <w:vAlign w:val="bottom"/>
            <w:hideMark/>
          </w:tcPr>
          <w:p w:rsidR="00856B55" w:rsidRPr="00C25F56" w:rsidRDefault="00856B55" w:rsidP="00856B55">
            <w:pPr>
              <w:spacing w:after="0" w:line="240" w:lineRule="auto"/>
              <w:jc w:val="right"/>
              <w:rPr>
                <w:rFonts w:eastAsia="Times New Roman" w:cs="Arial"/>
                <w:b/>
                <w:bCs/>
                <w:color w:val="000000"/>
                <w:sz w:val="20"/>
                <w:szCs w:val="20"/>
              </w:rPr>
            </w:pPr>
            <w:r w:rsidRPr="00C25F56">
              <w:rPr>
                <w:rFonts w:eastAsia="Times New Roman" w:cs="Arial"/>
                <w:b/>
                <w:bCs/>
                <w:color w:val="000000"/>
                <w:sz w:val="20"/>
                <w:szCs w:val="20"/>
              </w:rPr>
              <w:t>4,681</w:t>
            </w:r>
          </w:p>
        </w:tc>
      </w:tr>
    </w:tbl>
    <w:p w:rsidR="00856B55" w:rsidRPr="00160F77" w:rsidRDefault="00856B55" w:rsidP="00791E74"/>
    <w:p w:rsidR="00791E74" w:rsidRDefault="00791E74" w:rsidP="00791E74">
      <w:pPr>
        <w:rPr>
          <w:u w:val="single"/>
        </w:rPr>
      </w:pPr>
      <w:r w:rsidRPr="003F1EB8">
        <w:rPr>
          <w:u w:val="single"/>
        </w:rPr>
        <w:t>Farm gate to point of competition</w:t>
      </w:r>
    </w:p>
    <w:p w:rsidR="003F1AA9" w:rsidRPr="003F1AA9" w:rsidRDefault="003F1AA9" w:rsidP="007238B6">
      <w:r>
        <w:t>Profit margins for this segment were adjusted using the same procedure used to adjust profit margins between the border and point of competition. Before adjustments, profit margins as proportion of the total investment costs oscillated from year to year between 2005 and 2013, with a minimum of 36</w:t>
      </w:r>
      <w:r w:rsidR="009414AA">
        <w:t xml:space="preserve"> percent</w:t>
      </w:r>
      <w:r>
        <w:t xml:space="preserve"> in 2011 and a maximum of 43</w:t>
      </w:r>
      <w:r w:rsidR="009414AA">
        <w:t xml:space="preserve"> percent</w:t>
      </w:r>
      <w:r>
        <w:t xml:space="preserve"> in 2012. The minimum share of profit margins in the total investment costs </w:t>
      </w:r>
      <w:r w:rsidR="00856B55">
        <w:t xml:space="preserve">over the period 2005 to 2013 </w:t>
      </w:r>
      <w:r>
        <w:t>w</w:t>
      </w:r>
      <w:r w:rsidR="00856B55">
        <w:t>as</w:t>
      </w:r>
      <w:r>
        <w:t xml:space="preserve"> used </w:t>
      </w:r>
      <w:r w:rsidR="00856B55">
        <w:t xml:space="preserve">as a benchmark </w:t>
      </w:r>
      <w:r>
        <w:t>to adjust profit margins for each year</w:t>
      </w:r>
      <w:r w:rsidR="00856B55">
        <w:t xml:space="preserve">. Results are summarized in </w:t>
      </w:r>
      <w:r w:rsidR="00323EC3">
        <w:fldChar w:fldCharType="begin"/>
      </w:r>
      <w:r w:rsidR="00046B50">
        <w:instrText xml:space="preserve"> REF _Ref394722792 \h </w:instrText>
      </w:r>
      <w:r w:rsidR="00323EC3">
        <w:fldChar w:fldCharType="separate"/>
      </w:r>
      <w:r w:rsidR="00D147FD">
        <w:t xml:space="preserve">Table </w:t>
      </w:r>
      <w:r w:rsidR="00D147FD">
        <w:rPr>
          <w:noProof/>
        </w:rPr>
        <w:t>4</w:t>
      </w:r>
      <w:r w:rsidR="00323EC3">
        <w:fldChar w:fldCharType="end"/>
      </w:r>
      <w:r w:rsidR="00856B55">
        <w:t>.</w:t>
      </w:r>
    </w:p>
    <w:p w:rsidR="00096B48" w:rsidRPr="00096B48" w:rsidRDefault="00096B48" w:rsidP="00096B48">
      <w:pPr>
        <w:pStyle w:val="Heading2"/>
      </w:pPr>
      <w:bookmarkStart w:id="65" w:name="_Toc401642233"/>
      <w:r>
        <w:t>BUDGET AND OTHER TRANSFERS</w:t>
      </w:r>
      <w:bookmarkEnd w:id="65"/>
    </w:p>
    <w:p w:rsidR="00437915" w:rsidRPr="00096B48" w:rsidRDefault="00310FA4" w:rsidP="00251DC3">
      <w:r>
        <w:t>Since 2009, under the</w:t>
      </w:r>
      <w:r w:rsidRPr="00D64DE7">
        <w:t xml:space="preserve"> Agr</w:t>
      </w:r>
      <w:r>
        <w:t xml:space="preserve">icultural Input Subsidy Program, maize farmers started receiving inputs, but </w:t>
      </w:r>
      <w:r w:rsidRPr="00D64DE7">
        <w:t xml:space="preserve">unavailability of data hampers the identification of the real impact of </w:t>
      </w:r>
      <w:r>
        <w:t xml:space="preserve">this policy. </w:t>
      </w:r>
      <w:r w:rsidR="00437915">
        <w:t xml:space="preserve">Once the public expenditure analysis using the MAFAP methodological approach is finalized, estimates of government transfers to maize producers, measured in MZN per </w:t>
      </w:r>
      <w:r w:rsidR="008851CC">
        <w:t>tonne</w:t>
      </w:r>
      <w:r w:rsidR="00437915">
        <w:t xml:space="preserve">, could be added to the price incentives and disincentives analysis undertaken in this technical note. </w:t>
      </w:r>
    </w:p>
    <w:p w:rsidR="00D34654" w:rsidRDefault="00D34654" w:rsidP="00D34654">
      <w:pPr>
        <w:pStyle w:val="Heading2"/>
      </w:pPr>
      <w:bookmarkStart w:id="66" w:name="_Toc335991452"/>
      <w:bookmarkStart w:id="67" w:name="_Toc336419341"/>
      <w:bookmarkStart w:id="68" w:name="_Toc401642234"/>
      <w:r w:rsidRPr="00096B48">
        <w:lastRenderedPageBreak/>
        <w:t>QUALITY AND QUANTITY ADJUSTMENTS</w:t>
      </w:r>
      <w:bookmarkEnd w:id="66"/>
      <w:bookmarkEnd w:id="67"/>
      <w:bookmarkEnd w:id="68"/>
    </w:p>
    <w:p w:rsidR="00437915" w:rsidRPr="00437915" w:rsidRDefault="0032108D" w:rsidP="00096B48">
      <w:r>
        <w:t>We are aware that there is some quality differential between imported and domestic maize grain, as discussed earlier. However, we are not aware of any conversion factors to guide us in making quality adjustments. On the other hand, t</w:t>
      </w:r>
      <w:r w:rsidR="00727D04">
        <w:t>he</w:t>
      </w:r>
      <w:r>
        <w:t>re is no need to make</w:t>
      </w:r>
      <w:r w:rsidR="00727D04">
        <w:t xml:space="preserve"> quantity adjustments </w:t>
      </w:r>
      <w:r>
        <w:t>because our analysis of price incentives and disincentives considers maize grain (either produced domestically or imported from South Africa). F</w:t>
      </w:r>
      <w:r w:rsidR="00727D04">
        <w:t>or the</w:t>
      </w:r>
      <w:r>
        <w:t>se reasons,</w:t>
      </w:r>
      <w:r w:rsidR="00727D04">
        <w:t xml:space="preserve"> n</w:t>
      </w:r>
      <w:r w:rsidR="00437915">
        <w:t>o quality or quantity adjustments were made.</w:t>
      </w:r>
    </w:p>
    <w:p w:rsidR="00D34654" w:rsidRPr="00096B48" w:rsidRDefault="00D34654" w:rsidP="00D34654">
      <w:pPr>
        <w:pStyle w:val="Heading2"/>
      </w:pPr>
      <w:bookmarkStart w:id="69" w:name="_Toc336419342"/>
      <w:bookmarkStart w:id="70" w:name="_Toc401642235"/>
      <w:r w:rsidRPr="00096B48">
        <w:t>DATA OVERVIEW</w:t>
      </w:r>
      <w:bookmarkEnd w:id="69"/>
      <w:bookmarkEnd w:id="70"/>
    </w:p>
    <w:p w:rsidR="00D34654" w:rsidRPr="00096B48" w:rsidRDefault="00D34654" w:rsidP="000553C0">
      <w:r w:rsidRPr="00096B48">
        <w:t>Following the discussions above</w:t>
      </w:r>
      <w:r w:rsidR="00624B84">
        <w:t>,</w:t>
      </w:r>
      <w:r w:rsidRPr="00096B48">
        <w:t xml:space="preserve"> </w:t>
      </w:r>
      <w:r w:rsidR="00624B84">
        <w:t>the table below summarizes</w:t>
      </w:r>
      <w:r w:rsidRPr="00096B48">
        <w:t xml:space="preserve"> the main </w:t>
      </w:r>
      <w:r w:rsidR="00624B84">
        <w:t xml:space="preserve">data </w:t>
      </w:r>
      <w:r w:rsidRPr="00096B48">
        <w:t>sources</w:t>
      </w:r>
      <w:r w:rsidR="00647882">
        <w:t xml:space="preserve"> used</w:t>
      </w:r>
      <w:r w:rsidRPr="00096B48">
        <w:t xml:space="preserve"> and methodological decisions taken for the analysis</w:t>
      </w:r>
      <w:r w:rsidR="00647882">
        <w:t>.</w:t>
      </w:r>
    </w:p>
    <w:p w:rsidR="00DF60EE" w:rsidRPr="00DF60EE" w:rsidRDefault="009C6251" w:rsidP="00DF60EE">
      <w:pPr>
        <w:pStyle w:val="Caption"/>
        <w:keepNext/>
      </w:pPr>
      <w:bookmarkStart w:id="71" w:name="_Ref336614045"/>
      <w:r w:rsidRPr="002E18E3">
        <w:t xml:space="preserve">Table </w:t>
      </w:r>
      <w:r w:rsidR="00323EC3" w:rsidRPr="002E18E3">
        <w:fldChar w:fldCharType="begin"/>
      </w:r>
      <w:r w:rsidRPr="002E18E3">
        <w:instrText xml:space="preserve"> SEQ Table \* ARABIC </w:instrText>
      </w:r>
      <w:r w:rsidR="00323EC3" w:rsidRPr="002E18E3">
        <w:fldChar w:fldCharType="separate"/>
      </w:r>
      <w:r w:rsidR="00D147FD">
        <w:rPr>
          <w:noProof/>
        </w:rPr>
        <w:t>5</w:t>
      </w:r>
      <w:r w:rsidR="00323EC3" w:rsidRPr="002E18E3">
        <w:fldChar w:fldCharType="end"/>
      </w:r>
      <w:bookmarkEnd w:id="71"/>
      <w:r w:rsidRPr="002E18E3">
        <w:t xml:space="preserve">: </w:t>
      </w:r>
      <w:r w:rsidR="00647882">
        <w:t>Data sources and methodological decisions</w:t>
      </w:r>
    </w:p>
    <w:tbl>
      <w:tblPr>
        <w:tblStyle w:val="TableGrid"/>
        <w:tblW w:w="0" w:type="auto"/>
        <w:tblLook w:val="04A0" w:firstRow="1" w:lastRow="0" w:firstColumn="1" w:lastColumn="0" w:noHBand="0" w:noVBand="1"/>
      </w:tblPr>
      <w:tblGrid>
        <w:gridCol w:w="1270"/>
        <w:gridCol w:w="1248"/>
        <w:gridCol w:w="3685"/>
        <w:gridCol w:w="3083"/>
      </w:tblGrid>
      <w:tr w:rsidR="00304AB0" w:rsidRPr="00C476E0" w:rsidTr="009211D6">
        <w:tc>
          <w:tcPr>
            <w:tcW w:w="2518" w:type="dxa"/>
            <w:gridSpan w:val="2"/>
          </w:tcPr>
          <w:p w:rsidR="00304AB0" w:rsidRPr="00231700" w:rsidRDefault="00304AB0" w:rsidP="006F2143">
            <w:pPr>
              <w:jc w:val="center"/>
              <w:rPr>
                <w:b/>
                <w:i/>
                <w:color w:val="000000" w:themeColor="text1"/>
                <w:sz w:val="20"/>
                <w:szCs w:val="16"/>
              </w:rPr>
            </w:pPr>
          </w:p>
        </w:tc>
        <w:tc>
          <w:tcPr>
            <w:tcW w:w="6768" w:type="dxa"/>
            <w:gridSpan w:val="2"/>
          </w:tcPr>
          <w:p w:rsidR="00304AB0" w:rsidRPr="00231700" w:rsidRDefault="00304AB0" w:rsidP="006F2143">
            <w:pPr>
              <w:jc w:val="center"/>
              <w:rPr>
                <w:b/>
                <w:i/>
                <w:color w:val="000000" w:themeColor="text1"/>
                <w:sz w:val="20"/>
                <w:szCs w:val="16"/>
              </w:rPr>
            </w:pPr>
            <w:r w:rsidRPr="00231700">
              <w:rPr>
                <w:b/>
                <w:i/>
                <w:color w:val="000000" w:themeColor="text1"/>
                <w:sz w:val="20"/>
                <w:szCs w:val="16"/>
              </w:rPr>
              <w:t>Description</w:t>
            </w:r>
          </w:p>
        </w:tc>
      </w:tr>
      <w:tr w:rsidR="00304AB0" w:rsidRPr="00C476E0" w:rsidTr="009211D6">
        <w:tc>
          <w:tcPr>
            <w:tcW w:w="2518" w:type="dxa"/>
            <w:gridSpan w:val="2"/>
          </w:tcPr>
          <w:p w:rsidR="00304AB0" w:rsidRPr="00231700" w:rsidRDefault="00304AB0" w:rsidP="006F2143">
            <w:pPr>
              <w:jc w:val="center"/>
              <w:rPr>
                <w:b/>
                <w:i/>
                <w:color w:val="000000" w:themeColor="text1"/>
                <w:sz w:val="20"/>
                <w:szCs w:val="16"/>
              </w:rPr>
            </w:pPr>
            <w:r w:rsidRPr="00231700">
              <w:rPr>
                <w:b/>
                <w:i/>
                <w:color w:val="000000" w:themeColor="text1"/>
                <w:sz w:val="20"/>
                <w:szCs w:val="16"/>
              </w:rPr>
              <w:t>Concept</w:t>
            </w:r>
          </w:p>
        </w:tc>
        <w:tc>
          <w:tcPr>
            <w:tcW w:w="3685" w:type="dxa"/>
          </w:tcPr>
          <w:p w:rsidR="00304AB0" w:rsidRPr="00231700" w:rsidRDefault="00304AB0" w:rsidP="006F2143">
            <w:pPr>
              <w:jc w:val="center"/>
              <w:rPr>
                <w:b/>
                <w:i/>
                <w:color w:val="000000" w:themeColor="text1"/>
                <w:sz w:val="20"/>
                <w:szCs w:val="16"/>
              </w:rPr>
            </w:pPr>
            <w:r w:rsidRPr="00231700">
              <w:rPr>
                <w:b/>
                <w:i/>
                <w:color w:val="000000" w:themeColor="text1"/>
                <w:sz w:val="20"/>
                <w:szCs w:val="16"/>
              </w:rPr>
              <w:t>Observed</w:t>
            </w:r>
          </w:p>
        </w:tc>
        <w:tc>
          <w:tcPr>
            <w:tcW w:w="3083" w:type="dxa"/>
          </w:tcPr>
          <w:p w:rsidR="00304AB0" w:rsidRPr="00231700" w:rsidRDefault="00304AB0" w:rsidP="006F2143">
            <w:pPr>
              <w:jc w:val="center"/>
              <w:rPr>
                <w:b/>
                <w:i/>
                <w:color w:val="000000" w:themeColor="text1"/>
                <w:sz w:val="20"/>
                <w:szCs w:val="16"/>
              </w:rPr>
            </w:pPr>
            <w:r w:rsidRPr="00231700">
              <w:rPr>
                <w:b/>
                <w:i/>
                <w:color w:val="000000" w:themeColor="text1"/>
                <w:sz w:val="20"/>
                <w:szCs w:val="16"/>
              </w:rPr>
              <w:t>Adjusted</w:t>
            </w:r>
          </w:p>
        </w:tc>
      </w:tr>
      <w:tr w:rsidR="00304AB0" w:rsidRPr="00C476E0" w:rsidTr="009211D6">
        <w:tc>
          <w:tcPr>
            <w:tcW w:w="2518" w:type="dxa"/>
            <w:gridSpan w:val="2"/>
          </w:tcPr>
          <w:p w:rsidR="00304AB0" w:rsidRPr="00231700" w:rsidRDefault="00304AB0" w:rsidP="006F2143">
            <w:pPr>
              <w:rPr>
                <w:color w:val="000000" w:themeColor="text1"/>
                <w:sz w:val="20"/>
                <w:szCs w:val="16"/>
              </w:rPr>
            </w:pPr>
            <w:r w:rsidRPr="00231700">
              <w:rPr>
                <w:color w:val="000000" w:themeColor="text1"/>
                <w:sz w:val="20"/>
                <w:szCs w:val="16"/>
              </w:rPr>
              <w:t>Benchmark price</w:t>
            </w:r>
          </w:p>
        </w:tc>
        <w:tc>
          <w:tcPr>
            <w:tcW w:w="3685" w:type="dxa"/>
          </w:tcPr>
          <w:p w:rsidR="00304AB0" w:rsidRPr="00231700" w:rsidRDefault="00FA179C" w:rsidP="00AE01D6">
            <w:pPr>
              <w:rPr>
                <w:i/>
                <w:color w:val="000000" w:themeColor="text1"/>
                <w:sz w:val="20"/>
                <w:szCs w:val="16"/>
              </w:rPr>
            </w:pPr>
            <w:r>
              <w:rPr>
                <w:i/>
                <w:color w:val="000000" w:themeColor="text1"/>
                <w:sz w:val="20"/>
                <w:szCs w:val="16"/>
              </w:rPr>
              <w:t xml:space="preserve">Annual CIF prices calculated by adding </w:t>
            </w:r>
            <w:r w:rsidR="002D26FE">
              <w:rPr>
                <w:i/>
                <w:color w:val="000000" w:themeColor="text1"/>
                <w:sz w:val="20"/>
                <w:szCs w:val="16"/>
              </w:rPr>
              <w:t xml:space="preserve">road </w:t>
            </w:r>
            <w:r>
              <w:rPr>
                <w:i/>
                <w:color w:val="000000" w:themeColor="text1"/>
                <w:sz w:val="20"/>
                <w:szCs w:val="16"/>
              </w:rPr>
              <w:t xml:space="preserve">transport costs to annual wholesale prices gathered from South Africa </w:t>
            </w:r>
            <w:r w:rsidR="002D26FE">
              <w:rPr>
                <w:i/>
                <w:color w:val="000000" w:themeColor="text1"/>
                <w:sz w:val="20"/>
                <w:szCs w:val="16"/>
              </w:rPr>
              <w:t>Future</w:t>
            </w:r>
            <w:r>
              <w:rPr>
                <w:i/>
                <w:color w:val="000000" w:themeColor="text1"/>
                <w:sz w:val="20"/>
                <w:szCs w:val="16"/>
              </w:rPr>
              <w:t xml:space="preserve"> Exchange</w:t>
            </w:r>
            <w:r w:rsidR="00AE01D6">
              <w:rPr>
                <w:i/>
                <w:color w:val="000000" w:themeColor="text1"/>
                <w:sz w:val="20"/>
                <w:szCs w:val="16"/>
              </w:rPr>
              <w:t xml:space="preserve"> (SAFEX). Road transport cost data came from secondary source.</w:t>
            </w:r>
          </w:p>
        </w:tc>
        <w:tc>
          <w:tcPr>
            <w:tcW w:w="3083" w:type="dxa"/>
          </w:tcPr>
          <w:p w:rsidR="00304AB0" w:rsidRPr="00231700" w:rsidRDefault="008740E3" w:rsidP="006F2143">
            <w:pPr>
              <w:jc w:val="center"/>
              <w:rPr>
                <w:i/>
                <w:color w:val="000000" w:themeColor="text1"/>
                <w:sz w:val="20"/>
                <w:szCs w:val="16"/>
              </w:rPr>
            </w:pPr>
            <w:r>
              <w:rPr>
                <w:i/>
                <w:color w:val="000000" w:themeColor="text1"/>
                <w:sz w:val="20"/>
                <w:szCs w:val="16"/>
              </w:rPr>
              <w:t>N.A.</w:t>
            </w:r>
          </w:p>
        </w:tc>
      </w:tr>
      <w:tr w:rsidR="00304AB0" w:rsidRPr="00C476E0" w:rsidTr="009211D6">
        <w:trPr>
          <w:trHeight w:val="325"/>
        </w:trPr>
        <w:tc>
          <w:tcPr>
            <w:tcW w:w="2518" w:type="dxa"/>
            <w:gridSpan w:val="2"/>
          </w:tcPr>
          <w:p w:rsidR="00304AB0" w:rsidRPr="00231700" w:rsidRDefault="00304AB0" w:rsidP="002E18E3">
            <w:pPr>
              <w:rPr>
                <w:color w:val="000000" w:themeColor="text1"/>
                <w:sz w:val="20"/>
                <w:szCs w:val="16"/>
              </w:rPr>
            </w:pPr>
            <w:r w:rsidRPr="00231700">
              <w:rPr>
                <w:color w:val="000000" w:themeColor="text1"/>
                <w:sz w:val="20"/>
                <w:szCs w:val="16"/>
              </w:rPr>
              <w:t xml:space="preserve">Domestic price at </w:t>
            </w:r>
            <w:r w:rsidR="002E18E3" w:rsidRPr="00231700">
              <w:rPr>
                <w:color w:val="000000" w:themeColor="text1"/>
                <w:sz w:val="20"/>
                <w:szCs w:val="16"/>
              </w:rPr>
              <w:t>point of competition</w:t>
            </w:r>
          </w:p>
        </w:tc>
        <w:tc>
          <w:tcPr>
            <w:tcW w:w="3685" w:type="dxa"/>
          </w:tcPr>
          <w:p w:rsidR="00304AB0" w:rsidRPr="00231700" w:rsidRDefault="00FA179C" w:rsidP="001D5059">
            <w:pPr>
              <w:rPr>
                <w:i/>
                <w:color w:val="000000" w:themeColor="text1"/>
                <w:sz w:val="20"/>
                <w:szCs w:val="16"/>
              </w:rPr>
            </w:pPr>
            <w:r>
              <w:rPr>
                <w:i/>
                <w:color w:val="000000" w:themeColor="text1"/>
                <w:sz w:val="20"/>
                <w:szCs w:val="16"/>
              </w:rPr>
              <w:t xml:space="preserve">Annual </w:t>
            </w:r>
            <w:r w:rsidR="00AE01D6">
              <w:rPr>
                <w:i/>
                <w:color w:val="000000" w:themeColor="text1"/>
                <w:sz w:val="20"/>
                <w:szCs w:val="16"/>
              </w:rPr>
              <w:t xml:space="preserve">average </w:t>
            </w:r>
            <w:r>
              <w:rPr>
                <w:i/>
                <w:color w:val="000000" w:themeColor="text1"/>
                <w:sz w:val="20"/>
                <w:szCs w:val="16"/>
              </w:rPr>
              <w:t>wholesale maize prices obtained from the Ministry of Agriculture</w:t>
            </w:r>
            <w:r w:rsidR="002D26FE">
              <w:rPr>
                <w:i/>
                <w:color w:val="000000" w:themeColor="text1"/>
                <w:sz w:val="20"/>
                <w:szCs w:val="16"/>
              </w:rPr>
              <w:t>’s</w:t>
            </w:r>
            <w:r>
              <w:rPr>
                <w:i/>
                <w:color w:val="000000" w:themeColor="text1"/>
                <w:sz w:val="20"/>
                <w:szCs w:val="16"/>
              </w:rPr>
              <w:t xml:space="preserve"> </w:t>
            </w:r>
            <w:r w:rsidR="002D26FE">
              <w:rPr>
                <w:i/>
                <w:color w:val="000000" w:themeColor="text1"/>
                <w:sz w:val="20"/>
                <w:szCs w:val="16"/>
              </w:rPr>
              <w:t xml:space="preserve">Agricultural </w:t>
            </w:r>
            <w:r>
              <w:rPr>
                <w:i/>
                <w:color w:val="000000" w:themeColor="text1"/>
                <w:sz w:val="20"/>
                <w:szCs w:val="16"/>
              </w:rPr>
              <w:t>Market Information System (SIMA)</w:t>
            </w:r>
          </w:p>
        </w:tc>
        <w:tc>
          <w:tcPr>
            <w:tcW w:w="3083" w:type="dxa"/>
          </w:tcPr>
          <w:p w:rsidR="00304AB0" w:rsidRPr="00231700" w:rsidRDefault="002E18E3" w:rsidP="006F2143">
            <w:pPr>
              <w:jc w:val="center"/>
              <w:rPr>
                <w:i/>
                <w:color w:val="000000" w:themeColor="text1"/>
                <w:sz w:val="20"/>
                <w:szCs w:val="16"/>
              </w:rPr>
            </w:pPr>
            <w:r w:rsidRPr="00231700">
              <w:rPr>
                <w:i/>
                <w:color w:val="000000" w:themeColor="text1"/>
                <w:sz w:val="20"/>
                <w:szCs w:val="16"/>
              </w:rPr>
              <w:t>N.A.</w:t>
            </w:r>
          </w:p>
        </w:tc>
      </w:tr>
      <w:tr w:rsidR="00304AB0" w:rsidRPr="00C476E0" w:rsidTr="009211D6">
        <w:tc>
          <w:tcPr>
            <w:tcW w:w="2518" w:type="dxa"/>
            <w:gridSpan w:val="2"/>
          </w:tcPr>
          <w:p w:rsidR="00304AB0" w:rsidRPr="00231700" w:rsidRDefault="00304AB0" w:rsidP="004B5F46">
            <w:pPr>
              <w:ind w:left="720" w:hanging="720"/>
              <w:rPr>
                <w:color w:val="000000" w:themeColor="text1"/>
                <w:sz w:val="20"/>
                <w:szCs w:val="16"/>
              </w:rPr>
            </w:pPr>
            <w:r w:rsidRPr="00231700">
              <w:rPr>
                <w:color w:val="000000" w:themeColor="text1"/>
                <w:sz w:val="20"/>
                <w:szCs w:val="16"/>
              </w:rPr>
              <w:t>Domestic price at farm</w:t>
            </w:r>
            <w:r w:rsidR="004B5F46">
              <w:rPr>
                <w:color w:val="000000" w:themeColor="text1"/>
                <w:sz w:val="20"/>
                <w:szCs w:val="16"/>
              </w:rPr>
              <w:t xml:space="preserve"> </w:t>
            </w:r>
            <w:r w:rsidRPr="00231700">
              <w:rPr>
                <w:color w:val="000000" w:themeColor="text1"/>
                <w:sz w:val="20"/>
                <w:szCs w:val="16"/>
              </w:rPr>
              <w:t>gate</w:t>
            </w:r>
          </w:p>
        </w:tc>
        <w:tc>
          <w:tcPr>
            <w:tcW w:w="3685" w:type="dxa"/>
          </w:tcPr>
          <w:p w:rsidR="00304AB0" w:rsidRPr="00231700" w:rsidRDefault="00FA179C" w:rsidP="00FA179C">
            <w:pPr>
              <w:rPr>
                <w:i/>
                <w:color w:val="000000" w:themeColor="text1"/>
                <w:sz w:val="20"/>
                <w:szCs w:val="16"/>
              </w:rPr>
            </w:pPr>
            <w:r>
              <w:rPr>
                <w:i/>
                <w:color w:val="000000" w:themeColor="text1"/>
                <w:sz w:val="20"/>
                <w:szCs w:val="16"/>
              </w:rPr>
              <w:t xml:space="preserve">Annual </w:t>
            </w:r>
            <w:r w:rsidR="00AE01D6">
              <w:rPr>
                <w:i/>
                <w:color w:val="000000" w:themeColor="text1"/>
                <w:sz w:val="20"/>
                <w:szCs w:val="16"/>
              </w:rPr>
              <w:t xml:space="preserve">average </w:t>
            </w:r>
            <w:r>
              <w:rPr>
                <w:i/>
                <w:color w:val="000000" w:themeColor="text1"/>
                <w:sz w:val="20"/>
                <w:szCs w:val="16"/>
              </w:rPr>
              <w:t>producer maize prices obtained from SIMA</w:t>
            </w:r>
          </w:p>
        </w:tc>
        <w:tc>
          <w:tcPr>
            <w:tcW w:w="3083" w:type="dxa"/>
          </w:tcPr>
          <w:p w:rsidR="00304AB0" w:rsidRPr="00231700" w:rsidRDefault="00304AB0" w:rsidP="006F2143">
            <w:pPr>
              <w:jc w:val="center"/>
              <w:rPr>
                <w:i/>
                <w:color w:val="000000" w:themeColor="text1"/>
                <w:sz w:val="20"/>
                <w:szCs w:val="16"/>
              </w:rPr>
            </w:pPr>
            <w:r w:rsidRPr="00231700">
              <w:rPr>
                <w:i/>
                <w:color w:val="000000" w:themeColor="text1"/>
                <w:sz w:val="20"/>
                <w:szCs w:val="16"/>
              </w:rPr>
              <w:t>N.A.</w:t>
            </w:r>
          </w:p>
        </w:tc>
      </w:tr>
      <w:tr w:rsidR="00304AB0" w:rsidRPr="00C476E0" w:rsidTr="009211D6">
        <w:tc>
          <w:tcPr>
            <w:tcW w:w="2518" w:type="dxa"/>
            <w:gridSpan w:val="2"/>
          </w:tcPr>
          <w:p w:rsidR="00304AB0" w:rsidRPr="00231700" w:rsidRDefault="00304AB0" w:rsidP="006F2143">
            <w:pPr>
              <w:ind w:left="1440" w:hanging="1440"/>
              <w:rPr>
                <w:color w:val="000000" w:themeColor="text1"/>
                <w:sz w:val="20"/>
                <w:szCs w:val="16"/>
              </w:rPr>
            </w:pPr>
            <w:r w:rsidRPr="00231700">
              <w:rPr>
                <w:color w:val="000000" w:themeColor="text1"/>
                <w:sz w:val="20"/>
                <w:szCs w:val="16"/>
              </w:rPr>
              <w:t>Exchange rate</w:t>
            </w:r>
          </w:p>
        </w:tc>
        <w:tc>
          <w:tcPr>
            <w:tcW w:w="3685" w:type="dxa"/>
          </w:tcPr>
          <w:p w:rsidR="00304AB0" w:rsidRPr="00231700" w:rsidRDefault="002D26FE" w:rsidP="003772C0">
            <w:pPr>
              <w:rPr>
                <w:i/>
                <w:color w:val="000000" w:themeColor="text1"/>
                <w:sz w:val="20"/>
                <w:szCs w:val="16"/>
              </w:rPr>
            </w:pPr>
            <w:r>
              <w:rPr>
                <w:i/>
                <w:color w:val="000000" w:themeColor="text1"/>
                <w:sz w:val="20"/>
                <w:szCs w:val="16"/>
              </w:rPr>
              <w:t>Official exchange rate gathered from the Central Bank of Mozambique</w:t>
            </w:r>
          </w:p>
        </w:tc>
        <w:tc>
          <w:tcPr>
            <w:tcW w:w="3083" w:type="dxa"/>
          </w:tcPr>
          <w:p w:rsidR="00304AB0" w:rsidRPr="00231700" w:rsidRDefault="008740E3" w:rsidP="006F2143">
            <w:pPr>
              <w:jc w:val="center"/>
              <w:rPr>
                <w:i/>
                <w:color w:val="000000" w:themeColor="text1"/>
                <w:sz w:val="20"/>
                <w:szCs w:val="16"/>
              </w:rPr>
            </w:pPr>
            <w:r>
              <w:rPr>
                <w:i/>
                <w:color w:val="000000" w:themeColor="text1"/>
                <w:sz w:val="20"/>
                <w:szCs w:val="16"/>
              </w:rPr>
              <w:t>N.A.</w:t>
            </w:r>
          </w:p>
        </w:tc>
      </w:tr>
      <w:tr w:rsidR="00304AB0" w:rsidRPr="00C476E0" w:rsidTr="009211D6">
        <w:trPr>
          <w:trHeight w:val="1182"/>
        </w:trPr>
        <w:tc>
          <w:tcPr>
            <w:tcW w:w="2518" w:type="dxa"/>
            <w:gridSpan w:val="2"/>
          </w:tcPr>
          <w:p w:rsidR="00304AB0" w:rsidRPr="00231700" w:rsidRDefault="00304AB0" w:rsidP="002E18E3">
            <w:pPr>
              <w:rPr>
                <w:color w:val="000000" w:themeColor="text1"/>
                <w:sz w:val="20"/>
                <w:szCs w:val="16"/>
              </w:rPr>
            </w:pPr>
            <w:r w:rsidRPr="00231700">
              <w:rPr>
                <w:color w:val="000000" w:themeColor="text1"/>
                <w:sz w:val="20"/>
                <w:szCs w:val="16"/>
              </w:rPr>
              <w:t xml:space="preserve">Access cost from </w:t>
            </w:r>
            <w:r w:rsidR="002E18E3" w:rsidRPr="00231700">
              <w:rPr>
                <w:color w:val="000000" w:themeColor="text1"/>
                <w:sz w:val="20"/>
                <w:szCs w:val="16"/>
              </w:rPr>
              <w:t>the point of competition</w:t>
            </w:r>
            <w:r w:rsidRPr="00231700">
              <w:rPr>
                <w:color w:val="000000" w:themeColor="text1"/>
                <w:sz w:val="20"/>
                <w:szCs w:val="16"/>
              </w:rPr>
              <w:t xml:space="preserve"> to the border</w:t>
            </w:r>
          </w:p>
        </w:tc>
        <w:tc>
          <w:tcPr>
            <w:tcW w:w="3685" w:type="dxa"/>
          </w:tcPr>
          <w:p w:rsidR="00A23877" w:rsidRPr="00231700" w:rsidRDefault="00AE01D6" w:rsidP="00AC32F8">
            <w:pPr>
              <w:rPr>
                <w:i/>
                <w:color w:val="000000" w:themeColor="text1"/>
                <w:sz w:val="20"/>
                <w:szCs w:val="16"/>
              </w:rPr>
            </w:pPr>
            <w:r>
              <w:rPr>
                <w:i/>
                <w:color w:val="000000" w:themeColor="text1"/>
                <w:sz w:val="20"/>
                <w:szCs w:val="16"/>
              </w:rPr>
              <w:t xml:space="preserve">Road transport costs from </w:t>
            </w:r>
            <w:r w:rsidR="008740E3">
              <w:rPr>
                <w:i/>
                <w:color w:val="000000" w:themeColor="text1"/>
                <w:sz w:val="20"/>
                <w:szCs w:val="16"/>
              </w:rPr>
              <w:t>previous studies.</w:t>
            </w:r>
            <w:r w:rsidR="00AD75EB">
              <w:rPr>
                <w:i/>
                <w:color w:val="000000" w:themeColor="text1"/>
                <w:sz w:val="20"/>
                <w:szCs w:val="16"/>
              </w:rPr>
              <w:t xml:space="preserve"> Customs paperwork processing and fees based on WB Doing Business online database.</w:t>
            </w:r>
            <w:r w:rsidR="000E3A24">
              <w:rPr>
                <w:i/>
                <w:color w:val="000000" w:themeColor="text1"/>
                <w:sz w:val="20"/>
                <w:szCs w:val="16"/>
              </w:rPr>
              <w:t xml:space="preserve"> </w:t>
            </w:r>
            <w:r>
              <w:rPr>
                <w:i/>
                <w:color w:val="000000" w:themeColor="text1"/>
                <w:sz w:val="20"/>
                <w:szCs w:val="16"/>
              </w:rPr>
              <w:t xml:space="preserve">Profit margins are </w:t>
            </w:r>
            <w:r w:rsidR="00AD75EB">
              <w:rPr>
                <w:i/>
                <w:color w:val="000000" w:themeColor="text1"/>
                <w:sz w:val="20"/>
                <w:szCs w:val="16"/>
              </w:rPr>
              <w:t>set at</w:t>
            </w:r>
            <w:r>
              <w:rPr>
                <w:i/>
                <w:color w:val="000000" w:themeColor="text1"/>
                <w:sz w:val="20"/>
                <w:szCs w:val="16"/>
              </w:rPr>
              <w:t xml:space="preserve"> 10</w:t>
            </w:r>
            <w:r w:rsidR="009414AA">
              <w:rPr>
                <w:i/>
                <w:color w:val="000000" w:themeColor="text1"/>
                <w:sz w:val="20"/>
                <w:szCs w:val="16"/>
              </w:rPr>
              <w:t xml:space="preserve"> percent</w:t>
            </w:r>
            <w:r>
              <w:rPr>
                <w:i/>
                <w:color w:val="000000" w:themeColor="text1"/>
                <w:sz w:val="20"/>
                <w:szCs w:val="16"/>
              </w:rPr>
              <w:t xml:space="preserve"> wholesale maize price and </w:t>
            </w:r>
            <w:r w:rsidR="008740E3">
              <w:rPr>
                <w:i/>
                <w:color w:val="000000" w:themeColor="text1"/>
                <w:sz w:val="20"/>
                <w:szCs w:val="16"/>
              </w:rPr>
              <w:t>0.</w:t>
            </w:r>
            <w:r>
              <w:rPr>
                <w:i/>
                <w:color w:val="000000" w:themeColor="text1"/>
                <w:sz w:val="20"/>
                <w:szCs w:val="16"/>
              </w:rPr>
              <w:t>5</w:t>
            </w:r>
            <w:r w:rsidR="009414AA">
              <w:rPr>
                <w:i/>
                <w:color w:val="000000" w:themeColor="text1"/>
                <w:sz w:val="20"/>
                <w:szCs w:val="16"/>
              </w:rPr>
              <w:t xml:space="preserve"> percent</w:t>
            </w:r>
            <w:r>
              <w:rPr>
                <w:i/>
                <w:color w:val="000000" w:themeColor="text1"/>
                <w:sz w:val="20"/>
                <w:szCs w:val="16"/>
              </w:rPr>
              <w:t xml:space="preserve"> of CIF maize prices, respectively.</w:t>
            </w:r>
          </w:p>
        </w:tc>
        <w:tc>
          <w:tcPr>
            <w:tcW w:w="3083" w:type="dxa"/>
          </w:tcPr>
          <w:p w:rsidR="00304AB0" w:rsidRPr="00231700" w:rsidRDefault="002D26FE" w:rsidP="002D26FE">
            <w:pPr>
              <w:rPr>
                <w:i/>
                <w:color w:val="000000" w:themeColor="text1"/>
                <w:sz w:val="20"/>
                <w:szCs w:val="16"/>
              </w:rPr>
            </w:pPr>
            <w:r>
              <w:rPr>
                <w:i/>
                <w:color w:val="000000" w:themeColor="text1"/>
                <w:sz w:val="20"/>
                <w:szCs w:val="16"/>
              </w:rPr>
              <w:t>Profit margins adjusted to the minimum margin</w:t>
            </w:r>
            <w:r w:rsidR="00AE01D6">
              <w:rPr>
                <w:i/>
                <w:color w:val="000000" w:themeColor="text1"/>
                <w:sz w:val="20"/>
                <w:szCs w:val="16"/>
              </w:rPr>
              <w:t xml:space="preserve"> (7</w:t>
            </w:r>
            <w:r w:rsidR="009414AA">
              <w:rPr>
                <w:i/>
                <w:color w:val="000000" w:themeColor="text1"/>
                <w:sz w:val="20"/>
                <w:szCs w:val="16"/>
              </w:rPr>
              <w:t xml:space="preserve"> percent</w:t>
            </w:r>
            <w:r w:rsidR="00AE01D6">
              <w:rPr>
                <w:i/>
                <w:color w:val="000000" w:themeColor="text1"/>
                <w:sz w:val="20"/>
                <w:szCs w:val="16"/>
              </w:rPr>
              <w:t>)</w:t>
            </w:r>
            <w:r>
              <w:rPr>
                <w:i/>
                <w:color w:val="000000" w:themeColor="text1"/>
                <w:sz w:val="20"/>
                <w:szCs w:val="16"/>
              </w:rPr>
              <w:t xml:space="preserve"> as a share of total investment costs along this segment of the value chain.</w:t>
            </w:r>
          </w:p>
        </w:tc>
      </w:tr>
      <w:tr w:rsidR="00304AB0" w:rsidRPr="00C476E0" w:rsidTr="009211D6">
        <w:tc>
          <w:tcPr>
            <w:tcW w:w="2518" w:type="dxa"/>
            <w:gridSpan w:val="2"/>
          </w:tcPr>
          <w:p w:rsidR="00304AB0" w:rsidRPr="00231700" w:rsidRDefault="00304AB0" w:rsidP="002E18E3">
            <w:pPr>
              <w:rPr>
                <w:color w:val="000000" w:themeColor="text1"/>
                <w:sz w:val="20"/>
                <w:szCs w:val="16"/>
              </w:rPr>
            </w:pPr>
            <w:r w:rsidRPr="00231700">
              <w:rPr>
                <w:color w:val="000000" w:themeColor="text1"/>
                <w:sz w:val="20"/>
                <w:szCs w:val="16"/>
              </w:rPr>
              <w:t xml:space="preserve">Access costs from </w:t>
            </w:r>
            <w:r w:rsidR="002E18E3" w:rsidRPr="00231700">
              <w:rPr>
                <w:color w:val="000000" w:themeColor="text1"/>
                <w:sz w:val="20"/>
                <w:szCs w:val="16"/>
              </w:rPr>
              <w:t>the point of competition</w:t>
            </w:r>
            <w:r w:rsidRPr="00231700">
              <w:rPr>
                <w:color w:val="000000" w:themeColor="text1"/>
                <w:sz w:val="20"/>
                <w:szCs w:val="16"/>
              </w:rPr>
              <w:t xml:space="preserve"> to farm gate</w:t>
            </w:r>
          </w:p>
        </w:tc>
        <w:tc>
          <w:tcPr>
            <w:tcW w:w="3685" w:type="dxa"/>
          </w:tcPr>
          <w:p w:rsidR="001D5059" w:rsidRPr="00231700" w:rsidRDefault="00A173D7" w:rsidP="00A173D7">
            <w:pPr>
              <w:rPr>
                <w:i/>
                <w:color w:val="000000" w:themeColor="text1"/>
                <w:sz w:val="20"/>
                <w:szCs w:val="16"/>
              </w:rPr>
            </w:pPr>
            <w:r>
              <w:rPr>
                <w:i/>
                <w:color w:val="000000" w:themeColor="text1"/>
                <w:sz w:val="20"/>
                <w:szCs w:val="16"/>
              </w:rPr>
              <w:t>Road transport costs</w:t>
            </w:r>
            <w:r w:rsidR="008740E3">
              <w:rPr>
                <w:i/>
                <w:color w:val="000000" w:themeColor="text1"/>
                <w:sz w:val="20"/>
                <w:szCs w:val="16"/>
              </w:rPr>
              <w:t xml:space="preserve"> gathered from SIMA</w:t>
            </w:r>
            <w:r>
              <w:rPr>
                <w:i/>
                <w:color w:val="000000" w:themeColor="text1"/>
                <w:sz w:val="20"/>
                <w:szCs w:val="16"/>
              </w:rPr>
              <w:t xml:space="preserve">, </w:t>
            </w:r>
            <w:r w:rsidR="008740E3">
              <w:rPr>
                <w:i/>
                <w:color w:val="000000" w:themeColor="text1"/>
                <w:sz w:val="20"/>
                <w:szCs w:val="16"/>
              </w:rPr>
              <w:t xml:space="preserve">while </w:t>
            </w:r>
            <w:r>
              <w:rPr>
                <w:i/>
                <w:color w:val="000000" w:themeColor="text1"/>
                <w:sz w:val="20"/>
                <w:szCs w:val="16"/>
              </w:rPr>
              <w:t xml:space="preserve">handling costs </w:t>
            </w:r>
            <w:r w:rsidR="008740E3">
              <w:rPr>
                <w:i/>
                <w:color w:val="000000" w:themeColor="text1"/>
                <w:sz w:val="20"/>
                <w:szCs w:val="16"/>
              </w:rPr>
              <w:t xml:space="preserve">and profit margins </w:t>
            </w:r>
            <w:r>
              <w:rPr>
                <w:i/>
                <w:color w:val="000000" w:themeColor="text1"/>
                <w:sz w:val="20"/>
                <w:szCs w:val="16"/>
              </w:rPr>
              <w:t>from previous studies.</w:t>
            </w:r>
          </w:p>
        </w:tc>
        <w:tc>
          <w:tcPr>
            <w:tcW w:w="3083" w:type="dxa"/>
          </w:tcPr>
          <w:p w:rsidR="00304AB0" w:rsidRPr="00231700" w:rsidRDefault="002D26FE" w:rsidP="00CB7DE5">
            <w:pPr>
              <w:rPr>
                <w:i/>
                <w:color w:val="000000" w:themeColor="text1"/>
                <w:sz w:val="20"/>
                <w:szCs w:val="16"/>
              </w:rPr>
            </w:pPr>
            <w:r>
              <w:rPr>
                <w:i/>
                <w:color w:val="000000" w:themeColor="text1"/>
                <w:sz w:val="20"/>
                <w:szCs w:val="16"/>
              </w:rPr>
              <w:t>Profit margins adjusted to the minimum margin</w:t>
            </w:r>
            <w:r w:rsidR="008740E3">
              <w:rPr>
                <w:i/>
                <w:color w:val="000000" w:themeColor="text1"/>
                <w:sz w:val="20"/>
                <w:szCs w:val="16"/>
              </w:rPr>
              <w:t xml:space="preserve"> (36</w:t>
            </w:r>
            <w:r w:rsidR="009414AA">
              <w:rPr>
                <w:i/>
                <w:color w:val="000000" w:themeColor="text1"/>
                <w:sz w:val="20"/>
                <w:szCs w:val="16"/>
              </w:rPr>
              <w:t xml:space="preserve"> percent</w:t>
            </w:r>
            <w:r w:rsidR="00AE01D6">
              <w:rPr>
                <w:i/>
                <w:color w:val="000000" w:themeColor="text1"/>
                <w:sz w:val="20"/>
                <w:szCs w:val="16"/>
              </w:rPr>
              <w:t>)</w:t>
            </w:r>
            <w:r>
              <w:rPr>
                <w:i/>
                <w:color w:val="000000" w:themeColor="text1"/>
                <w:sz w:val="20"/>
                <w:szCs w:val="16"/>
              </w:rPr>
              <w:t xml:space="preserve"> as a share of total investment costs along this segment of the value chain.</w:t>
            </w:r>
          </w:p>
        </w:tc>
      </w:tr>
      <w:tr w:rsidR="00304AB0" w:rsidRPr="00C476E0" w:rsidTr="009211D6">
        <w:tc>
          <w:tcPr>
            <w:tcW w:w="1270" w:type="dxa"/>
            <w:vMerge w:val="restart"/>
          </w:tcPr>
          <w:p w:rsidR="00304AB0" w:rsidRPr="00231700" w:rsidRDefault="00304AB0" w:rsidP="006F2143">
            <w:pPr>
              <w:rPr>
                <w:color w:val="000000" w:themeColor="text1"/>
                <w:sz w:val="20"/>
                <w:szCs w:val="16"/>
              </w:rPr>
            </w:pPr>
            <w:r w:rsidRPr="00231700">
              <w:rPr>
                <w:color w:val="000000" w:themeColor="text1"/>
                <w:sz w:val="20"/>
                <w:szCs w:val="16"/>
              </w:rPr>
              <w:t>QT adjustment</w:t>
            </w:r>
          </w:p>
        </w:tc>
        <w:tc>
          <w:tcPr>
            <w:tcW w:w="1248" w:type="dxa"/>
          </w:tcPr>
          <w:p w:rsidR="00304AB0" w:rsidRPr="00231700" w:rsidRDefault="0020742B" w:rsidP="006F2143">
            <w:pPr>
              <w:rPr>
                <w:color w:val="000000" w:themeColor="text1"/>
                <w:sz w:val="20"/>
                <w:szCs w:val="16"/>
              </w:rPr>
            </w:pPr>
            <w:r w:rsidRPr="00231700">
              <w:rPr>
                <w:color w:val="000000" w:themeColor="text1"/>
                <w:sz w:val="20"/>
                <w:szCs w:val="16"/>
              </w:rPr>
              <w:t>Bor-PoC</w:t>
            </w:r>
          </w:p>
        </w:tc>
        <w:tc>
          <w:tcPr>
            <w:tcW w:w="3685" w:type="dxa"/>
          </w:tcPr>
          <w:p w:rsidR="00304AB0" w:rsidRPr="00231700" w:rsidRDefault="00304AB0" w:rsidP="006F2143">
            <w:pPr>
              <w:jc w:val="center"/>
              <w:rPr>
                <w:i/>
                <w:color w:val="000000" w:themeColor="text1"/>
                <w:sz w:val="20"/>
                <w:szCs w:val="16"/>
              </w:rPr>
            </w:pPr>
            <w:r w:rsidRPr="00231700">
              <w:rPr>
                <w:i/>
                <w:color w:val="000000" w:themeColor="text1"/>
                <w:sz w:val="20"/>
                <w:szCs w:val="16"/>
              </w:rPr>
              <w:t>N.A.</w:t>
            </w:r>
          </w:p>
        </w:tc>
        <w:tc>
          <w:tcPr>
            <w:tcW w:w="3083" w:type="dxa"/>
          </w:tcPr>
          <w:p w:rsidR="00304AB0" w:rsidRPr="00231700" w:rsidRDefault="00304AB0" w:rsidP="006F2143">
            <w:pPr>
              <w:jc w:val="center"/>
              <w:rPr>
                <w:i/>
                <w:color w:val="000000" w:themeColor="text1"/>
                <w:sz w:val="20"/>
                <w:szCs w:val="16"/>
              </w:rPr>
            </w:pPr>
            <w:r w:rsidRPr="00231700">
              <w:rPr>
                <w:i/>
                <w:color w:val="000000" w:themeColor="text1"/>
                <w:sz w:val="20"/>
                <w:szCs w:val="16"/>
              </w:rPr>
              <w:t>N.A.</w:t>
            </w:r>
          </w:p>
        </w:tc>
      </w:tr>
      <w:tr w:rsidR="00304AB0" w:rsidRPr="00C476E0" w:rsidTr="009211D6">
        <w:tc>
          <w:tcPr>
            <w:tcW w:w="1270" w:type="dxa"/>
            <w:vMerge/>
          </w:tcPr>
          <w:p w:rsidR="00304AB0" w:rsidRPr="00231700" w:rsidRDefault="00304AB0" w:rsidP="006F2143">
            <w:pPr>
              <w:rPr>
                <w:color w:val="000000" w:themeColor="text1"/>
                <w:sz w:val="20"/>
                <w:szCs w:val="16"/>
              </w:rPr>
            </w:pPr>
          </w:p>
        </w:tc>
        <w:tc>
          <w:tcPr>
            <w:tcW w:w="1248" w:type="dxa"/>
          </w:tcPr>
          <w:p w:rsidR="00304AB0" w:rsidRPr="00231700" w:rsidRDefault="0020742B" w:rsidP="006F2143">
            <w:pPr>
              <w:rPr>
                <w:color w:val="000000" w:themeColor="text1"/>
                <w:sz w:val="20"/>
                <w:szCs w:val="16"/>
              </w:rPr>
            </w:pPr>
            <w:r w:rsidRPr="00231700">
              <w:rPr>
                <w:color w:val="000000" w:themeColor="text1"/>
                <w:sz w:val="20"/>
                <w:szCs w:val="16"/>
              </w:rPr>
              <w:t xml:space="preserve">PoC </w:t>
            </w:r>
            <w:r w:rsidR="00304AB0" w:rsidRPr="00231700">
              <w:rPr>
                <w:color w:val="000000" w:themeColor="text1"/>
                <w:sz w:val="20"/>
                <w:szCs w:val="16"/>
              </w:rPr>
              <w:t>-FG</w:t>
            </w:r>
          </w:p>
        </w:tc>
        <w:tc>
          <w:tcPr>
            <w:tcW w:w="3685" w:type="dxa"/>
          </w:tcPr>
          <w:p w:rsidR="00304AB0" w:rsidRPr="00231700" w:rsidRDefault="00304AB0" w:rsidP="006F2143">
            <w:pPr>
              <w:jc w:val="center"/>
              <w:rPr>
                <w:i/>
                <w:color w:val="000000" w:themeColor="text1"/>
                <w:sz w:val="20"/>
                <w:szCs w:val="16"/>
              </w:rPr>
            </w:pPr>
            <w:r w:rsidRPr="00231700">
              <w:rPr>
                <w:i/>
                <w:color w:val="000000" w:themeColor="text1"/>
                <w:sz w:val="20"/>
                <w:szCs w:val="16"/>
              </w:rPr>
              <w:t>N.A.</w:t>
            </w:r>
          </w:p>
        </w:tc>
        <w:tc>
          <w:tcPr>
            <w:tcW w:w="3083" w:type="dxa"/>
          </w:tcPr>
          <w:p w:rsidR="00304AB0" w:rsidRPr="00231700" w:rsidRDefault="00304AB0" w:rsidP="006F2143">
            <w:pPr>
              <w:jc w:val="center"/>
              <w:rPr>
                <w:i/>
                <w:color w:val="000000" w:themeColor="text1"/>
                <w:sz w:val="20"/>
                <w:szCs w:val="16"/>
              </w:rPr>
            </w:pPr>
            <w:r w:rsidRPr="00231700">
              <w:rPr>
                <w:i/>
                <w:color w:val="000000" w:themeColor="text1"/>
                <w:sz w:val="20"/>
                <w:szCs w:val="16"/>
              </w:rPr>
              <w:t>N.A.</w:t>
            </w:r>
          </w:p>
        </w:tc>
      </w:tr>
      <w:tr w:rsidR="00304AB0" w:rsidRPr="00C476E0" w:rsidTr="009211D6">
        <w:tc>
          <w:tcPr>
            <w:tcW w:w="1270" w:type="dxa"/>
            <w:vMerge w:val="restart"/>
          </w:tcPr>
          <w:p w:rsidR="00304AB0" w:rsidRPr="00231700" w:rsidRDefault="00304AB0" w:rsidP="006F2143">
            <w:pPr>
              <w:rPr>
                <w:color w:val="000000" w:themeColor="text1"/>
                <w:sz w:val="20"/>
                <w:szCs w:val="16"/>
              </w:rPr>
            </w:pPr>
            <w:r w:rsidRPr="00231700">
              <w:rPr>
                <w:color w:val="000000" w:themeColor="text1"/>
                <w:sz w:val="20"/>
                <w:szCs w:val="16"/>
              </w:rPr>
              <w:t>QL adjustment</w:t>
            </w:r>
          </w:p>
        </w:tc>
        <w:tc>
          <w:tcPr>
            <w:tcW w:w="1248" w:type="dxa"/>
          </w:tcPr>
          <w:p w:rsidR="00304AB0" w:rsidRPr="00231700" w:rsidRDefault="00304AB0" w:rsidP="006F2143">
            <w:pPr>
              <w:rPr>
                <w:color w:val="000000" w:themeColor="text1"/>
                <w:sz w:val="20"/>
                <w:szCs w:val="16"/>
              </w:rPr>
            </w:pPr>
            <w:r w:rsidRPr="00231700">
              <w:rPr>
                <w:color w:val="000000" w:themeColor="text1"/>
                <w:sz w:val="20"/>
                <w:szCs w:val="16"/>
              </w:rPr>
              <w:t>Bor-</w:t>
            </w:r>
            <w:r w:rsidR="0020742B" w:rsidRPr="00231700">
              <w:rPr>
                <w:color w:val="000000" w:themeColor="text1"/>
                <w:sz w:val="20"/>
                <w:szCs w:val="16"/>
              </w:rPr>
              <w:t xml:space="preserve"> PoC</w:t>
            </w:r>
          </w:p>
        </w:tc>
        <w:tc>
          <w:tcPr>
            <w:tcW w:w="3685" w:type="dxa"/>
          </w:tcPr>
          <w:p w:rsidR="00304AB0" w:rsidRPr="00231700" w:rsidRDefault="00304AB0" w:rsidP="006F2143">
            <w:pPr>
              <w:jc w:val="center"/>
              <w:rPr>
                <w:i/>
                <w:color w:val="000000" w:themeColor="text1"/>
                <w:sz w:val="20"/>
                <w:szCs w:val="16"/>
              </w:rPr>
            </w:pPr>
            <w:r w:rsidRPr="00231700">
              <w:rPr>
                <w:i/>
                <w:color w:val="000000" w:themeColor="text1"/>
                <w:sz w:val="20"/>
                <w:szCs w:val="16"/>
              </w:rPr>
              <w:t>N.A.</w:t>
            </w:r>
          </w:p>
        </w:tc>
        <w:tc>
          <w:tcPr>
            <w:tcW w:w="3083" w:type="dxa"/>
          </w:tcPr>
          <w:p w:rsidR="00304AB0" w:rsidRPr="00231700" w:rsidRDefault="00304AB0" w:rsidP="006F2143">
            <w:pPr>
              <w:jc w:val="center"/>
              <w:rPr>
                <w:i/>
                <w:color w:val="000000" w:themeColor="text1"/>
                <w:sz w:val="20"/>
                <w:szCs w:val="16"/>
              </w:rPr>
            </w:pPr>
            <w:r w:rsidRPr="00231700">
              <w:rPr>
                <w:i/>
                <w:color w:val="000000" w:themeColor="text1"/>
                <w:sz w:val="20"/>
                <w:szCs w:val="16"/>
              </w:rPr>
              <w:t>N.A.</w:t>
            </w:r>
          </w:p>
        </w:tc>
      </w:tr>
      <w:tr w:rsidR="00304AB0" w:rsidRPr="00C476E0" w:rsidTr="009211D6">
        <w:tc>
          <w:tcPr>
            <w:tcW w:w="1270" w:type="dxa"/>
            <w:vMerge/>
          </w:tcPr>
          <w:p w:rsidR="00304AB0" w:rsidRPr="00231700" w:rsidRDefault="00304AB0" w:rsidP="006F2143">
            <w:pPr>
              <w:rPr>
                <w:color w:val="000000" w:themeColor="text1"/>
                <w:sz w:val="20"/>
                <w:szCs w:val="16"/>
              </w:rPr>
            </w:pPr>
          </w:p>
        </w:tc>
        <w:tc>
          <w:tcPr>
            <w:tcW w:w="1248" w:type="dxa"/>
          </w:tcPr>
          <w:p w:rsidR="00304AB0" w:rsidRPr="00231700" w:rsidRDefault="0020742B" w:rsidP="006F2143">
            <w:pPr>
              <w:rPr>
                <w:color w:val="000000" w:themeColor="text1"/>
                <w:sz w:val="20"/>
                <w:szCs w:val="16"/>
              </w:rPr>
            </w:pPr>
            <w:r w:rsidRPr="00231700">
              <w:rPr>
                <w:color w:val="000000" w:themeColor="text1"/>
                <w:sz w:val="20"/>
                <w:szCs w:val="16"/>
              </w:rPr>
              <w:t xml:space="preserve">PoC </w:t>
            </w:r>
            <w:r w:rsidR="00304AB0" w:rsidRPr="00231700">
              <w:rPr>
                <w:color w:val="000000" w:themeColor="text1"/>
                <w:sz w:val="20"/>
                <w:szCs w:val="16"/>
              </w:rPr>
              <w:t>-FG</w:t>
            </w:r>
          </w:p>
        </w:tc>
        <w:tc>
          <w:tcPr>
            <w:tcW w:w="3685" w:type="dxa"/>
          </w:tcPr>
          <w:p w:rsidR="00304AB0" w:rsidRPr="00231700" w:rsidRDefault="00304AB0" w:rsidP="006F2143">
            <w:pPr>
              <w:jc w:val="center"/>
              <w:rPr>
                <w:i/>
                <w:color w:val="000000" w:themeColor="text1"/>
                <w:sz w:val="20"/>
                <w:szCs w:val="16"/>
              </w:rPr>
            </w:pPr>
            <w:r w:rsidRPr="00231700">
              <w:rPr>
                <w:i/>
                <w:color w:val="000000" w:themeColor="text1"/>
                <w:sz w:val="20"/>
                <w:szCs w:val="16"/>
              </w:rPr>
              <w:t>N.A.</w:t>
            </w:r>
          </w:p>
        </w:tc>
        <w:tc>
          <w:tcPr>
            <w:tcW w:w="3083" w:type="dxa"/>
          </w:tcPr>
          <w:p w:rsidR="00304AB0" w:rsidRPr="00231700" w:rsidRDefault="00304AB0" w:rsidP="006F2143">
            <w:pPr>
              <w:jc w:val="center"/>
              <w:rPr>
                <w:i/>
                <w:color w:val="000000" w:themeColor="text1"/>
                <w:sz w:val="20"/>
                <w:szCs w:val="16"/>
              </w:rPr>
            </w:pPr>
            <w:r w:rsidRPr="00231700">
              <w:rPr>
                <w:i/>
                <w:color w:val="000000" w:themeColor="text1"/>
                <w:sz w:val="20"/>
                <w:szCs w:val="16"/>
              </w:rPr>
              <w:t>N.A.</w:t>
            </w:r>
          </w:p>
        </w:tc>
      </w:tr>
    </w:tbl>
    <w:p w:rsidR="00104941" w:rsidRPr="00C476E0" w:rsidRDefault="00104941" w:rsidP="00304AB0">
      <w:pPr>
        <w:rPr>
          <w:highlight w:val="yellow"/>
        </w:rPr>
        <w:sectPr w:rsidR="00104941" w:rsidRPr="00C476E0" w:rsidSect="00A60BEC">
          <w:pgSz w:w="11906" w:h="16838"/>
          <w:pgMar w:top="1418" w:right="1418" w:bottom="1418" w:left="1418" w:header="708" w:footer="708" w:gutter="0"/>
          <w:cols w:space="708"/>
          <w:docGrid w:linePitch="360"/>
        </w:sectPr>
      </w:pPr>
    </w:p>
    <w:p w:rsidR="00304AB0" w:rsidRPr="000D5A2C" w:rsidRDefault="00472637" w:rsidP="00304AB0">
      <w:r w:rsidRPr="000D5A2C">
        <w:lastRenderedPageBreak/>
        <w:t>The data used for this analysis is summarized below.</w:t>
      </w:r>
    </w:p>
    <w:p w:rsidR="003649CB" w:rsidRDefault="003649CB" w:rsidP="003649CB">
      <w:pPr>
        <w:pStyle w:val="Caption"/>
        <w:keepNext/>
      </w:pPr>
      <w:r>
        <w:t xml:space="preserve">Table </w:t>
      </w:r>
      <w:r w:rsidR="00323EC3">
        <w:fldChar w:fldCharType="begin"/>
      </w:r>
      <w:r>
        <w:instrText xml:space="preserve"> SEQ Table \* ARABIC </w:instrText>
      </w:r>
      <w:r w:rsidR="00323EC3">
        <w:fldChar w:fldCharType="separate"/>
      </w:r>
      <w:r w:rsidR="00D147FD">
        <w:rPr>
          <w:noProof/>
        </w:rPr>
        <w:t>6</w:t>
      </w:r>
      <w:r w:rsidR="00323EC3">
        <w:fldChar w:fldCharType="end"/>
      </w:r>
      <w:r>
        <w:rPr>
          <w:noProof/>
        </w:rPr>
        <w:t xml:space="preserve"> </w:t>
      </w:r>
      <w:r w:rsidRPr="00BF4E93">
        <w:rPr>
          <w:noProof/>
        </w:rPr>
        <w:t xml:space="preserve">Data used for </w:t>
      </w:r>
      <w:r>
        <w:rPr>
          <w:noProof/>
        </w:rPr>
        <w:t>maize</w:t>
      </w:r>
      <w:r w:rsidRPr="00BF4E93">
        <w:rPr>
          <w:noProof/>
        </w:rPr>
        <w:t xml:space="preserve"> analysis</w:t>
      </w:r>
    </w:p>
    <w:tbl>
      <w:tblPr>
        <w:tblStyle w:val="MediumGrid3-Accent3"/>
        <w:tblpPr w:leftFromText="180" w:rightFromText="180" w:vertAnchor="text" w:horzAnchor="margin" w:tblpXSpec="center" w:tblpY="164"/>
        <w:tblW w:w="15662" w:type="dxa"/>
        <w:tblLayout w:type="fixed"/>
        <w:tblLook w:val="04A0" w:firstRow="1" w:lastRow="0" w:firstColumn="1" w:lastColumn="0" w:noHBand="0" w:noVBand="1"/>
      </w:tblPr>
      <w:tblGrid>
        <w:gridCol w:w="2376"/>
        <w:gridCol w:w="1090"/>
        <w:gridCol w:w="850"/>
        <w:gridCol w:w="1370"/>
        <w:gridCol w:w="1247"/>
        <w:gridCol w:w="1247"/>
        <w:gridCol w:w="1247"/>
        <w:gridCol w:w="1247"/>
        <w:gridCol w:w="1247"/>
        <w:gridCol w:w="1247"/>
        <w:gridCol w:w="1247"/>
        <w:gridCol w:w="1247"/>
      </w:tblGrid>
      <w:tr w:rsidR="00A03DFA" w:rsidRPr="00C476E0" w:rsidTr="00F86C58">
        <w:trPr>
          <w:cnfStyle w:val="100000000000" w:firstRow="1" w:lastRow="0" w:firstColumn="0" w:lastColumn="0" w:oddVBand="0" w:evenVBand="0" w:oddHBand="0"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376" w:type="dxa"/>
          </w:tcPr>
          <w:p w:rsidR="000D5A2C" w:rsidRPr="00841DB3" w:rsidRDefault="000D5A2C" w:rsidP="007052C7">
            <w:pPr>
              <w:jc w:val="center"/>
              <w:rPr>
                <w:rFonts w:cs="Arial"/>
                <w:b w:val="0"/>
                <w:bCs w:val="0"/>
                <w:color w:val="000000"/>
                <w:sz w:val="16"/>
                <w:szCs w:val="16"/>
              </w:rPr>
            </w:pPr>
            <w:r w:rsidRPr="00841DB3">
              <w:rPr>
                <w:rFonts w:cs="Arial"/>
                <w:b w:val="0"/>
                <w:bCs w:val="0"/>
                <w:color w:val="000000"/>
                <w:sz w:val="16"/>
                <w:szCs w:val="16"/>
              </w:rPr>
              <w:t> </w:t>
            </w:r>
          </w:p>
        </w:tc>
        <w:tc>
          <w:tcPr>
            <w:tcW w:w="1090" w:type="dxa"/>
          </w:tcPr>
          <w:p w:rsidR="000D5A2C" w:rsidRPr="00841DB3" w:rsidRDefault="000D5A2C" w:rsidP="007052C7">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6"/>
                <w:szCs w:val="16"/>
              </w:rPr>
            </w:pPr>
            <w:r w:rsidRPr="00841DB3">
              <w:rPr>
                <w:rFonts w:cs="Arial"/>
                <w:i/>
                <w:iCs/>
                <w:color w:val="000000"/>
                <w:sz w:val="16"/>
                <w:szCs w:val="16"/>
              </w:rPr>
              <w:t> </w:t>
            </w:r>
          </w:p>
        </w:tc>
        <w:tc>
          <w:tcPr>
            <w:tcW w:w="850" w:type="dxa"/>
          </w:tcPr>
          <w:p w:rsidR="000D5A2C" w:rsidRPr="00841DB3" w:rsidRDefault="000D5A2C" w:rsidP="007052C7">
            <w:pPr>
              <w:jc w:val="center"/>
              <w:cnfStyle w:val="100000000000" w:firstRow="1" w:lastRow="0" w:firstColumn="0" w:lastColumn="0" w:oddVBand="0" w:evenVBand="0" w:oddHBand="0" w:evenHBand="0" w:firstRowFirstColumn="0" w:firstRowLastColumn="0" w:lastRowFirstColumn="0" w:lastRowLastColumn="0"/>
              <w:rPr>
                <w:rFonts w:cs="Arial"/>
                <w:iCs/>
                <w:color w:val="000000"/>
                <w:sz w:val="16"/>
                <w:szCs w:val="16"/>
              </w:rPr>
            </w:pPr>
            <w:r w:rsidRPr="00841DB3">
              <w:rPr>
                <w:rFonts w:cs="Arial"/>
                <w:iCs/>
                <w:color w:val="000000"/>
                <w:sz w:val="16"/>
                <w:szCs w:val="16"/>
              </w:rPr>
              <w:t>Year</w:t>
            </w:r>
          </w:p>
        </w:tc>
        <w:tc>
          <w:tcPr>
            <w:tcW w:w="1370" w:type="dxa"/>
          </w:tcPr>
          <w:p w:rsidR="000D5A2C" w:rsidRPr="00841DB3" w:rsidRDefault="000D5A2C" w:rsidP="007052C7">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6"/>
                <w:szCs w:val="16"/>
              </w:rPr>
            </w:pPr>
            <w:r w:rsidRPr="00841DB3">
              <w:rPr>
                <w:rFonts w:cs="Arial"/>
                <w:i/>
                <w:iCs/>
                <w:color w:val="000000"/>
                <w:sz w:val="16"/>
                <w:szCs w:val="16"/>
              </w:rPr>
              <w:t>2005</w:t>
            </w:r>
          </w:p>
        </w:tc>
        <w:tc>
          <w:tcPr>
            <w:tcW w:w="1247" w:type="dxa"/>
          </w:tcPr>
          <w:p w:rsidR="000D5A2C" w:rsidRPr="00841DB3" w:rsidRDefault="000D5A2C" w:rsidP="007052C7">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6"/>
                <w:szCs w:val="16"/>
              </w:rPr>
            </w:pPr>
            <w:r w:rsidRPr="00841DB3">
              <w:rPr>
                <w:rFonts w:cs="Arial"/>
                <w:i/>
                <w:iCs/>
                <w:color w:val="000000"/>
                <w:sz w:val="16"/>
                <w:szCs w:val="16"/>
              </w:rPr>
              <w:t>2006</w:t>
            </w:r>
          </w:p>
        </w:tc>
        <w:tc>
          <w:tcPr>
            <w:tcW w:w="1247" w:type="dxa"/>
          </w:tcPr>
          <w:p w:rsidR="000D5A2C" w:rsidRPr="00841DB3" w:rsidRDefault="000D5A2C" w:rsidP="007052C7">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6"/>
                <w:szCs w:val="16"/>
              </w:rPr>
            </w:pPr>
            <w:r w:rsidRPr="00841DB3">
              <w:rPr>
                <w:rFonts w:cs="Arial"/>
                <w:i/>
                <w:iCs/>
                <w:color w:val="000000"/>
                <w:sz w:val="16"/>
                <w:szCs w:val="16"/>
              </w:rPr>
              <w:t>2007</w:t>
            </w:r>
          </w:p>
        </w:tc>
        <w:tc>
          <w:tcPr>
            <w:tcW w:w="1247" w:type="dxa"/>
          </w:tcPr>
          <w:p w:rsidR="000D5A2C" w:rsidRPr="00841DB3" w:rsidRDefault="000D5A2C" w:rsidP="007052C7">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6"/>
                <w:szCs w:val="16"/>
              </w:rPr>
            </w:pPr>
            <w:r w:rsidRPr="00841DB3">
              <w:rPr>
                <w:rFonts w:cs="Arial"/>
                <w:i/>
                <w:iCs/>
                <w:color w:val="000000"/>
                <w:sz w:val="16"/>
                <w:szCs w:val="16"/>
              </w:rPr>
              <w:t>2008</w:t>
            </w:r>
          </w:p>
        </w:tc>
        <w:tc>
          <w:tcPr>
            <w:tcW w:w="1247" w:type="dxa"/>
          </w:tcPr>
          <w:p w:rsidR="000D5A2C" w:rsidRPr="00841DB3" w:rsidRDefault="000D5A2C" w:rsidP="007052C7">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6"/>
                <w:szCs w:val="16"/>
              </w:rPr>
            </w:pPr>
            <w:r w:rsidRPr="00841DB3">
              <w:rPr>
                <w:rFonts w:cs="Arial"/>
                <w:i/>
                <w:iCs/>
                <w:color w:val="000000"/>
                <w:sz w:val="16"/>
                <w:szCs w:val="16"/>
              </w:rPr>
              <w:t>2009</w:t>
            </w:r>
          </w:p>
        </w:tc>
        <w:tc>
          <w:tcPr>
            <w:tcW w:w="1247" w:type="dxa"/>
          </w:tcPr>
          <w:p w:rsidR="000D5A2C" w:rsidRPr="00841DB3" w:rsidRDefault="000D5A2C" w:rsidP="007052C7">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6"/>
                <w:szCs w:val="16"/>
              </w:rPr>
            </w:pPr>
            <w:r w:rsidRPr="00841DB3">
              <w:rPr>
                <w:rFonts w:cs="Arial"/>
                <w:i/>
                <w:iCs/>
                <w:color w:val="000000"/>
                <w:sz w:val="16"/>
                <w:szCs w:val="16"/>
              </w:rPr>
              <w:t>2010</w:t>
            </w:r>
          </w:p>
        </w:tc>
        <w:tc>
          <w:tcPr>
            <w:tcW w:w="1247" w:type="dxa"/>
          </w:tcPr>
          <w:p w:rsidR="000D5A2C" w:rsidRPr="00D108BD" w:rsidRDefault="000D5A2C" w:rsidP="007052C7">
            <w:pPr>
              <w:jc w:val="center"/>
              <w:cnfStyle w:val="100000000000" w:firstRow="1" w:lastRow="0" w:firstColumn="0" w:lastColumn="0" w:oddVBand="0" w:evenVBand="0" w:oddHBand="0" w:evenHBand="0" w:firstRowFirstColumn="0" w:firstRowLastColumn="0" w:lastRowFirstColumn="0" w:lastRowLastColumn="0"/>
              <w:rPr>
                <w:rFonts w:cs="Arial"/>
                <w:i/>
                <w:iCs/>
                <w:color w:val="auto"/>
                <w:sz w:val="16"/>
                <w:szCs w:val="16"/>
              </w:rPr>
            </w:pPr>
            <w:r w:rsidRPr="00D108BD">
              <w:rPr>
                <w:rFonts w:cs="Arial"/>
                <w:i/>
                <w:iCs/>
                <w:color w:val="auto"/>
                <w:sz w:val="16"/>
                <w:szCs w:val="16"/>
              </w:rPr>
              <w:t>2011</w:t>
            </w:r>
          </w:p>
        </w:tc>
        <w:tc>
          <w:tcPr>
            <w:tcW w:w="1247" w:type="dxa"/>
          </w:tcPr>
          <w:p w:rsidR="000D5A2C" w:rsidRPr="00D108BD" w:rsidRDefault="000D5A2C" w:rsidP="007052C7">
            <w:pPr>
              <w:jc w:val="center"/>
              <w:cnfStyle w:val="100000000000" w:firstRow="1" w:lastRow="0" w:firstColumn="0" w:lastColumn="0" w:oddVBand="0" w:evenVBand="0" w:oddHBand="0" w:evenHBand="0" w:firstRowFirstColumn="0" w:firstRowLastColumn="0" w:lastRowFirstColumn="0" w:lastRowLastColumn="0"/>
              <w:rPr>
                <w:rFonts w:cs="Arial"/>
                <w:i/>
                <w:iCs/>
                <w:color w:val="auto"/>
                <w:sz w:val="16"/>
                <w:szCs w:val="16"/>
              </w:rPr>
            </w:pPr>
            <w:r w:rsidRPr="00D108BD">
              <w:rPr>
                <w:rFonts w:cs="Arial"/>
                <w:i/>
                <w:iCs/>
                <w:color w:val="auto"/>
                <w:sz w:val="16"/>
                <w:szCs w:val="16"/>
              </w:rPr>
              <w:t>2012</w:t>
            </w:r>
          </w:p>
        </w:tc>
        <w:tc>
          <w:tcPr>
            <w:tcW w:w="1247" w:type="dxa"/>
          </w:tcPr>
          <w:p w:rsidR="000D5A2C" w:rsidRPr="00D108BD" w:rsidRDefault="000D5A2C" w:rsidP="007052C7">
            <w:pPr>
              <w:jc w:val="center"/>
              <w:cnfStyle w:val="100000000000" w:firstRow="1" w:lastRow="0" w:firstColumn="0" w:lastColumn="0" w:oddVBand="0" w:evenVBand="0" w:oddHBand="0" w:evenHBand="0" w:firstRowFirstColumn="0" w:firstRowLastColumn="0" w:lastRowFirstColumn="0" w:lastRowLastColumn="0"/>
              <w:rPr>
                <w:rFonts w:cs="Arial"/>
                <w:i/>
                <w:iCs/>
                <w:color w:val="auto"/>
                <w:sz w:val="16"/>
                <w:szCs w:val="16"/>
              </w:rPr>
            </w:pPr>
            <w:r w:rsidRPr="00D108BD">
              <w:rPr>
                <w:rFonts w:cs="Arial"/>
                <w:i/>
                <w:iCs/>
                <w:color w:val="auto"/>
                <w:sz w:val="16"/>
                <w:szCs w:val="16"/>
              </w:rPr>
              <w:t>2013</w:t>
            </w:r>
          </w:p>
        </w:tc>
      </w:tr>
      <w:tr w:rsidR="00A03DFA" w:rsidRPr="00C476E0" w:rsidTr="00F86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D5A2C" w:rsidRPr="00841DB3" w:rsidRDefault="000D5A2C" w:rsidP="007052C7">
            <w:pPr>
              <w:jc w:val="center"/>
              <w:rPr>
                <w:rFonts w:cs="Arial"/>
                <w:b w:val="0"/>
                <w:bCs w:val="0"/>
                <w:color w:val="000000"/>
                <w:sz w:val="16"/>
                <w:szCs w:val="16"/>
              </w:rPr>
            </w:pPr>
          </w:p>
        </w:tc>
        <w:tc>
          <w:tcPr>
            <w:tcW w:w="1090" w:type="dxa"/>
          </w:tcPr>
          <w:p w:rsidR="000D5A2C" w:rsidRPr="00841DB3" w:rsidRDefault="000D5A2C" w:rsidP="007052C7">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6"/>
                <w:szCs w:val="16"/>
              </w:rPr>
            </w:pPr>
          </w:p>
        </w:tc>
        <w:tc>
          <w:tcPr>
            <w:tcW w:w="850" w:type="dxa"/>
          </w:tcPr>
          <w:p w:rsidR="000D5A2C" w:rsidRPr="00841DB3" w:rsidRDefault="000D5A2C" w:rsidP="007052C7">
            <w:pPr>
              <w:jc w:val="center"/>
              <w:cnfStyle w:val="000000100000" w:firstRow="0" w:lastRow="0" w:firstColumn="0" w:lastColumn="0" w:oddVBand="0" w:evenVBand="0" w:oddHBand="1" w:evenHBand="0" w:firstRowFirstColumn="0" w:firstRowLastColumn="0" w:lastRowFirstColumn="0" w:lastRowLastColumn="0"/>
              <w:rPr>
                <w:rFonts w:cs="Arial"/>
                <w:iCs/>
                <w:color w:val="000000"/>
                <w:sz w:val="16"/>
                <w:szCs w:val="16"/>
              </w:rPr>
            </w:pPr>
            <w:r w:rsidRPr="00841DB3">
              <w:rPr>
                <w:rFonts w:cs="Arial"/>
                <w:iCs/>
                <w:color w:val="000000"/>
                <w:sz w:val="16"/>
                <w:szCs w:val="16"/>
              </w:rPr>
              <w:t>trade status</w:t>
            </w:r>
          </w:p>
        </w:tc>
        <w:tc>
          <w:tcPr>
            <w:tcW w:w="1370" w:type="dxa"/>
          </w:tcPr>
          <w:p w:rsidR="000D5A2C" w:rsidRPr="00841DB3" w:rsidRDefault="008740E3" w:rsidP="00A0675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6"/>
                <w:szCs w:val="16"/>
              </w:rPr>
            </w:pPr>
            <w:r>
              <w:rPr>
                <w:rFonts w:eastAsia="Times New Roman" w:cstheme="minorHAnsi"/>
                <w:i/>
                <w:iCs/>
                <w:color w:val="000000"/>
                <w:sz w:val="16"/>
                <w:szCs w:val="16"/>
              </w:rPr>
              <w:t>m</w:t>
            </w:r>
          </w:p>
        </w:tc>
        <w:tc>
          <w:tcPr>
            <w:tcW w:w="1247" w:type="dxa"/>
          </w:tcPr>
          <w:p w:rsidR="000D5A2C" w:rsidRPr="00841DB3" w:rsidRDefault="008740E3" w:rsidP="00A0675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6"/>
                <w:szCs w:val="16"/>
              </w:rPr>
            </w:pPr>
            <w:r>
              <w:rPr>
                <w:rFonts w:eastAsia="Times New Roman" w:cstheme="minorHAnsi"/>
                <w:i/>
                <w:iCs/>
                <w:color w:val="000000"/>
                <w:sz w:val="16"/>
                <w:szCs w:val="16"/>
              </w:rPr>
              <w:t>m</w:t>
            </w:r>
          </w:p>
        </w:tc>
        <w:tc>
          <w:tcPr>
            <w:tcW w:w="1247" w:type="dxa"/>
          </w:tcPr>
          <w:p w:rsidR="000D5A2C" w:rsidRPr="00841DB3" w:rsidRDefault="008740E3" w:rsidP="00A0675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6"/>
                <w:szCs w:val="16"/>
              </w:rPr>
            </w:pPr>
            <w:r>
              <w:rPr>
                <w:rFonts w:eastAsia="Times New Roman" w:cstheme="minorHAnsi"/>
                <w:i/>
                <w:iCs/>
                <w:color w:val="000000"/>
                <w:sz w:val="16"/>
                <w:szCs w:val="16"/>
              </w:rPr>
              <w:t>m</w:t>
            </w:r>
          </w:p>
        </w:tc>
        <w:tc>
          <w:tcPr>
            <w:tcW w:w="1247" w:type="dxa"/>
          </w:tcPr>
          <w:p w:rsidR="000D5A2C" w:rsidRPr="00841DB3" w:rsidRDefault="008740E3" w:rsidP="00A0675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6"/>
                <w:szCs w:val="16"/>
              </w:rPr>
            </w:pPr>
            <w:r>
              <w:rPr>
                <w:rFonts w:eastAsia="Times New Roman" w:cstheme="minorHAnsi"/>
                <w:i/>
                <w:iCs/>
                <w:color w:val="000000"/>
                <w:sz w:val="16"/>
                <w:szCs w:val="16"/>
              </w:rPr>
              <w:t>m</w:t>
            </w:r>
          </w:p>
        </w:tc>
        <w:tc>
          <w:tcPr>
            <w:tcW w:w="1247" w:type="dxa"/>
          </w:tcPr>
          <w:p w:rsidR="000D5A2C" w:rsidRPr="00841DB3" w:rsidRDefault="008740E3" w:rsidP="00A0675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6"/>
                <w:szCs w:val="16"/>
              </w:rPr>
            </w:pPr>
            <w:r>
              <w:rPr>
                <w:rFonts w:eastAsia="Times New Roman" w:cstheme="minorHAnsi"/>
                <w:i/>
                <w:iCs/>
                <w:color w:val="000000"/>
                <w:sz w:val="16"/>
                <w:szCs w:val="16"/>
              </w:rPr>
              <w:t>m</w:t>
            </w:r>
          </w:p>
        </w:tc>
        <w:tc>
          <w:tcPr>
            <w:tcW w:w="1247" w:type="dxa"/>
          </w:tcPr>
          <w:p w:rsidR="000D5A2C" w:rsidRPr="00841DB3" w:rsidRDefault="008740E3" w:rsidP="00A0675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6"/>
                <w:szCs w:val="16"/>
              </w:rPr>
            </w:pPr>
            <w:r>
              <w:rPr>
                <w:rFonts w:eastAsia="Times New Roman" w:cstheme="minorHAnsi"/>
                <w:i/>
                <w:iCs/>
                <w:color w:val="000000"/>
                <w:sz w:val="16"/>
                <w:szCs w:val="16"/>
              </w:rPr>
              <w:t>m</w:t>
            </w:r>
          </w:p>
        </w:tc>
        <w:tc>
          <w:tcPr>
            <w:tcW w:w="1247" w:type="dxa"/>
          </w:tcPr>
          <w:p w:rsidR="000D5A2C" w:rsidRPr="00841DB3" w:rsidRDefault="008740E3" w:rsidP="00A0675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6"/>
                <w:szCs w:val="16"/>
              </w:rPr>
            </w:pPr>
            <w:r>
              <w:rPr>
                <w:rFonts w:eastAsia="Times New Roman" w:cstheme="minorHAnsi"/>
                <w:i/>
                <w:iCs/>
                <w:color w:val="000000"/>
                <w:sz w:val="16"/>
                <w:szCs w:val="16"/>
              </w:rPr>
              <w:t>m</w:t>
            </w:r>
          </w:p>
        </w:tc>
        <w:tc>
          <w:tcPr>
            <w:tcW w:w="1247" w:type="dxa"/>
          </w:tcPr>
          <w:p w:rsidR="000D5A2C" w:rsidRPr="00841DB3" w:rsidRDefault="008740E3" w:rsidP="00A0675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6"/>
                <w:szCs w:val="16"/>
              </w:rPr>
            </w:pPr>
            <w:r>
              <w:rPr>
                <w:rFonts w:eastAsia="Times New Roman" w:cstheme="minorHAnsi"/>
                <w:i/>
                <w:iCs/>
                <w:color w:val="000000"/>
                <w:sz w:val="16"/>
                <w:szCs w:val="16"/>
              </w:rPr>
              <w:t>m</w:t>
            </w:r>
          </w:p>
        </w:tc>
        <w:tc>
          <w:tcPr>
            <w:tcW w:w="1247" w:type="dxa"/>
          </w:tcPr>
          <w:p w:rsidR="000D5A2C" w:rsidRPr="00841DB3" w:rsidRDefault="008740E3" w:rsidP="00A0675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6"/>
                <w:szCs w:val="16"/>
              </w:rPr>
            </w:pPr>
            <w:r>
              <w:rPr>
                <w:rFonts w:eastAsia="Times New Roman" w:cstheme="minorHAnsi"/>
                <w:i/>
                <w:iCs/>
                <w:color w:val="000000"/>
                <w:sz w:val="16"/>
                <w:szCs w:val="16"/>
              </w:rPr>
              <w:t>m</w:t>
            </w:r>
          </w:p>
        </w:tc>
      </w:tr>
      <w:tr w:rsidR="00A03DFA" w:rsidRPr="00C476E0" w:rsidTr="00F86C58">
        <w:tc>
          <w:tcPr>
            <w:cnfStyle w:val="001000000000" w:firstRow="0" w:lastRow="0" w:firstColumn="1" w:lastColumn="0" w:oddVBand="0" w:evenVBand="0" w:oddHBand="0" w:evenHBand="0" w:firstRowFirstColumn="0" w:firstRowLastColumn="0" w:lastRowFirstColumn="0" w:lastRowLastColumn="0"/>
            <w:tcW w:w="2376" w:type="dxa"/>
          </w:tcPr>
          <w:p w:rsidR="000D5A2C" w:rsidRPr="00841DB3" w:rsidRDefault="000D5A2C" w:rsidP="007052C7">
            <w:pPr>
              <w:jc w:val="center"/>
              <w:rPr>
                <w:rFonts w:cs="Arial"/>
                <w:b w:val="0"/>
                <w:bCs w:val="0"/>
                <w:color w:val="000000"/>
                <w:sz w:val="16"/>
                <w:szCs w:val="16"/>
              </w:rPr>
            </w:pPr>
            <w:r w:rsidRPr="00841DB3">
              <w:rPr>
                <w:rFonts w:cs="Arial"/>
                <w:b w:val="0"/>
                <w:bCs w:val="0"/>
                <w:color w:val="000000"/>
                <w:sz w:val="16"/>
                <w:szCs w:val="16"/>
              </w:rPr>
              <w:t>DATA</w:t>
            </w:r>
          </w:p>
        </w:tc>
        <w:tc>
          <w:tcPr>
            <w:tcW w:w="1090" w:type="dxa"/>
          </w:tcPr>
          <w:p w:rsidR="000D5A2C" w:rsidRPr="00841DB3" w:rsidRDefault="000D5A2C" w:rsidP="007052C7">
            <w:pPr>
              <w:jc w:val="center"/>
              <w:cnfStyle w:val="000000000000" w:firstRow="0" w:lastRow="0" w:firstColumn="0" w:lastColumn="0" w:oddVBand="0" w:evenVBand="0" w:oddHBand="0" w:evenHBand="0" w:firstRowFirstColumn="0" w:firstRowLastColumn="0" w:lastRowFirstColumn="0" w:lastRowLastColumn="0"/>
              <w:rPr>
                <w:rFonts w:cs="Arial"/>
                <w:i/>
                <w:iCs/>
                <w:color w:val="000000"/>
                <w:sz w:val="16"/>
                <w:szCs w:val="16"/>
              </w:rPr>
            </w:pPr>
            <w:r w:rsidRPr="00841DB3">
              <w:rPr>
                <w:rFonts w:cs="Arial"/>
                <w:i/>
                <w:iCs/>
                <w:color w:val="000000"/>
                <w:sz w:val="16"/>
                <w:szCs w:val="16"/>
              </w:rPr>
              <w:t>Unit</w:t>
            </w:r>
          </w:p>
        </w:tc>
        <w:tc>
          <w:tcPr>
            <w:tcW w:w="850" w:type="dxa"/>
          </w:tcPr>
          <w:p w:rsidR="000D5A2C" w:rsidRPr="00841DB3" w:rsidRDefault="000D5A2C" w:rsidP="007052C7">
            <w:pPr>
              <w:jc w:val="center"/>
              <w:cnfStyle w:val="000000000000" w:firstRow="0" w:lastRow="0" w:firstColumn="0" w:lastColumn="0" w:oddVBand="0" w:evenVBand="0" w:oddHBand="0" w:evenHBand="0" w:firstRowFirstColumn="0" w:firstRowLastColumn="0" w:lastRowFirstColumn="0" w:lastRowLastColumn="0"/>
              <w:rPr>
                <w:rFonts w:cs="Arial"/>
                <w:i/>
                <w:iCs/>
                <w:color w:val="000000"/>
                <w:sz w:val="16"/>
                <w:szCs w:val="16"/>
              </w:rPr>
            </w:pPr>
            <w:r w:rsidRPr="00841DB3">
              <w:rPr>
                <w:rFonts w:cs="Arial"/>
                <w:i/>
                <w:iCs/>
                <w:color w:val="000000"/>
                <w:sz w:val="16"/>
                <w:szCs w:val="16"/>
              </w:rPr>
              <w:t>Symbol</w:t>
            </w:r>
          </w:p>
        </w:tc>
        <w:tc>
          <w:tcPr>
            <w:tcW w:w="1370" w:type="dxa"/>
          </w:tcPr>
          <w:p w:rsidR="000D5A2C" w:rsidRPr="00841DB3" w:rsidRDefault="000D5A2C" w:rsidP="007052C7">
            <w:pPr>
              <w:jc w:val="center"/>
              <w:cnfStyle w:val="000000000000" w:firstRow="0" w:lastRow="0" w:firstColumn="0" w:lastColumn="0" w:oddVBand="0" w:evenVBand="0" w:oddHBand="0" w:evenHBand="0" w:firstRowFirstColumn="0" w:firstRowLastColumn="0" w:lastRowFirstColumn="0" w:lastRowLastColumn="0"/>
              <w:rPr>
                <w:rFonts w:cs="Arial"/>
                <w:i/>
                <w:iCs/>
                <w:color w:val="000000"/>
                <w:sz w:val="16"/>
                <w:szCs w:val="16"/>
              </w:rPr>
            </w:pPr>
          </w:p>
        </w:tc>
        <w:tc>
          <w:tcPr>
            <w:tcW w:w="1247" w:type="dxa"/>
          </w:tcPr>
          <w:p w:rsidR="000D5A2C" w:rsidRPr="00841DB3" w:rsidRDefault="000D5A2C" w:rsidP="007052C7">
            <w:pPr>
              <w:jc w:val="center"/>
              <w:cnfStyle w:val="000000000000" w:firstRow="0" w:lastRow="0" w:firstColumn="0" w:lastColumn="0" w:oddVBand="0" w:evenVBand="0" w:oddHBand="0" w:evenHBand="0" w:firstRowFirstColumn="0" w:firstRowLastColumn="0" w:lastRowFirstColumn="0" w:lastRowLastColumn="0"/>
              <w:rPr>
                <w:rFonts w:cs="Arial"/>
                <w:i/>
                <w:iCs/>
                <w:color w:val="000000"/>
                <w:sz w:val="16"/>
                <w:szCs w:val="16"/>
              </w:rPr>
            </w:pPr>
          </w:p>
        </w:tc>
        <w:tc>
          <w:tcPr>
            <w:tcW w:w="1247" w:type="dxa"/>
          </w:tcPr>
          <w:p w:rsidR="000D5A2C" w:rsidRPr="00841DB3" w:rsidRDefault="000D5A2C" w:rsidP="007052C7">
            <w:pPr>
              <w:jc w:val="center"/>
              <w:cnfStyle w:val="000000000000" w:firstRow="0" w:lastRow="0" w:firstColumn="0" w:lastColumn="0" w:oddVBand="0" w:evenVBand="0" w:oddHBand="0" w:evenHBand="0" w:firstRowFirstColumn="0" w:firstRowLastColumn="0" w:lastRowFirstColumn="0" w:lastRowLastColumn="0"/>
              <w:rPr>
                <w:rFonts w:cs="Arial"/>
                <w:i/>
                <w:iCs/>
                <w:color w:val="000000"/>
                <w:sz w:val="16"/>
                <w:szCs w:val="16"/>
              </w:rPr>
            </w:pPr>
          </w:p>
        </w:tc>
        <w:tc>
          <w:tcPr>
            <w:tcW w:w="1247" w:type="dxa"/>
          </w:tcPr>
          <w:p w:rsidR="000D5A2C" w:rsidRPr="00841DB3" w:rsidRDefault="000D5A2C" w:rsidP="007052C7">
            <w:pPr>
              <w:jc w:val="center"/>
              <w:cnfStyle w:val="000000000000" w:firstRow="0" w:lastRow="0" w:firstColumn="0" w:lastColumn="0" w:oddVBand="0" w:evenVBand="0" w:oddHBand="0" w:evenHBand="0" w:firstRowFirstColumn="0" w:firstRowLastColumn="0" w:lastRowFirstColumn="0" w:lastRowLastColumn="0"/>
              <w:rPr>
                <w:rFonts w:cs="Arial"/>
                <w:i/>
                <w:iCs/>
                <w:color w:val="000000"/>
                <w:sz w:val="16"/>
                <w:szCs w:val="16"/>
              </w:rPr>
            </w:pPr>
          </w:p>
        </w:tc>
        <w:tc>
          <w:tcPr>
            <w:tcW w:w="1247" w:type="dxa"/>
          </w:tcPr>
          <w:p w:rsidR="000D5A2C" w:rsidRPr="00841DB3" w:rsidRDefault="000D5A2C" w:rsidP="007052C7">
            <w:pPr>
              <w:jc w:val="center"/>
              <w:cnfStyle w:val="000000000000" w:firstRow="0" w:lastRow="0" w:firstColumn="0" w:lastColumn="0" w:oddVBand="0" w:evenVBand="0" w:oddHBand="0" w:evenHBand="0" w:firstRowFirstColumn="0" w:firstRowLastColumn="0" w:lastRowFirstColumn="0" w:lastRowLastColumn="0"/>
              <w:rPr>
                <w:rFonts w:cs="Arial"/>
                <w:i/>
                <w:iCs/>
                <w:color w:val="000000"/>
                <w:sz w:val="16"/>
                <w:szCs w:val="16"/>
              </w:rPr>
            </w:pPr>
          </w:p>
        </w:tc>
        <w:tc>
          <w:tcPr>
            <w:tcW w:w="1247" w:type="dxa"/>
          </w:tcPr>
          <w:p w:rsidR="000D5A2C" w:rsidRPr="00841DB3" w:rsidRDefault="000D5A2C" w:rsidP="007052C7">
            <w:pPr>
              <w:jc w:val="center"/>
              <w:cnfStyle w:val="000000000000" w:firstRow="0" w:lastRow="0" w:firstColumn="0" w:lastColumn="0" w:oddVBand="0" w:evenVBand="0" w:oddHBand="0" w:evenHBand="0" w:firstRowFirstColumn="0" w:firstRowLastColumn="0" w:lastRowFirstColumn="0" w:lastRowLastColumn="0"/>
              <w:rPr>
                <w:rFonts w:cs="Arial"/>
                <w:i/>
                <w:iCs/>
                <w:color w:val="000000"/>
                <w:sz w:val="16"/>
                <w:szCs w:val="16"/>
              </w:rPr>
            </w:pPr>
          </w:p>
        </w:tc>
        <w:tc>
          <w:tcPr>
            <w:tcW w:w="1247" w:type="dxa"/>
          </w:tcPr>
          <w:p w:rsidR="000D5A2C" w:rsidRPr="00841DB3" w:rsidRDefault="000D5A2C" w:rsidP="007052C7">
            <w:pPr>
              <w:jc w:val="center"/>
              <w:cnfStyle w:val="000000000000" w:firstRow="0" w:lastRow="0" w:firstColumn="0" w:lastColumn="0" w:oddVBand="0" w:evenVBand="0" w:oddHBand="0" w:evenHBand="0" w:firstRowFirstColumn="0" w:firstRowLastColumn="0" w:lastRowFirstColumn="0" w:lastRowLastColumn="0"/>
              <w:rPr>
                <w:rFonts w:cs="Arial"/>
                <w:i/>
                <w:iCs/>
                <w:color w:val="000000"/>
                <w:sz w:val="16"/>
                <w:szCs w:val="16"/>
              </w:rPr>
            </w:pPr>
          </w:p>
        </w:tc>
        <w:tc>
          <w:tcPr>
            <w:tcW w:w="1247" w:type="dxa"/>
          </w:tcPr>
          <w:p w:rsidR="000D5A2C" w:rsidRPr="00841DB3" w:rsidRDefault="000D5A2C" w:rsidP="007052C7">
            <w:pPr>
              <w:jc w:val="center"/>
              <w:cnfStyle w:val="000000000000" w:firstRow="0" w:lastRow="0" w:firstColumn="0" w:lastColumn="0" w:oddVBand="0" w:evenVBand="0" w:oddHBand="0" w:evenHBand="0" w:firstRowFirstColumn="0" w:firstRowLastColumn="0" w:lastRowFirstColumn="0" w:lastRowLastColumn="0"/>
              <w:rPr>
                <w:rFonts w:cs="Arial"/>
                <w:i/>
                <w:iCs/>
                <w:color w:val="000000"/>
                <w:sz w:val="16"/>
                <w:szCs w:val="16"/>
              </w:rPr>
            </w:pPr>
          </w:p>
        </w:tc>
        <w:tc>
          <w:tcPr>
            <w:tcW w:w="1247" w:type="dxa"/>
          </w:tcPr>
          <w:p w:rsidR="000D5A2C" w:rsidRPr="00841DB3" w:rsidRDefault="000D5A2C" w:rsidP="007052C7">
            <w:pPr>
              <w:jc w:val="center"/>
              <w:cnfStyle w:val="000000000000" w:firstRow="0" w:lastRow="0" w:firstColumn="0" w:lastColumn="0" w:oddVBand="0" w:evenVBand="0" w:oddHBand="0" w:evenHBand="0" w:firstRowFirstColumn="0" w:firstRowLastColumn="0" w:lastRowFirstColumn="0" w:lastRowLastColumn="0"/>
              <w:rPr>
                <w:rFonts w:cs="Arial"/>
                <w:i/>
                <w:iCs/>
                <w:color w:val="000000"/>
                <w:sz w:val="16"/>
                <w:szCs w:val="16"/>
              </w:rPr>
            </w:pPr>
          </w:p>
        </w:tc>
      </w:tr>
      <w:tr w:rsidR="00A03DFA" w:rsidRPr="00C476E0" w:rsidTr="00F86C58">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376" w:type="dxa"/>
          </w:tcPr>
          <w:p w:rsidR="000D5A2C" w:rsidRPr="00841DB3" w:rsidRDefault="000D5A2C" w:rsidP="007052C7">
            <w:pPr>
              <w:jc w:val="right"/>
              <w:rPr>
                <w:rFonts w:cs="Arial"/>
                <w:bCs w:val="0"/>
                <w:color w:val="000000"/>
                <w:sz w:val="16"/>
                <w:szCs w:val="16"/>
              </w:rPr>
            </w:pPr>
            <w:r w:rsidRPr="00841DB3">
              <w:rPr>
                <w:rFonts w:cs="Arial"/>
                <w:bCs w:val="0"/>
                <w:color w:val="000000"/>
                <w:sz w:val="16"/>
                <w:szCs w:val="16"/>
              </w:rPr>
              <w:t>Benchmark Price</w:t>
            </w:r>
          </w:p>
        </w:tc>
        <w:tc>
          <w:tcPr>
            <w:tcW w:w="1090" w:type="dxa"/>
          </w:tcPr>
          <w:p w:rsidR="000D5A2C" w:rsidRPr="00841DB3" w:rsidRDefault="000D5A2C" w:rsidP="007052C7">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41DB3">
              <w:rPr>
                <w:rFonts w:cs="Arial"/>
                <w:bCs/>
                <w:color w:val="000000"/>
                <w:sz w:val="16"/>
                <w:szCs w:val="16"/>
              </w:rPr>
              <w:t> </w:t>
            </w:r>
          </w:p>
        </w:tc>
        <w:tc>
          <w:tcPr>
            <w:tcW w:w="850" w:type="dxa"/>
          </w:tcPr>
          <w:p w:rsidR="000D5A2C" w:rsidRPr="00841DB3" w:rsidRDefault="000D5A2C" w:rsidP="007052C7">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41DB3">
              <w:rPr>
                <w:rFonts w:cs="Arial"/>
                <w:bCs/>
                <w:color w:val="000000"/>
                <w:sz w:val="16"/>
                <w:szCs w:val="16"/>
              </w:rPr>
              <w:t> </w:t>
            </w:r>
          </w:p>
        </w:tc>
        <w:tc>
          <w:tcPr>
            <w:tcW w:w="1370" w:type="dxa"/>
          </w:tcPr>
          <w:p w:rsidR="000D5A2C" w:rsidRPr="00841DB3" w:rsidRDefault="000D5A2C" w:rsidP="007052C7">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7052C7">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7052C7">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7052C7">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7052C7">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7052C7">
            <w:pPr>
              <w:cnfStyle w:val="000000100000" w:firstRow="0" w:lastRow="0" w:firstColumn="0" w:lastColumn="0" w:oddVBand="0" w:evenVBand="0" w:oddHBand="1" w:evenHBand="0" w:firstRowFirstColumn="0" w:firstRowLastColumn="0" w:lastRowFirstColumn="0" w:lastRowLastColumn="0"/>
              <w:rPr>
                <w:sz w:val="16"/>
                <w:szCs w:val="16"/>
              </w:rPr>
            </w:pPr>
          </w:p>
        </w:tc>
        <w:tc>
          <w:tcPr>
            <w:tcW w:w="1247" w:type="dxa"/>
          </w:tcPr>
          <w:p w:rsidR="000D5A2C" w:rsidRPr="00841DB3" w:rsidRDefault="000D5A2C" w:rsidP="007052C7">
            <w:pPr>
              <w:cnfStyle w:val="000000100000" w:firstRow="0" w:lastRow="0" w:firstColumn="0" w:lastColumn="0" w:oddVBand="0" w:evenVBand="0" w:oddHBand="1" w:evenHBand="0" w:firstRowFirstColumn="0" w:firstRowLastColumn="0" w:lastRowFirstColumn="0" w:lastRowLastColumn="0"/>
              <w:rPr>
                <w:sz w:val="16"/>
                <w:szCs w:val="16"/>
              </w:rPr>
            </w:pPr>
          </w:p>
        </w:tc>
        <w:tc>
          <w:tcPr>
            <w:tcW w:w="1247" w:type="dxa"/>
          </w:tcPr>
          <w:p w:rsidR="000D5A2C" w:rsidRPr="00841DB3" w:rsidRDefault="000D5A2C" w:rsidP="007052C7">
            <w:pPr>
              <w:cnfStyle w:val="000000100000" w:firstRow="0" w:lastRow="0" w:firstColumn="0" w:lastColumn="0" w:oddVBand="0" w:evenVBand="0" w:oddHBand="1" w:evenHBand="0" w:firstRowFirstColumn="0" w:firstRowLastColumn="0" w:lastRowFirstColumn="0" w:lastRowLastColumn="0"/>
              <w:rPr>
                <w:sz w:val="16"/>
                <w:szCs w:val="16"/>
              </w:rPr>
            </w:pPr>
          </w:p>
        </w:tc>
        <w:tc>
          <w:tcPr>
            <w:tcW w:w="1247" w:type="dxa"/>
          </w:tcPr>
          <w:p w:rsidR="000D5A2C" w:rsidRPr="00841DB3" w:rsidRDefault="000D5A2C" w:rsidP="007052C7">
            <w:pPr>
              <w:cnfStyle w:val="000000100000" w:firstRow="0" w:lastRow="0" w:firstColumn="0" w:lastColumn="0" w:oddVBand="0" w:evenVBand="0" w:oddHBand="1" w:evenHBand="0" w:firstRowFirstColumn="0" w:firstRowLastColumn="0" w:lastRowFirstColumn="0" w:lastRowLastColumn="0"/>
              <w:rPr>
                <w:sz w:val="16"/>
                <w:szCs w:val="16"/>
              </w:rPr>
            </w:pPr>
          </w:p>
        </w:tc>
      </w:tr>
      <w:tr w:rsidR="00A06752" w:rsidRPr="00C476E0" w:rsidTr="00F86C58">
        <w:trPr>
          <w:trHeight w:val="249"/>
        </w:trPr>
        <w:tc>
          <w:tcPr>
            <w:cnfStyle w:val="001000000000" w:firstRow="0" w:lastRow="0" w:firstColumn="1" w:lastColumn="0" w:oddVBand="0" w:evenVBand="0" w:oddHBand="0" w:evenHBand="0" w:firstRowFirstColumn="0" w:firstRowLastColumn="0" w:lastRowFirstColumn="0" w:lastRowLastColumn="0"/>
            <w:tcW w:w="2376" w:type="dxa"/>
          </w:tcPr>
          <w:p w:rsidR="00A06752" w:rsidRPr="00841DB3" w:rsidRDefault="00A06752" w:rsidP="007052C7">
            <w:pPr>
              <w:jc w:val="right"/>
              <w:rPr>
                <w:rFonts w:cs="Arial"/>
                <w:bCs w:val="0"/>
                <w:color w:val="000000"/>
                <w:sz w:val="16"/>
                <w:szCs w:val="16"/>
              </w:rPr>
            </w:pPr>
            <w:r w:rsidRPr="00841DB3">
              <w:rPr>
                <w:rFonts w:cs="Arial"/>
                <w:bCs w:val="0"/>
                <w:color w:val="000000"/>
                <w:sz w:val="16"/>
                <w:szCs w:val="16"/>
              </w:rPr>
              <w:t>Observed</w:t>
            </w:r>
          </w:p>
        </w:tc>
        <w:tc>
          <w:tcPr>
            <w:tcW w:w="1090" w:type="dxa"/>
          </w:tcPr>
          <w:p w:rsidR="00A06752" w:rsidRPr="00841DB3" w:rsidRDefault="00A06752" w:rsidP="00A06752">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USD/</w:t>
            </w:r>
            <w:r w:rsidR="008851CC">
              <w:rPr>
                <w:rFonts w:cs="Arial"/>
                <w:bCs/>
                <w:color w:val="000000"/>
                <w:sz w:val="16"/>
                <w:szCs w:val="16"/>
              </w:rPr>
              <w:t>tonne</w:t>
            </w:r>
          </w:p>
        </w:tc>
        <w:tc>
          <w:tcPr>
            <w:tcW w:w="850" w:type="dxa"/>
          </w:tcPr>
          <w:p w:rsidR="00A06752" w:rsidRPr="00841DB3" w:rsidRDefault="00A06752" w:rsidP="007052C7">
            <w:pPr>
              <w:jc w:val="right"/>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41DB3">
              <w:rPr>
                <w:rFonts w:cs="Arial"/>
                <w:bCs/>
                <w:color w:val="000000"/>
                <w:sz w:val="16"/>
                <w:szCs w:val="16"/>
              </w:rPr>
              <w:t>P</w:t>
            </w:r>
            <w:r w:rsidRPr="00841DB3">
              <w:rPr>
                <w:rFonts w:cs="Arial"/>
                <w:bCs/>
                <w:color w:val="000000"/>
                <w:sz w:val="16"/>
                <w:szCs w:val="16"/>
                <w:vertAlign w:val="subscript"/>
              </w:rPr>
              <w:t>b(int$)</w:t>
            </w:r>
          </w:p>
        </w:tc>
        <w:tc>
          <w:tcPr>
            <w:tcW w:w="1370" w:type="dxa"/>
            <w:vAlign w:val="bottom"/>
          </w:tcPr>
          <w:p w:rsidR="00A06752" w:rsidRPr="008E1CA5" w:rsidRDefault="00D108BD"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bCs/>
                <w:color w:val="000000"/>
                <w:sz w:val="16"/>
                <w:szCs w:val="16"/>
              </w:rPr>
              <w:t>137.06</w:t>
            </w:r>
          </w:p>
        </w:tc>
        <w:tc>
          <w:tcPr>
            <w:tcW w:w="1247" w:type="dxa"/>
            <w:vAlign w:val="bottom"/>
          </w:tcPr>
          <w:p w:rsidR="00A06752" w:rsidRPr="008E1CA5" w:rsidRDefault="00D108BD"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bCs/>
                <w:color w:val="000000"/>
                <w:sz w:val="16"/>
                <w:szCs w:val="16"/>
              </w:rPr>
              <w:t>212.40</w:t>
            </w:r>
          </w:p>
        </w:tc>
        <w:tc>
          <w:tcPr>
            <w:tcW w:w="1247" w:type="dxa"/>
            <w:vAlign w:val="bottom"/>
          </w:tcPr>
          <w:p w:rsidR="00A06752" w:rsidRPr="008E1CA5" w:rsidRDefault="00A06752"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bCs/>
                <w:color w:val="000000"/>
                <w:sz w:val="16"/>
                <w:szCs w:val="16"/>
              </w:rPr>
              <w:t>278.81</w:t>
            </w:r>
          </w:p>
        </w:tc>
        <w:tc>
          <w:tcPr>
            <w:tcW w:w="1247" w:type="dxa"/>
            <w:vAlign w:val="bottom"/>
          </w:tcPr>
          <w:p w:rsidR="00A06752" w:rsidRPr="008E1CA5" w:rsidRDefault="00A06752"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bCs/>
                <w:color w:val="000000"/>
                <w:sz w:val="16"/>
                <w:szCs w:val="16"/>
              </w:rPr>
              <w:t>262.28</w:t>
            </w:r>
          </w:p>
        </w:tc>
        <w:tc>
          <w:tcPr>
            <w:tcW w:w="1247" w:type="dxa"/>
            <w:vAlign w:val="bottom"/>
          </w:tcPr>
          <w:p w:rsidR="00A06752" w:rsidRPr="008E1CA5" w:rsidRDefault="00A06752"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bCs/>
                <w:color w:val="000000"/>
                <w:sz w:val="16"/>
                <w:szCs w:val="16"/>
              </w:rPr>
              <w:t>227.69</w:t>
            </w:r>
          </w:p>
        </w:tc>
        <w:tc>
          <w:tcPr>
            <w:tcW w:w="1247" w:type="dxa"/>
            <w:vAlign w:val="bottom"/>
          </w:tcPr>
          <w:p w:rsidR="00A06752" w:rsidRPr="008E1CA5" w:rsidRDefault="00A06752"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bCs/>
                <w:color w:val="000000"/>
                <w:sz w:val="16"/>
                <w:szCs w:val="16"/>
              </w:rPr>
              <w:t>207.01</w:t>
            </w:r>
          </w:p>
        </w:tc>
        <w:tc>
          <w:tcPr>
            <w:tcW w:w="1247" w:type="dxa"/>
            <w:vAlign w:val="bottom"/>
          </w:tcPr>
          <w:p w:rsidR="00A06752" w:rsidRPr="008E1CA5" w:rsidRDefault="00A06752"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bCs/>
                <w:color w:val="000000"/>
                <w:sz w:val="16"/>
                <w:szCs w:val="16"/>
              </w:rPr>
              <w:t>307.63</w:t>
            </w:r>
          </w:p>
        </w:tc>
        <w:tc>
          <w:tcPr>
            <w:tcW w:w="1247" w:type="dxa"/>
            <w:vAlign w:val="bottom"/>
          </w:tcPr>
          <w:p w:rsidR="00A06752" w:rsidRPr="008E1CA5" w:rsidRDefault="00A06752"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bCs/>
                <w:color w:val="000000"/>
                <w:sz w:val="16"/>
                <w:szCs w:val="16"/>
              </w:rPr>
              <w:t>346.23</w:t>
            </w:r>
          </w:p>
        </w:tc>
        <w:tc>
          <w:tcPr>
            <w:tcW w:w="1247" w:type="dxa"/>
            <w:vAlign w:val="bottom"/>
          </w:tcPr>
          <w:p w:rsidR="00A06752" w:rsidRPr="008E1CA5" w:rsidRDefault="00A06752"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bCs/>
                <w:color w:val="000000"/>
                <w:sz w:val="16"/>
                <w:szCs w:val="16"/>
              </w:rPr>
              <w:t>296.75</w:t>
            </w:r>
          </w:p>
        </w:tc>
      </w:tr>
      <w:tr w:rsidR="00A03DFA" w:rsidRPr="00C476E0" w:rsidTr="00F86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D5A2C" w:rsidRPr="00841DB3" w:rsidRDefault="000D5A2C" w:rsidP="007052C7">
            <w:pPr>
              <w:jc w:val="right"/>
              <w:rPr>
                <w:rFonts w:cs="Arial"/>
                <w:bCs w:val="0"/>
                <w:color w:val="000000"/>
                <w:sz w:val="16"/>
                <w:szCs w:val="16"/>
              </w:rPr>
            </w:pPr>
            <w:r w:rsidRPr="00841DB3">
              <w:rPr>
                <w:rFonts w:cs="Arial"/>
                <w:bCs w:val="0"/>
                <w:color w:val="000000"/>
                <w:sz w:val="16"/>
                <w:szCs w:val="16"/>
              </w:rPr>
              <w:t>Adjusted</w:t>
            </w:r>
          </w:p>
        </w:tc>
        <w:tc>
          <w:tcPr>
            <w:tcW w:w="1090" w:type="dxa"/>
          </w:tcPr>
          <w:p w:rsidR="000D5A2C" w:rsidRPr="00841DB3" w:rsidRDefault="000D5A2C" w:rsidP="00D108BD">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p>
        </w:tc>
        <w:tc>
          <w:tcPr>
            <w:tcW w:w="850" w:type="dxa"/>
          </w:tcPr>
          <w:p w:rsidR="000D5A2C" w:rsidRPr="00841DB3" w:rsidRDefault="000D5A2C" w:rsidP="007052C7">
            <w:pPr>
              <w:jc w:val="right"/>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41DB3">
              <w:rPr>
                <w:rFonts w:cs="Arial"/>
                <w:bCs/>
                <w:color w:val="000000"/>
                <w:sz w:val="16"/>
                <w:szCs w:val="16"/>
              </w:rPr>
              <w:t>P</w:t>
            </w:r>
            <w:r w:rsidRPr="00841DB3">
              <w:rPr>
                <w:rFonts w:cs="Arial"/>
                <w:bCs/>
                <w:color w:val="000000"/>
                <w:sz w:val="16"/>
                <w:szCs w:val="16"/>
                <w:vertAlign w:val="subscript"/>
              </w:rPr>
              <w:t>ba</w:t>
            </w:r>
          </w:p>
        </w:tc>
        <w:tc>
          <w:tcPr>
            <w:tcW w:w="1370"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r>
      <w:tr w:rsidR="00A03DFA" w:rsidRPr="00C476E0" w:rsidTr="00F86C58">
        <w:tc>
          <w:tcPr>
            <w:cnfStyle w:val="001000000000" w:firstRow="0" w:lastRow="0" w:firstColumn="1" w:lastColumn="0" w:oddVBand="0" w:evenVBand="0" w:oddHBand="0" w:evenHBand="0" w:firstRowFirstColumn="0" w:firstRowLastColumn="0" w:lastRowFirstColumn="0" w:lastRowLastColumn="0"/>
            <w:tcW w:w="2376" w:type="dxa"/>
          </w:tcPr>
          <w:p w:rsidR="000D5A2C" w:rsidRPr="00841DB3" w:rsidRDefault="000D5A2C" w:rsidP="007052C7">
            <w:pPr>
              <w:jc w:val="right"/>
              <w:rPr>
                <w:rFonts w:cs="Arial"/>
                <w:bCs w:val="0"/>
                <w:color w:val="000000"/>
                <w:sz w:val="16"/>
                <w:szCs w:val="16"/>
              </w:rPr>
            </w:pPr>
            <w:r w:rsidRPr="00841DB3">
              <w:rPr>
                <w:rFonts w:cs="Arial"/>
                <w:bCs w:val="0"/>
                <w:color w:val="000000"/>
                <w:sz w:val="16"/>
                <w:szCs w:val="16"/>
              </w:rPr>
              <w:t>Exchange Rate</w:t>
            </w:r>
          </w:p>
        </w:tc>
        <w:tc>
          <w:tcPr>
            <w:tcW w:w="1090" w:type="dxa"/>
          </w:tcPr>
          <w:p w:rsidR="000D5A2C" w:rsidRPr="00841DB3" w:rsidRDefault="000D5A2C" w:rsidP="00D108BD">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p>
        </w:tc>
        <w:tc>
          <w:tcPr>
            <w:tcW w:w="850" w:type="dxa"/>
          </w:tcPr>
          <w:p w:rsidR="000D5A2C" w:rsidRPr="00841DB3" w:rsidRDefault="000D5A2C" w:rsidP="007052C7">
            <w:pPr>
              <w:jc w:val="right"/>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41DB3">
              <w:rPr>
                <w:rFonts w:cs="Arial"/>
                <w:bCs/>
                <w:color w:val="000000"/>
                <w:sz w:val="16"/>
                <w:szCs w:val="16"/>
              </w:rPr>
              <w:t> </w:t>
            </w:r>
          </w:p>
        </w:tc>
        <w:tc>
          <w:tcPr>
            <w:tcW w:w="1370"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r>
      <w:tr w:rsidR="00D108BD" w:rsidRPr="00C476E0" w:rsidTr="00F86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108BD" w:rsidRPr="00841DB3" w:rsidRDefault="00D108BD" w:rsidP="00D108BD">
            <w:pPr>
              <w:jc w:val="right"/>
              <w:rPr>
                <w:rFonts w:cs="Arial"/>
                <w:bCs w:val="0"/>
                <w:color w:val="000000"/>
                <w:sz w:val="16"/>
                <w:szCs w:val="16"/>
              </w:rPr>
            </w:pPr>
            <w:r w:rsidRPr="00841DB3">
              <w:rPr>
                <w:rFonts w:cs="Arial"/>
                <w:bCs w:val="0"/>
                <w:color w:val="000000"/>
                <w:sz w:val="16"/>
                <w:szCs w:val="16"/>
              </w:rPr>
              <w:t>Observed</w:t>
            </w:r>
          </w:p>
        </w:tc>
        <w:tc>
          <w:tcPr>
            <w:tcW w:w="1090" w:type="dxa"/>
          </w:tcPr>
          <w:p w:rsidR="00D108BD" w:rsidRPr="00841DB3" w:rsidRDefault="00D108BD" w:rsidP="00D108BD">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MZN/USD</w:t>
            </w:r>
          </w:p>
        </w:tc>
        <w:tc>
          <w:tcPr>
            <w:tcW w:w="850" w:type="dxa"/>
          </w:tcPr>
          <w:p w:rsidR="00D108BD" w:rsidRPr="00841DB3" w:rsidRDefault="00D108BD" w:rsidP="00D108BD">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41DB3">
              <w:rPr>
                <w:rFonts w:cs="Arial"/>
                <w:bCs/>
                <w:color w:val="000000"/>
                <w:sz w:val="16"/>
                <w:szCs w:val="16"/>
              </w:rPr>
              <w:t>ER</w:t>
            </w:r>
            <w:r w:rsidRPr="00841DB3">
              <w:rPr>
                <w:rFonts w:cs="Arial"/>
                <w:bCs/>
                <w:color w:val="000000"/>
                <w:sz w:val="16"/>
                <w:szCs w:val="16"/>
                <w:vertAlign w:val="subscript"/>
              </w:rPr>
              <w:t>o</w:t>
            </w:r>
          </w:p>
        </w:tc>
        <w:tc>
          <w:tcPr>
            <w:tcW w:w="1370" w:type="dxa"/>
            <w:vAlign w:val="bottom"/>
          </w:tcPr>
          <w:p w:rsidR="00D108BD" w:rsidRPr="008E1CA5" w:rsidRDefault="00D108BD"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23.06</w:t>
            </w:r>
          </w:p>
        </w:tc>
        <w:tc>
          <w:tcPr>
            <w:tcW w:w="1247" w:type="dxa"/>
            <w:vAlign w:val="bottom"/>
          </w:tcPr>
          <w:p w:rsidR="00D108BD" w:rsidRPr="008E1CA5" w:rsidRDefault="00D108BD"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24.99</w:t>
            </w:r>
          </w:p>
        </w:tc>
        <w:tc>
          <w:tcPr>
            <w:tcW w:w="1247" w:type="dxa"/>
            <w:vAlign w:val="bottom"/>
          </w:tcPr>
          <w:p w:rsidR="00D108BD" w:rsidRPr="008E1CA5" w:rsidRDefault="00D108BD"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25.56</w:t>
            </w:r>
          </w:p>
        </w:tc>
        <w:tc>
          <w:tcPr>
            <w:tcW w:w="1247" w:type="dxa"/>
            <w:vAlign w:val="bottom"/>
          </w:tcPr>
          <w:p w:rsidR="00D108BD" w:rsidRPr="008E1CA5" w:rsidRDefault="00D108BD"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24.17</w:t>
            </w:r>
          </w:p>
        </w:tc>
        <w:tc>
          <w:tcPr>
            <w:tcW w:w="1247" w:type="dxa"/>
            <w:vAlign w:val="bottom"/>
          </w:tcPr>
          <w:p w:rsidR="00D108BD" w:rsidRPr="008E1CA5" w:rsidRDefault="00D108BD"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26.71</w:t>
            </w:r>
          </w:p>
        </w:tc>
        <w:tc>
          <w:tcPr>
            <w:tcW w:w="1247" w:type="dxa"/>
            <w:vAlign w:val="bottom"/>
          </w:tcPr>
          <w:p w:rsidR="00D108BD" w:rsidRPr="008E1CA5" w:rsidRDefault="00D108BD"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33.04</w:t>
            </w:r>
          </w:p>
        </w:tc>
        <w:tc>
          <w:tcPr>
            <w:tcW w:w="1247" w:type="dxa"/>
            <w:vAlign w:val="bottom"/>
          </w:tcPr>
          <w:p w:rsidR="00D108BD" w:rsidRPr="008E1CA5" w:rsidRDefault="00D108BD"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28.91</w:t>
            </w:r>
          </w:p>
        </w:tc>
        <w:tc>
          <w:tcPr>
            <w:tcW w:w="1247" w:type="dxa"/>
            <w:vAlign w:val="bottom"/>
          </w:tcPr>
          <w:p w:rsidR="00D108BD" w:rsidRPr="008E1CA5" w:rsidRDefault="00D108BD"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28.35</w:t>
            </w:r>
          </w:p>
        </w:tc>
        <w:tc>
          <w:tcPr>
            <w:tcW w:w="1247" w:type="dxa"/>
            <w:vAlign w:val="bottom"/>
          </w:tcPr>
          <w:p w:rsidR="00D108BD" w:rsidRPr="008E1CA5" w:rsidRDefault="00D108BD"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29.85</w:t>
            </w:r>
          </w:p>
        </w:tc>
      </w:tr>
      <w:tr w:rsidR="00A03DFA" w:rsidRPr="00C476E0" w:rsidTr="00F86C58">
        <w:tc>
          <w:tcPr>
            <w:cnfStyle w:val="001000000000" w:firstRow="0" w:lastRow="0" w:firstColumn="1" w:lastColumn="0" w:oddVBand="0" w:evenVBand="0" w:oddHBand="0" w:evenHBand="0" w:firstRowFirstColumn="0" w:firstRowLastColumn="0" w:lastRowFirstColumn="0" w:lastRowLastColumn="0"/>
            <w:tcW w:w="2376" w:type="dxa"/>
          </w:tcPr>
          <w:p w:rsidR="000D5A2C" w:rsidRPr="00841DB3" w:rsidRDefault="000D5A2C" w:rsidP="007052C7">
            <w:pPr>
              <w:jc w:val="right"/>
              <w:rPr>
                <w:rFonts w:cs="Arial"/>
                <w:bCs w:val="0"/>
                <w:color w:val="000000"/>
                <w:sz w:val="16"/>
                <w:szCs w:val="16"/>
              </w:rPr>
            </w:pPr>
            <w:r w:rsidRPr="00841DB3">
              <w:rPr>
                <w:rFonts w:cs="Arial"/>
                <w:bCs w:val="0"/>
                <w:color w:val="000000"/>
                <w:sz w:val="16"/>
                <w:szCs w:val="16"/>
              </w:rPr>
              <w:t>Adjusted</w:t>
            </w:r>
          </w:p>
        </w:tc>
        <w:tc>
          <w:tcPr>
            <w:tcW w:w="1090" w:type="dxa"/>
          </w:tcPr>
          <w:p w:rsidR="000D5A2C" w:rsidRPr="00841DB3" w:rsidRDefault="000D5A2C" w:rsidP="00D108BD">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p>
        </w:tc>
        <w:tc>
          <w:tcPr>
            <w:tcW w:w="850" w:type="dxa"/>
          </w:tcPr>
          <w:p w:rsidR="000D5A2C" w:rsidRPr="00841DB3" w:rsidRDefault="000D5A2C" w:rsidP="00D108BD">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41DB3">
              <w:rPr>
                <w:rFonts w:cs="Arial"/>
                <w:bCs/>
                <w:color w:val="000000"/>
                <w:sz w:val="16"/>
                <w:szCs w:val="16"/>
              </w:rPr>
              <w:t>ER</w:t>
            </w:r>
            <w:r w:rsidRPr="00841DB3">
              <w:rPr>
                <w:rFonts w:cs="Arial"/>
                <w:bCs/>
                <w:color w:val="000000"/>
                <w:sz w:val="16"/>
                <w:szCs w:val="16"/>
                <w:vertAlign w:val="subscript"/>
              </w:rPr>
              <w:t>a</w:t>
            </w:r>
          </w:p>
        </w:tc>
        <w:tc>
          <w:tcPr>
            <w:tcW w:w="1370"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r>
      <w:tr w:rsidR="00A03DFA" w:rsidRPr="00C476E0" w:rsidTr="00F86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D5A2C" w:rsidRPr="00841DB3" w:rsidRDefault="000D5A2C" w:rsidP="007052C7">
            <w:pPr>
              <w:jc w:val="right"/>
              <w:rPr>
                <w:rFonts w:cs="Arial"/>
                <w:bCs w:val="0"/>
                <w:color w:val="000000"/>
                <w:sz w:val="16"/>
                <w:szCs w:val="16"/>
              </w:rPr>
            </w:pPr>
            <w:r w:rsidRPr="00841DB3">
              <w:rPr>
                <w:rFonts w:cs="Arial"/>
                <w:bCs w:val="0"/>
                <w:color w:val="000000"/>
                <w:sz w:val="16"/>
                <w:szCs w:val="16"/>
              </w:rPr>
              <w:t>Access costs border - wholesale</w:t>
            </w:r>
          </w:p>
        </w:tc>
        <w:tc>
          <w:tcPr>
            <w:tcW w:w="1090" w:type="dxa"/>
          </w:tcPr>
          <w:p w:rsidR="000D5A2C" w:rsidRPr="00841DB3" w:rsidRDefault="000D5A2C" w:rsidP="00D108BD">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p>
        </w:tc>
        <w:tc>
          <w:tcPr>
            <w:tcW w:w="850" w:type="dxa"/>
          </w:tcPr>
          <w:p w:rsidR="000D5A2C" w:rsidRPr="00841DB3" w:rsidRDefault="000D5A2C" w:rsidP="007052C7">
            <w:pPr>
              <w:jc w:val="right"/>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41DB3">
              <w:rPr>
                <w:rFonts w:cs="Arial"/>
                <w:bCs/>
                <w:color w:val="000000"/>
                <w:sz w:val="16"/>
                <w:szCs w:val="16"/>
              </w:rPr>
              <w:t> </w:t>
            </w:r>
          </w:p>
        </w:tc>
        <w:tc>
          <w:tcPr>
            <w:tcW w:w="1370"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r>
      <w:tr w:rsidR="00D108BD" w:rsidRPr="00C476E0" w:rsidTr="00F86C58">
        <w:tc>
          <w:tcPr>
            <w:cnfStyle w:val="001000000000" w:firstRow="0" w:lastRow="0" w:firstColumn="1" w:lastColumn="0" w:oddVBand="0" w:evenVBand="0" w:oddHBand="0" w:evenHBand="0" w:firstRowFirstColumn="0" w:firstRowLastColumn="0" w:lastRowFirstColumn="0" w:lastRowLastColumn="0"/>
            <w:tcW w:w="2376" w:type="dxa"/>
          </w:tcPr>
          <w:p w:rsidR="00D108BD" w:rsidRPr="00841DB3" w:rsidRDefault="00D108BD" w:rsidP="007052C7">
            <w:pPr>
              <w:jc w:val="right"/>
              <w:rPr>
                <w:rFonts w:cs="Arial"/>
                <w:bCs w:val="0"/>
                <w:color w:val="000000"/>
                <w:sz w:val="16"/>
                <w:szCs w:val="16"/>
              </w:rPr>
            </w:pPr>
            <w:r w:rsidRPr="00841DB3">
              <w:rPr>
                <w:rFonts w:cs="Arial"/>
                <w:bCs w:val="0"/>
                <w:color w:val="000000"/>
                <w:sz w:val="16"/>
                <w:szCs w:val="16"/>
              </w:rPr>
              <w:t>Observed</w:t>
            </w:r>
          </w:p>
        </w:tc>
        <w:tc>
          <w:tcPr>
            <w:tcW w:w="1090" w:type="dxa"/>
          </w:tcPr>
          <w:p w:rsidR="00D108BD" w:rsidRPr="00841DB3" w:rsidRDefault="00D75E69" w:rsidP="00D108BD">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MZN/</w:t>
            </w:r>
            <w:r w:rsidR="008851CC">
              <w:rPr>
                <w:rFonts w:cs="Arial"/>
                <w:bCs/>
                <w:color w:val="000000"/>
                <w:sz w:val="16"/>
                <w:szCs w:val="16"/>
              </w:rPr>
              <w:t>tonne</w:t>
            </w:r>
          </w:p>
        </w:tc>
        <w:tc>
          <w:tcPr>
            <w:tcW w:w="850" w:type="dxa"/>
          </w:tcPr>
          <w:p w:rsidR="00D108BD" w:rsidRPr="00841DB3" w:rsidRDefault="00D108BD" w:rsidP="007052C7">
            <w:pPr>
              <w:jc w:val="right"/>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41DB3">
              <w:rPr>
                <w:rFonts w:cs="Arial"/>
                <w:bCs/>
                <w:color w:val="000000"/>
                <w:sz w:val="16"/>
                <w:szCs w:val="16"/>
              </w:rPr>
              <w:t>AC</w:t>
            </w:r>
            <w:r w:rsidRPr="00841DB3">
              <w:rPr>
                <w:rFonts w:cs="Arial"/>
                <w:bCs/>
                <w:color w:val="000000"/>
                <w:sz w:val="16"/>
                <w:szCs w:val="16"/>
                <w:vertAlign w:val="subscript"/>
              </w:rPr>
              <w:t>owh</w:t>
            </w:r>
          </w:p>
        </w:tc>
        <w:tc>
          <w:tcPr>
            <w:tcW w:w="1370" w:type="dxa"/>
            <w:vAlign w:val="bottom"/>
          </w:tcPr>
          <w:p w:rsidR="00D108BD" w:rsidRPr="008E1CA5" w:rsidRDefault="00D108BD"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1,890.73</w:t>
            </w:r>
          </w:p>
        </w:tc>
        <w:tc>
          <w:tcPr>
            <w:tcW w:w="1247" w:type="dxa"/>
            <w:vAlign w:val="bottom"/>
          </w:tcPr>
          <w:p w:rsidR="00D108BD"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2,241.27</w:t>
            </w:r>
          </w:p>
        </w:tc>
        <w:tc>
          <w:tcPr>
            <w:tcW w:w="1247" w:type="dxa"/>
            <w:vAlign w:val="bottom"/>
          </w:tcPr>
          <w:p w:rsidR="00D108BD" w:rsidRPr="008E1CA5" w:rsidRDefault="00D108BD"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2,408.82</w:t>
            </w:r>
          </w:p>
        </w:tc>
        <w:tc>
          <w:tcPr>
            <w:tcW w:w="1247" w:type="dxa"/>
            <w:vAlign w:val="bottom"/>
          </w:tcPr>
          <w:p w:rsidR="00D108BD" w:rsidRPr="008E1CA5" w:rsidRDefault="00D108BD"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2,718.10</w:t>
            </w:r>
          </w:p>
        </w:tc>
        <w:tc>
          <w:tcPr>
            <w:tcW w:w="1247" w:type="dxa"/>
            <w:vAlign w:val="bottom"/>
          </w:tcPr>
          <w:p w:rsidR="00D108BD"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3,170.97</w:t>
            </w:r>
          </w:p>
        </w:tc>
        <w:tc>
          <w:tcPr>
            <w:tcW w:w="1247" w:type="dxa"/>
            <w:vAlign w:val="bottom"/>
          </w:tcPr>
          <w:p w:rsidR="00D108BD"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3,863.70</w:t>
            </w:r>
          </w:p>
        </w:tc>
        <w:tc>
          <w:tcPr>
            <w:tcW w:w="1247" w:type="dxa"/>
            <w:vAlign w:val="bottom"/>
          </w:tcPr>
          <w:p w:rsidR="00D108BD"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3,438.38</w:t>
            </w:r>
          </w:p>
        </w:tc>
        <w:tc>
          <w:tcPr>
            <w:tcW w:w="1247" w:type="dxa"/>
            <w:vAlign w:val="bottom"/>
          </w:tcPr>
          <w:p w:rsidR="00D108BD"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3,633.14</w:t>
            </w:r>
          </w:p>
        </w:tc>
        <w:tc>
          <w:tcPr>
            <w:tcW w:w="1247" w:type="dxa"/>
            <w:vAlign w:val="bottom"/>
          </w:tcPr>
          <w:p w:rsidR="00D108BD"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3,993.33</w:t>
            </w:r>
          </w:p>
        </w:tc>
      </w:tr>
      <w:tr w:rsidR="00D108BD" w:rsidRPr="00C476E0" w:rsidTr="00F86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108BD" w:rsidRPr="00841DB3" w:rsidRDefault="00D108BD" w:rsidP="007052C7">
            <w:pPr>
              <w:jc w:val="right"/>
              <w:rPr>
                <w:rFonts w:cs="Arial"/>
                <w:bCs w:val="0"/>
                <w:color w:val="000000"/>
                <w:sz w:val="16"/>
                <w:szCs w:val="16"/>
              </w:rPr>
            </w:pPr>
            <w:r w:rsidRPr="00841DB3">
              <w:rPr>
                <w:rFonts w:cs="Arial"/>
                <w:bCs w:val="0"/>
                <w:color w:val="000000"/>
                <w:sz w:val="16"/>
                <w:szCs w:val="16"/>
              </w:rPr>
              <w:t>Adjusted</w:t>
            </w:r>
          </w:p>
        </w:tc>
        <w:tc>
          <w:tcPr>
            <w:tcW w:w="1090" w:type="dxa"/>
          </w:tcPr>
          <w:p w:rsidR="00D108BD" w:rsidRPr="00841DB3" w:rsidRDefault="00D75E69" w:rsidP="00D108BD">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MZN/</w:t>
            </w:r>
            <w:r w:rsidR="008851CC">
              <w:rPr>
                <w:rFonts w:cs="Arial"/>
                <w:bCs/>
                <w:color w:val="000000"/>
                <w:sz w:val="16"/>
                <w:szCs w:val="16"/>
              </w:rPr>
              <w:t>tonne</w:t>
            </w:r>
          </w:p>
        </w:tc>
        <w:tc>
          <w:tcPr>
            <w:tcW w:w="850" w:type="dxa"/>
          </w:tcPr>
          <w:p w:rsidR="00D108BD" w:rsidRPr="00841DB3" w:rsidRDefault="00D108BD" w:rsidP="007052C7">
            <w:pPr>
              <w:jc w:val="right"/>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41DB3">
              <w:rPr>
                <w:rFonts w:cs="Arial"/>
                <w:bCs/>
                <w:color w:val="000000"/>
                <w:sz w:val="16"/>
                <w:szCs w:val="16"/>
              </w:rPr>
              <w:t>AC</w:t>
            </w:r>
            <w:r w:rsidRPr="00841DB3">
              <w:rPr>
                <w:rFonts w:cs="Arial"/>
                <w:bCs/>
                <w:color w:val="000000"/>
                <w:sz w:val="16"/>
                <w:szCs w:val="16"/>
                <w:vertAlign w:val="subscript"/>
              </w:rPr>
              <w:t>awh</w:t>
            </w:r>
          </w:p>
        </w:tc>
        <w:tc>
          <w:tcPr>
            <w:tcW w:w="1370" w:type="dxa"/>
            <w:vAlign w:val="bottom"/>
          </w:tcPr>
          <w:p w:rsidR="00D108BD" w:rsidRPr="008E1CA5" w:rsidRDefault="00D108BD"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1,622.09</w:t>
            </w:r>
          </w:p>
        </w:tc>
        <w:tc>
          <w:tcPr>
            <w:tcW w:w="1247" w:type="dxa"/>
            <w:vAlign w:val="bottom"/>
          </w:tcPr>
          <w:p w:rsidR="00D108BD" w:rsidRPr="008E1CA5" w:rsidRDefault="00D75E69"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2,104.81</w:t>
            </w:r>
          </w:p>
        </w:tc>
        <w:tc>
          <w:tcPr>
            <w:tcW w:w="1247" w:type="dxa"/>
            <w:vAlign w:val="bottom"/>
          </w:tcPr>
          <w:p w:rsidR="00D108BD" w:rsidRPr="008E1CA5" w:rsidRDefault="00D108BD"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2,407.76</w:t>
            </w:r>
          </w:p>
        </w:tc>
        <w:tc>
          <w:tcPr>
            <w:tcW w:w="1247" w:type="dxa"/>
            <w:vAlign w:val="bottom"/>
          </w:tcPr>
          <w:p w:rsidR="00D108BD" w:rsidRPr="008E1CA5" w:rsidRDefault="00D75E69"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2,260.10</w:t>
            </w:r>
          </w:p>
        </w:tc>
        <w:tc>
          <w:tcPr>
            <w:tcW w:w="1247" w:type="dxa"/>
            <w:vAlign w:val="bottom"/>
          </w:tcPr>
          <w:p w:rsidR="00D108BD" w:rsidRPr="008E1CA5" w:rsidRDefault="00D75E69"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2,744.75</w:t>
            </w:r>
          </w:p>
        </w:tc>
        <w:tc>
          <w:tcPr>
            <w:tcW w:w="1247" w:type="dxa"/>
            <w:vAlign w:val="bottom"/>
          </w:tcPr>
          <w:p w:rsidR="00D108BD" w:rsidRPr="008E1CA5" w:rsidRDefault="00D75E69"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3,384.88</w:t>
            </w:r>
          </w:p>
        </w:tc>
        <w:tc>
          <w:tcPr>
            <w:tcW w:w="1247" w:type="dxa"/>
            <w:vAlign w:val="bottom"/>
          </w:tcPr>
          <w:p w:rsidR="00D108BD" w:rsidRPr="008E1CA5" w:rsidRDefault="00D75E69"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3,148.62</w:t>
            </w:r>
          </w:p>
        </w:tc>
        <w:tc>
          <w:tcPr>
            <w:tcW w:w="1247" w:type="dxa"/>
            <w:vAlign w:val="bottom"/>
          </w:tcPr>
          <w:p w:rsidR="00D108BD" w:rsidRPr="008E1CA5" w:rsidRDefault="00D75E69"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3,373.60</w:t>
            </w:r>
          </w:p>
        </w:tc>
        <w:tc>
          <w:tcPr>
            <w:tcW w:w="1247" w:type="dxa"/>
            <w:vAlign w:val="bottom"/>
          </w:tcPr>
          <w:p w:rsidR="00D108BD" w:rsidRPr="008E1CA5" w:rsidRDefault="00D75E69"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3,467.42</w:t>
            </w:r>
          </w:p>
        </w:tc>
      </w:tr>
      <w:tr w:rsidR="00D75E69" w:rsidRPr="00C476E0" w:rsidTr="00F86C58">
        <w:tc>
          <w:tcPr>
            <w:cnfStyle w:val="001000000000" w:firstRow="0" w:lastRow="0" w:firstColumn="1" w:lastColumn="0" w:oddVBand="0" w:evenVBand="0" w:oddHBand="0" w:evenHBand="0" w:firstRowFirstColumn="0" w:firstRowLastColumn="0" w:lastRowFirstColumn="0" w:lastRowLastColumn="0"/>
            <w:tcW w:w="2376" w:type="dxa"/>
          </w:tcPr>
          <w:p w:rsidR="00D75E69" w:rsidRPr="00841DB3" w:rsidRDefault="00D75E69" w:rsidP="007052C7">
            <w:pPr>
              <w:jc w:val="right"/>
              <w:rPr>
                <w:rFonts w:cs="Arial"/>
                <w:bCs w:val="0"/>
                <w:color w:val="000000"/>
                <w:sz w:val="16"/>
                <w:szCs w:val="16"/>
              </w:rPr>
            </w:pPr>
            <w:r w:rsidRPr="00841DB3">
              <w:rPr>
                <w:rFonts w:cs="Arial"/>
                <w:bCs w:val="0"/>
                <w:color w:val="000000"/>
                <w:sz w:val="16"/>
                <w:szCs w:val="16"/>
              </w:rPr>
              <w:t>Domestic price at wholesale</w:t>
            </w:r>
          </w:p>
        </w:tc>
        <w:tc>
          <w:tcPr>
            <w:tcW w:w="1090" w:type="dxa"/>
          </w:tcPr>
          <w:p w:rsidR="00D75E69" w:rsidRPr="00841DB3" w:rsidRDefault="00D75E69" w:rsidP="00D108BD">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MZN/</w:t>
            </w:r>
            <w:r w:rsidR="008851CC">
              <w:rPr>
                <w:rFonts w:cs="Arial"/>
                <w:bCs/>
                <w:color w:val="000000"/>
                <w:sz w:val="16"/>
                <w:szCs w:val="16"/>
              </w:rPr>
              <w:t>tonne</w:t>
            </w:r>
          </w:p>
        </w:tc>
        <w:tc>
          <w:tcPr>
            <w:tcW w:w="850" w:type="dxa"/>
          </w:tcPr>
          <w:p w:rsidR="00D75E69" w:rsidRPr="00841DB3" w:rsidRDefault="00D75E69" w:rsidP="007052C7">
            <w:pPr>
              <w:jc w:val="right"/>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41DB3">
              <w:rPr>
                <w:rFonts w:cs="Arial"/>
                <w:bCs/>
                <w:color w:val="000000"/>
                <w:sz w:val="16"/>
                <w:szCs w:val="16"/>
              </w:rPr>
              <w:t>P</w:t>
            </w:r>
            <w:r w:rsidRPr="00841DB3">
              <w:rPr>
                <w:rFonts w:cs="Arial"/>
                <w:bCs/>
                <w:color w:val="000000"/>
                <w:sz w:val="16"/>
                <w:szCs w:val="16"/>
                <w:vertAlign w:val="subscript"/>
              </w:rPr>
              <w:t>dwh</w:t>
            </w:r>
          </w:p>
        </w:tc>
        <w:tc>
          <w:tcPr>
            <w:tcW w:w="1370"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5,825.60</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6,231.21</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6,271.52</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10,227.18</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10,056.12</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11,499.95</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10,804.53</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11,256.94</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13,351.08</w:t>
            </w:r>
          </w:p>
        </w:tc>
      </w:tr>
      <w:tr w:rsidR="00A03DFA" w:rsidRPr="00C476E0" w:rsidTr="00F86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D5A2C" w:rsidRPr="00841DB3" w:rsidRDefault="000D5A2C" w:rsidP="007052C7">
            <w:pPr>
              <w:jc w:val="right"/>
              <w:rPr>
                <w:rFonts w:cs="Arial"/>
                <w:bCs w:val="0"/>
                <w:color w:val="000000"/>
                <w:sz w:val="16"/>
                <w:szCs w:val="16"/>
              </w:rPr>
            </w:pPr>
            <w:r w:rsidRPr="00841DB3">
              <w:rPr>
                <w:rFonts w:cs="Arial"/>
                <w:bCs w:val="0"/>
                <w:color w:val="000000"/>
                <w:sz w:val="16"/>
                <w:szCs w:val="16"/>
              </w:rPr>
              <w:t>Access costs wholesale - farm gate</w:t>
            </w:r>
          </w:p>
        </w:tc>
        <w:tc>
          <w:tcPr>
            <w:tcW w:w="1090" w:type="dxa"/>
          </w:tcPr>
          <w:p w:rsidR="000D5A2C" w:rsidRPr="00841DB3" w:rsidRDefault="000D5A2C" w:rsidP="00D108BD">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p>
        </w:tc>
        <w:tc>
          <w:tcPr>
            <w:tcW w:w="850" w:type="dxa"/>
          </w:tcPr>
          <w:p w:rsidR="000D5A2C" w:rsidRPr="00841DB3" w:rsidRDefault="000D5A2C" w:rsidP="007052C7">
            <w:pPr>
              <w:jc w:val="right"/>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41DB3">
              <w:rPr>
                <w:rFonts w:cs="Arial"/>
                <w:bCs/>
                <w:color w:val="000000"/>
                <w:sz w:val="16"/>
                <w:szCs w:val="16"/>
              </w:rPr>
              <w:t> </w:t>
            </w:r>
          </w:p>
        </w:tc>
        <w:tc>
          <w:tcPr>
            <w:tcW w:w="1370"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1247" w:type="dxa"/>
          </w:tcPr>
          <w:p w:rsidR="000D5A2C" w:rsidRPr="008E1CA5" w:rsidRDefault="000D5A2C" w:rsidP="008E1CA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r>
      <w:tr w:rsidR="00D75E69" w:rsidRPr="00C476E0" w:rsidTr="00F86C58">
        <w:tc>
          <w:tcPr>
            <w:cnfStyle w:val="001000000000" w:firstRow="0" w:lastRow="0" w:firstColumn="1" w:lastColumn="0" w:oddVBand="0" w:evenVBand="0" w:oddHBand="0" w:evenHBand="0" w:firstRowFirstColumn="0" w:firstRowLastColumn="0" w:lastRowFirstColumn="0" w:lastRowLastColumn="0"/>
            <w:tcW w:w="2376" w:type="dxa"/>
          </w:tcPr>
          <w:p w:rsidR="00D75E69" w:rsidRPr="00841DB3" w:rsidRDefault="00D75E69" w:rsidP="007052C7">
            <w:pPr>
              <w:jc w:val="right"/>
              <w:rPr>
                <w:rFonts w:cs="Arial"/>
                <w:bCs w:val="0"/>
                <w:color w:val="000000"/>
                <w:sz w:val="16"/>
                <w:szCs w:val="16"/>
              </w:rPr>
            </w:pPr>
            <w:r w:rsidRPr="00841DB3">
              <w:rPr>
                <w:rFonts w:cs="Arial"/>
                <w:bCs w:val="0"/>
                <w:color w:val="000000"/>
                <w:sz w:val="16"/>
                <w:szCs w:val="16"/>
              </w:rPr>
              <w:t>Observed</w:t>
            </w:r>
          </w:p>
        </w:tc>
        <w:tc>
          <w:tcPr>
            <w:tcW w:w="1090" w:type="dxa"/>
          </w:tcPr>
          <w:p w:rsidR="00D75E69" w:rsidRPr="00841DB3" w:rsidRDefault="00D75E69" w:rsidP="00D108BD">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MZN/</w:t>
            </w:r>
            <w:r w:rsidR="008851CC">
              <w:rPr>
                <w:rFonts w:cs="Arial"/>
                <w:bCs/>
                <w:color w:val="000000"/>
                <w:sz w:val="16"/>
                <w:szCs w:val="16"/>
              </w:rPr>
              <w:t>tonne</w:t>
            </w:r>
          </w:p>
        </w:tc>
        <w:tc>
          <w:tcPr>
            <w:tcW w:w="850" w:type="dxa"/>
          </w:tcPr>
          <w:p w:rsidR="00D75E69" w:rsidRPr="00841DB3" w:rsidRDefault="00D75E69" w:rsidP="007052C7">
            <w:pPr>
              <w:jc w:val="right"/>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41DB3">
              <w:rPr>
                <w:rFonts w:cs="Arial"/>
                <w:bCs/>
                <w:color w:val="000000"/>
                <w:sz w:val="16"/>
                <w:szCs w:val="16"/>
              </w:rPr>
              <w:t>AC</w:t>
            </w:r>
            <w:r w:rsidRPr="00841DB3">
              <w:rPr>
                <w:rFonts w:cs="Arial"/>
                <w:bCs/>
                <w:color w:val="000000"/>
                <w:sz w:val="16"/>
                <w:szCs w:val="16"/>
                <w:vertAlign w:val="subscript"/>
              </w:rPr>
              <w:t>ofg</w:t>
            </w:r>
          </w:p>
        </w:tc>
        <w:tc>
          <w:tcPr>
            <w:tcW w:w="1370"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2,758.14</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2,917.20</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3,201.92</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4,686.27</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4,327.10</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4,822.43</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4,736.90</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4,879.61</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5,313.86</w:t>
            </w:r>
          </w:p>
        </w:tc>
      </w:tr>
      <w:tr w:rsidR="00D75E69" w:rsidRPr="00C476E0" w:rsidTr="00F86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75E69" w:rsidRPr="00841DB3" w:rsidRDefault="00D75E69" w:rsidP="007052C7">
            <w:pPr>
              <w:jc w:val="right"/>
              <w:rPr>
                <w:rFonts w:cs="Arial"/>
                <w:bCs w:val="0"/>
                <w:color w:val="000000"/>
                <w:sz w:val="16"/>
                <w:szCs w:val="16"/>
              </w:rPr>
            </w:pPr>
            <w:r w:rsidRPr="00841DB3">
              <w:rPr>
                <w:rFonts w:cs="Arial"/>
                <w:bCs w:val="0"/>
                <w:color w:val="000000"/>
                <w:sz w:val="16"/>
                <w:szCs w:val="16"/>
              </w:rPr>
              <w:t>Adjusted</w:t>
            </w:r>
          </w:p>
        </w:tc>
        <w:tc>
          <w:tcPr>
            <w:tcW w:w="1090" w:type="dxa"/>
          </w:tcPr>
          <w:p w:rsidR="00D75E69" w:rsidRPr="00841DB3" w:rsidRDefault="00D75E69" w:rsidP="00D108BD">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MZN/</w:t>
            </w:r>
            <w:r w:rsidR="008851CC">
              <w:rPr>
                <w:rFonts w:cs="Arial"/>
                <w:bCs/>
                <w:color w:val="000000"/>
                <w:sz w:val="16"/>
                <w:szCs w:val="16"/>
              </w:rPr>
              <w:t>tonne</w:t>
            </w:r>
          </w:p>
        </w:tc>
        <w:tc>
          <w:tcPr>
            <w:tcW w:w="850" w:type="dxa"/>
          </w:tcPr>
          <w:p w:rsidR="00D75E69" w:rsidRPr="00841DB3" w:rsidRDefault="00D75E69" w:rsidP="007052C7">
            <w:pPr>
              <w:jc w:val="right"/>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41DB3">
              <w:rPr>
                <w:rFonts w:cs="Arial"/>
                <w:bCs/>
                <w:color w:val="000000"/>
                <w:sz w:val="16"/>
                <w:szCs w:val="16"/>
              </w:rPr>
              <w:t>AC</w:t>
            </w:r>
            <w:r w:rsidRPr="00841DB3">
              <w:rPr>
                <w:rFonts w:cs="Arial"/>
                <w:bCs/>
                <w:color w:val="000000"/>
                <w:sz w:val="16"/>
                <w:szCs w:val="16"/>
                <w:vertAlign w:val="subscript"/>
              </w:rPr>
              <w:t>afg</w:t>
            </w:r>
          </w:p>
        </w:tc>
        <w:tc>
          <w:tcPr>
            <w:tcW w:w="1370" w:type="dxa"/>
            <w:vAlign w:val="bottom"/>
          </w:tcPr>
          <w:p w:rsidR="00D75E69" w:rsidRPr="008E1CA5" w:rsidRDefault="00D75E69"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2,573.63</w:t>
            </w:r>
          </w:p>
        </w:tc>
        <w:tc>
          <w:tcPr>
            <w:tcW w:w="1247" w:type="dxa"/>
            <w:vAlign w:val="bottom"/>
          </w:tcPr>
          <w:p w:rsidR="00D75E69" w:rsidRPr="008E1CA5" w:rsidRDefault="00D75E69"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2,777.87</w:t>
            </w:r>
          </w:p>
        </w:tc>
        <w:tc>
          <w:tcPr>
            <w:tcW w:w="1247" w:type="dxa"/>
            <w:vAlign w:val="bottom"/>
          </w:tcPr>
          <w:p w:rsidR="00D75E69" w:rsidRPr="008E1CA5" w:rsidRDefault="00D75E69"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2,955.18</w:t>
            </w:r>
          </w:p>
        </w:tc>
        <w:tc>
          <w:tcPr>
            <w:tcW w:w="1247" w:type="dxa"/>
            <w:vAlign w:val="bottom"/>
          </w:tcPr>
          <w:p w:rsidR="00D75E69" w:rsidRPr="008E1CA5" w:rsidRDefault="00D75E69"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4,324.39</w:t>
            </w:r>
          </w:p>
        </w:tc>
        <w:tc>
          <w:tcPr>
            <w:tcW w:w="1247" w:type="dxa"/>
            <w:vAlign w:val="bottom"/>
          </w:tcPr>
          <w:p w:rsidR="00D75E69" w:rsidRPr="008E1CA5" w:rsidRDefault="00D75E69"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4,159.00</w:t>
            </w:r>
          </w:p>
        </w:tc>
        <w:tc>
          <w:tcPr>
            <w:tcW w:w="1247" w:type="dxa"/>
            <w:vAlign w:val="bottom"/>
          </w:tcPr>
          <w:p w:rsidR="00D75E69" w:rsidRPr="008E1CA5" w:rsidRDefault="00D75E69"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4,382.70</w:t>
            </w:r>
          </w:p>
        </w:tc>
        <w:tc>
          <w:tcPr>
            <w:tcW w:w="1247" w:type="dxa"/>
            <w:vAlign w:val="bottom"/>
          </w:tcPr>
          <w:p w:rsidR="00D75E69" w:rsidRPr="008E1CA5" w:rsidRDefault="00D75E69"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4,706.56</w:t>
            </w:r>
          </w:p>
        </w:tc>
        <w:tc>
          <w:tcPr>
            <w:tcW w:w="1247" w:type="dxa"/>
            <w:vAlign w:val="bottom"/>
          </w:tcPr>
          <w:p w:rsidR="00D75E69" w:rsidRPr="008E1CA5" w:rsidRDefault="00D75E69"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4,301.92</w:t>
            </w:r>
          </w:p>
        </w:tc>
        <w:tc>
          <w:tcPr>
            <w:tcW w:w="1247" w:type="dxa"/>
            <w:vAlign w:val="bottom"/>
          </w:tcPr>
          <w:p w:rsidR="00D75E69" w:rsidRPr="008E1CA5" w:rsidRDefault="00D75E69" w:rsidP="008E1CA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8E1CA5">
              <w:rPr>
                <w:rFonts w:cs="Arial"/>
                <w:color w:val="000000"/>
                <w:sz w:val="16"/>
                <w:szCs w:val="16"/>
              </w:rPr>
              <w:t>4,680.70</w:t>
            </w:r>
          </w:p>
        </w:tc>
      </w:tr>
      <w:tr w:rsidR="00D75E69" w:rsidRPr="00C476E0" w:rsidTr="00F86C58">
        <w:tc>
          <w:tcPr>
            <w:cnfStyle w:val="001000000000" w:firstRow="0" w:lastRow="0" w:firstColumn="1" w:lastColumn="0" w:oddVBand="0" w:evenVBand="0" w:oddHBand="0" w:evenHBand="0" w:firstRowFirstColumn="0" w:firstRowLastColumn="0" w:lastRowFirstColumn="0" w:lastRowLastColumn="0"/>
            <w:tcW w:w="2376" w:type="dxa"/>
          </w:tcPr>
          <w:p w:rsidR="00D75E69" w:rsidRPr="00841DB3" w:rsidRDefault="00D75E69" w:rsidP="007052C7">
            <w:pPr>
              <w:jc w:val="right"/>
              <w:rPr>
                <w:rFonts w:cs="Arial"/>
                <w:bCs w:val="0"/>
                <w:color w:val="000000"/>
                <w:sz w:val="16"/>
                <w:szCs w:val="16"/>
              </w:rPr>
            </w:pPr>
            <w:r w:rsidRPr="00841DB3">
              <w:rPr>
                <w:rFonts w:cs="Arial"/>
                <w:bCs w:val="0"/>
                <w:color w:val="000000"/>
                <w:sz w:val="16"/>
                <w:szCs w:val="16"/>
              </w:rPr>
              <w:t>Farm gate price</w:t>
            </w:r>
          </w:p>
        </w:tc>
        <w:tc>
          <w:tcPr>
            <w:tcW w:w="1090" w:type="dxa"/>
          </w:tcPr>
          <w:p w:rsidR="00D75E69" w:rsidRPr="00841DB3" w:rsidRDefault="00D75E69" w:rsidP="00D108BD">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MZN/</w:t>
            </w:r>
            <w:r w:rsidR="008851CC">
              <w:rPr>
                <w:rFonts w:cs="Arial"/>
                <w:bCs/>
                <w:color w:val="000000"/>
                <w:sz w:val="16"/>
                <w:szCs w:val="16"/>
              </w:rPr>
              <w:t>tonne</w:t>
            </w:r>
          </w:p>
        </w:tc>
        <w:tc>
          <w:tcPr>
            <w:tcW w:w="850" w:type="dxa"/>
          </w:tcPr>
          <w:p w:rsidR="00D75E69" w:rsidRPr="00841DB3" w:rsidRDefault="00D75E69" w:rsidP="007052C7">
            <w:pPr>
              <w:jc w:val="right"/>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41DB3">
              <w:rPr>
                <w:rFonts w:cs="Arial"/>
                <w:bCs/>
                <w:color w:val="000000"/>
                <w:sz w:val="16"/>
                <w:szCs w:val="16"/>
              </w:rPr>
              <w:t>P</w:t>
            </w:r>
            <w:r w:rsidRPr="00841DB3">
              <w:rPr>
                <w:rFonts w:cs="Arial"/>
                <w:bCs/>
                <w:color w:val="000000"/>
                <w:sz w:val="16"/>
                <w:szCs w:val="16"/>
                <w:vertAlign w:val="subscript"/>
              </w:rPr>
              <w:t>dfg</w:t>
            </w:r>
          </w:p>
        </w:tc>
        <w:tc>
          <w:tcPr>
            <w:tcW w:w="1370"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3,520.31</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3,959.59</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3,423.49</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6,230.48</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6,928.54</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7,361.75</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7,773.81</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6,638.10</w:t>
            </w:r>
          </w:p>
        </w:tc>
        <w:tc>
          <w:tcPr>
            <w:tcW w:w="1247" w:type="dxa"/>
            <w:vAlign w:val="bottom"/>
          </w:tcPr>
          <w:p w:rsidR="00D75E69" w:rsidRPr="008E1CA5" w:rsidRDefault="00D75E69"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8E1CA5">
              <w:rPr>
                <w:rFonts w:cs="Arial"/>
                <w:color w:val="000000"/>
                <w:sz w:val="16"/>
                <w:szCs w:val="16"/>
              </w:rPr>
              <w:t>8,490.91</w:t>
            </w:r>
          </w:p>
        </w:tc>
      </w:tr>
      <w:tr w:rsidR="00A03DFA" w:rsidRPr="00C476E0" w:rsidTr="00F86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D5A2C" w:rsidRPr="00841DB3" w:rsidRDefault="000D5A2C" w:rsidP="007052C7">
            <w:pPr>
              <w:jc w:val="right"/>
              <w:rPr>
                <w:rFonts w:cs="Arial"/>
                <w:bCs w:val="0"/>
                <w:color w:val="000000"/>
                <w:sz w:val="16"/>
                <w:szCs w:val="16"/>
              </w:rPr>
            </w:pPr>
            <w:r w:rsidRPr="00841DB3">
              <w:rPr>
                <w:rFonts w:cs="Arial"/>
                <w:bCs w:val="0"/>
                <w:color w:val="000000"/>
                <w:sz w:val="16"/>
                <w:szCs w:val="16"/>
              </w:rPr>
              <w:t>Externalities associated with production</w:t>
            </w:r>
          </w:p>
        </w:tc>
        <w:tc>
          <w:tcPr>
            <w:tcW w:w="1090" w:type="dxa"/>
          </w:tcPr>
          <w:p w:rsidR="000D5A2C" w:rsidRPr="00841DB3" w:rsidRDefault="000D5A2C" w:rsidP="00D108BD">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p>
        </w:tc>
        <w:tc>
          <w:tcPr>
            <w:tcW w:w="850" w:type="dxa"/>
          </w:tcPr>
          <w:p w:rsidR="000D5A2C" w:rsidRPr="00841DB3" w:rsidRDefault="000D5A2C" w:rsidP="007052C7">
            <w:pPr>
              <w:jc w:val="right"/>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41DB3">
              <w:rPr>
                <w:rFonts w:cs="Arial"/>
                <w:bCs/>
                <w:color w:val="000000"/>
                <w:sz w:val="16"/>
                <w:szCs w:val="16"/>
              </w:rPr>
              <w:t>E</w:t>
            </w:r>
          </w:p>
        </w:tc>
        <w:tc>
          <w:tcPr>
            <w:tcW w:w="1370" w:type="dxa"/>
          </w:tcPr>
          <w:p w:rsidR="000D5A2C" w:rsidRPr="00841DB3" w:rsidRDefault="000D5A2C" w:rsidP="00D108BD">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D108BD">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D108BD">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D108BD">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D108BD">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D108BD">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D108BD">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D108BD">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D108BD">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rPr>
            </w:pPr>
          </w:p>
        </w:tc>
      </w:tr>
      <w:tr w:rsidR="00A03DFA" w:rsidRPr="00C476E0" w:rsidTr="00F86C58">
        <w:tc>
          <w:tcPr>
            <w:cnfStyle w:val="001000000000" w:firstRow="0" w:lastRow="0" w:firstColumn="1" w:lastColumn="0" w:oddVBand="0" w:evenVBand="0" w:oddHBand="0" w:evenHBand="0" w:firstRowFirstColumn="0" w:firstRowLastColumn="0" w:lastRowFirstColumn="0" w:lastRowLastColumn="0"/>
            <w:tcW w:w="2376" w:type="dxa"/>
          </w:tcPr>
          <w:p w:rsidR="000D5A2C" w:rsidRPr="00841DB3" w:rsidRDefault="000D5A2C" w:rsidP="007052C7">
            <w:pPr>
              <w:jc w:val="right"/>
              <w:rPr>
                <w:rFonts w:cs="Arial"/>
                <w:bCs w:val="0"/>
                <w:color w:val="000000"/>
                <w:sz w:val="16"/>
                <w:szCs w:val="16"/>
              </w:rPr>
            </w:pPr>
            <w:r w:rsidRPr="00841DB3">
              <w:rPr>
                <w:rFonts w:cs="Arial"/>
                <w:bCs w:val="0"/>
                <w:color w:val="000000"/>
                <w:sz w:val="16"/>
                <w:szCs w:val="16"/>
              </w:rPr>
              <w:t>Budget and other product related transfers</w:t>
            </w:r>
          </w:p>
        </w:tc>
        <w:tc>
          <w:tcPr>
            <w:tcW w:w="1090" w:type="dxa"/>
          </w:tcPr>
          <w:p w:rsidR="000D5A2C" w:rsidRPr="00841DB3" w:rsidRDefault="000D5A2C" w:rsidP="00D108BD">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p>
        </w:tc>
        <w:tc>
          <w:tcPr>
            <w:tcW w:w="850" w:type="dxa"/>
          </w:tcPr>
          <w:p w:rsidR="000D5A2C" w:rsidRPr="00841DB3" w:rsidRDefault="000D5A2C" w:rsidP="007052C7">
            <w:pPr>
              <w:jc w:val="right"/>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41DB3">
              <w:rPr>
                <w:rFonts w:cs="Arial"/>
                <w:bCs/>
                <w:color w:val="000000"/>
                <w:sz w:val="16"/>
                <w:szCs w:val="16"/>
              </w:rPr>
              <w:t>BOT</w:t>
            </w:r>
          </w:p>
        </w:tc>
        <w:tc>
          <w:tcPr>
            <w:tcW w:w="1370" w:type="dxa"/>
          </w:tcPr>
          <w:p w:rsidR="000D5A2C" w:rsidRPr="00841DB3" w:rsidRDefault="000D5A2C" w:rsidP="007052C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7052C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7052C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7052C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7052C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7052C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7052C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7052C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p>
        </w:tc>
        <w:tc>
          <w:tcPr>
            <w:tcW w:w="1247" w:type="dxa"/>
          </w:tcPr>
          <w:p w:rsidR="000D5A2C" w:rsidRPr="00841DB3" w:rsidRDefault="000D5A2C" w:rsidP="007052C7">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p>
        </w:tc>
      </w:tr>
      <w:tr w:rsidR="008E1CA5" w:rsidRPr="00C476E0" w:rsidTr="00F86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E1CA5" w:rsidRPr="00841DB3" w:rsidRDefault="008E1CA5" w:rsidP="008E1CA5">
            <w:pPr>
              <w:jc w:val="right"/>
              <w:rPr>
                <w:rFonts w:cs="Arial"/>
                <w:bCs w:val="0"/>
                <w:color w:val="000000"/>
                <w:sz w:val="16"/>
                <w:szCs w:val="16"/>
              </w:rPr>
            </w:pPr>
            <w:r w:rsidRPr="00841DB3">
              <w:rPr>
                <w:rFonts w:cs="Arial"/>
                <w:bCs w:val="0"/>
                <w:color w:val="000000"/>
                <w:sz w:val="16"/>
                <w:szCs w:val="16"/>
              </w:rPr>
              <w:t>Quantity conversion factor (border - point of competition)</w:t>
            </w:r>
          </w:p>
        </w:tc>
        <w:tc>
          <w:tcPr>
            <w:tcW w:w="1090" w:type="dxa"/>
          </w:tcPr>
          <w:p w:rsidR="008E1CA5" w:rsidRPr="00841DB3" w:rsidRDefault="008E1CA5" w:rsidP="008E1CA5">
            <w:pPr>
              <w:jc w:val="right"/>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41DB3">
              <w:rPr>
                <w:rFonts w:cs="Arial"/>
                <w:bCs/>
                <w:color w:val="000000"/>
                <w:sz w:val="16"/>
                <w:szCs w:val="16"/>
              </w:rPr>
              <w:t>Fraction</w:t>
            </w:r>
          </w:p>
        </w:tc>
        <w:tc>
          <w:tcPr>
            <w:tcW w:w="850" w:type="dxa"/>
          </w:tcPr>
          <w:p w:rsidR="008E1CA5" w:rsidRPr="00841DB3" w:rsidRDefault="008E1CA5" w:rsidP="008E1CA5">
            <w:pPr>
              <w:jc w:val="right"/>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41DB3">
              <w:rPr>
                <w:rFonts w:cs="Arial"/>
                <w:bCs/>
                <w:color w:val="000000"/>
                <w:sz w:val="16"/>
                <w:szCs w:val="16"/>
              </w:rPr>
              <w:t>QT</w:t>
            </w:r>
            <w:r w:rsidRPr="00841DB3">
              <w:rPr>
                <w:rFonts w:cs="Arial"/>
                <w:bCs/>
                <w:color w:val="000000"/>
                <w:sz w:val="16"/>
                <w:szCs w:val="16"/>
                <w:vertAlign w:val="subscript"/>
              </w:rPr>
              <w:t>wh</w:t>
            </w:r>
          </w:p>
        </w:tc>
        <w:tc>
          <w:tcPr>
            <w:tcW w:w="1370"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r>
      <w:tr w:rsidR="008E1CA5" w:rsidRPr="00C476E0" w:rsidTr="00F86C58">
        <w:tc>
          <w:tcPr>
            <w:cnfStyle w:val="001000000000" w:firstRow="0" w:lastRow="0" w:firstColumn="1" w:lastColumn="0" w:oddVBand="0" w:evenVBand="0" w:oddHBand="0" w:evenHBand="0" w:firstRowFirstColumn="0" w:firstRowLastColumn="0" w:lastRowFirstColumn="0" w:lastRowLastColumn="0"/>
            <w:tcW w:w="2376" w:type="dxa"/>
          </w:tcPr>
          <w:p w:rsidR="008E1CA5" w:rsidRPr="00841DB3" w:rsidRDefault="008E1CA5" w:rsidP="008E1CA5">
            <w:pPr>
              <w:jc w:val="right"/>
              <w:rPr>
                <w:rFonts w:cs="Arial"/>
                <w:bCs w:val="0"/>
                <w:color w:val="000000"/>
                <w:sz w:val="16"/>
                <w:szCs w:val="16"/>
              </w:rPr>
            </w:pPr>
            <w:r w:rsidRPr="00841DB3">
              <w:rPr>
                <w:rFonts w:cs="Arial"/>
                <w:bCs w:val="0"/>
                <w:color w:val="000000"/>
                <w:sz w:val="16"/>
                <w:szCs w:val="16"/>
              </w:rPr>
              <w:t>Quality conversion factor (border - point of competition)</w:t>
            </w:r>
          </w:p>
        </w:tc>
        <w:tc>
          <w:tcPr>
            <w:tcW w:w="1090" w:type="dxa"/>
          </w:tcPr>
          <w:p w:rsidR="008E1CA5" w:rsidRPr="00841DB3" w:rsidRDefault="008E1CA5" w:rsidP="008E1CA5">
            <w:pPr>
              <w:jc w:val="right"/>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41DB3">
              <w:rPr>
                <w:rFonts w:cs="Arial"/>
                <w:bCs/>
                <w:color w:val="000000"/>
                <w:sz w:val="16"/>
                <w:szCs w:val="16"/>
              </w:rPr>
              <w:t>Fraction</w:t>
            </w:r>
          </w:p>
        </w:tc>
        <w:tc>
          <w:tcPr>
            <w:tcW w:w="850" w:type="dxa"/>
          </w:tcPr>
          <w:p w:rsidR="008E1CA5" w:rsidRPr="00841DB3" w:rsidRDefault="008E1CA5" w:rsidP="008E1CA5">
            <w:pPr>
              <w:jc w:val="right"/>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41DB3">
              <w:rPr>
                <w:rFonts w:cs="Arial"/>
                <w:bCs/>
                <w:color w:val="000000"/>
                <w:sz w:val="16"/>
                <w:szCs w:val="16"/>
              </w:rPr>
              <w:t>QL</w:t>
            </w:r>
            <w:r w:rsidRPr="00841DB3">
              <w:rPr>
                <w:rFonts w:cs="Arial"/>
                <w:bCs/>
                <w:color w:val="000000"/>
                <w:sz w:val="16"/>
                <w:szCs w:val="16"/>
                <w:vertAlign w:val="subscript"/>
              </w:rPr>
              <w:t>wh</w:t>
            </w:r>
          </w:p>
        </w:tc>
        <w:tc>
          <w:tcPr>
            <w:tcW w:w="1370"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r>
      <w:tr w:rsidR="008E1CA5" w:rsidRPr="00C476E0" w:rsidTr="00F86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E1CA5" w:rsidRPr="00841DB3" w:rsidRDefault="008E1CA5" w:rsidP="008E1CA5">
            <w:pPr>
              <w:jc w:val="right"/>
              <w:rPr>
                <w:rFonts w:cs="Arial"/>
                <w:bCs w:val="0"/>
                <w:color w:val="000000"/>
                <w:sz w:val="16"/>
                <w:szCs w:val="16"/>
              </w:rPr>
            </w:pPr>
            <w:r w:rsidRPr="00841DB3">
              <w:rPr>
                <w:rFonts w:cs="Arial"/>
                <w:bCs w:val="0"/>
                <w:color w:val="000000"/>
                <w:sz w:val="16"/>
                <w:szCs w:val="16"/>
              </w:rPr>
              <w:t>Quantity conversion factor (point of competition – farm gate)</w:t>
            </w:r>
          </w:p>
        </w:tc>
        <w:tc>
          <w:tcPr>
            <w:tcW w:w="1090" w:type="dxa"/>
          </w:tcPr>
          <w:p w:rsidR="008E1CA5" w:rsidRPr="00841DB3" w:rsidRDefault="008E1CA5" w:rsidP="008E1CA5">
            <w:pPr>
              <w:jc w:val="right"/>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41DB3">
              <w:rPr>
                <w:rFonts w:cs="Arial"/>
                <w:bCs/>
                <w:color w:val="000000"/>
                <w:sz w:val="16"/>
                <w:szCs w:val="16"/>
              </w:rPr>
              <w:t>Fraction</w:t>
            </w:r>
          </w:p>
        </w:tc>
        <w:tc>
          <w:tcPr>
            <w:tcW w:w="850" w:type="dxa"/>
          </w:tcPr>
          <w:p w:rsidR="008E1CA5" w:rsidRPr="00841DB3" w:rsidRDefault="008E1CA5" w:rsidP="008E1CA5">
            <w:pPr>
              <w:jc w:val="right"/>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41DB3">
              <w:rPr>
                <w:rFonts w:cs="Arial"/>
                <w:bCs/>
                <w:color w:val="000000"/>
                <w:sz w:val="16"/>
                <w:szCs w:val="16"/>
              </w:rPr>
              <w:t>QT</w:t>
            </w:r>
            <w:r w:rsidRPr="00841DB3">
              <w:rPr>
                <w:rFonts w:cs="Arial"/>
                <w:bCs/>
                <w:color w:val="000000"/>
                <w:sz w:val="16"/>
                <w:szCs w:val="16"/>
                <w:vertAlign w:val="subscript"/>
              </w:rPr>
              <w:t>fg</w:t>
            </w:r>
          </w:p>
        </w:tc>
        <w:tc>
          <w:tcPr>
            <w:tcW w:w="1370"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c>
          <w:tcPr>
            <w:tcW w:w="1247" w:type="dxa"/>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sidRPr="008E1CA5">
              <w:rPr>
                <w:rFonts w:cs="Arial"/>
                <w:bCs/>
                <w:color w:val="000000"/>
                <w:sz w:val="16"/>
                <w:szCs w:val="16"/>
              </w:rPr>
              <w:t>1</w:t>
            </w:r>
          </w:p>
        </w:tc>
      </w:tr>
      <w:tr w:rsidR="008E1CA5" w:rsidRPr="00C476E0" w:rsidTr="00F86C58">
        <w:tc>
          <w:tcPr>
            <w:cnfStyle w:val="001000000000" w:firstRow="0" w:lastRow="0" w:firstColumn="1" w:lastColumn="0" w:oddVBand="0" w:evenVBand="0" w:oddHBand="0" w:evenHBand="0" w:firstRowFirstColumn="0" w:firstRowLastColumn="0" w:lastRowFirstColumn="0" w:lastRowLastColumn="0"/>
            <w:tcW w:w="2376" w:type="dxa"/>
          </w:tcPr>
          <w:p w:rsidR="008E1CA5" w:rsidRPr="00841DB3" w:rsidRDefault="008E1CA5" w:rsidP="008E1CA5">
            <w:pPr>
              <w:jc w:val="right"/>
              <w:rPr>
                <w:rFonts w:cs="Arial"/>
                <w:bCs w:val="0"/>
                <w:color w:val="000000"/>
                <w:sz w:val="16"/>
                <w:szCs w:val="16"/>
              </w:rPr>
            </w:pPr>
            <w:r w:rsidRPr="00841DB3">
              <w:rPr>
                <w:rFonts w:cs="Arial"/>
                <w:bCs w:val="0"/>
                <w:color w:val="000000"/>
                <w:sz w:val="16"/>
                <w:szCs w:val="16"/>
              </w:rPr>
              <w:t>Quality conversion factor (point of competition – farm gate)</w:t>
            </w:r>
          </w:p>
        </w:tc>
        <w:tc>
          <w:tcPr>
            <w:tcW w:w="1090" w:type="dxa"/>
          </w:tcPr>
          <w:p w:rsidR="008E1CA5" w:rsidRPr="00841DB3" w:rsidRDefault="008E1CA5" w:rsidP="008E1CA5">
            <w:pPr>
              <w:jc w:val="right"/>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41DB3">
              <w:rPr>
                <w:rFonts w:cs="Arial"/>
                <w:bCs/>
                <w:color w:val="000000"/>
                <w:sz w:val="16"/>
                <w:szCs w:val="16"/>
              </w:rPr>
              <w:t>Fraction</w:t>
            </w:r>
          </w:p>
        </w:tc>
        <w:tc>
          <w:tcPr>
            <w:tcW w:w="850" w:type="dxa"/>
          </w:tcPr>
          <w:p w:rsidR="008E1CA5" w:rsidRPr="00841DB3" w:rsidRDefault="008E1CA5" w:rsidP="008E1CA5">
            <w:pPr>
              <w:jc w:val="right"/>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sidRPr="00841DB3">
              <w:rPr>
                <w:rFonts w:cs="Arial"/>
                <w:bCs/>
                <w:color w:val="000000"/>
                <w:sz w:val="16"/>
                <w:szCs w:val="16"/>
              </w:rPr>
              <w:t>QL</w:t>
            </w:r>
            <w:r w:rsidRPr="00841DB3">
              <w:rPr>
                <w:rFonts w:cs="Arial"/>
                <w:bCs/>
                <w:color w:val="000000"/>
                <w:sz w:val="16"/>
                <w:szCs w:val="16"/>
                <w:vertAlign w:val="subscript"/>
              </w:rPr>
              <w:t>fg</w:t>
            </w:r>
          </w:p>
        </w:tc>
        <w:tc>
          <w:tcPr>
            <w:tcW w:w="1370"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highlight w:val="yellow"/>
              </w:rPr>
            </w:pPr>
            <w:r w:rsidRPr="008E1CA5">
              <w:rPr>
                <w:rFonts w:cs="Arial"/>
                <w:color w:val="000000"/>
                <w:sz w:val="16"/>
                <w:szCs w:val="16"/>
              </w:rPr>
              <w:t>1</w:t>
            </w:r>
          </w:p>
        </w:tc>
        <w:tc>
          <w:tcPr>
            <w:tcW w:w="1247"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highlight w:val="yellow"/>
              </w:rPr>
            </w:pPr>
            <w:r w:rsidRPr="008E1CA5">
              <w:rPr>
                <w:rFonts w:cs="Arial"/>
                <w:color w:val="000000"/>
                <w:sz w:val="16"/>
                <w:szCs w:val="16"/>
              </w:rPr>
              <w:t>1</w:t>
            </w:r>
          </w:p>
        </w:tc>
        <w:tc>
          <w:tcPr>
            <w:tcW w:w="1247"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highlight w:val="yellow"/>
              </w:rPr>
            </w:pPr>
            <w:r w:rsidRPr="008E1CA5">
              <w:rPr>
                <w:rFonts w:cs="Arial"/>
                <w:color w:val="000000"/>
                <w:sz w:val="16"/>
                <w:szCs w:val="16"/>
              </w:rPr>
              <w:t>1</w:t>
            </w:r>
          </w:p>
        </w:tc>
        <w:tc>
          <w:tcPr>
            <w:tcW w:w="1247"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highlight w:val="yellow"/>
              </w:rPr>
            </w:pPr>
            <w:r w:rsidRPr="008E1CA5">
              <w:rPr>
                <w:rFonts w:cs="Arial"/>
                <w:color w:val="000000"/>
                <w:sz w:val="16"/>
                <w:szCs w:val="16"/>
              </w:rPr>
              <w:t>1</w:t>
            </w:r>
          </w:p>
        </w:tc>
        <w:tc>
          <w:tcPr>
            <w:tcW w:w="1247"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highlight w:val="yellow"/>
              </w:rPr>
            </w:pPr>
            <w:r w:rsidRPr="008E1CA5">
              <w:rPr>
                <w:rFonts w:cs="Arial"/>
                <w:color w:val="000000"/>
                <w:sz w:val="16"/>
                <w:szCs w:val="16"/>
              </w:rPr>
              <w:t>1</w:t>
            </w:r>
          </w:p>
        </w:tc>
        <w:tc>
          <w:tcPr>
            <w:tcW w:w="1247"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highlight w:val="yellow"/>
              </w:rPr>
            </w:pPr>
            <w:r w:rsidRPr="008E1CA5">
              <w:rPr>
                <w:rFonts w:cs="Arial"/>
                <w:color w:val="000000"/>
                <w:sz w:val="16"/>
                <w:szCs w:val="16"/>
              </w:rPr>
              <w:t>1</w:t>
            </w:r>
          </w:p>
        </w:tc>
        <w:tc>
          <w:tcPr>
            <w:tcW w:w="1247"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highlight w:val="yellow"/>
              </w:rPr>
            </w:pPr>
            <w:r w:rsidRPr="008E1CA5">
              <w:rPr>
                <w:rFonts w:cs="Arial"/>
                <w:color w:val="000000"/>
                <w:sz w:val="16"/>
                <w:szCs w:val="16"/>
              </w:rPr>
              <w:t>1</w:t>
            </w:r>
          </w:p>
        </w:tc>
        <w:tc>
          <w:tcPr>
            <w:tcW w:w="1247"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highlight w:val="yellow"/>
              </w:rPr>
            </w:pPr>
            <w:r w:rsidRPr="008E1CA5">
              <w:rPr>
                <w:rFonts w:cs="Arial"/>
                <w:color w:val="000000"/>
                <w:sz w:val="16"/>
                <w:szCs w:val="16"/>
              </w:rPr>
              <w:t>1</w:t>
            </w:r>
          </w:p>
        </w:tc>
        <w:tc>
          <w:tcPr>
            <w:tcW w:w="1247" w:type="dxa"/>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highlight w:val="yellow"/>
              </w:rPr>
            </w:pPr>
            <w:r w:rsidRPr="008E1CA5">
              <w:rPr>
                <w:rFonts w:cs="Arial"/>
                <w:color w:val="000000"/>
                <w:sz w:val="16"/>
                <w:szCs w:val="16"/>
              </w:rPr>
              <w:t>1</w:t>
            </w:r>
          </w:p>
        </w:tc>
      </w:tr>
    </w:tbl>
    <w:p w:rsidR="00104941" w:rsidRPr="00C476E0" w:rsidRDefault="00104941" w:rsidP="00304AB0">
      <w:pPr>
        <w:rPr>
          <w:highlight w:val="yellow"/>
        </w:rPr>
        <w:sectPr w:rsidR="00104941" w:rsidRPr="00C476E0" w:rsidSect="00A60BEC">
          <w:pgSz w:w="16838" w:h="11906" w:orient="landscape"/>
          <w:pgMar w:top="1418" w:right="1418" w:bottom="1418" w:left="1418" w:header="709" w:footer="709" w:gutter="0"/>
          <w:cols w:space="708"/>
          <w:docGrid w:linePitch="360"/>
        </w:sectPr>
      </w:pPr>
    </w:p>
    <w:p w:rsidR="000553C0" w:rsidRPr="00B70BEF" w:rsidRDefault="0051492F" w:rsidP="000553C0">
      <w:pPr>
        <w:pStyle w:val="Heading2"/>
      </w:pPr>
      <w:bookmarkStart w:id="72" w:name="_Toc335991453"/>
      <w:bookmarkStart w:id="73" w:name="_Toc336419343"/>
      <w:bookmarkStart w:id="74" w:name="_Toc401642236"/>
      <w:r>
        <w:lastRenderedPageBreak/>
        <w:t>SUMMARY OF</w:t>
      </w:r>
      <w:r w:rsidR="000553C0" w:rsidRPr="00B70BEF">
        <w:t xml:space="preserve"> INDICATORS</w:t>
      </w:r>
      <w:bookmarkEnd w:id="72"/>
      <w:bookmarkEnd w:id="73"/>
      <w:bookmarkEnd w:id="74"/>
    </w:p>
    <w:p w:rsidR="00645B3B" w:rsidRDefault="00645B3B" w:rsidP="00645B3B">
      <w:pPr>
        <w:pStyle w:val="Caption"/>
        <w:keepNext/>
        <w:keepLines/>
      </w:pPr>
      <w:r>
        <w:t xml:space="preserve">Table </w:t>
      </w:r>
      <w:r w:rsidR="00323EC3">
        <w:fldChar w:fldCharType="begin"/>
      </w:r>
      <w:r w:rsidR="007E22D8">
        <w:instrText xml:space="preserve"> SEQ Table \* ARABIC </w:instrText>
      </w:r>
      <w:r w:rsidR="00323EC3">
        <w:fldChar w:fldCharType="separate"/>
      </w:r>
      <w:r w:rsidR="00D147FD">
        <w:rPr>
          <w:noProof/>
        </w:rPr>
        <w:t>7</w:t>
      </w:r>
      <w:r w:rsidR="00323EC3">
        <w:rPr>
          <w:noProof/>
        </w:rPr>
        <w:fldChar w:fldCharType="end"/>
      </w:r>
      <w:r>
        <w:t xml:space="preserve">. </w:t>
      </w:r>
      <w:r w:rsidR="001A154E" w:rsidRPr="005C1150">
        <w:rPr>
          <w:lang w:val="en-GB"/>
        </w:rPr>
        <w:t xml:space="preserve">MAFAP </w:t>
      </w:r>
      <w:r w:rsidR="003649CB">
        <w:rPr>
          <w:lang w:val="en-GB"/>
        </w:rPr>
        <w:t>p</w:t>
      </w:r>
      <w:r w:rsidR="001A154E" w:rsidRPr="005C1150">
        <w:rPr>
          <w:lang w:val="en-GB"/>
        </w:rPr>
        <w:t xml:space="preserve">rice </w:t>
      </w:r>
      <w:r w:rsidR="001A154E">
        <w:rPr>
          <w:lang w:val="en-GB"/>
        </w:rPr>
        <w:t>g</w:t>
      </w:r>
      <w:r w:rsidR="001A154E" w:rsidRPr="005C1150">
        <w:rPr>
          <w:lang w:val="en-GB"/>
        </w:rPr>
        <w:t xml:space="preserve">aps for </w:t>
      </w:r>
      <w:r w:rsidR="001A154E">
        <w:rPr>
          <w:lang w:val="en-GB"/>
        </w:rPr>
        <w:t>maize</w:t>
      </w:r>
      <w:r w:rsidR="001A154E" w:rsidRPr="005C1150">
        <w:rPr>
          <w:lang w:val="en-GB"/>
        </w:rPr>
        <w:t xml:space="preserve"> in Mozambique, (MZN/</w:t>
      </w:r>
      <w:r w:rsidR="008851CC">
        <w:rPr>
          <w:lang w:val="en-GB"/>
        </w:rPr>
        <w:t>tonne</w:t>
      </w:r>
      <w:r w:rsidR="001A154E" w:rsidRPr="005C1150">
        <w:rPr>
          <w:lang w:val="en-GB"/>
        </w:rPr>
        <w:t>)</w:t>
      </w:r>
      <w:r>
        <w:t>, 2005-2013</w:t>
      </w:r>
    </w:p>
    <w:tbl>
      <w:tblPr>
        <w:tblStyle w:val="MediumGrid3-Accent3"/>
        <w:tblW w:w="5392" w:type="pct"/>
        <w:tblLook w:val="04A0" w:firstRow="1" w:lastRow="0" w:firstColumn="1" w:lastColumn="0" w:noHBand="0" w:noVBand="1"/>
      </w:tblPr>
      <w:tblGrid>
        <w:gridCol w:w="2122"/>
        <w:gridCol w:w="878"/>
        <w:gridCol w:w="877"/>
        <w:gridCol w:w="877"/>
        <w:gridCol w:w="877"/>
        <w:gridCol w:w="877"/>
        <w:gridCol w:w="877"/>
        <w:gridCol w:w="877"/>
        <w:gridCol w:w="877"/>
        <w:gridCol w:w="875"/>
      </w:tblGrid>
      <w:tr w:rsidR="00A03DFA" w:rsidRPr="00EF0C94" w:rsidTr="008E1CA5">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059" w:type="pct"/>
          </w:tcPr>
          <w:p w:rsidR="00EF0C94" w:rsidRPr="008E1CA5" w:rsidRDefault="00EF0C94" w:rsidP="00310FA4">
            <w:pPr>
              <w:keepNext/>
              <w:keepLines/>
              <w:jc w:val="center"/>
              <w:rPr>
                <w:rFonts w:cstheme="minorHAnsi"/>
                <w:color w:val="auto"/>
                <w:sz w:val="18"/>
                <w:szCs w:val="18"/>
              </w:rPr>
            </w:pPr>
          </w:p>
        </w:tc>
        <w:tc>
          <w:tcPr>
            <w:tcW w:w="438" w:type="pct"/>
          </w:tcPr>
          <w:p w:rsidR="00EF0C94" w:rsidRPr="008E1CA5" w:rsidRDefault="00EF0C94"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8E1CA5">
              <w:rPr>
                <w:rFonts w:cstheme="minorHAnsi"/>
                <w:color w:val="auto"/>
                <w:sz w:val="18"/>
                <w:szCs w:val="18"/>
              </w:rPr>
              <w:t>2005</w:t>
            </w:r>
          </w:p>
        </w:tc>
        <w:tc>
          <w:tcPr>
            <w:tcW w:w="438" w:type="pct"/>
          </w:tcPr>
          <w:p w:rsidR="00EF0C94" w:rsidRPr="008E1CA5" w:rsidRDefault="00EF0C94"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8E1CA5">
              <w:rPr>
                <w:rFonts w:cstheme="minorHAnsi"/>
                <w:color w:val="auto"/>
                <w:sz w:val="18"/>
                <w:szCs w:val="18"/>
              </w:rPr>
              <w:t>2006</w:t>
            </w:r>
          </w:p>
        </w:tc>
        <w:tc>
          <w:tcPr>
            <w:tcW w:w="438" w:type="pct"/>
          </w:tcPr>
          <w:p w:rsidR="00EF0C94" w:rsidRPr="008E1CA5" w:rsidRDefault="00EF0C94"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8E1CA5">
              <w:rPr>
                <w:rFonts w:cstheme="minorHAnsi"/>
                <w:color w:val="auto"/>
                <w:sz w:val="18"/>
                <w:szCs w:val="18"/>
              </w:rPr>
              <w:t>2007</w:t>
            </w:r>
          </w:p>
        </w:tc>
        <w:tc>
          <w:tcPr>
            <w:tcW w:w="438" w:type="pct"/>
          </w:tcPr>
          <w:p w:rsidR="00EF0C94" w:rsidRPr="008E1CA5" w:rsidRDefault="00EF0C94"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8E1CA5">
              <w:rPr>
                <w:rFonts w:cstheme="minorHAnsi"/>
                <w:color w:val="auto"/>
                <w:sz w:val="18"/>
                <w:szCs w:val="18"/>
              </w:rPr>
              <w:t>2008</w:t>
            </w:r>
          </w:p>
        </w:tc>
        <w:tc>
          <w:tcPr>
            <w:tcW w:w="438" w:type="pct"/>
          </w:tcPr>
          <w:p w:rsidR="00EF0C94" w:rsidRPr="008E1CA5" w:rsidRDefault="00EF0C94"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8E1CA5">
              <w:rPr>
                <w:rFonts w:cstheme="minorHAnsi"/>
                <w:color w:val="auto"/>
                <w:sz w:val="18"/>
                <w:szCs w:val="18"/>
              </w:rPr>
              <w:t>2009</w:t>
            </w:r>
          </w:p>
        </w:tc>
        <w:tc>
          <w:tcPr>
            <w:tcW w:w="438" w:type="pct"/>
          </w:tcPr>
          <w:p w:rsidR="00EF0C94" w:rsidRPr="008E1CA5" w:rsidRDefault="00EF0C94"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8E1CA5">
              <w:rPr>
                <w:rFonts w:cstheme="minorHAnsi"/>
                <w:color w:val="auto"/>
                <w:sz w:val="18"/>
                <w:szCs w:val="18"/>
              </w:rPr>
              <w:t>2010</w:t>
            </w:r>
          </w:p>
        </w:tc>
        <w:tc>
          <w:tcPr>
            <w:tcW w:w="438" w:type="pct"/>
          </w:tcPr>
          <w:p w:rsidR="00EF0C94" w:rsidRPr="008E1CA5" w:rsidRDefault="00EF0C94"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8E1CA5">
              <w:rPr>
                <w:rFonts w:cstheme="minorHAnsi"/>
                <w:color w:val="auto"/>
                <w:sz w:val="18"/>
                <w:szCs w:val="18"/>
              </w:rPr>
              <w:t>2011</w:t>
            </w:r>
          </w:p>
        </w:tc>
        <w:tc>
          <w:tcPr>
            <w:tcW w:w="438" w:type="pct"/>
          </w:tcPr>
          <w:p w:rsidR="00EF0C94" w:rsidRPr="008E1CA5" w:rsidRDefault="00EF0C94"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8E1CA5">
              <w:rPr>
                <w:rFonts w:cstheme="minorHAnsi"/>
                <w:color w:val="auto"/>
                <w:sz w:val="18"/>
                <w:szCs w:val="18"/>
              </w:rPr>
              <w:t>2012</w:t>
            </w:r>
          </w:p>
        </w:tc>
        <w:tc>
          <w:tcPr>
            <w:tcW w:w="438" w:type="pct"/>
          </w:tcPr>
          <w:p w:rsidR="00EF0C94" w:rsidRPr="008E1CA5" w:rsidRDefault="00EF0C94"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8E1CA5">
              <w:rPr>
                <w:rFonts w:cstheme="minorHAnsi"/>
                <w:color w:val="auto"/>
                <w:sz w:val="18"/>
                <w:szCs w:val="18"/>
              </w:rPr>
              <w:t>2013</w:t>
            </w:r>
          </w:p>
        </w:tc>
      </w:tr>
      <w:tr w:rsidR="00A03DFA" w:rsidRPr="00EF0C94" w:rsidTr="008E1CA5">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059" w:type="pct"/>
          </w:tcPr>
          <w:p w:rsidR="00EF0C94" w:rsidRPr="008E1CA5" w:rsidRDefault="00EF0C94" w:rsidP="00310FA4">
            <w:pPr>
              <w:keepNext/>
              <w:keepLines/>
              <w:rPr>
                <w:rFonts w:cstheme="minorHAnsi"/>
                <w:color w:val="auto"/>
                <w:sz w:val="18"/>
                <w:szCs w:val="18"/>
              </w:rPr>
            </w:pPr>
            <w:r w:rsidRPr="008E1CA5">
              <w:rPr>
                <w:rFonts w:cstheme="minorHAnsi"/>
                <w:color w:val="auto"/>
                <w:sz w:val="18"/>
                <w:szCs w:val="18"/>
              </w:rPr>
              <w:t>Trade status for the year</w:t>
            </w:r>
          </w:p>
        </w:tc>
        <w:tc>
          <w:tcPr>
            <w:tcW w:w="438" w:type="pct"/>
            <w:vAlign w:val="center"/>
          </w:tcPr>
          <w:p w:rsidR="00EF0C94" w:rsidRPr="008E1CA5" w:rsidRDefault="008E1CA5" w:rsidP="008E1CA5">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8E1CA5">
              <w:rPr>
                <w:rFonts w:ascii="Calibri" w:eastAsia="Times New Roman" w:hAnsi="Calibri" w:cs="Arial"/>
                <w:sz w:val="18"/>
                <w:szCs w:val="18"/>
              </w:rPr>
              <w:t>m</w:t>
            </w:r>
          </w:p>
        </w:tc>
        <w:tc>
          <w:tcPr>
            <w:tcW w:w="438" w:type="pct"/>
            <w:vAlign w:val="center"/>
          </w:tcPr>
          <w:p w:rsidR="00EF0C94" w:rsidRPr="008E1CA5" w:rsidRDefault="008E1CA5" w:rsidP="008E1CA5">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8E1CA5">
              <w:rPr>
                <w:rFonts w:ascii="Calibri" w:eastAsia="Times New Roman" w:hAnsi="Calibri" w:cs="Arial"/>
                <w:sz w:val="18"/>
                <w:szCs w:val="18"/>
              </w:rPr>
              <w:t>m</w:t>
            </w:r>
          </w:p>
        </w:tc>
        <w:tc>
          <w:tcPr>
            <w:tcW w:w="438" w:type="pct"/>
            <w:vAlign w:val="center"/>
          </w:tcPr>
          <w:p w:rsidR="00EF0C94" w:rsidRPr="008E1CA5" w:rsidRDefault="008E1CA5" w:rsidP="008E1CA5">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8E1CA5">
              <w:rPr>
                <w:rFonts w:ascii="Calibri" w:eastAsia="Times New Roman" w:hAnsi="Calibri" w:cs="Arial"/>
                <w:sz w:val="18"/>
                <w:szCs w:val="18"/>
              </w:rPr>
              <w:t>m</w:t>
            </w:r>
          </w:p>
        </w:tc>
        <w:tc>
          <w:tcPr>
            <w:tcW w:w="438" w:type="pct"/>
            <w:vAlign w:val="center"/>
          </w:tcPr>
          <w:p w:rsidR="00EF0C94" w:rsidRPr="008E1CA5" w:rsidRDefault="008E1CA5" w:rsidP="008E1CA5">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8E1CA5">
              <w:rPr>
                <w:rFonts w:ascii="Calibri" w:eastAsia="Times New Roman" w:hAnsi="Calibri" w:cs="Arial"/>
                <w:sz w:val="18"/>
                <w:szCs w:val="18"/>
              </w:rPr>
              <w:t>m</w:t>
            </w:r>
          </w:p>
        </w:tc>
        <w:tc>
          <w:tcPr>
            <w:tcW w:w="438" w:type="pct"/>
            <w:vAlign w:val="center"/>
          </w:tcPr>
          <w:p w:rsidR="00EF0C94" w:rsidRPr="008E1CA5" w:rsidRDefault="008E1CA5" w:rsidP="008E1CA5">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8E1CA5">
              <w:rPr>
                <w:rFonts w:ascii="Calibri" w:eastAsia="Times New Roman" w:hAnsi="Calibri" w:cs="Arial"/>
                <w:sz w:val="18"/>
                <w:szCs w:val="18"/>
              </w:rPr>
              <w:t>m</w:t>
            </w:r>
          </w:p>
        </w:tc>
        <w:tc>
          <w:tcPr>
            <w:tcW w:w="438" w:type="pct"/>
            <w:vAlign w:val="center"/>
          </w:tcPr>
          <w:p w:rsidR="00EF0C94" w:rsidRPr="008E1CA5" w:rsidRDefault="008E1CA5" w:rsidP="008E1CA5">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8E1CA5">
              <w:rPr>
                <w:rFonts w:ascii="Calibri" w:eastAsia="Times New Roman" w:hAnsi="Calibri" w:cs="Arial"/>
                <w:sz w:val="18"/>
                <w:szCs w:val="18"/>
              </w:rPr>
              <w:t>m</w:t>
            </w:r>
          </w:p>
        </w:tc>
        <w:tc>
          <w:tcPr>
            <w:tcW w:w="438" w:type="pct"/>
            <w:vAlign w:val="center"/>
          </w:tcPr>
          <w:p w:rsidR="00EF0C94" w:rsidRPr="008E1CA5" w:rsidRDefault="008E1CA5" w:rsidP="008E1CA5">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8E1CA5">
              <w:rPr>
                <w:rFonts w:ascii="Calibri" w:eastAsia="Times New Roman" w:hAnsi="Calibri" w:cs="Arial"/>
                <w:sz w:val="18"/>
                <w:szCs w:val="18"/>
              </w:rPr>
              <w:t>m</w:t>
            </w:r>
          </w:p>
        </w:tc>
        <w:tc>
          <w:tcPr>
            <w:tcW w:w="438" w:type="pct"/>
            <w:vAlign w:val="center"/>
          </w:tcPr>
          <w:p w:rsidR="00EF0C94" w:rsidRPr="008E1CA5" w:rsidRDefault="006123C0" w:rsidP="008E1CA5">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8E1CA5">
              <w:rPr>
                <w:rFonts w:ascii="Calibri" w:eastAsia="Times New Roman" w:hAnsi="Calibri" w:cs="Arial"/>
                <w:sz w:val="18"/>
                <w:szCs w:val="18"/>
              </w:rPr>
              <w:t>M</w:t>
            </w:r>
          </w:p>
        </w:tc>
        <w:tc>
          <w:tcPr>
            <w:tcW w:w="438" w:type="pct"/>
            <w:vAlign w:val="center"/>
          </w:tcPr>
          <w:p w:rsidR="00EF0C94" w:rsidRPr="008E1CA5" w:rsidRDefault="008E1CA5" w:rsidP="008E1CA5">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8E1CA5">
              <w:rPr>
                <w:rFonts w:ascii="Calibri" w:eastAsia="Times New Roman" w:hAnsi="Calibri" w:cs="Arial"/>
                <w:sz w:val="18"/>
                <w:szCs w:val="18"/>
              </w:rPr>
              <w:t>m</w:t>
            </w:r>
          </w:p>
        </w:tc>
      </w:tr>
      <w:tr w:rsidR="008E1CA5" w:rsidRPr="00EF0C94" w:rsidTr="008E1CA5">
        <w:trPr>
          <w:trHeight w:val="272"/>
        </w:trPr>
        <w:tc>
          <w:tcPr>
            <w:cnfStyle w:val="001000000000" w:firstRow="0" w:lastRow="0" w:firstColumn="1" w:lastColumn="0" w:oddVBand="0" w:evenVBand="0" w:oddHBand="0" w:evenHBand="0" w:firstRowFirstColumn="0" w:firstRowLastColumn="0" w:lastRowFirstColumn="0" w:lastRowLastColumn="0"/>
            <w:tcW w:w="1059" w:type="pct"/>
          </w:tcPr>
          <w:p w:rsidR="008E1CA5" w:rsidRPr="008E1CA5" w:rsidRDefault="008E1CA5" w:rsidP="00310FA4">
            <w:pPr>
              <w:keepNext/>
              <w:keepLines/>
              <w:rPr>
                <w:rFonts w:cstheme="minorHAnsi"/>
                <w:color w:val="auto"/>
                <w:sz w:val="18"/>
                <w:szCs w:val="18"/>
              </w:rPr>
            </w:pPr>
            <w:r w:rsidRPr="008E1CA5">
              <w:rPr>
                <w:rFonts w:cstheme="minorHAnsi"/>
                <w:color w:val="auto"/>
                <w:sz w:val="18"/>
                <w:szCs w:val="18"/>
              </w:rPr>
              <w:t>Observed price gap at point of competition</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774</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-1,318</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-3,264</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1,169</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804</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796</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-1,527</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-2,193</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500</w:t>
            </w:r>
          </w:p>
        </w:tc>
      </w:tr>
      <w:tr w:rsidR="008E1CA5" w:rsidRPr="00EF0C94" w:rsidTr="008E1CA5">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059" w:type="pct"/>
          </w:tcPr>
          <w:p w:rsidR="008E1CA5" w:rsidRPr="008E1CA5" w:rsidRDefault="008E1CA5" w:rsidP="00310FA4">
            <w:pPr>
              <w:keepNext/>
              <w:keepLines/>
              <w:rPr>
                <w:rFonts w:cstheme="minorHAnsi"/>
                <w:color w:val="auto"/>
                <w:sz w:val="18"/>
                <w:szCs w:val="18"/>
              </w:rPr>
            </w:pPr>
            <w:r w:rsidRPr="008E1CA5">
              <w:rPr>
                <w:rFonts w:cstheme="minorHAnsi"/>
                <w:color w:val="auto"/>
                <w:sz w:val="18"/>
                <w:szCs w:val="18"/>
              </w:rPr>
              <w:t>Adjusted price gap at point of competition</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1,043</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-1,181</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-3,263</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1,627</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1,230</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1,275</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-1,237</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-1,934</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1,026</w:t>
            </w:r>
          </w:p>
        </w:tc>
      </w:tr>
      <w:tr w:rsidR="008E1CA5" w:rsidRPr="00EF0C94" w:rsidTr="008E1CA5">
        <w:trPr>
          <w:trHeight w:val="355"/>
        </w:trPr>
        <w:tc>
          <w:tcPr>
            <w:cnfStyle w:val="001000000000" w:firstRow="0" w:lastRow="0" w:firstColumn="1" w:lastColumn="0" w:oddVBand="0" w:evenVBand="0" w:oddHBand="0" w:evenHBand="0" w:firstRowFirstColumn="0" w:firstRowLastColumn="0" w:lastRowFirstColumn="0" w:lastRowLastColumn="0"/>
            <w:tcW w:w="1059" w:type="pct"/>
          </w:tcPr>
          <w:p w:rsidR="008E1CA5" w:rsidRPr="008E1CA5" w:rsidRDefault="008E1CA5" w:rsidP="00310FA4">
            <w:pPr>
              <w:keepNext/>
              <w:keepLines/>
              <w:rPr>
                <w:rFonts w:cstheme="minorHAnsi"/>
                <w:color w:val="auto"/>
                <w:sz w:val="18"/>
                <w:szCs w:val="18"/>
              </w:rPr>
            </w:pPr>
            <w:r w:rsidRPr="008E1CA5">
              <w:rPr>
                <w:rFonts w:cstheme="minorHAnsi"/>
                <w:color w:val="auto"/>
                <w:sz w:val="18"/>
                <w:szCs w:val="18"/>
              </w:rPr>
              <w:t>Observed price gap at farm gate</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1,227</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-672</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-2,910</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1,858</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2,003</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1,480</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179</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-1,933</w:t>
            </w:r>
          </w:p>
        </w:tc>
        <w:tc>
          <w:tcPr>
            <w:tcW w:w="438" w:type="pct"/>
            <w:vAlign w:val="center"/>
          </w:tcPr>
          <w:p w:rsidR="008E1CA5" w:rsidRPr="008E1CA5" w:rsidRDefault="008E1CA5" w:rsidP="008E1CA5">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954</w:t>
            </w:r>
          </w:p>
        </w:tc>
      </w:tr>
      <w:tr w:rsidR="008E1CA5" w:rsidRPr="00EF0C94" w:rsidTr="008E1CA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59" w:type="pct"/>
          </w:tcPr>
          <w:p w:rsidR="008E1CA5" w:rsidRPr="008E1CA5" w:rsidRDefault="008E1CA5" w:rsidP="00310FA4">
            <w:pPr>
              <w:keepNext/>
              <w:keepLines/>
              <w:rPr>
                <w:rFonts w:cstheme="minorHAnsi"/>
                <w:color w:val="auto"/>
                <w:sz w:val="18"/>
                <w:szCs w:val="18"/>
              </w:rPr>
            </w:pPr>
            <w:r w:rsidRPr="008E1CA5">
              <w:rPr>
                <w:rFonts w:cstheme="minorHAnsi"/>
                <w:color w:val="auto"/>
                <w:sz w:val="18"/>
                <w:szCs w:val="18"/>
              </w:rPr>
              <w:t>Adjusted price gap at farm gate</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1,311</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-675</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-3,156</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1,954</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2,262</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1,519</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438</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-2,251</w:t>
            </w:r>
          </w:p>
        </w:tc>
        <w:tc>
          <w:tcPr>
            <w:tcW w:w="438" w:type="pct"/>
            <w:vAlign w:val="center"/>
          </w:tcPr>
          <w:p w:rsidR="008E1CA5" w:rsidRPr="008E1CA5" w:rsidRDefault="008E1CA5" w:rsidP="008E1CA5">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E1CA5">
              <w:rPr>
                <w:rFonts w:ascii="Calibri" w:hAnsi="Calibri" w:cs="Arial"/>
                <w:sz w:val="18"/>
                <w:szCs w:val="18"/>
              </w:rPr>
              <w:t>847</w:t>
            </w:r>
          </w:p>
        </w:tc>
      </w:tr>
    </w:tbl>
    <w:p w:rsidR="00637A13" w:rsidRPr="00645B3B" w:rsidRDefault="00637A13" w:rsidP="006E7180">
      <w:pPr>
        <w:pStyle w:val="Quote"/>
        <w:rPr>
          <w:sz w:val="20"/>
        </w:rPr>
      </w:pPr>
      <w:r w:rsidRPr="00645B3B">
        <w:rPr>
          <w:sz w:val="20"/>
        </w:rPr>
        <w:t>Source: Author’s own calculations using data as described above.</w:t>
      </w:r>
    </w:p>
    <w:p w:rsidR="0059558A" w:rsidRPr="00EF0C94" w:rsidRDefault="0059558A" w:rsidP="00B5799F">
      <w:pPr>
        <w:pStyle w:val="Caption"/>
        <w:keepNext/>
        <w:keepLines/>
      </w:pPr>
      <w:r w:rsidRPr="00EF0C94">
        <w:t xml:space="preserve">Table </w:t>
      </w:r>
      <w:r w:rsidR="00323EC3" w:rsidRPr="00EF0C94">
        <w:fldChar w:fldCharType="begin"/>
      </w:r>
      <w:r w:rsidRPr="00EF0C94">
        <w:instrText xml:space="preserve"> SEQ Table \* ARABIC </w:instrText>
      </w:r>
      <w:r w:rsidR="00323EC3" w:rsidRPr="00EF0C94">
        <w:fldChar w:fldCharType="separate"/>
      </w:r>
      <w:r w:rsidR="00D147FD">
        <w:rPr>
          <w:noProof/>
        </w:rPr>
        <w:t>8</w:t>
      </w:r>
      <w:r w:rsidR="00323EC3" w:rsidRPr="00EF0C94">
        <w:fldChar w:fldCharType="end"/>
      </w:r>
      <w:r w:rsidR="006E7180" w:rsidRPr="00EF0C94">
        <w:t xml:space="preserve"> </w:t>
      </w:r>
      <w:r w:rsidRPr="00EF0C94">
        <w:t>:</w:t>
      </w:r>
      <w:r w:rsidR="006E7180" w:rsidRPr="00EF0C94">
        <w:t xml:space="preserve"> </w:t>
      </w:r>
      <w:r w:rsidRPr="00EF0C94">
        <w:t>MAF</w:t>
      </w:r>
      <w:r w:rsidR="006F1905">
        <w:t>AP Nominal Rates of Protection</w:t>
      </w:r>
      <w:r w:rsidR="000947BC">
        <w:t xml:space="preserve"> </w:t>
      </w:r>
      <w:r w:rsidR="003649CB">
        <w:t>for maize</w:t>
      </w:r>
      <w:r w:rsidR="006F1905">
        <w:t xml:space="preserve"> </w:t>
      </w:r>
      <w:r w:rsidR="006F1905" w:rsidRPr="00EF0C94">
        <w:t xml:space="preserve">in </w:t>
      </w:r>
      <w:r w:rsidR="003649CB">
        <w:t>Mozambique</w:t>
      </w:r>
      <w:r w:rsidR="006F1905" w:rsidRPr="00EF0C94">
        <w:t>, (</w:t>
      </w:r>
      <w:r w:rsidR="009414AA">
        <w:t xml:space="preserve"> percent</w:t>
      </w:r>
      <w:r w:rsidR="006F1905">
        <w:t>), 2005-2013</w:t>
      </w:r>
    </w:p>
    <w:tbl>
      <w:tblPr>
        <w:tblStyle w:val="MediumGrid3-Accent3"/>
        <w:tblW w:w="5442" w:type="pct"/>
        <w:tblLook w:val="04A0" w:firstRow="1" w:lastRow="0" w:firstColumn="1" w:lastColumn="0" w:noHBand="0" w:noVBand="1"/>
      </w:tblPr>
      <w:tblGrid>
        <w:gridCol w:w="2068"/>
        <w:gridCol w:w="857"/>
        <w:gridCol w:w="900"/>
        <w:gridCol w:w="946"/>
        <w:gridCol w:w="898"/>
        <w:gridCol w:w="918"/>
        <w:gridCol w:w="900"/>
        <w:gridCol w:w="833"/>
        <w:gridCol w:w="900"/>
        <w:gridCol w:w="887"/>
      </w:tblGrid>
      <w:tr w:rsidR="00237712" w:rsidRPr="00EF0C94" w:rsidTr="008E1CA5">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23" w:type="pct"/>
          </w:tcPr>
          <w:p w:rsidR="006F1905" w:rsidRPr="00945EE7" w:rsidRDefault="006F1905" w:rsidP="00310FA4">
            <w:pPr>
              <w:keepNext/>
              <w:keepLines/>
              <w:jc w:val="center"/>
              <w:rPr>
                <w:rFonts w:cstheme="minorHAnsi"/>
                <w:color w:val="auto"/>
                <w:sz w:val="18"/>
                <w:szCs w:val="18"/>
              </w:rPr>
            </w:pPr>
          </w:p>
        </w:tc>
        <w:tc>
          <w:tcPr>
            <w:tcW w:w="424" w:type="pct"/>
          </w:tcPr>
          <w:p w:rsidR="006F1905" w:rsidRPr="00945EE7" w:rsidRDefault="006F1905"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945EE7">
              <w:rPr>
                <w:rFonts w:cstheme="minorHAnsi"/>
                <w:color w:val="auto"/>
                <w:sz w:val="18"/>
                <w:szCs w:val="18"/>
              </w:rPr>
              <w:t>2005</w:t>
            </w:r>
          </w:p>
        </w:tc>
        <w:tc>
          <w:tcPr>
            <w:tcW w:w="445" w:type="pct"/>
          </w:tcPr>
          <w:p w:rsidR="006F1905" w:rsidRPr="00945EE7" w:rsidRDefault="006F1905"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945EE7">
              <w:rPr>
                <w:rFonts w:cstheme="minorHAnsi"/>
                <w:color w:val="auto"/>
                <w:sz w:val="18"/>
                <w:szCs w:val="18"/>
              </w:rPr>
              <w:t>2006</w:t>
            </w:r>
          </w:p>
        </w:tc>
        <w:tc>
          <w:tcPr>
            <w:tcW w:w="468" w:type="pct"/>
          </w:tcPr>
          <w:p w:rsidR="006F1905" w:rsidRPr="00945EE7" w:rsidRDefault="006F1905"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945EE7">
              <w:rPr>
                <w:rFonts w:cstheme="minorHAnsi"/>
                <w:color w:val="auto"/>
                <w:sz w:val="18"/>
                <w:szCs w:val="18"/>
              </w:rPr>
              <w:t>2007</w:t>
            </w:r>
          </w:p>
        </w:tc>
        <w:tc>
          <w:tcPr>
            <w:tcW w:w="444" w:type="pct"/>
          </w:tcPr>
          <w:p w:rsidR="006F1905" w:rsidRPr="00945EE7" w:rsidRDefault="006F1905"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945EE7">
              <w:rPr>
                <w:rFonts w:cstheme="minorHAnsi"/>
                <w:color w:val="auto"/>
                <w:sz w:val="18"/>
                <w:szCs w:val="18"/>
              </w:rPr>
              <w:t>2008</w:t>
            </w:r>
          </w:p>
        </w:tc>
        <w:tc>
          <w:tcPr>
            <w:tcW w:w="454" w:type="pct"/>
          </w:tcPr>
          <w:p w:rsidR="006F1905" w:rsidRPr="00945EE7" w:rsidRDefault="006F1905"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945EE7">
              <w:rPr>
                <w:rFonts w:cstheme="minorHAnsi"/>
                <w:color w:val="auto"/>
                <w:sz w:val="18"/>
                <w:szCs w:val="18"/>
              </w:rPr>
              <w:t>2009</w:t>
            </w:r>
          </w:p>
        </w:tc>
        <w:tc>
          <w:tcPr>
            <w:tcW w:w="445" w:type="pct"/>
          </w:tcPr>
          <w:p w:rsidR="006F1905" w:rsidRPr="00945EE7" w:rsidRDefault="006F1905"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945EE7">
              <w:rPr>
                <w:rFonts w:cstheme="minorHAnsi"/>
                <w:color w:val="auto"/>
                <w:sz w:val="18"/>
                <w:szCs w:val="18"/>
              </w:rPr>
              <w:t>2010</w:t>
            </w:r>
          </w:p>
        </w:tc>
        <w:tc>
          <w:tcPr>
            <w:tcW w:w="412" w:type="pct"/>
          </w:tcPr>
          <w:p w:rsidR="006F1905" w:rsidRPr="00945EE7" w:rsidRDefault="006F1905"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945EE7">
              <w:rPr>
                <w:rFonts w:cstheme="minorHAnsi"/>
                <w:color w:val="auto"/>
                <w:sz w:val="18"/>
                <w:szCs w:val="18"/>
              </w:rPr>
              <w:t>2011</w:t>
            </w:r>
          </w:p>
        </w:tc>
        <w:tc>
          <w:tcPr>
            <w:tcW w:w="445" w:type="pct"/>
          </w:tcPr>
          <w:p w:rsidR="006F1905" w:rsidRPr="00945EE7" w:rsidRDefault="006F1905"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945EE7">
              <w:rPr>
                <w:rFonts w:cstheme="minorHAnsi"/>
                <w:color w:val="auto"/>
                <w:sz w:val="18"/>
                <w:szCs w:val="18"/>
              </w:rPr>
              <w:t>2012</w:t>
            </w:r>
          </w:p>
        </w:tc>
        <w:tc>
          <w:tcPr>
            <w:tcW w:w="439" w:type="pct"/>
          </w:tcPr>
          <w:p w:rsidR="006F1905" w:rsidRPr="00945EE7" w:rsidRDefault="006F1905" w:rsidP="00B5799F">
            <w:pPr>
              <w:keepNext/>
              <w:keepLines/>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945EE7">
              <w:rPr>
                <w:rFonts w:cstheme="minorHAnsi"/>
                <w:color w:val="auto"/>
                <w:sz w:val="18"/>
                <w:szCs w:val="18"/>
              </w:rPr>
              <w:t>2013</w:t>
            </w:r>
          </w:p>
        </w:tc>
      </w:tr>
      <w:tr w:rsidR="00237712" w:rsidRPr="00EF0C94" w:rsidTr="00945EE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23" w:type="pct"/>
            <w:vAlign w:val="center"/>
          </w:tcPr>
          <w:p w:rsidR="006F1905" w:rsidRPr="00945EE7" w:rsidRDefault="006F1905" w:rsidP="00310FA4">
            <w:pPr>
              <w:keepNext/>
              <w:keepLines/>
              <w:rPr>
                <w:rFonts w:cstheme="minorHAnsi"/>
                <w:color w:val="auto"/>
                <w:sz w:val="18"/>
                <w:szCs w:val="18"/>
              </w:rPr>
            </w:pPr>
            <w:r w:rsidRPr="00945EE7">
              <w:rPr>
                <w:rFonts w:cstheme="minorHAnsi"/>
                <w:color w:val="auto"/>
                <w:sz w:val="18"/>
                <w:szCs w:val="18"/>
              </w:rPr>
              <w:t>Trade status for the year</w:t>
            </w:r>
          </w:p>
        </w:tc>
        <w:tc>
          <w:tcPr>
            <w:tcW w:w="424" w:type="pct"/>
            <w:vAlign w:val="center"/>
          </w:tcPr>
          <w:p w:rsidR="006F1905" w:rsidRPr="00945EE7" w:rsidRDefault="008E1CA5" w:rsidP="00945EE7">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945EE7">
              <w:rPr>
                <w:rFonts w:ascii="Calibri" w:eastAsia="Times New Roman" w:hAnsi="Calibri" w:cs="Arial"/>
                <w:sz w:val="18"/>
                <w:szCs w:val="18"/>
              </w:rPr>
              <w:t>m</w:t>
            </w:r>
          </w:p>
        </w:tc>
        <w:tc>
          <w:tcPr>
            <w:tcW w:w="445" w:type="pct"/>
            <w:vAlign w:val="center"/>
          </w:tcPr>
          <w:p w:rsidR="006F1905" w:rsidRPr="00945EE7" w:rsidRDefault="008E1CA5" w:rsidP="00945EE7">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945EE7">
              <w:rPr>
                <w:rFonts w:ascii="Calibri" w:eastAsia="Times New Roman" w:hAnsi="Calibri" w:cs="Arial"/>
                <w:sz w:val="18"/>
                <w:szCs w:val="18"/>
              </w:rPr>
              <w:t>m</w:t>
            </w:r>
          </w:p>
        </w:tc>
        <w:tc>
          <w:tcPr>
            <w:tcW w:w="468" w:type="pct"/>
            <w:vAlign w:val="center"/>
          </w:tcPr>
          <w:p w:rsidR="006F1905" w:rsidRPr="00945EE7" w:rsidRDefault="008E1CA5" w:rsidP="00945EE7">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945EE7">
              <w:rPr>
                <w:rFonts w:ascii="Calibri" w:eastAsia="Times New Roman" w:hAnsi="Calibri" w:cs="Arial"/>
                <w:sz w:val="18"/>
                <w:szCs w:val="18"/>
              </w:rPr>
              <w:t>m</w:t>
            </w:r>
          </w:p>
        </w:tc>
        <w:tc>
          <w:tcPr>
            <w:tcW w:w="444" w:type="pct"/>
            <w:vAlign w:val="center"/>
          </w:tcPr>
          <w:p w:rsidR="006F1905" w:rsidRPr="00945EE7" w:rsidRDefault="008E1CA5" w:rsidP="00945EE7">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945EE7">
              <w:rPr>
                <w:rFonts w:ascii="Calibri" w:eastAsia="Times New Roman" w:hAnsi="Calibri" w:cs="Arial"/>
                <w:sz w:val="18"/>
                <w:szCs w:val="18"/>
              </w:rPr>
              <w:t>m</w:t>
            </w:r>
          </w:p>
        </w:tc>
        <w:tc>
          <w:tcPr>
            <w:tcW w:w="454" w:type="pct"/>
            <w:vAlign w:val="center"/>
          </w:tcPr>
          <w:p w:rsidR="006F1905" w:rsidRPr="00945EE7" w:rsidRDefault="008E1CA5" w:rsidP="00945EE7">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945EE7">
              <w:rPr>
                <w:rFonts w:ascii="Calibri" w:eastAsia="Times New Roman" w:hAnsi="Calibri" w:cs="Arial"/>
                <w:sz w:val="18"/>
                <w:szCs w:val="18"/>
              </w:rPr>
              <w:t>m</w:t>
            </w:r>
          </w:p>
        </w:tc>
        <w:tc>
          <w:tcPr>
            <w:tcW w:w="445" w:type="pct"/>
            <w:vAlign w:val="center"/>
          </w:tcPr>
          <w:p w:rsidR="006F1905" w:rsidRPr="00945EE7" w:rsidRDefault="008E1CA5" w:rsidP="00945EE7">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945EE7">
              <w:rPr>
                <w:rFonts w:ascii="Calibri" w:eastAsia="Times New Roman" w:hAnsi="Calibri" w:cs="Arial"/>
                <w:sz w:val="18"/>
                <w:szCs w:val="18"/>
              </w:rPr>
              <w:t>m</w:t>
            </w:r>
          </w:p>
        </w:tc>
        <w:tc>
          <w:tcPr>
            <w:tcW w:w="412" w:type="pct"/>
            <w:vAlign w:val="center"/>
          </w:tcPr>
          <w:p w:rsidR="006F1905" w:rsidRPr="00945EE7" w:rsidRDefault="008E1CA5" w:rsidP="00945EE7">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945EE7">
              <w:rPr>
                <w:rFonts w:ascii="Calibri" w:eastAsia="Times New Roman" w:hAnsi="Calibri" w:cs="Arial"/>
                <w:sz w:val="18"/>
                <w:szCs w:val="18"/>
              </w:rPr>
              <w:t>m</w:t>
            </w:r>
          </w:p>
        </w:tc>
        <w:tc>
          <w:tcPr>
            <w:tcW w:w="445" w:type="pct"/>
            <w:vAlign w:val="center"/>
          </w:tcPr>
          <w:p w:rsidR="006F1905" w:rsidRPr="00945EE7" w:rsidRDefault="006123C0" w:rsidP="00945EE7">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945EE7">
              <w:rPr>
                <w:rFonts w:ascii="Calibri" w:eastAsia="Times New Roman" w:hAnsi="Calibri" w:cs="Arial"/>
                <w:sz w:val="18"/>
                <w:szCs w:val="18"/>
              </w:rPr>
              <w:t>M</w:t>
            </w:r>
          </w:p>
        </w:tc>
        <w:tc>
          <w:tcPr>
            <w:tcW w:w="439" w:type="pct"/>
            <w:vAlign w:val="center"/>
          </w:tcPr>
          <w:p w:rsidR="006F1905" w:rsidRPr="00945EE7" w:rsidRDefault="008E1CA5" w:rsidP="00945EE7">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rPr>
            </w:pPr>
            <w:r w:rsidRPr="00945EE7">
              <w:rPr>
                <w:rFonts w:ascii="Calibri" w:eastAsia="Times New Roman" w:hAnsi="Calibri" w:cs="Arial"/>
                <w:sz w:val="18"/>
                <w:szCs w:val="18"/>
              </w:rPr>
              <w:t>M</w:t>
            </w:r>
          </w:p>
        </w:tc>
      </w:tr>
      <w:tr w:rsidR="008E1CA5" w:rsidRPr="00EF0C94" w:rsidTr="00945EE7">
        <w:trPr>
          <w:trHeight w:val="417"/>
        </w:trPr>
        <w:tc>
          <w:tcPr>
            <w:cnfStyle w:val="001000000000" w:firstRow="0" w:lastRow="0" w:firstColumn="1" w:lastColumn="0" w:oddVBand="0" w:evenVBand="0" w:oddHBand="0" w:evenHBand="0" w:firstRowFirstColumn="0" w:firstRowLastColumn="0" w:lastRowFirstColumn="0" w:lastRowLastColumn="0"/>
            <w:tcW w:w="1023" w:type="pct"/>
            <w:vAlign w:val="center"/>
          </w:tcPr>
          <w:p w:rsidR="008E1CA5" w:rsidRPr="00945EE7" w:rsidRDefault="008E1CA5" w:rsidP="00310FA4">
            <w:pPr>
              <w:keepNext/>
              <w:keepLines/>
              <w:rPr>
                <w:rFonts w:cstheme="minorHAnsi"/>
                <w:color w:val="auto"/>
                <w:sz w:val="18"/>
                <w:szCs w:val="18"/>
              </w:rPr>
            </w:pPr>
            <w:r w:rsidRPr="00945EE7">
              <w:rPr>
                <w:rFonts w:cstheme="minorHAnsi"/>
                <w:color w:val="auto"/>
                <w:sz w:val="18"/>
                <w:szCs w:val="18"/>
              </w:rPr>
              <w:t>Observed NRP at point of competition</w:t>
            </w:r>
          </w:p>
        </w:tc>
        <w:tc>
          <w:tcPr>
            <w:tcW w:w="424"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15.3</w:t>
            </w:r>
            <w:r w:rsidR="009414AA">
              <w:rPr>
                <w:rFonts w:ascii="Calibri" w:hAnsi="Calibri" w:cs="Arial"/>
                <w:sz w:val="18"/>
                <w:szCs w:val="18"/>
              </w:rPr>
              <w:t xml:space="preserve"> percent</w:t>
            </w:r>
          </w:p>
        </w:tc>
        <w:tc>
          <w:tcPr>
            <w:tcW w:w="445"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-17.5</w:t>
            </w:r>
            <w:r w:rsidR="009414AA">
              <w:rPr>
                <w:rFonts w:ascii="Calibri" w:hAnsi="Calibri" w:cs="Arial"/>
                <w:sz w:val="18"/>
                <w:szCs w:val="18"/>
              </w:rPr>
              <w:t xml:space="preserve"> percent</w:t>
            </w:r>
          </w:p>
        </w:tc>
        <w:tc>
          <w:tcPr>
            <w:tcW w:w="468"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-34.2</w:t>
            </w:r>
            <w:r w:rsidR="009414AA">
              <w:rPr>
                <w:rFonts w:ascii="Calibri" w:hAnsi="Calibri" w:cs="Arial"/>
                <w:sz w:val="18"/>
                <w:szCs w:val="18"/>
              </w:rPr>
              <w:t xml:space="preserve"> percent</w:t>
            </w:r>
          </w:p>
        </w:tc>
        <w:tc>
          <w:tcPr>
            <w:tcW w:w="444"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12.9</w:t>
            </w:r>
            <w:r w:rsidR="009414AA">
              <w:rPr>
                <w:rFonts w:ascii="Calibri" w:hAnsi="Calibri" w:cs="Arial"/>
                <w:sz w:val="18"/>
                <w:szCs w:val="18"/>
              </w:rPr>
              <w:t xml:space="preserve"> percent</w:t>
            </w:r>
          </w:p>
        </w:tc>
        <w:tc>
          <w:tcPr>
            <w:tcW w:w="454"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8.7</w:t>
            </w:r>
            <w:r w:rsidR="009414AA">
              <w:rPr>
                <w:rFonts w:ascii="Calibri" w:hAnsi="Calibri" w:cs="Arial"/>
                <w:sz w:val="18"/>
                <w:szCs w:val="18"/>
              </w:rPr>
              <w:t xml:space="preserve"> percent</w:t>
            </w:r>
          </w:p>
        </w:tc>
        <w:tc>
          <w:tcPr>
            <w:tcW w:w="445"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7.4</w:t>
            </w:r>
            <w:r w:rsidR="009414AA">
              <w:rPr>
                <w:rFonts w:ascii="Calibri" w:hAnsi="Calibri" w:cs="Arial"/>
                <w:sz w:val="18"/>
                <w:szCs w:val="18"/>
              </w:rPr>
              <w:t xml:space="preserve"> percent</w:t>
            </w:r>
          </w:p>
        </w:tc>
        <w:tc>
          <w:tcPr>
            <w:tcW w:w="412"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-12.4</w:t>
            </w:r>
            <w:r w:rsidR="009414AA">
              <w:rPr>
                <w:rFonts w:ascii="Calibri" w:hAnsi="Calibri" w:cs="Arial"/>
                <w:sz w:val="18"/>
                <w:szCs w:val="18"/>
              </w:rPr>
              <w:t xml:space="preserve"> percent</w:t>
            </w:r>
          </w:p>
        </w:tc>
        <w:tc>
          <w:tcPr>
            <w:tcW w:w="445"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-16.3</w:t>
            </w:r>
            <w:r w:rsidR="009414AA">
              <w:rPr>
                <w:rFonts w:ascii="Calibri" w:hAnsi="Calibri" w:cs="Arial"/>
                <w:sz w:val="18"/>
                <w:szCs w:val="18"/>
              </w:rPr>
              <w:t xml:space="preserve"> percent</w:t>
            </w:r>
          </w:p>
        </w:tc>
        <w:tc>
          <w:tcPr>
            <w:tcW w:w="439"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3.9</w:t>
            </w:r>
            <w:r w:rsidR="009414AA">
              <w:rPr>
                <w:rFonts w:ascii="Calibri" w:hAnsi="Calibri" w:cs="Arial"/>
                <w:sz w:val="18"/>
                <w:szCs w:val="18"/>
              </w:rPr>
              <w:t xml:space="preserve"> percent</w:t>
            </w:r>
          </w:p>
        </w:tc>
      </w:tr>
      <w:tr w:rsidR="00237712" w:rsidRPr="00EF0C94" w:rsidTr="00945EE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023" w:type="pct"/>
            <w:vAlign w:val="center"/>
          </w:tcPr>
          <w:p w:rsidR="008E1CA5" w:rsidRPr="00945EE7" w:rsidRDefault="008E1CA5" w:rsidP="00310FA4">
            <w:pPr>
              <w:keepNext/>
              <w:keepLines/>
              <w:rPr>
                <w:rFonts w:cstheme="minorHAnsi"/>
                <w:color w:val="auto"/>
                <w:sz w:val="18"/>
                <w:szCs w:val="18"/>
              </w:rPr>
            </w:pPr>
            <w:r w:rsidRPr="00945EE7">
              <w:rPr>
                <w:rFonts w:cstheme="minorHAnsi"/>
                <w:color w:val="auto"/>
                <w:sz w:val="18"/>
                <w:szCs w:val="18"/>
              </w:rPr>
              <w:t>Adjusted NRP at point of competition</w:t>
            </w:r>
          </w:p>
        </w:tc>
        <w:tc>
          <w:tcPr>
            <w:tcW w:w="424"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21.8</w:t>
            </w:r>
            <w:r w:rsidR="009414AA">
              <w:rPr>
                <w:rFonts w:ascii="Calibri" w:hAnsi="Calibri" w:cs="Arial"/>
                <w:sz w:val="18"/>
                <w:szCs w:val="18"/>
              </w:rPr>
              <w:t xml:space="preserve"> percent</w:t>
            </w:r>
          </w:p>
        </w:tc>
        <w:tc>
          <w:tcPr>
            <w:tcW w:w="445"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-15.9</w:t>
            </w:r>
            <w:r w:rsidR="009414AA">
              <w:rPr>
                <w:rFonts w:ascii="Calibri" w:hAnsi="Calibri" w:cs="Arial"/>
                <w:sz w:val="18"/>
                <w:szCs w:val="18"/>
              </w:rPr>
              <w:t xml:space="preserve"> percent</w:t>
            </w:r>
          </w:p>
        </w:tc>
        <w:tc>
          <w:tcPr>
            <w:tcW w:w="468"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-34.2</w:t>
            </w:r>
            <w:r w:rsidR="009414AA">
              <w:rPr>
                <w:rFonts w:ascii="Calibri" w:hAnsi="Calibri" w:cs="Arial"/>
                <w:sz w:val="18"/>
                <w:szCs w:val="18"/>
              </w:rPr>
              <w:t xml:space="preserve"> percent</w:t>
            </w:r>
          </w:p>
        </w:tc>
        <w:tc>
          <w:tcPr>
            <w:tcW w:w="444"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18.9</w:t>
            </w:r>
            <w:r w:rsidR="009414AA">
              <w:rPr>
                <w:rFonts w:ascii="Calibri" w:hAnsi="Calibri" w:cs="Arial"/>
                <w:sz w:val="18"/>
                <w:szCs w:val="18"/>
              </w:rPr>
              <w:t xml:space="preserve"> percent</w:t>
            </w:r>
          </w:p>
        </w:tc>
        <w:tc>
          <w:tcPr>
            <w:tcW w:w="454"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13.9</w:t>
            </w:r>
            <w:r w:rsidR="009414AA">
              <w:rPr>
                <w:rFonts w:ascii="Calibri" w:hAnsi="Calibri" w:cs="Arial"/>
                <w:sz w:val="18"/>
                <w:szCs w:val="18"/>
              </w:rPr>
              <w:t xml:space="preserve"> percent</w:t>
            </w:r>
          </w:p>
        </w:tc>
        <w:tc>
          <w:tcPr>
            <w:tcW w:w="445"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12.5</w:t>
            </w:r>
            <w:r w:rsidR="009414AA">
              <w:rPr>
                <w:rFonts w:ascii="Calibri" w:hAnsi="Calibri" w:cs="Arial"/>
                <w:sz w:val="18"/>
                <w:szCs w:val="18"/>
              </w:rPr>
              <w:t xml:space="preserve"> percent</w:t>
            </w:r>
          </w:p>
        </w:tc>
        <w:tc>
          <w:tcPr>
            <w:tcW w:w="412"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-10.3</w:t>
            </w:r>
            <w:r w:rsidR="009414AA">
              <w:rPr>
                <w:rFonts w:ascii="Calibri" w:hAnsi="Calibri" w:cs="Arial"/>
                <w:sz w:val="18"/>
                <w:szCs w:val="18"/>
              </w:rPr>
              <w:t xml:space="preserve"> percent</w:t>
            </w:r>
          </w:p>
        </w:tc>
        <w:tc>
          <w:tcPr>
            <w:tcW w:w="445"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-14.7</w:t>
            </w:r>
            <w:r w:rsidR="009414AA">
              <w:rPr>
                <w:rFonts w:ascii="Calibri" w:hAnsi="Calibri" w:cs="Arial"/>
                <w:sz w:val="18"/>
                <w:szCs w:val="18"/>
              </w:rPr>
              <w:t xml:space="preserve"> percent</w:t>
            </w:r>
          </w:p>
        </w:tc>
        <w:tc>
          <w:tcPr>
            <w:tcW w:w="439"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8.3</w:t>
            </w:r>
            <w:r w:rsidR="009414AA">
              <w:rPr>
                <w:rFonts w:ascii="Calibri" w:hAnsi="Calibri" w:cs="Arial"/>
                <w:sz w:val="18"/>
                <w:szCs w:val="18"/>
              </w:rPr>
              <w:t xml:space="preserve"> percent</w:t>
            </w:r>
          </w:p>
        </w:tc>
      </w:tr>
      <w:tr w:rsidR="00237712" w:rsidRPr="00EF0C94" w:rsidTr="00945EE7">
        <w:trPr>
          <w:trHeight w:val="417"/>
        </w:trPr>
        <w:tc>
          <w:tcPr>
            <w:cnfStyle w:val="001000000000" w:firstRow="0" w:lastRow="0" w:firstColumn="1" w:lastColumn="0" w:oddVBand="0" w:evenVBand="0" w:oddHBand="0" w:evenHBand="0" w:firstRowFirstColumn="0" w:firstRowLastColumn="0" w:lastRowFirstColumn="0" w:lastRowLastColumn="0"/>
            <w:tcW w:w="1023" w:type="pct"/>
            <w:vAlign w:val="center"/>
          </w:tcPr>
          <w:p w:rsidR="008E1CA5" w:rsidRPr="00945EE7" w:rsidRDefault="008E1CA5" w:rsidP="00310FA4">
            <w:pPr>
              <w:keepNext/>
              <w:keepLines/>
              <w:rPr>
                <w:rFonts w:cstheme="minorHAnsi"/>
                <w:color w:val="auto"/>
                <w:sz w:val="18"/>
                <w:szCs w:val="18"/>
              </w:rPr>
            </w:pPr>
            <w:r w:rsidRPr="00945EE7">
              <w:rPr>
                <w:rFonts w:cstheme="minorHAnsi"/>
                <w:color w:val="auto"/>
                <w:sz w:val="18"/>
                <w:szCs w:val="18"/>
              </w:rPr>
              <w:t>Observed NRP at farm gate</w:t>
            </w:r>
          </w:p>
        </w:tc>
        <w:tc>
          <w:tcPr>
            <w:tcW w:w="424"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53.5</w:t>
            </w:r>
            <w:r w:rsidR="009414AA">
              <w:rPr>
                <w:rFonts w:ascii="Calibri" w:hAnsi="Calibri" w:cs="Arial"/>
                <w:sz w:val="18"/>
                <w:szCs w:val="18"/>
              </w:rPr>
              <w:t xml:space="preserve"> percent</w:t>
            </w:r>
          </w:p>
        </w:tc>
        <w:tc>
          <w:tcPr>
            <w:tcW w:w="445"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-14.5</w:t>
            </w:r>
            <w:r w:rsidR="009414AA">
              <w:rPr>
                <w:rFonts w:ascii="Calibri" w:hAnsi="Calibri" w:cs="Arial"/>
                <w:sz w:val="18"/>
                <w:szCs w:val="18"/>
              </w:rPr>
              <w:t xml:space="preserve"> percent</w:t>
            </w:r>
          </w:p>
        </w:tc>
        <w:tc>
          <w:tcPr>
            <w:tcW w:w="468"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-45.9</w:t>
            </w:r>
            <w:r w:rsidR="009414AA">
              <w:rPr>
                <w:rFonts w:ascii="Calibri" w:hAnsi="Calibri" w:cs="Arial"/>
                <w:sz w:val="18"/>
                <w:szCs w:val="18"/>
              </w:rPr>
              <w:t xml:space="preserve"> percent</w:t>
            </w:r>
          </w:p>
        </w:tc>
        <w:tc>
          <w:tcPr>
            <w:tcW w:w="444"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42.5</w:t>
            </w:r>
            <w:r w:rsidR="009414AA">
              <w:rPr>
                <w:rFonts w:ascii="Calibri" w:hAnsi="Calibri" w:cs="Arial"/>
                <w:sz w:val="18"/>
                <w:szCs w:val="18"/>
              </w:rPr>
              <w:t xml:space="preserve"> percent</w:t>
            </w:r>
          </w:p>
        </w:tc>
        <w:tc>
          <w:tcPr>
            <w:tcW w:w="454"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40.7</w:t>
            </w:r>
            <w:r w:rsidR="009414AA">
              <w:rPr>
                <w:rFonts w:ascii="Calibri" w:hAnsi="Calibri" w:cs="Arial"/>
                <w:sz w:val="18"/>
                <w:szCs w:val="18"/>
              </w:rPr>
              <w:t xml:space="preserve"> percent</w:t>
            </w:r>
          </w:p>
        </w:tc>
        <w:tc>
          <w:tcPr>
            <w:tcW w:w="445"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25.2</w:t>
            </w:r>
            <w:r w:rsidR="009414AA">
              <w:rPr>
                <w:rFonts w:ascii="Calibri" w:hAnsi="Calibri" w:cs="Arial"/>
                <w:sz w:val="18"/>
                <w:szCs w:val="18"/>
              </w:rPr>
              <w:t xml:space="preserve"> percent</w:t>
            </w:r>
          </w:p>
        </w:tc>
        <w:tc>
          <w:tcPr>
            <w:tcW w:w="412"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2.4</w:t>
            </w:r>
            <w:r w:rsidR="009414AA">
              <w:rPr>
                <w:rFonts w:ascii="Calibri" w:hAnsi="Calibri" w:cs="Arial"/>
                <w:sz w:val="18"/>
                <w:szCs w:val="18"/>
              </w:rPr>
              <w:t xml:space="preserve"> percent</w:t>
            </w:r>
          </w:p>
        </w:tc>
        <w:tc>
          <w:tcPr>
            <w:tcW w:w="445"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-22.5</w:t>
            </w:r>
            <w:r w:rsidR="009414AA">
              <w:rPr>
                <w:rFonts w:ascii="Calibri" w:hAnsi="Calibri" w:cs="Arial"/>
                <w:sz w:val="18"/>
                <w:szCs w:val="18"/>
              </w:rPr>
              <w:t xml:space="preserve"> percent</w:t>
            </w:r>
          </w:p>
        </w:tc>
        <w:tc>
          <w:tcPr>
            <w:tcW w:w="439" w:type="pct"/>
            <w:vAlign w:val="center"/>
          </w:tcPr>
          <w:p w:rsidR="008E1CA5" w:rsidRPr="00945EE7" w:rsidRDefault="008E1CA5"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12.7</w:t>
            </w:r>
            <w:r w:rsidR="009414AA">
              <w:rPr>
                <w:rFonts w:ascii="Calibri" w:hAnsi="Calibri" w:cs="Arial"/>
                <w:sz w:val="18"/>
                <w:szCs w:val="18"/>
              </w:rPr>
              <w:t xml:space="preserve"> percent</w:t>
            </w:r>
          </w:p>
        </w:tc>
      </w:tr>
      <w:tr w:rsidR="00237712" w:rsidRPr="00EF0C94" w:rsidTr="00945EE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023" w:type="pct"/>
            <w:vAlign w:val="center"/>
          </w:tcPr>
          <w:p w:rsidR="008E1CA5" w:rsidRPr="00945EE7" w:rsidRDefault="008E1CA5" w:rsidP="00310FA4">
            <w:pPr>
              <w:keepNext/>
              <w:keepLines/>
              <w:rPr>
                <w:rFonts w:cstheme="minorHAnsi"/>
                <w:color w:val="auto"/>
                <w:sz w:val="18"/>
                <w:szCs w:val="18"/>
              </w:rPr>
            </w:pPr>
            <w:r w:rsidRPr="00945EE7">
              <w:rPr>
                <w:rFonts w:cstheme="minorHAnsi"/>
                <w:color w:val="auto"/>
                <w:sz w:val="18"/>
                <w:szCs w:val="18"/>
              </w:rPr>
              <w:t>Adjusted NRP at farm gate</w:t>
            </w:r>
          </w:p>
        </w:tc>
        <w:tc>
          <w:tcPr>
            <w:tcW w:w="424"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59.4</w:t>
            </w:r>
            <w:r w:rsidR="009414AA">
              <w:rPr>
                <w:rFonts w:ascii="Calibri" w:hAnsi="Calibri" w:cs="Arial"/>
                <w:sz w:val="18"/>
                <w:szCs w:val="18"/>
              </w:rPr>
              <w:t xml:space="preserve"> percent</w:t>
            </w:r>
          </w:p>
        </w:tc>
        <w:tc>
          <w:tcPr>
            <w:tcW w:w="445"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-14.6</w:t>
            </w:r>
            <w:r w:rsidR="009414AA">
              <w:rPr>
                <w:rFonts w:ascii="Calibri" w:hAnsi="Calibri" w:cs="Arial"/>
                <w:sz w:val="18"/>
                <w:szCs w:val="18"/>
              </w:rPr>
              <w:t xml:space="preserve"> percent</w:t>
            </w:r>
          </w:p>
        </w:tc>
        <w:tc>
          <w:tcPr>
            <w:tcW w:w="468"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-48.0</w:t>
            </w:r>
            <w:r w:rsidR="009414AA">
              <w:rPr>
                <w:rFonts w:ascii="Calibri" w:hAnsi="Calibri" w:cs="Arial"/>
                <w:sz w:val="18"/>
                <w:szCs w:val="18"/>
              </w:rPr>
              <w:t xml:space="preserve"> percent</w:t>
            </w:r>
          </w:p>
        </w:tc>
        <w:tc>
          <w:tcPr>
            <w:tcW w:w="444"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45.7</w:t>
            </w:r>
            <w:r w:rsidR="009414AA">
              <w:rPr>
                <w:rFonts w:ascii="Calibri" w:hAnsi="Calibri" w:cs="Arial"/>
                <w:sz w:val="18"/>
                <w:szCs w:val="18"/>
              </w:rPr>
              <w:t xml:space="preserve"> percent</w:t>
            </w:r>
          </w:p>
        </w:tc>
        <w:tc>
          <w:tcPr>
            <w:tcW w:w="454"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48.5</w:t>
            </w:r>
            <w:r w:rsidR="009414AA">
              <w:rPr>
                <w:rFonts w:ascii="Calibri" w:hAnsi="Calibri" w:cs="Arial"/>
                <w:sz w:val="18"/>
                <w:szCs w:val="18"/>
              </w:rPr>
              <w:t xml:space="preserve"> percent</w:t>
            </w:r>
          </w:p>
        </w:tc>
        <w:tc>
          <w:tcPr>
            <w:tcW w:w="445"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26.0</w:t>
            </w:r>
            <w:r w:rsidR="009414AA">
              <w:rPr>
                <w:rFonts w:ascii="Calibri" w:hAnsi="Calibri" w:cs="Arial"/>
                <w:sz w:val="18"/>
                <w:szCs w:val="18"/>
              </w:rPr>
              <w:t xml:space="preserve"> percent</w:t>
            </w:r>
          </w:p>
        </w:tc>
        <w:tc>
          <w:tcPr>
            <w:tcW w:w="412"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6.0</w:t>
            </w:r>
            <w:r w:rsidR="009414AA">
              <w:rPr>
                <w:rFonts w:ascii="Calibri" w:hAnsi="Calibri" w:cs="Arial"/>
                <w:sz w:val="18"/>
                <w:szCs w:val="18"/>
              </w:rPr>
              <w:t xml:space="preserve"> percent</w:t>
            </w:r>
          </w:p>
        </w:tc>
        <w:tc>
          <w:tcPr>
            <w:tcW w:w="445"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-25.3</w:t>
            </w:r>
            <w:r w:rsidR="009414AA">
              <w:rPr>
                <w:rFonts w:ascii="Calibri" w:hAnsi="Calibri" w:cs="Arial"/>
                <w:sz w:val="18"/>
                <w:szCs w:val="18"/>
              </w:rPr>
              <w:t xml:space="preserve"> percent</w:t>
            </w:r>
          </w:p>
        </w:tc>
        <w:tc>
          <w:tcPr>
            <w:tcW w:w="439" w:type="pct"/>
            <w:vAlign w:val="center"/>
          </w:tcPr>
          <w:p w:rsidR="008E1CA5" w:rsidRPr="00945EE7" w:rsidRDefault="008E1CA5"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11.1</w:t>
            </w:r>
            <w:r w:rsidR="009414AA">
              <w:rPr>
                <w:rFonts w:ascii="Calibri" w:hAnsi="Calibri" w:cs="Arial"/>
                <w:sz w:val="18"/>
                <w:szCs w:val="18"/>
              </w:rPr>
              <w:t xml:space="preserve"> percent</w:t>
            </w:r>
          </w:p>
        </w:tc>
      </w:tr>
      <w:tr w:rsidR="00237712" w:rsidRPr="00EF0C94" w:rsidTr="00945EE7">
        <w:trPr>
          <w:trHeight w:val="417"/>
        </w:trPr>
        <w:tc>
          <w:tcPr>
            <w:cnfStyle w:val="001000000000" w:firstRow="0" w:lastRow="0" w:firstColumn="1" w:lastColumn="0" w:oddVBand="0" w:evenVBand="0" w:oddHBand="0" w:evenHBand="0" w:firstRowFirstColumn="0" w:firstRowLastColumn="0" w:lastRowFirstColumn="0" w:lastRowLastColumn="0"/>
            <w:tcW w:w="1023" w:type="pct"/>
            <w:vAlign w:val="center"/>
          </w:tcPr>
          <w:p w:rsidR="000947BC" w:rsidRPr="00945EE7" w:rsidRDefault="000947BC" w:rsidP="00310FA4">
            <w:pPr>
              <w:keepNext/>
              <w:keepLines/>
              <w:rPr>
                <w:rFonts w:cstheme="minorHAnsi"/>
                <w:color w:val="auto"/>
                <w:sz w:val="18"/>
                <w:szCs w:val="18"/>
              </w:rPr>
            </w:pPr>
            <w:r w:rsidRPr="00945EE7">
              <w:rPr>
                <w:rFonts w:cstheme="minorHAnsi"/>
                <w:color w:val="auto"/>
                <w:sz w:val="18"/>
                <w:szCs w:val="18"/>
              </w:rPr>
              <w:t>Observed NRA at farm gate</w:t>
            </w:r>
          </w:p>
        </w:tc>
        <w:tc>
          <w:tcPr>
            <w:tcW w:w="424" w:type="pct"/>
            <w:vAlign w:val="center"/>
          </w:tcPr>
          <w:p w:rsidR="000947BC" w:rsidRPr="00945EE7" w:rsidRDefault="000947BC"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sz w:val="18"/>
                <w:szCs w:val="18"/>
              </w:rPr>
            </w:pPr>
          </w:p>
        </w:tc>
        <w:tc>
          <w:tcPr>
            <w:tcW w:w="445" w:type="pct"/>
            <w:vAlign w:val="center"/>
          </w:tcPr>
          <w:p w:rsidR="000947BC" w:rsidRPr="00945EE7" w:rsidRDefault="000947BC"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sz w:val="18"/>
                <w:szCs w:val="18"/>
              </w:rPr>
            </w:pPr>
          </w:p>
        </w:tc>
        <w:tc>
          <w:tcPr>
            <w:tcW w:w="468" w:type="pct"/>
            <w:vAlign w:val="center"/>
          </w:tcPr>
          <w:p w:rsidR="000947BC" w:rsidRPr="00945EE7" w:rsidRDefault="000947BC"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sz w:val="18"/>
                <w:szCs w:val="18"/>
              </w:rPr>
            </w:pPr>
          </w:p>
        </w:tc>
        <w:tc>
          <w:tcPr>
            <w:tcW w:w="444" w:type="pct"/>
            <w:vAlign w:val="center"/>
          </w:tcPr>
          <w:p w:rsidR="000947BC" w:rsidRPr="00945EE7" w:rsidRDefault="000947BC"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sz w:val="18"/>
                <w:szCs w:val="18"/>
              </w:rPr>
            </w:pPr>
          </w:p>
        </w:tc>
        <w:tc>
          <w:tcPr>
            <w:tcW w:w="454" w:type="pct"/>
            <w:vAlign w:val="center"/>
          </w:tcPr>
          <w:p w:rsidR="000947BC" w:rsidRPr="00945EE7" w:rsidRDefault="000947BC"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sz w:val="18"/>
                <w:szCs w:val="18"/>
              </w:rPr>
            </w:pPr>
          </w:p>
        </w:tc>
        <w:tc>
          <w:tcPr>
            <w:tcW w:w="445" w:type="pct"/>
            <w:vAlign w:val="center"/>
          </w:tcPr>
          <w:p w:rsidR="000947BC" w:rsidRPr="00945EE7" w:rsidRDefault="000947BC"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sz w:val="18"/>
                <w:szCs w:val="18"/>
              </w:rPr>
            </w:pPr>
          </w:p>
        </w:tc>
        <w:tc>
          <w:tcPr>
            <w:tcW w:w="412" w:type="pct"/>
            <w:vAlign w:val="center"/>
          </w:tcPr>
          <w:p w:rsidR="000947BC" w:rsidRPr="00945EE7" w:rsidRDefault="000947BC"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sz w:val="18"/>
                <w:szCs w:val="18"/>
              </w:rPr>
            </w:pPr>
          </w:p>
        </w:tc>
        <w:tc>
          <w:tcPr>
            <w:tcW w:w="445" w:type="pct"/>
            <w:vAlign w:val="center"/>
          </w:tcPr>
          <w:p w:rsidR="000947BC" w:rsidRPr="00945EE7" w:rsidRDefault="000947BC"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sz w:val="18"/>
                <w:szCs w:val="18"/>
              </w:rPr>
            </w:pPr>
          </w:p>
        </w:tc>
        <w:tc>
          <w:tcPr>
            <w:tcW w:w="439" w:type="pct"/>
            <w:vAlign w:val="center"/>
          </w:tcPr>
          <w:p w:rsidR="000947BC" w:rsidRPr="00945EE7" w:rsidRDefault="000947BC"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sz w:val="18"/>
                <w:szCs w:val="18"/>
              </w:rPr>
            </w:pPr>
          </w:p>
        </w:tc>
      </w:tr>
      <w:tr w:rsidR="00237712" w:rsidRPr="00EF0C94" w:rsidTr="00945EE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023" w:type="pct"/>
            <w:vAlign w:val="center"/>
          </w:tcPr>
          <w:p w:rsidR="000947BC" w:rsidRPr="00945EE7" w:rsidRDefault="000947BC" w:rsidP="00310FA4">
            <w:pPr>
              <w:keepNext/>
              <w:keepLines/>
              <w:rPr>
                <w:rFonts w:cstheme="minorHAnsi"/>
                <w:color w:val="auto"/>
                <w:sz w:val="18"/>
                <w:szCs w:val="18"/>
              </w:rPr>
            </w:pPr>
            <w:r w:rsidRPr="00945EE7">
              <w:rPr>
                <w:rFonts w:cstheme="minorHAnsi"/>
                <w:color w:val="auto"/>
                <w:sz w:val="18"/>
                <w:szCs w:val="18"/>
              </w:rPr>
              <w:t>Adjusted NRA at farm gate</w:t>
            </w:r>
          </w:p>
        </w:tc>
        <w:tc>
          <w:tcPr>
            <w:tcW w:w="424" w:type="pct"/>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sz w:val="18"/>
                <w:szCs w:val="18"/>
              </w:rPr>
            </w:pPr>
          </w:p>
        </w:tc>
        <w:tc>
          <w:tcPr>
            <w:tcW w:w="445" w:type="pct"/>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sz w:val="18"/>
                <w:szCs w:val="18"/>
              </w:rPr>
            </w:pPr>
          </w:p>
        </w:tc>
        <w:tc>
          <w:tcPr>
            <w:tcW w:w="468" w:type="pct"/>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sz w:val="18"/>
                <w:szCs w:val="18"/>
              </w:rPr>
            </w:pPr>
          </w:p>
        </w:tc>
        <w:tc>
          <w:tcPr>
            <w:tcW w:w="444" w:type="pct"/>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sz w:val="18"/>
                <w:szCs w:val="18"/>
              </w:rPr>
            </w:pPr>
          </w:p>
        </w:tc>
        <w:tc>
          <w:tcPr>
            <w:tcW w:w="454" w:type="pct"/>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sz w:val="18"/>
                <w:szCs w:val="18"/>
              </w:rPr>
            </w:pPr>
          </w:p>
        </w:tc>
        <w:tc>
          <w:tcPr>
            <w:tcW w:w="445" w:type="pct"/>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sz w:val="18"/>
                <w:szCs w:val="18"/>
              </w:rPr>
            </w:pPr>
          </w:p>
        </w:tc>
        <w:tc>
          <w:tcPr>
            <w:tcW w:w="412" w:type="pct"/>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sz w:val="18"/>
                <w:szCs w:val="18"/>
              </w:rPr>
            </w:pPr>
          </w:p>
        </w:tc>
        <w:tc>
          <w:tcPr>
            <w:tcW w:w="445" w:type="pct"/>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sz w:val="18"/>
                <w:szCs w:val="18"/>
              </w:rPr>
            </w:pPr>
          </w:p>
        </w:tc>
        <w:tc>
          <w:tcPr>
            <w:tcW w:w="439" w:type="pct"/>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sz w:val="18"/>
                <w:szCs w:val="18"/>
              </w:rPr>
            </w:pPr>
          </w:p>
        </w:tc>
      </w:tr>
    </w:tbl>
    <w:p w:rsidR="002059BF" w:rsidRDefault="00F94F68" w:rsidP="0051492F">
      <w:pPr>
        <w:pStyle w:val="Quote"/>
        <w:rPr>
          <w:sz w:val="20"/>
        </w:rPr>
      </w:pPr>
      <w:r w:rsidRPr="00645B3B">
        <w:rPr>
          <w:sz w:val="20"/>
        </w:rPr>
        <w:t>Source: Author’s own calculations using data as described above.</w:t>
      </w:r>
    </w:p>
    <w:p w:rsidR="00645B3B" w:rsidRPr="003649CB" w:rsidRDefault="00645B3B" w:rsidP="003649CB">
      <w:pPr>
        <w:pStyle w:val="Caption"/>
        <w:keepNext/>
        <w:keepLines/>
      </w:pPr>
      <w:r w:rsidRPr="003649CB">
        <w:t xml:space="preserve">Table </w:t>
      </w:r>
      <w:r w:rsidR="00323EC3" w:rsidRPr="003649CB">
        <w:fldChar w:fldCharType="begin"/>
      </w:r>
      <w:r w:rsidRPr="003649CB">
        <w:instrText xml:space="preserve"> SEQ Table \* ARABIC </w:instrText>
      </w:r>
      <w:r w:rsidR="00323EC3" w:rsidRPr="003649CB">
        <w:fldChar w:fldCharType="separate"/>
      </w:r>
      <w:r w:rsidR="00D147FD">
        <w:rPr>
          <w:noProof/>
        </w:rPr>
        <w:t>9</w:t>
      </w:r>
      <w:r w:rsidR="00323EC3" w:rsidRPr="003649CB">
        <w:fldChar w:fldCharType="end"/>
      </w:r>
      <w:r w:rsidRPr="003649CB">
        <w:t xml:space="preserve">. MAFAP Market Development Gaps for </w:t>
      </w:r>
      <w:r w:rsidR="003649CB" w:rsidRPr="003649CB">
        <w:t>maize</w:t>
      </w:r>
      <w:r w:rsidRPr="003649CB">
        <w:t xml:space="preserve"> in </w:t>
      </w:r>
      <w:r w:rsidR="003649CB" w:rsidRPr="003649CB">
        <w:t>Mozambique</w:t>
      </w:r>
      <w:r w:rsidRPr="003649CB">
        <w:t>, (</w:t>
      </w:r>
      <w:r w:rsidR="003649CB" w:rsidRPr="003649CB">
        <w:t>MZN/</w:t>
      </w:r>
      <w:r w:rsidR="008851CC">
        <w:t>tonne</w:t>
      </w:r>
      <w:r w:rsidRPr="003649CB">
        <w:t>), 2005-2013</w:t>
      </w:r>
    </w:p>
    <w:tbl>
      <w:tblPr>
        <w:tblStyle w:val="MediumGrid3-Accent3"/>
        <w:tblW w:w="10119" w:type="dxa"/>
        <w:tblLayout w:type="fixed"/>
        <w:tblLook w:val="04A0" w:firstRow="1" w:lastRow="0" w:firstColumn="1" w:lastColumn="0" w:noHBand="0" w:noVBand="1"/>
      </w:tblPr>
      <w:tblGrid>
        <w:gridCol w:w="1814"/>
        <w:gridCol w:w="922"/>
        <w:gridCol w:w="923"/>
        <w:gridCol w:w="923"/>
        <w:gridCol w:w="923"/>
        <w:gridCol w:w="922"/>
        <w:gridCol w:w="923"/>
        <w:gridCol w:w="923"/>
        <w:gridCol w:w="923"/>
        <w:gridCol w:w="923"/>
      </w:tblGrid>
      <w:tr w:rsidR="00645B3B" w:rsidRPr="00A9668F" w:rsidTr="006B247A">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814" w:type="dxa"/>
            <w:noWrap/>
            <w:hideMark/>
          </w:tcPr>
          <w:p w:rsidR="00645B3B" w:rsidRPr="00945EE7" w:rsidRDefault="00645B3B" w:rsidP="00310FA4">
            <w:pPr>
              <w:jc w:val="center"/>
              <w:rPr>
                <w:rFonts w:eastAsia="Times New Roman" w:cs="Arial"/>
                <w:b w:val="0"/>
                <w:color w:val="auto"/>
                <w:sz w:val="20"/>
                <w:szCs w:val="20"/>
                <w:lang w:val="en-GB"/>
              </w:rPr>
            </w:pPr>
          </w:p>
        </w:tc>
        <w:tc>
          <w:tcPr>
            <w:tcW w:w="922" w:type="dxa"/>
            <w:noWrap/>
            <w:hideMark/>
          </w:tcPr>
          <w:p w:rsidR="00645B3B" w:rsidRPr="00945EE7" w:rsidRDefault="00645B3B" w:rsidP="0051436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18"/>
                <w:szCs w:val="18"/>
              </w:rPr>
            </w:pPr>
            <w:r w:rsidRPr="00945EE7">
              <w:rPr>
                <w:rFonts w:cstheme="minorHAnsi"/>
                <w:color w:val="auto"/>
                <w:sz w:val="18"/>
                <w:szCs w:val="18"/>
              </w:rPr>
              <w:t>2005</w:t>
            </w:r>
          </w:p>
        </w:tc>
        <w:tc>
          <w:tcPr>
            <w:tcW w:w="923" w:type="dxa"/>
            <w:noWrap/>
            <w:hideMark/>
          </w:tcPr>
          <w:p w:rsidR="00645B3B" w:rsidRPr="00945EE7" w:rsidRDefault="00645B3B" w:rsidP="0051436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18"/>
                <w:szCs w:val="18"/>
              </w:rPr>
            </w:pPr>
            <w:r w:rsidRPr="00945EE7">
              <w:rPr>
                <w:rFonts w:cstheme="minorHAnsi"/>
                <w:color w:val="auto"/>
                <w:sz w:val="18"/>
                <w:szCs w:val="18"/>
              </w:rPr>
              <w:t>2006</w:t>
            </w:r>
          </w:p>
        </w:tc>
        <w:tc>
          <w:tcPr>
            <w:tcW w:w="923" w:type="dxa"/>
            <w:noWrap/>
            <w:hideMark/>
          </w:tcPr>
          <w:p w:rsidR="00645B3B" w:rsidRPr="00945EE7" w:rsidRDefault="00645B3B" w:rsidP="0051436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18"/>
                <w:szCs w:val="18"/>
              </w:rPr>
            </w:pPr>
            <w:r w:rsidRPr="00945EE7">
              <w:rPr>
                <w:rFonts w:cstheme="minorHAnsi"/>
                <w:color w:val="auto"/>
                <w:sz w:val="18"/>
                <w:szCs w:val="18"/>
              </w:rPr>
              <w:t>2007</w:t>
            </w:r>
          </w:p>
        </w:tc>
        <w:tc>
          <w:tcPr>
            <w:tcW w:w="923" w:type="dxa"/>
            <w:noWrap/>
            <w:hideMark/>
          </w:tcPr>
          <w:p w:rsidR="00645B3B" w:rsidRPr="00945EE7" w:rsidRDefault="00645B3B" w:rsidP="0051436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18"/>
                <w:szCs w:val="18"/>
              </w:rPr>
            </w:pPr>
            <w:r w:rsidRPr="00945EE7">
              <w:rPr>
                <w:rFonts w:cstheme="minorHAnsi"/>
                <w:color w:val="auto"/>
                <w:sz w:val="18"/>
                <w:szCs w:val="18"/>
              </w:rPr>
              <w:t>2008</w:t>
            </w:r>
          </w:p>
        </w:tc>
        <w:tc>
          <w:tcPr>
            <w:tcW w:w="922" w:type="dxa"/>
            <w:noWrap/>
            <w:hideMark/>
          </w:tcPr>
          <w:p w:rsidR="00645B3B" w:rsidRPr="00945EE7" w:rsidRDefault="00645B3B" w:rsidP="0051436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18"/>
                <w:szCs w:val="18"/>
              </w:rPr>
            </w:pPr>
            <w:r w:rsidRPr="00945EE7">
              <w:rPr>
                <w:rFonts w:cstheme="minorHAnsi"/>
                <w:color w:val="auto"/>
                <w:sz w:val="18"/>
                <w:szCs w:val="18"/>
              </w:rPr>
              <w:t>2009</w:t>
            </w:r>
          </w:p>
        </w:tc>
        <w:tc>
          <w:tcPr>
            <w:tcW w:w="923" w:type="dxa"/>
            <w:noWrap/>
            <w:hideMark/>
          </w:tcPr>
          <w:p w:rsidR="00645B3B" w:rsidRPr="00945EE7" w:rsidRDefault="00645B3B" w:rsidP="0051436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18"/>
                <w:szCs w:val="18"/>
              </w:rPr>
            </w:pPr>
            <w:r w:rsidRPr="00945EE7">
              <w:rPr>
                <w:rFonts w:cstheme="minorHAnsi"/>
                <w:color w:val="auto"/>
                <w:sz w:val="18"/>
                <w:szCs w:val="18"/>
              </w:rPr>
              <w:t>2010</w:t>
            </w:r>
          </w:p>
        </w:tc>
        <w:tc>
          <w:tcPr>
            <w:tcW w:w="923" w:type="dxa"/>
            <w:noWrap/>
            <w:hideMark/>
          </w:tcPr>
          <w:p w:rsidR="00645B3B" w:rsidRPr="00945EE7" w:rsidRDefault="00645B3B" w:rsidP="0051436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18"/>
                <w:szCs w:val="18"/>
              </w:rPr>
            </w:pPr>
            <w:r w:rsidRPr="00945EE7">
              <w:rPr>
                <w:rFonts w:cstheme="minorHAnsi"/>
                <w:color w:val="auto"/>
                <w:sz w:val="18"/>
                <w:szCs w:val="18"/>
              </w:rPr>
              <w:t>2011</w:t>
            </w:r>
          </w:p>
        </w:tc>
        <w:tc>
          <w:tcPr>
            <w:tcW w:w="923" w:type="dxa"/>
          </w:tcPr>
          <w:p w:rsidR="00645B3B" w:rsidRPr="00945EE7" w:rsidRDefault="00645B3B" w:rsidP="0051436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18"/>
                <w:szCs w:val="18"/>
              </w:rPr>
            </w:pPr>
            <w:r w:rsidRPr="00945EE7">
              <w:rPr>
                <w:rFonts w:cstheme="minorHAnsi"/>
                <w:color w:val="auto"/>
                <w:sz w:val="18"/>
                <w:szCs w:val="18"/>
              </w:rPr>
              <w:t>2012</w:t>
            </w:r>
          </w:p>
        </w:tc>
        <w:tc>
          <w:tcPr>
            <w:tcW w:w="923" w:type="dxa"/>
          </w:tcPr>
          <w:p w:rsidR="00645B3B" w:rsidRPr="00945EE7" w:rsidRDefault="00645B3B" w:rsidP="0051436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18"/>
                <w:szCs w:val="18"/>
              </w:rPr>
            </w:pPr>
            <w:r w:rsidRPr="00945EE7">
              <w:rPr>
                <w:rFonts w:cstheme="minorHAnsi"/>
                <w:color w:val="auto"/>
                <w:sz w:val="18"/>
                <w:szCs w:val="18"/>
              </w:rPr>
              <w:t>2013</w:t>
            </w:r>
          </w:p>
        </w:tc>
      </w:tr>
      <w:tr w:rsidR="00645B3B" w:rsidRPr="00A9668F" w:rsidTr="00945E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14" w:type="dxa"/>
            <w:noWrap/>
            <w:hideMark/>
          </w:tcPr>
          <w:p w:rsidR="00645B3B" w:rsidRPr="00945EE7" w:rsidRDefault="00645B3B" w:rsidP="00310FA4">
            <w:pPr>
              <w:rPr>
                <w:rFonts w:eastAsia="Times New Roman" w:cs="Arial"/>
                <w:color w:val="auto"/>
                <w:sz w:val="20"/>
                <w:szCs w:val="20"/>
                <w:lang w:val="en-GB"/>
              </w:rPr>
            </w:pPr>
            <w:r w:rsidRPr="00945EE7">
              <w:rPr>
                <w:rFonts w:eastAsia="Times New Roman" w:cs="Arial"/>
                <w:color w:val="auto"/>
                <w:sz w:val="18"/>
                <w:szCs w:val="20"/>
                <w:lang w:val="en-GB"/>
              </w:rPr>
              <w:t>Trade status for the year</w:t>
            </w:r>
          </w:p>
        </w:tc>
        <w:tc>
          <w:tcPr>
            <w:tcW w:w="922" w:type="dxa"/>
            <w:noWrap/>
            <w:vAlign w:val="center"/>
            <w:hideMark/>
          </w:tcPr>
          <w:p w:rsidR="00645B3B" w:rsidRPr="00945EE7" w:rsidRDefault="00945EE7" w:rsidP="00945EE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r w:rsidRPr="00945EE7">
              <w:rPr>
                <w:rFonts w:eastAsia="Times New Roman" w:cs="Arial"/>
                <w:sz w:val="20"/>
                <w:szCs w:val="20"/>
                <w:lang w:val="en-GB"/>
              </w:rPr>
              <w:t>m</w:t>
            </w:r>
          </w:p>
        </w:tc>
        <w:tc>
          <w:tcPr>
            <w:tcW w:w="923" w:type="dxa"/>
            <w:noWrap/>
            <w:vAlign w:val="center"/>
            <w:hideMark/>
          </w:tcPr>
          <w:p w:rsidR="00645B3B" w:rsidRPr="00945EE7" w:rsidRDefault="00945EE7" w:rsidP="00945EE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r w:rsidRPr="00945EE7">
              <w:rPr>
                <w:rFonts w:eastAsia="Times New Roman" w:cs="Arial"/>
                <w:sz w:val="20"/>
                <w:szCs w:val="20"/>
                <w:lang w:val="en-GB"/>
              </w:rPr>
              <w:t>m</w:t>
            </w:r>
          </w:p>
        </w:tc>
        <w:tc>
          <w:tcPr>
            <w:tcW w:w="923" w:type="dxa"/>
            <w:noWrap/>
            <w:vAlign w:val="center"/>
            <w:hideMark/>
          </w:tcPr>
          <w:p w:rsidR="00645B3B" w:rsidRPr="00945EE7" w:rsidRDefault="00945EE7" w:rsidP="00945EE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r w:rsidRPr="00945EE7">
              <w:rPr>
                <w:rFonts w:eastAsia="Times New Roman" w:cs="Arial"/>
                <w:sz w:val="20"/>
                <w:szCs w:val="20"/>
                <w:lang w:val="en-GB"/>
              </w:rPr>
              <w:t>m</w:t>
            </w:r>
          </w:p>
        </w:tc>
        <w:tc>
          <w:tcPr>
            <w:tcW w:w="923" w:type="dxa"/>
            <w:noWrap/>
            <w:vAlign w:val="center"/>
            <w:hideMark/>
          </w:tcPr>
          <w:p w:rsidR="00645B3B" w:rsidRPr="00945EE7" w:rsidRDefault="00945EE7" w:rsidP="00945EE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r w:rsidRPr="00945EE7">
              <w:rPr>
                <w:rFonts w:eastAsia="Times New Roman" w:cs="Arial"/>
                <w:sz w:val="20"/>
                <w:szCs w:val="20"/>
                <w:lang w:val="en-GB"/>
              </w:rPr>
              <w:t>m</w:t>
            </w:r>
          </w:p>
        </w:tc>
        <w:tc>
          <w:tcPr>
            <w:tcW w:w="922" w:type="dxa"/>
            <w:noWrap/>
            <w:vAlign w:val="center"/>
            <w:hideMark/>
          </w:tcPr>
          <w:p w:rsidR="00645B3B" w:rsidRPr="00945EE7" w:rsidRDefault="00945EE7" w:rsidP="00945EE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r w:rsidRPr="00945EE7">
              <w:rPr>
                <w:rFonts w:eastAsia="Times New Roman" w:cs="Arial"/>
                <w:sz w:val="20"/>
                <w:szCs w:val="20"/>
                <w:lang w:val="en-GB"/>
              </w:rPr>
              <w:t>m</w:t>
            </w:r>
          </w:p>
        </w:tc>
        <w:tc>
          <w:tcPr>
            <w:tcW w:w="923" w:type="dxa"/>
            <w:noWrap/>
            <w:vAlign w:val="center"/>
            <w:hideMark/>
          </w:tcPr>
          <w:p w:rsidR="00645B3B" w:rsidRPr="00945EE7" w:rsidRDefault="00945EE7" w:rsidP="00945EE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r w:rsidRPr="00945EE7">
              <w:rPr>
                <w:rFonts w:eastAsia="Times New Roman" w:cs="Arial"/>
                <w:sz w:val="20"/>
                <w:szCs w:val="20"/>
                <w:lang w:val="en-GB"/>
              </w:rPr>
              <w:t>m</w:t>
            </w:r>
          </w:p>
        </w:tc>
        <w:tc>
          <w:tcPr>
            <w:tcW w:w="923" w:type="dxa"/>
            <w:noWrap/>
            <w:vAlign w:val="center"/>
            <w:hideMark/>
          </w:tcPr>
          <w:p w:rsidR="00645B3B" w:rsidRPr="00945EE7" w:rsidRDefault="00945EE7" w:rsidP="00945EE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r w:rsidRPr="00945EE7">
              <w:rPr>
                <w:rFonts w:eastAsia="Times New Roman" w:cs="Arial"/>
                <w:sz w:val="20"/>
                <w:szCs w:val="20"/>
                <w:lang w:val="en-GB"/>
              </w:rPr>
              <w:t>m</w:t>
            </w:r>
          </w:p>
        </w:tc>
        <w:tc>
          <w:tcPr>
            <w:tcW w:w="923" w:type="dxa"/>
            <w:vAlign w:val="center"/>
          </w:tcPr>
          <w:p w:rsidR="00645B3B" w:rsidRPr="00945EE7" w:rsidRDefault="00BE16AC" w:rsidP="00BE16AC">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r>
              <w:rPr>
                <w:rFonts w:eastAsia="Times New Roman" w:cs="Arial"/>
                <w:sz w:val="20"/>
                <w:szCs w:val="20"/>
                <w:lang w:val="en-GB"/>
              </w:rPr>
              <w:t>m</w:t>
            </w:r>
          </w:p>
        </w:tc>
        <w:tc>
          <w:tcPr>
            <w:tcW w:w="923" w:type="dxa"/>
            <w:vAlign w:val="center"/>
          </w:tcPr>
          <w:p w:rsidR="00645B3B" w:rsidRPr="00945EE7" w:rsidRDefault="00945EE7" w:rsidP="00945EE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r w:rsidRPr="00945EE7">
              <w:rPr>
                <w:rFonts w:eastAsia="Times New Roman" w:cs="Arial"/>
                <w:sz w:val="20"/>
                <w:szCs w:val="20"/>
                <w:lang w:val="en-GB"/>
              </w:rPr>
              <w:t>m</w:t>
            </w:r>
          </w:p>
        </w:tc>
      </w:tr>
      <w:tr w:rsidR="00945EE7" w:rsidRPr="00A9668F" w:rsidTr="00945EE7">
        <w:trPr>
          <w:trHeight w:val="227"/>
        </w:trPr>
        <w:tc>
          <w:tcPr>
            <w:cnfStyle w:val="001000000000" w:firstRow="0" w:lastRow="0" w:firstColumn="1" w:lastColumn="0" w:oddVBand="0" w:evenVBand="0" w:oddHBand="0" w:evenHBand="0" w:firstRowFirstColumn="0" w:firstRowLastColumn="0" w:lastRowFirstColumn="0" w:lastRowLastColumn="0"/>
            <w:tcW w:w="1814" w:type="dxa"/>
            <w:noWrap/>
            <w:hideMark/>
          </w:tcPr>
          <w:p w:rsidR="00945EE7" w:rsidRPr="00945EE7" w:rsidRDefault="00945EE7" w:rsidP="00310FA4">
            <w:pPr>
              <w:rPr>
                <w:rFonts w:eastAsia="Times New Roman" w:cs="Arial"/>
                <w:color w:val="auto"/>
                <w:sz w:val="18"/>
                <w:szCs w:val="20"/>
                <w:lang w:val="en-GB"/>
              </w:rPr>
            </w:pPr>
            <w:r w:rsidRPr="00945EE7">
              <w:rPr>
                <w:rFonts w:eastAsia="Times New Roman" w:cs="Arial"/>
                <w:color w:val="auto"/>
                <w:sz w:val="18"/>
                <w:szCs w:val="20"/>
                <w:lang w:val="en-GB"/>
              </w:rPr>
              <w:t>Access costs gap to competition point (ACGwh)</w:t>
            </w:r>
          </w:p>
        </w:tc>
        <w:tc>
          <w:tcPr>
            <w:tcW w:w="922" w:type="dxa"/>
            <w:noWrap/>
            <w:vAlign w:val="center"/>
            <w:hideMark/>
          </w:tcPr>
          <w:p w:rsidR="00945EE7" w:rsidRPr="00945EE7" w:rsidRDefault="00945EE7"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268.64</w:t>
            </w:r>
          </w:p>
        </w:tc>
        <w:tc>
          <w:tcPr>
            <w:tcW w:w="923" w:type="dxa"/>
            <w:noWrap/>
            <w:vAlign w:val="center"/>
            <w:hideMark/>
          </w:tcPr>
          <w:p w:rsidR="00945EE7" w:rsidRPr="00945EE7" w:rsidRDefault="00945EE7"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136.46</w:t>
            </w:r>
          </w:p>
        </w:tc>
        <w:tc>
          <w:tcPr>
            <w:tcW w:w="923" w:type="dxa"/>
            <w:noWrap/>
            <w:vAlign w:val="center"/>
            <w:hideMark/>
          </w:tcPr>
          <w:p w:rsidR="00945EE7" w:rsidRPr="00945EE7" w:rsidRDefault="00945EE7"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1.06</w:t>
            </w:r>
          </w:p>
        </w:tc>
        <w:tc>
          <w:tcPr>
            <w:tcW w:w="923" w:type="dxa"/>
            <w:noWrap/>
            <w:vAlign w:val="center"/>
            <w:hideMark/>
          </w:tcPr>
          <w:p w:rsidR="00945EE7" w:rsidRPr="00945EE7" w:rsidRDefault="00945EE7"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457.99</w:t>
            </w:r>
          </w:p>
        </w:tc>
        <w:tc>
          <w:tcPr>
            <w:tcW w:w="922" w:type="dxa"/>
            <w:noWrap/>
            <w:vAlign w:val="center"/>
            <w:hideMark/>
          </w:tcPr>
          <w:p w:rsidR="00945EE7" w:rsidRPr="00945EE7" w:rsidRDefault="00945EE7"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426.22</w:t>
            </w:r>
          </w:p>
        </w:tc>
        <w:tc>
          <w:tcPr>
            <w:tcW w:w="923" w:type="dxa"/>
            <w:noWrap/>
            <w:vAlign w:val="center"/>
            <w:hideMark/>
          </w:tcPr>
          <w:p w:rsidR="00945EE7" w:rsidRPr="00945EE7" w:rsidRDefault="00945EE7"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478.82</w:t>
            </w:r>
          </w:p>
        </w:tc>
        <w:tc>
          <w:tcPr>
            <w:tcW w:w="923" w:type="dxa"/>
            <w:noWrap/>
            <w:vAlign w:val="center"/>
            <w:hideMark/>
          </w:tcPr>
          <w:p w:rsidR="00945EE7" w:rsidRPr="00945EE7" w:rsidRDefault="00945EE7"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289.76</w:t>
            </w:r>
          </w:p>
        </w:tc>
        <w:tc>
          <w:tcPr>
            <w:tcW w:w="923" w:type="dxa"/>
            <w:vAlign w:val="center"/>
          </w:tcPr>
          <w:p w:rsidR="00945EE7" w:rsidRPr="00945EE7" w:rsidRDefault="00945EE7"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259.54</w:t>
            </w:r>
          </w:p>
        </w:tc>
        <w:tc>
          <w:tcPr>
            <w:tcW w:w="923" w:type="dxa"/>
            <w:vAlign w:val="center"/>
          </w:tcPr>
          <w:p w:rsidR="00945EE7" w:rsidRPr="00945EE7" w:rsidRDefault="00945EE7" w:rsidP="00945EE7">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525.91</w:t>
            </w:r>
          </w:p>
        </w:tc>
      </w:tr>
      <w:tr w:rsidR="00945EE7" w:rsidRPr="00A9668F" w:rsidTr="00945E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14" w:type="dxa"/>
            <w:noWrap/>
            <w:hideMark/>
          </w:tcPr>
          <w:p w:rsidR="00945EE7" w:rsidRPr="00945EE7" w:rsidRDefault="00945EE7" w:rsidP="00310FA4">
            <w:pPr>
              <w:rPr>
                <w:rFonts w:eastAsia="Times New Roman" w:cs="Arial"/>
                <w:color w:val="auto"/>
                <w:sz w:val="18"/>
                <w:szCs w:val="20"/>
                <w:lang w:val="en-GB"/>
              </w:rPr>
            </w:pPr>
            <w:r w:rsidRPr="00945EE7">
              <w:rPr>
                <w:rFonts w:eastAsia="Times New Roman" w:cs="Arial"/>
                <w:color w:val="auto"/>
                <w:sz w:val="18"/>
                <w:szCs w:val="20"/>
                <w:lang w:val="en-GB"/>
              </w:rPr>
              <w:t>Access costs gap to farm gate (ACGfg)</w:t>
            </w:r>
          </w:p>
        </w:tc>
        <w:tc>
          <w:tcPr>
            <w:tcW w:w="922" w:type="dxa"/>
            <w:noWrap/>
            <w:vAlign w:val="center"/>
            <w:hideMark/>
          </w:tcPr>
          <w:p w:rsidR="00945EE7" w:rsidRPr="00945EE7" w:rsidRDefault="00945EE7"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-184.51</w:t>
            </w:r>
          </w:p>
        </w:tc>
        <w:tc>
          <w:tcPr>
            <w:tcW w:w="923" w:type="dxa"/>
            <w:noWrap/>
            <w:vAlign w:val="center"/>
            <w:hideMark/>
          </w:tcPr>
          <w:p w:rsidR="00945EE7" w:rsidRPr="00945EE7" w:rsidRDefault="00945EE7"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-139.33</w:t>
            </w:r>
          </w:p>
        </w:tc>
        <w:tc>
          <w:tcPr>
            <w:tcW w:w="923" w:type="dxa"/>
            <w:noWrap/>
            <w:vAlign w:val="center"/>
            <w:hideMark/>
          </w:tcPr>
          <w:p w:rsidR="00945EE7" w:rsidRPr="00945EE7" w:rsidRDefault="00945EE7"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-246.74</w:t>
            </w:r>
          </w:p>
        </w:tc>
        <w:tc>
          <w:tcPr>
            <w:tcW w:w="923" w:type="dxa"/>
            <w:noWrap/>
            <w:vAlign w:val="center"/>
            <w:hideMark/>
          </w:tcPr>
          <w:p w:rsidR="00945EE7" w:rsidRPr="00945EE7" w:rsidRDefault="00945EE7"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-361.88</w:t>
            </w:r>
          </w:p>
        </w:tc>
        <w:tc>
          <w:tcPr>
            <w:tcW w:w="922" w:type="dxa"/>
            <w:noWrap/>
            <w:vAlign w:val="center"/>
            <w:hideMark/>
          </w:tcPr>
          <w:p w:rsidR="00945EE7" w:rsidRPr="00945EE7" w:rsidRDefault="00945EE7"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-168.09</w:t>
            </w:r>
          </w:p>
        </w:tc>
        <w:tc>
          <w:tcPr>
            <w:tcW w:w="923" w:type="dxa"/>
            <w:noWrap/>
            <w:vAlign w:val="center"/>
            <w:hideMark/>
          </w:tcPr>
          <w:p w:rsidR="00945EE7" w:rsidRPr="00945EE7" w:rsidRDefault="00945EE7"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-439.73</w:t>
            </w:r>
          </w:p>
        </w:tc>
        <w:tc>
          <w:tcPr>
            <w:tcW w:w="923" w:type="dxa"/>
            <w:noWrap/>
            <w:vAlign w:val="center"/>
            <w:hideMark/>
          </w:tcPr>
          <w:p w:rsidR="00945EE7" w:rsidRPr="00945EE7" w:rsidRDefault="00945EE7"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-30.34</w:t>
            </w:r>
          </w:p>
        </w:tc>
        <w:tc>
          <w:tcPr>
            <w:tcW w:w="923" w:type="dxa"/>
            <w:vAlign w:val="center"/>
          </w:tcPr>
          <w:p w:rsidR="00945EE7" w:rsidRPr="00945EE7" w:rsidRDefault="00945EE7"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-577.68</w:t>
            </w:r>
          </w:p>
        </w:tc>
        <w:tc>
          <w:tcPr>
            <w:tcW w:w="923" w:type="dxa"/>
            <w:vAlign w:val="center"/>
          </w:tcPr>
          <w:p w:rsidR="00945EE7" w:rsidRPr="00945EE7" w:rsidRDefault="00945EE7" w:rsidP="00945EE7">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945EE7">
              <w:rPr>
                <w:rFonts w:ascii="Calibri" w:hAnsi="Calibri" w:cs="Arial"/>
                <w:sz w:val="18"/>
                <w:szCs w:val="18"/>
              </w:rPr>
              <w:t>-633.16</w:t>
            </w:r>
          </w:p>
        </w:tc>
      </w:tr>
      <w:tr w:rsidR="00645B3B" w:rsidRPr="00A9668F" w:rsidTr="00945EE7">
        <w:trPr>
          <w:trHeight w:val="227"/>
        </w:trPr>
        <w:tc>
          <w:tcPr>
            <w:cnfStyle w:val="001000000000" w:firstRow="0" w:lastRow="0" w:firstColumn="1" w:lastColumn="0" w:oddVBand="0" w:evenVBand="0" w:oddHBand="0" w:evenHBand="0" w:firstRowFirstColumn="0" w:firstRowLastColumn="0" w:lastRowFirstColumn="0" w:lastRowLastColumn="0"/>
            <w:tcW w:w="1814" w:type="dxa"/>
            <w:noWrap/>
            <w:hideMark/>
          </w:tcPr>
          <w:p w:rsidR="00645B3B" w:rsidRPr="00945EE7" w:rsidRDefault="00CD4DDB" w:rsidP="00310FA4">
            <w:pPr>
              <w:rPr>
                <w:rFonts w:eastAsia="Times New Roman" w:cs="Arial"/>
                <w:color w:val="auto"/>
                <w:sz w:val="18"/>
                <w:szCs w:val="20"/>
                <w:lang w:val="en-GB"/>
              </w:rPr>
            </w:pPr>
            <w:r w:rsidRPr="00945EE7">
              <w:rPr>
                <w:rFonts w:eastAsia="Times New Roman" w:cs="Arial"/>
                <w:color w:val="auto"/>
                <w:sz w:val="18"/>
                <w:szCs w:val="20"/>
                <w:lang w:val="en-GB"/>
              </w:rPr>
              <w:t>Exchange rate policy gap (EXRP)</w:t>
            </w:r>
          </w:p>
        </w:tc>
        <w:tc>
          <w:tcPr>
            <w:tcW w:w="922" w:type="dxa"/>
            <w:noWrap/>
            <w:vAlign w:val="center"/>
            <w:hideMark/>
          </w:tcPr>
          <w:p w:rsidR="00645B3B" w:rsidRPr="00945EE7" w:rsidRDefault="00645B3B" w:rsidP="00945EE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GB"/>
              </w:rPr>
            </w:pPr>
          </w:p>
        </w:tc>
        <w:tc>
          <w:tcPr>
            <w:tcW w:w="923" w:type="dxa"/>
            <w:noWrap/>
            <w:vAlign w:val="center"/>
            <w:hideMark/>
          </w:tcPr>
          <w:p w:rsidR="00645B3B" w:rsidRPr="00945EE7" w:rsidRDefault="00645B3B" w:rsidP="00945EE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GB"/>
              </w:rPr>
            </w:pPr>
          </w:p>
        </w:tc>
        <w:tc>
          <w:tcPr>
            <w:tcW w:w="923" w:type="dxa"/>
            <w:noWrap/>
            <w:vAlign w:val="center"/>
            <w:hideMark/>
          </w:tcPr>
          <w:p w:rsidR="00645B3B" w:rsidRPr="00945EE7" w:rsidRDefault="00645B3B" w:rsidP="00945EE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GB"/>
              </w:rPr>
            </w:pPr>
          </w:p>
        </w:tc>
        <w:tc>
          <w:tcPr>
            <w:tcW w:w="923" w:type="dxa"/>
            <w:noWrap/>
            <w:vAlign w:val="center"/>
            <w:hideMark/>
          </w:tcPr>
          <w:p w:rsidR="00645B3B" w:rsidRPr="00945EE7" w:rsidRDefault="00645B3B" w:rsidP="00945EE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GB"/>
              </w:rPr>
            </w:pPr>
          </w:p>
        </w:tc>
        <w:tc>
          <w:tcPr>
            <w:tcW w:w="922" w:type="dxa"/>
            <w:noWrap/>
            <w:vAlign w:val="center"/>
            <w:hideMark/>
          </w:tcPr>
          <w:p w:rsidR="00645B3B" w:rsidRPr="00945EE7" w:rsidRDefault="00645B3B" w:rsidP="00945EE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GB"/>
              </w:rPr>
            </w:pPr>
          </w:p>
        </w:tc>
        <w:tc>
          <w:tcPr>
            <w:tcW w:w="923" w:type="dxa"/>
            <w:noWrap/>
            <w:vAlign w:val="center"/>
            <w:hideMark/>
          </w:tcPr>
          <w:p w:rsidR="00645B3B" w:rsidRPr="00945EE7" w:rsidRDefault="00645B3B" w:rsidP="00945EE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GB"/>
              </w:rPr>
            </w:pPr>
          </w:p>
        </w:tc>
        <w:tc>
          <w:tcPr>
            <w:tcW w:w="923" w:type="dxa"/>
            <w:noWrap/>
            <w:vAlign w:val="center"/>
            <w:hideMark/>
          </w:tcPr>
          <w:p w:rsidR="00645B3B" w:rsidRPr="00945EE7" w:rsidRDefault="00645B3B" w:rsidP="00945EE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GB"/>
              </w:rPr>
            </w:pPr>
          </w:p>
        </w:tc>
        <w:tc>
          <w:tcPr>
            <w:tcW w:w="923" w:type="dxa"/>
            <w:vAlign w:val="center"/>
          </w:tcPr>
          <w:p w:rsidR="00645B3B" w:rsidRPr="00945EE7" w:rsidRDefault="00645B3B" w:rsidP="00945EE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GB"/>
              </w:rPr>
            </w:pPr>
          </w:p>
        </w:tc>
        <w:tc>
          <w:tcPr>
            <w:tcW w:w="923" w:type="dxa"/>
            <w:vAlign w:val="center"/>
          </w:tcPr>
          <w:p w:rsidR="00645B3B" w:rsidRPr="00945EE7" w:rsidRDefault="00645B3B" w:rsidP="00945EE7">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GB"/>
              </w:rPr>
            </w:pPr>
          </w:p>
        </w:tc>
      </w:tr>
      <w:tr w:rsidR="000947BC" w:rsidRPr="00A9668F" w:rsidTr="00945E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14" w:type="dxa"/>
            <w:noWrap/>
          </w:tcPr>
          <w:p w:rsidR="000947BC" w:rsidRPr="00945EE7" w:rsidRDefault="000947BC" w:rsidP="00310FA4">
            <w:pPr>
              <w:rPr>
                <w:rFonts w:eastAsia="Times New Roman" w:cs="Arial"/>
                <w:color w:val="auto"/>
                <w:sz w:val="18"/>
                <w:szCs w:val="20"/>
                <w:lang w:val="en-GB"/>
              </w:rPr>
            </w:pPr>
            <w:r w:rsidRPr="00945EE7">
              <w:rPr>
                <w:rFonts w:eastAsia="Times New Roman" w:cs="Arial"/>
                <w:color w:val="auto"/>
                <w:sz w:val="18"/>
                <w:szCs w:val="20"/>
                <w:lang w:val="en-GB"/>
              </w:rPr>
              <w:t>International markets gap (IMG)</w:t>
            </w:r>
          </w:p>
        </w:tc>
        <w:tc>
          <w:tcPr>
            <w:tcW w:w="922" w:type="dxa"/>
            <w:noWrap/>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p>
        </w:tc>
        <w:tc>
          <w:tcPr>
            <w:tcW w:w="923" w:type="dxa"/>
            <w:noWrap/>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p>
        </w:tc>
        <w:tc>
          <w:tcPr>
            <w:tcW w:w="923" w:type="dxa"/>
            <w:noWrap/>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p>
        </w:tc>
        <w:tc>
          <w:tcPr>
            <w:tcW w:w="923" w:type="dxa"/>
            <w:noWrap/>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p>
        </w:tc>
        <w:tc>
          <w:tcPr>
            <w:tcW w:w="922" w:type="dxa"/>
            <w:noWrap/>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p>
        </w:tc>
        <w:tc>
          <w:tcPr>
            <w:tcW w:w="923" w:type="dxa"/>
            <w:noWrap/>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p>
        </w:tc>
        <w:tc>
          <w:tcPr>
            <w:tcW w:w="923" w:type="dxa"/>
            <w:noWrap/>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p>
        </w:tc>
        <w:tc>
          <w:tcPr>
            <w:tcW w:w="923" w:type="dxa"/>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p>
        </w:tc>
        <w:tc>
          <w:tcPr>
            <w:tcW w:w="923" w:type="dxa"/>
            <w:vAlign w:val="center"/>
          </w:tcPr>
          <w:p w:rsidR="000947BC" w:rsidRPr="00945EE7" w:rsidRDefault="000947BC" w:rsidP="00945EE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p>
        </w:tc>
      </w:tr>
    </w:tbl>
    <w:p w:rsidR="00822704" w:rsidRDefault="00822704" w:rsidP="00645B3B">
      <w:pPr>
        <w:pStyle w:val="NoSpacing"/>
        <w:rPr>
          <w:i/>
          <w:iCs/>
          <w:color w:val="000000" w:themeColor="text1"/>
          <w:sz w:val="20"/>
        </w:rPr>
      </w:pPr>
      <w:r w:rsidRPr="00645B3B">
        <w:rPr>
          <w:i/>
          <w:iCs/>
          <w:color w:val="000000" w:themeColor="text1"/>
          <w:sz w:val="20"/>
        </w:rPr>
        <w:t>Source: Author’s own calculations using data as described above.</w:t>
      </w:r>
    </w:p>
    <w:p w:rsidR="00310FA4" w:rsidRDefault="00310FA4">
      <w:pPr>
        <w:jc w:val="left"/>
        <w:rPr>
          <w:i/>
          <w:iCs/>
          <w:color w:val="000000" w:themeColor="text1"/>
          <w:sz w:val="20"/>
        </w:rPr>
      </w:pPr>
      <w:r>
        <w:rPr>
          <w:i/>
          <w:iCs/>
          <w:color w:val="000000" w:themeColor="text1"/>
          <w:sz w:val="20"/>
        </w:rPr>
        <w:br w:type="page"/>
      </w:r>
    </w:p>
    <w:p w:rsidR="006123C0" w:rsidRPr="00645B3B" w:rsidRDefault="006123C0" w:rsidP="00645B3B">
      <w:pPr>
        <w:pStyle w:val="NoSpacing"/>
        <w:rPr>
          <w:i/>
          <w:iCs/>
          <w:color w:val="000000" w:themeColor="text1"/>
          <w:sz w:val="20"/>
        </w:rPr>
      </w:pPr>
    </w:p>
    <w:p w:rsidR="00474A6F" w:rsidRDefault="004F0B8A" w:rsidP="002059BF">
      <w:pPr>
        <w:pStyle w:val="Heading1"/>
        <w:numPr>
          <w:ilvl w:val="0"/>
          <w:numId w:val="30"/>
        </w:numPr>
        <w:spacing w:before="240"/>
      </w:pPr>
      <w:bookmarkStart w:id="75" w:name="_Toc401642237"/>
      <w:r>
        <w:t>RESULTS</w:t>
      </w:r>
      <w:r w:rsidR="00822704">
        <w:t xml:space="preserve"> AND INTERPRETATION</w:t>
      </w:r>
      <w:bookmarkEnd w:id="75"/>
    </w:p>
    <w:p w:rsidR="00317559" w:rsidRDefault="00963F6C" w:rsidP="007238B6">
      <w:r>
        <w:t xml:space="preserve">We begin our discussion by pointing out that throughout the period under analysis (2005 through 2013) the key maize policy instrument that was in place was the </w:t>
      </w:r>
      <w:r w:rsidR="00317559">
        <w:t>17</w:t>
      </w:r>
      <w:r w:rsidR="009414AA">
        <w:t xml:space="preserve"> percent</w:t>
      </w:r>
      <w:r w:rsidR="00317559">
        <w:t xml:space="preserve"> </w:t>
      </w:r>
      <w:r>
        <w:t xml:space="preserve">Value-Added Tax (VAT) on maize grain imports. As argued by Tschirley and Adbulai (2007), </w:t>
      </w:r>
      <w:r w:rsidR="00317559">
        <w:t xml:space="preserve">large scale </w:t>
      </w:r>
      <w:r w:rsidR="00281A24">
        <w:t xml:space="preserve">maize </w:t>
      </w:r>
      <w:r w:rsidR="00317559">
        <w:t>millers who process imported maize grain into maize meal for sales</w:t>
      </w:r>
      <w:r w:rsidR="00281A24">
        <w:t xml:space="preserve"> in domestic markets</w:t>
      </w:r>
      <w:r w:rsidR="00317559">
        <w:t xml:space="preserve"> get reimbursed for </w:t>
      </w:r>
      <w:r w:rsidR="00281A24">
        <w:t xml:space="preserve">their </w:t>
      </w:r>
      <w:r w:rsidR="00317559">
        <w:t xml:space="preserve">VAT payments. This favors large scale millers over smaller traders and hammer millers who rely </w:t>
      </w:r>
      <w:r w:rsidR="00281A24">
        <w:t xml:space="preserve">heavily </w:t>
      </w:r>
      <w:r w:rsidR="00317559">
        <w:t>on domestically produced maize grain.</w:t>
      </w:r>
    </w:p>
    <w:p w:rsidR="00C87F1F" w:rsidRPr="00BF03A8" w:rsidRDefault="00323EC3" w:rsidP="006F1905">
      <w:r>
        <w:fldChar w:fldCharType="begin"/>
      </w:r>
      <w:r w:rsidR="008E3B39">
        <w:instrText xml:space="preserve"> REF  _Ref393703293 \h </w:instrText>
      </w:r>
      <w:r>
        <w:fldChar w:fldCharType="separate"/>
      </w:r>
      <w:r w:rsidR="00D147FD">
        <w:t xml:space="preserve">Figure </w:t>
      </w:r>
      <w:r w:rsidR="00D147FD">
        <w:rPr>
          <w:noProof/>
        </w:rPr>
        <w:t>14</w:t>
      </w:r>
      <w:r>
        <w:fldChar w:fldCharType="end"/>
      </w:r>
      <w:r w:rsidR="008E3B39">
        <w:t xml:space="preserve"> and</w:t>
      </w:r>
      <w:r w:rsidR="00310FA4">
        <w:t xml:space="preserve"> Figure</w:t>
      </w:r>
      <w:r w:rsidR="008E3B39">
        <w:t xml:space="preserve"> </w:t>
      </w:r>
      <w:r>
        <w:fldChar w:fldCharType="begin"/>
      </w:r>
      <w:r w:rsidR="008E3B39">
        <w:instrText xml:space="preserve"> REF  _Ref394682029 \# 0 \h </w:instrText>
      </w:r>
      <w:r>
        <w:fldChar w:fldCharType="separate"/>
      </w:r>
      <w:r w:rsidR="00D147FD">
        <w:t>15</w:t>
      </w:r>
      <w:r>
        <w:fldChar w:fldCharType="end"/>
      </w:r>
      <w:r w:rsidR="00C122A8">
        <w:t xml:space="preserve"> </w:t>
      </w:r>
      <w:r w:rsidR="00A67699">
        <w:t xml:space="preserve">show </w:t>
      </w:r>
      <w:r w:rsidR="00310FA4">
        <w:t xml:space="preserve">the </w:t>
      </w:r>
      <w:r w:rsidR="00A67699">
        <w:t xml:space="preserve">observed </w:t>
      </w:r>
      <w:r w:rsidR="00D065D0">
        <w:t xml:space="preserve">maize </w:t>
      </w:r>
      <w:r w:rsidR="004F46EC">
        <w:t xml:space="preserve">market </w:t>
      </w:r>
      <w:r w:rsidR="00A67699">
        <w:t xml:space="preserve">prices and reference </w:t>
      </w:r>
      <w:r w:rsidR="00D065D0">
        <w:t xml:space="preserve">maize </w:t>
      </w:r>
      <w:r w:rsidR="00A67699">
        <w:t xml:space="preserve">prices at farm-gate </w:t>
      </w:r>
      <w:r w:rsidR="00C122A8">
        <w:t xml:space="preserve">and wholesale </w:t>
      </w:r>
      <w:r w:rsidR="00A67699">
        <w:t>level</w:t>
      </w:r>
      <w:r w:rsidR="00C122A8">
        <w:t>s</w:t>
      </w:r>
      <w:r w:rsidR="00A67699">
        <w:t xml:space="preserve"> over the period 2005 through 2013</w:t>
      </w:r>
      <w:r w:rsidR="00C122A8">
        <w:t>, respectively</w:t>
      </w:r>
      <w:r w:rsidR="00A67699">
        <w:t>.</w:t>
      </w:r>
      <w:r w:rsidR="008E3B39">
        <w:t xml:space="preserve"> </w:t>
      </w:r>
      <w:r w:rsidR="004F46EC">
        <w:t>R</w:t>
      </w:r>
      <w:r w:rsidR="00C87F1F">
        <w:t xml:space="preserve">eference prices </w:t>
      </w:r>
      <w:r w:rsidR="004F46EC">
        <w:t xml:space="preserve">at wholesale (farm-gate) level represent prices that traders (farmers) would have been paid </w:t>
      </w:r>
      <w:r w:rsidR="002A1C81">
        <w:t xml:space="preserve">for their maize </w:t>
      </w:r>
      <w:r w:rsidR="004F46EC">
        <w:t>in the absence of distortions stemming from domestic market and trade policies</w:t>
      </w:r>
      <w:r w:rsidR="00357C70">
        <w:t xml:space="preserve">, as well as domestic market </w:t>
      </w:r>
      <w:r w:rsidR="00BF03A8">
        <w:t>functioning</w:t>
      </w:r>
      <w:r w:rsidR="00357C70">
        <w:t>.</w:t>
      </w:r>
      <w:r w:rsidR="00BF03A8">
        <w:t xml:space="preserve"> </w:t>
      </w:r>
      <w:r w:rsidR="00EE7587">
        <w:t xml:space="preserve">Price gaps are given by the difference between </w:t>
      </w:r>
      <w:r w:rsidR="00350E55">
        <w:t xml:space="preserve">observed market prices and </w:t>
      </w:r>
      <w:r w:rsidR="00EE7587">
        <w:t>reference price at each level in the value chain (</w:t>
      </w:r>
      <w:r w:rsidR="00E337EF">
        <w:t xml:space="preserve">e.g. </w:t>
      </w:r>
      <w:r w:rsidR="00EE7587">
        <w:t xml:space="preserve">wholesale </w:t>
      </w:r>
      <w:r w:rsidR="00E337EF">
        <w:t>and</w:t>
      </w:r>
      <w:r w:rsidR="00EE7587">
        <w:t xml:space="preserve"> farm gate). Positive (negative) price gaps represent incentives (disincentives)</w:t>
      </w:r>
      <w:r w:rsidR="00E337EF">
        <w:t xml:space="preserve"> – to wholesalers or farmers depending on the </w:t>
      </w:r>
      <w:r w:rsidR="00BF03A8">
        <w:t xml:space="preserve">marketing </w:t>
      </w:r>
      <w:r w:rsidR="00E337EF">
        <w:t xml:space="preserve">level </w:t>
      </w:r>
      <w:r w:rsidR="00BF03A8">
        <w:t>in question</w:t>
      </w:r>
      <w:r w:rsidR="00E337EF">
        <w:t xml:space="preserve"> – </w:t>
      </w:r>
      <w:r w:rsidR="00EE7587">
        <w:t>resulting</w:t>
      </w:r>
      <w:r w:rsidR="00E337EF">
        <w:t xml:space="preserve"> </w:t>
      </w:r>
      <w:r w:rsidR="00EE7587">
        <w:t>from market and policy distortions.</w:t>
      </w:r>
      <w:r w:rsidR="003D7EBE" w:rsidRPr="003D7EBE">
        <w:rPr>
          <w:rFonts w:eastAsia="Calibri"/>
        </w:rPr>
        <w:t xml:space="preserve"> </w:t>
      </w:r>
      <w:r w:rsidR="003D7EBE">
        <w:rPr>
          <w:rFonts w:eastAsia="Calibri"/>
        </w:rPr>
        <w:t>Observed and adjusted price gaps shown in</w:t>
      </w:r>
      <w:r w:rsidR="00B25B95">
        <w:rPr>
          <w:rFonts w:eastAsia="Calibri"/>
        </w:rPr>
        <w:t xml:space="preserve"> Figures </w:t>
      </w:r>
      <w:r w:rsidR="00B25B95">
        <w:rPr>
          <w:rFonts w:eastAsia="Calibri"/>
        </w:rPr>
        <w:fldChar w:fldCharType="begin"/>
      </w:r>
      <w:r w:rsidR="00B25B95">
        <w:rPr>
          <w:rFonts w:eastAsia="Calibri"/>
        </w:rPr>
        <w:instrText xml:space="preserve"> REF  _Ref393703293 \# 0 \h </w:instrText>
      </w:r>
      <w:r w:rsidR="00B25B95">
        <w:rPr>
          <w:rFonts w:eastAsia="Calibri"/>
        </w:rPr>
      </w:r>
      <w:r w:rsidR="00B25B95">
        <w:rPr>
          <w:rFonts w:eastAsia="Calibri"/>
        </w:rPr>
        <w:fldChar w:fldCharType="separate"/>
      </w:r>
      <w:r w:rsidR="00D147FD">
        <w:rPr>
          <w:rFonts w:eastAsia="Calibri"/>
        </w:rPr>
        <w:t>14</w:t>
      </w:r>
      <w:r w:rsidR="00B25B95">
        <w:rPr>
          <w:rFonts w:eastAsia="Calibri"/>
        </w:rPr>
        <w:fldChar w:fldCharType="end"/>
      </w:r>
      <w:r w:rsidR="00B25B95">
        <w:rPr>
          <w:rFonts w:eastAsia="Calibri"/>
        </w:rPr>
        <w:t xml:space="preserve"> and </w:t>
      </w:r>
      <w:r w:rsidR="00B25B95">
        <w:rPr>
          <w:rFonts w:eastAsia="Calibri"/>
        </w:rPr>
        <w:fldChar w:fldCharType="begin"/>
      </w:r>
      <w:r w:rsidR="00B25B95">
        <w:rPr>
          <w:rFonts w:eastAsia="Calibri"/>
        </w:rPr>
        <w:instrText xml:space="preserve"> REF  _Ref394682029 \# 0 \h </w:instrText>
      </w:r>
      <w:r w:rsidR="00B25B95">
        <w:rPr>
          <w:rFonts w:eastAsia="Calibri"/>
        </w:rPr>
      </w:r>
      <w:r w:rsidR="00B25B95">
        <w:rPr>
          <w:rFonts w:eastAsia="Calibri"/>
        </w:rPr>
        <w:fldChar w:fldCharType="separate"/>
      </w:r>
      <w:r w:rsidR="00D147FD">
        <w:rPr>
          <w:rFonts w:eastAsia="Calibri"/>
        </w:rPr>
        <w:t>15</w:t>
      </w:r>
      <w:r w:rsidR="00B25B95">
        <w:rPr>
          <w:rFonts w:eastAsia="Calibri"/>
        </w:rPr>
        <w:fldChar w:fldCharType="end"/>
      </w:r>
      <w:r w:rsidR="003D7EBE">
        <w:rPr>
          <w:rFonts w:eastAsia="Calibri"/>
        </w:rPr>
        <w:t xml:space="preserve"> follow similar patterns. For this reason, our discussions</w:t>
      </w:r>
      <w:r w:rsidR="000B4054">
        <w:rPr>
          <w:rFonts w:eastAsia="Calibri"/>
        </w:rPr>
        <w:t xml:space="preserve"> of the results</w:t>
      </w:r>
      <w:r w:rsidR="003D7EBE">
        <w:rPr>
          <w:rFonts w:eastAsia="Calibri"/>
        </w:rPr>
        <w:t xml:space="preserve"> focused on our findings for observed price gaps.</w:t>
      </w:r>
      <w:r w:rsidR="00EE7587">
        <w:t xml:space="preserve"> </w:t>
      </w:r>
    </w:p>
    <w:p w:rsidR="004D502E" w:rsidRDefault="000B4054" w:rsidP="007238B6">
      <w:pPr>
        <w:rPr>
          <w:rFonts w:eastAsia="Calibri"/>
        </w:rPr>
      </w:pPr>
      <w:r>
        <w:rPr>
          <w:rFonts w:eastAsia="Calibri"/>
        </w:rPr>
        <w:t>First</w:t>
      </w:r>
      <w:r w:rsidR="00E01B3C">
        <w:rPr>
          <w:rFonts w:eastAsia="Calibri"/>
        </w:rPr>
        <w:t xml:space="preserve">, the </w:t>
      </w:r>
      <w:r w:rsidR="006214C7">
        <w:rPr>
          <w:rFonts w:eastAsia="Calibri"/>
        </w:rPr>
        <w:t>largest</w:t>
      </w:r>
      <w:r w:rsidR="00E01B3C">
        <w:rPr>
          <w:rFonts w:eastAsia="Calibri"/>
        </w:rPr>
        <w:t xml:space="preserve"> </w:t>
      </w:r>
      <w:r w:rsidR="00EF5FC7">
        <w:rPr>
          <w:rFonts w:eastAsia="Calibri"/>
        </w:rPr>
        <w:t xml:space="preserve">observed </w:t>
      </w:r>
      <w:r w:rsidR="00E01B3C">
        <w:rPr>
          <w:rFonts w:eastAsia="Calibri"/>
        </w:rPr>
        <w:t>price gap</w:t>
      </w:r>
      <w:r w:rsidR="00952D41">
        <w:rPr>
          <w:rFonts w:eastAsia="Calibri"/>
        </w:rPr>
        <w:t>s</w:t>
      </w:r>
      <w:r w:rsidR="00BF03A8">
        <w:rPr>
          <w:rFonts w:eastAsia="Calibri"/>
        </w:rPr>
        <w:t xml:space="preserve"> are seen in 2007: </w:t>
      </w:r>
      <w:r w:rsidR="00952D41" w:rsidRPr="00952D41">
        <w:rPr>
          <w:rFonts w:eastAsia="Calibri"/>
          <w:i/>
        </w:rPr>
        <w:t>minus</w:t>
      </w:r>
      <w:r w:rsidR="00952D41">
        <w:rPr>
          <w:rFonts w:eastAsia="Calibri"/>
        </w:rPr>
        <w:t xml:space="preserve"> 3,264 MZN/</w:t>
      </w:r>
      <w:r w:rsidR="008851CC">
        <w:rPr>
          <w:rFonts w:eastAsia="Calibri"/>
        </w:rPr>
        <w:t>tonne</w:t>
      </w:r>
      <w:r w:rsidR="00952D41">
        <w:rPr>
          <w:rFonts w:eastAsia="Calibri"/>
        </w:rPr>
        <w:t xml:space="preserve"> at wholesale level and </w:t>
      </w:r>
      <w:r w:rsidR="00952D41" w:rsidRPr="00952D41">
        <w:rPr>
          <w:rFonts w:eastAsia="Calibri"/>
          <w:i/>
        </w:rPr>
        <w:t>minus</w:t>
      </w:r>
      <w:r w:rsidR="00952D41">
        <w:rPr>
          <w:rFonts w:eastAsia="Calibri"/>
        </w:rPr>
        <w:t xml:space="preserve"> 2,910 MZN/</w:t>
      </w:r>
      <w:r w:rsidR="008851CC">
        <w:rPr>
          <w:rFonts w:eastAsia="Calibri"/>
        </w:rPr>
        <w:t>tonne</w:t>
      </w:r>
      <w:r w:rsidR="00952D41">
        <w:rPr>
          <w:rFonts w:eastAsia="Calibri"/>
        </w:rPr>
        <w:t xml:space="preserve"> at farm-gate level</w:t>
      </w:r>
      <w:r w:rsidR="00413ED2">
        <w:rPr>
          <w:rFonts w:eastAsia="Calibri"/>
        </w:rPr>
        <w:t>.</w:t>
      </w:r>
      <w:r w:rsidR="00EF5FC7">
        <w:rPr>
          <w:rFonts w:eastAsia="Calibri"/>
        </w:rPr>
        <w:t xml:space="preserve"> </w:t>
      </w:r>
      <w:r w:rsidR="00952D41">
        <w:rPr>
          <w:rFonts w:eastAsia="Calibri"/>
        </w:rPr>
        <w:t xml:space="preserve">This finding </w:t>
      </w:r>
      <w:r w:rsidR="00161F9F">
        <w:rPr>
          <w:rFonts w:eastAsia="Calibri"/>
        </w:rPr>
        <w:t xml:space="preserve">could be attributed to the fact </w:t>
      </w:r>
      <w:r w:rsidR="00B25B95">
        <w:rPr>
          <w:rFonts w:eastAsia="Calibri"/>
        </w:rPr>
        <w:t xml:space="preserve">during the period spanning 2005 through 2013, 2007 was the only year when wholesale prices in South Africa outstripped wholesale prices in Maputo in some months. </w:t>
      </w:r>
      <w:r w:rsidR="00BE0072">
        <w:rPr>
          <w:rFonts w:eastAsia="Calibri"/>
        </w:rPr>
        <w:t>Furthermore, 2007 is the year when</w:t>
      </w:r>
      <w:r w:rsidR="00952D41">
        <w:rPr>
          <w:rFonts w:eastAsia="Calibri"/>
        </w:rPr>
        <w:t xml:space="preserve"> the smallest difference between wholesale maize prices in South Africa and Maputo was registered (see </w:t>
      </w:r>
      <w:r w:rsidR="00323EC3">
        <w:rPr>
          <w:rFonts w:eastAsia="Calibri"/>
        </w:rPr>
        <w:fldChar w:fldCharType="begin"/>
      </w:r>
      <w:r w:rsidR="00952D41">
        <w:rPr>
          <w:rFonts w:eastAsia="Calibri"/>
        </w:rPr>
        <w:instrText xml:space="preserve"> REF _Ref393724236 \h </w:instrText>
      </w:r>
      <w:r w:rsidR="00323EC3">
        <w:rPr>
          <w:rFonts w:eastAsia="Calibri"/>
        </w:rPr>
      </w:r>
      <w:r w:rsidR="00323EC3">
        <w:rPr>
          <w:rFonts w:eastAsia="Calibri"/>
        </w:rPr>
        <w:fldChar w:fldCharType="separate"/>
      </w:r>
      <w:r w:rsidR="00D147FD">
        <w:t xml:space="preserve">Figure </w:t>
      </w:r>
      <w:r w:rsidR="00D147FD">
        <w:rPr>
          <w:noProof/>
        </w:rPr>
        <w:t>11</w:t>
      </w:r>
      <w:r w:rsidR="00323EC3">
        <w:rPr>
          <w:rFonts w:eastAsia="Calibri"/>
        </w:rPr>
        <w:fldChar w:fldCharType="end"/>
      </w:r>
      <w:r w:rsidR="00952D41">
        <w:rPr>
          <w:rFonts w:eastAsia="Calibri"/>
        </w:rPr>
        <w:t>)</w:t>
      </w:r>
      <w:r w:rsidR="004D502E">
        <w:rPr>
          <w:rFonts w:eastAsia="Calibri"/>
        </w:rPr>
        <w:t>.</w:t>
      </w:r>
    </w:p>
    <w:p w:rsidR="00A67699" w:rsidRDefault="00A67699" w:rsidP="00A67699">
      <w:pPr>
        <w:pStyle w:val="Caption"/>
        <w:keepNext/>
        <w:jc w:val="both"/>
      </w:pPr>
      <w:bookmarkStart w:id="76" w:name="_Ref393703293"/>
      <w:bookmarkStart w:id="77" w:name="_Ref401639256"/>
      <w:r>
        <w:t xml:space="preserve">Figure </w:t>
      </w:r>
      <w:r w:rsidR="00323EC3">
        <w:fldChar w:fldCharType="begin"/>
      </w:r>
      <w:r w:rsidR="007E22D8">
        <w:instrText xml:space="preserve"> SEQ Figure \* ARABIC </w:instrText>
      </w:r>
      <w:r w:rsidR="00323EC3">
        <w:fldChar w:fldCharType="separate"/>
      </w:r>
      <w:r w:rsidR="00D147FD">
        <w:rPr>
          <w:noProof/>
        </w:rPr>
        <w:t>14</w:t>
      </w:r>
      <w:r w:rsidR="00323EC3">
        <w:rPr>
          <w:noProof/>
        </w:rPr>
        <w:fldChar w:fldCharType="end"/>
      </w:r>
      <w:bookmarkEnd w:id="76"/>
      <w:r>
        <w:rPr>
          <w:noProof/>
        </w:rPr>
        <w:t xml:space="preserve"> </w:t>
      </w:r>
      <w:r w:rsidRPr="00AF27A1">
        <w:rPr>
          <w:noProof/>
        </w:rPr>
        <w:t>Observed and adjusted price gaps for maize at farm gate</w:t>
      </w:r>
      <w:r w:rsidR="00C122A8">
        <w:rPr>
          <w:noProof/>
        </w:rPr>
        <w:t xml:space="preserve"> level</w:t>
      </w:r>
      <w:r w:rsidRPr="00AF27A1">
        <w:rPr>
          <w:noProof/>
        </w:rPr>
        <w:t xml:space="preserve"> (MZN/</w:t>
      </w:r>
      <w:r w:rsidR="008851CC">
        <w:rPr>
          <w:noProof/>
        </w:rPr>
        <w:t>tonne</w:t>
      </w:r>
      <w:r w:rsidRPr="00AF27A1">
        <w:rPr>
          <w:noProof/>
        </w:rPr>
        <w:t>)</w:t>
      </w:r>
      <w:bookmarkEnd w:id="77"/>
    </w:p>
    <w:p w:rsidR="00F94E0F" w:rsidRDefault="00C122A8" w:rsidP="006F1905">
      <w:r>
        <w:rPr>
          <w:noProof/>
        </w:rPr>
        <w:drawing>
          <wp:inline distT="0" distB="0" distL="0" distR="0" wp14:anchorId="78DE5B4E" wp14:editId="0561C65C">
            <wp:extent cx="4096512" cy="29992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96512" cy="2999232"/>
                    </a:xfrm>
                    <a:prstGeom prst="rect">
                      <a:avLst/>
                    </a:prstGeom>
                    <a:noFill/>
                    <a:ln>
                      <a:noFill/>
                    </a:ln>
                  </pic:spPr>
                </pic:pic>
              </a:graphicData>
            </a:graphic>
          </wp:inline>
        </w:drawing>
      </w:r>
    </w:p>
    <w:p w:rsidR="00C122A8" w:rsidRDefault="00C122A8" w:rsidP="00C122A8">
      <w:pPr>
        <w:pStyle w:val="Caption"/>
        <w:keepNext/>
        <w:jc w:val="both"/>
      </w:pPr>
      <w:bookmarkStart w:id="78" w:name="_Ref394682029"/>
      <w:r>
        <w:lastRenderedPageBreak/>
        <w:t xml:space="preserve">Figure </w:t>
      </w:r>
      <w:r w:rsidR="00323EC3">
        <w:fldChar w:fldCharType="begin"/>
      </w:r>
      <w:r w:rsidR="007E22D8">
        <w:instrText xml:space="preserve"> SEQ Figure \* ARABIC </w:instrText>
      </w:r>
      <w:r w:rsidR="00323EC3">
        <w:fldChar w:fldCharType="separate"/>
      </w:r>
      <w:r w:rsidR="00D147FD">
        <w:rPr>
          <w:noProof/>
        </w:rPr>
        <w:t>15</w:t>
      </w:r>
      <w:r w:rsidR="00323EC3">
        <w:rPr>
          <w:noProof/>
        </w:rPr>
        <w:fldChar w:fldCharType="end"/>
      </w:r>
      <w:bookmarkEnd w:id="78"/>
      <w:r>
        <w:rPr>
          <w:noProof/>
        </w:rPr>
        <w:t xml:space="preserve"> </w:t>
      </w:r>
      <w:r w:rsidRPr="00DE238A">
        <w:rPr>
          <w:noProof/>
        </w:rPr>
        <w:t xml:space="preserve">Observed and adjusted price gaps for maize at </w:t>
      </w:r>
      <w:r>
        <w:rPr>
          <w:noProof/>
        </w:rPr>
        <w:t>wholesale</w:t>
      </w:r>
      <w:r w:rsidRPr="00DE238A">
        <w:rPr>
          <w:noProof/>
        </w:rPr>
        <w:t xml:space="preserve"> level (MZN/</w:t>
      </w:r>
      <w:r w:rsidR="008851CC">
        <w:rPr>
          <w:noProof/>
        </w:rPr>
        <w:t>tonne</w:t>
      </w:r>
      <w:r w:rsidRPr="00DE238A">
        <w:rPr>
          <w:noProof/>
        </w:rPr>
        <w:t>)</w:t>
      </w:r>
    </w:p>
    <w:p w:rsidR="00C122A8" w:rsidRDefault="00C122A8" w:rsidP="006F1905">
      <w:r>
        <w:rPr>
          <w:noProof/>
        </w:rPr>
        <w:drawing>
          <wp:inline distT="0" distB="0" distL="0" distR="0" wp14:anchorId="1303770A" wp14:editId="06FA7648">
            <wp:extent cx="4096512" cy="29992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96512" cy="2999232"/>
                    </a:xfrm>
                    <a:prstGeom prst="rect">
                      <a:avLst/>
                    </a:prstGeom>
                    <a:noFill/>
                    <a:ln>
                      <a:noFill/>
                    </a:ln>
                  </pic:spPr>
                </pic:pic>
              </a:graphicData>
            </a:graphic>
          </wp:inline>
        </w:drawing>
      </w:r>
    </w:p>
    <w:p w:rsidR="00281A24" w:rsidRDefault="00281A24" w:rsidP="007238B6">
      <w:pPr>
        <w:rPr>
          <w:rFonts w:eastAsia="Calibri"/>
        </w:rPr>
      </w:pPr>
      <w:r>
        <w:rPr>
          <w:rFonts w:eastAsia="Calibri"/>
        </w:rPr>
        <w:t>Second, our findings show that from 2008 to 2010, the policy environment and market functioning generated incentives to both wholesalers and farmers selling maize in Mozambique. Over the same period, observed price gaps ranged from 795 MZN/</w:t>
      </w:r>
      <w:r w:rsidR="008851CC">
        <w:rPr>
          <w:rFonts w:eastAsia="Calibri"/>
        </w:rPr>
        <w:t>tonne</w:t>
      </w:r>
      <w:r>
        <w:rPr>
          <w:rFonts w:eastAsia="Calibri"/>
        </w:rPr>
        <w:t xml:space="preserve"> to 1,169 MZN/</w:t>
      </w:r>
      <w:r w:rsidR="008851CC">
        <w:rPr>
          <w:rFonts w:eastAsia="Calibri"/>
        </w:rPr>
        <w:t>tonne</w:t>
      </w:r>
      <w:r>
        <w:rPr>
          <w:rFonts w:eastAsia="Calibri"/>
        </w:rPr>
        <w:t xml:space="preserve"> at wholesale level and from 1,480 MZN/</w:t>
      </w:r>
      <w:r w:rsidR="008851CC">
        <w:rPr>
          <w:rFonts w:eastAsia="Calibri"/>
        </w:rPr>
        <w:t>tonne</w:t>
      </w:r>
      <w:r>
        <w:rPr>
          <w:rFonts w:eastAsia="Calibri"/>
        </w:rPr>
        <w:t xml:space="preserve"> to 1858 MZN/</w:t>
      </w:r>
      <w:r w:rsidR="008851CC">
        <w:rPr>
          <w:rFonts w:eastAsia="Calibri"/>
        </w:rPr>
        <w:t>tonne</w:t>
      </w:r>
      <w:r>
        <w:rPr>
          <w:rFonts w:eastAsia="Calibri"/>
        </w:rPr>
        <w:t xml:space="preserve"> at farm-gate level, with averages of 923 MZN/</w:t>
      </w:r>
      <w:r w:rsidR="008851CC">
        <w:rPr>
          <w:rFonts w:eastAsia="Calibri"/>
        </w:rPr>
        <w:t>tonne</w:t>
      </w:r>
      <w:r>
        <w:rPr>
          <w:rFonts w:eastAsia="Calibri"/>
        </w:rPr>
        <w:t xml:space="preserve"> at wholesale level and 1,780 MZN/</w:t>
      </w:r>
      <w:r w:rsidR="008851CC">
        <w:rPr>
          <w:rFonts w:eastAsia="Calibri"/>
        </w:rPr>
        <w:t>tonne</w:t>
      </w:r>
      <w:r>
        <w:rPr>
          <w:rFonts w:eastAsia="Calibri"/>
        </w:rPr>
        <w:t xml:space="preserve"> at farm-gate level. One possible explanation for this finding is that during this period, wholesale maize prices in Mozambique trended upward, while they moved downward in South Africa. From 2007 to 2010, wholesale maize prices declined by 33</w:t>
      </w:r>
      <w:r w:rsidR="009414AA">
        <w:rPr>
          <w:rFonts w:eastAsia="Calibri"/>
        </w:rPr>
        <w:t xml:space="preserve"> percent</w:t>
      </w:r>
      <w:r>
        <w:rPr>
          <w:rFonts w:eastAsia="Calibri"/>
        </w:rPr>
        <w:t xml:space="preserve"> in South Africa, compared to 83</w:t>
      </w:r>
      <w:r w:rsidR="009414AA">
        <w:rPr>
          <w:rFonts w:eastAsia="Calibri"/>
        </w:rPr>
        <w:t xml:space="preserve"> percent</w:t>
      </w:r>
      <w:r>
        <w:rPr>
          <w:rFonts w:eastAsia="Calibri"/>
        </w:rPr>
        <w:t xml:space="preserve"> increase in Maputo (wholesale level) and 115</w:t>
      </w:r>
      <w:r w:rsidR="009414AA">
        <w:rPr>
          <w:rFonts w:eastAsia="Calibri"/>
        </w:rPr>
        <w:t xml:space="preserve"> percent</w:t>
      </w:r>
      <w:r>
        <w:rPr>
          <w:rFonts w:eastAsia="Calibri"/>
        </w:rPr>
        <w:t xml:space="preserve"> increase in Chimoio (farm-gate level). We note that from 2007 to 2008, wholesale maize price increased by 63</w:t>
      </w:r>
      <w:r w:rsidR="009414AA">
        <w:rPr>
          <w:rFonts w:eastAsia="Calibri"/>
        </w:rPr>
        <w:t xml:space="preserve"> percent</w:t>
      </w:r>
      <w:r>
        <w:rPr>
          <w:rFonts w:eastAsia="Calibri"/>
        </w:rPr>
        <w:t xml:space="preserve"> in Maputo and by 82</w:t>
      </w:r>
      <w:r w:rsidR="009414AA">
        <w:rPr>
          <w:rFonts w:eastAsia="Calibri"/>
        </w:rPr>
        <w:t xml:space="preserve"> percent</w:t>
      </w:r>
      <w:r>
        <w:rPr>
          <w:rFonts w:eastAsia="Calibri"/>
        </w:rPr>
        <w:t xml:space="preserve"> in Chimoio. Another possible explanation is that starting </w:t>
      </w:r>
      <w:r w:rsidR="00F566A6">
        <w:rPr>
          <w:rFonts w:eastAsia="Calibri"/>
        </w:rPr>
        <w:t xml:space="preserve">from </w:t>
      </w:r>
      <w:r>
        <w:rPr>
          <w:rFonts w:eastAsia="Calibri"/>
        </w:rPr>
        <w:t>2008, as mentioned earlier, new large-scale maize buyers (poultry processors and maize millers) operating in the Central and Northern regions began to aggressively buy maize from farmers in these regions. The rise in poultry production – and resulting increased demand for maize as feed – was driven by the rapidly growing share of the urban population that increased the demand for processed commodities such as chicken and beef in urban centers.</w:t>
      </w:r>
    </w:p>
    <w:p w:rsidR="00281A24" w:rsidRPr="006214C7" w:rsidRDefault="00281A24" w:rsidP="00281A24">
      <w:pPr>
        <w:rPr>
          <w:rFonts w:eastAsia="Calibri"/>
        </w:rPr>
      </w:pPr>
      <w:r>
        <w:rPr>
          <w:rFonts w:eastAsia="Calibri"/>
        </w:rPr>
        <w:t>Third, price gaps were negative</w:t>
      </w:r>
      <w:r w:rsidRPr="009A15AE">
        <w:rPr>
          <w:rFonts w:eastAsia="Calibri"/>
        </w:rPr>
        <w:t xml:space="preserve"> </w:t>
      </w:r>
      <w:r>
        <w:rPr>
          <w:rFonts w:eastAsia="Calibri"/>
        </w:rPr>
        <w:t xml:space="preserve">in 2012: </w:t>
      </w:r>
      <w:r>
        <w:rPr>
          <w:rFonts w:eastAsia="Calibri"/>
          <w:i/>
        </w:rPr>
        <w:t xml:space="preserve">minus </w:t>
      </w:r>
      <w:r>
        <w:rPr>
          <w:rFonts w:eastAsia="Calibri"/>
        </w:rPr>
        <w:t>2,193 MZN/</w:t>
      </w:r>
      <w:r w:rsidR="008851CC">
        <w:rPr>
          <w:rFonts w:eastAsia="Calibri"/>
        </w:rPr>
        <w:t>tonne</w:t>
      </w:r>
      <w:r>
        <w:rPr>
          <w:rFonts w:eastAsia="Calibri"/>
        </w:rPr>
        <w:t xml:space="preserve"> at wholesale level and </w:t>
      </w:r>
      <w:r>
        <w:rPr>
          <w:rFonts w:eastAsia="Calibri"/>
          <w:i/>
        </w:rPr>
        <w:t xml:space="preserve">minus </w:t>
      </w:r>
      <w:r>
        <w:rPr>
          <w:rFonts w:eastAsia="Calibri"/>
        </w:rPr>
        <w:t>1,933 MZN/</w:t>
      </w:r>
      <w:r w:rsidR="008851CC">
        <w:rPr>
          <w:rFonts w:eastAsia="Calibri"/>
        </w:rPr>
        <w:t>tonne</w:t>
      </w:r>
      <w:r>
        <w:rPr>
          <w:rFonts w:eastAsia="Calibri"/>
        </w:rPr>
        <w:t xml:space="preserve"> at farm-gate level. </w:t>
      </w:r>
      <w:r w:rsidR="0024572A">
        <w:rPr>
          <w:rFonts w:eastAsia="Calibri"/>
        </w:rPr>
        <w:t>W</w:t>
      </w:r>
      <w:r>
        <w:rPr>
          <w:rFonts w:eastAsia="Calibri"/>
        </w:rPr>
        <w:t>holesale maize prices registered a 13</w:t>
      </w:r>
      <w:r w:rsidR="009414AA">
        <w:rPr>
          <w:rFonts w:eastAsia="Calibri"/>
        </w:rPr>
        <w:t xml:space="preserve"> percent</w:t>
      </w:r>
      <w:r>
        <w:rPr>
          <w:rFonts w:eastAsia="Calibri"/>
        </w:rPr>
        <w:t xml:space="preserve"> increase in South Africa from 2011 to 2012, compared to only 4</w:t>
      </w:r>
      <w:r w:rsidR="009414AA">
        <w:rPr>
          <w:rFonts w:eastAsia="Calibri"/>
        </w:rPr>
        <w:t xml:space="preserve"> percent</w:t>
      </w:r>
      <w:r>
        <w:rPr>
          <w:rFonts w:eastAsia="Calibri"/>
        </w:rPr>
        <w:t xml:space="preserve"> increase in Maputo and 15</w:t>
      </w:r>
      <w:r w:rsidR="009414AA">
        <w:rPr>
          <w:rFonts w:eastAsia="Calibri"/>
        </w:rPr>
        <w:t xml:space="preserve"> percent</w:t>
      </w:r>
      <w:r>
        <w:rPr>
          <w:rFonts w:eastAsia="Calibri"/>
        </w:rPr>
        <w:t xml:space="preserve"> decline in Chimoio. In 2013, the situation reversed and price gaps became positive at both wholesale (500 MZN/</w:t>
      </w:r>
      <w:r w:rsidR="008851CC">
        <w:rPr>
          <w:rFonts w:eastAsia="Calibri"/>
        </w:rPr>
        <w:t>tonne</w:t>
      </w:r>
      <w:r>
        <w:rPr>
          <w:rFonts w:eastAsia="Calibri"/>
        </w:rPr>
        <w:t>) and farm-gate (954 MZN/</w:t>
      </w:r>
      <w:r w:rsidR="008851CC">
        <w:rPr>
          <w:rFonts w:eastAsia="Calibri"/>
        </w:rPr>
        <w:t>tonne</w:t>
      </w:r>
      <w:r>
        <w:rPr>
          <w:rFonts w:eastAsia="Calibri"/>
        </w:rPr>
        <w:t>) levels. This change from 2012 to 2013 is associated with price decline in South Africa by 18</w:t>
      </w:r>
      <w:r w:rsidR="009414AA">
        <w:rPr>
          <w:rFonts w:eastAsia="Calibri"/>
        </w:rPr>
        <w:t xml:space="preserve"> percent</w:t>
      </w:r>
      <w:r>
        <w:rPr>
          <w:rFonts w:eastAsia="Calibri"/>
        </w:rPr>
        <w:t>, while Mozambique experienced price increases in both Maputo (19</w:t>
      </w:r>
      <w:r w:rsidR="009414AA">
        <w:rPr>
          <w:rFonts w:eastAsia="Calibri"/>
        </w:rPr>
        <w:t xml:space="preserve"> percent</w:t>
      </w:r>
      <w:r>
        <w:rPr>
          <w:rFonts w:eastAsia="Calibri"/>
        </w:rPr>
        <w:t>) and Chimoio (28</w:t>
      </w:r>
      <w:r w:rsidR="009414AA">
        <w:rPr>
          <w:rFonts w:eastAsia="Calibri"/>
        </w:rPr>
        <w:t xml:space="preserve"> percent</w:t>
      </w:r>
      <w:r>
        <w:rPr>
          <w:rFonts w:eastAsia="Calibri"/>
        </w:rPr>
        <w:t xml:space="preserve">). </w:t>
      </w:r>
    </w:p>
    <w:p w:rsidR="00F02B8D" w:rsidRDefault="00F87B38" w:rsidP="006F1905">
      <w:r>
        <w:t>Price gaps are absolute measure of price incentives or disincentives to wholesaler or farmers. Therefore, they cannot be compared across years. To allow comparison</w:t>
      </w:r>
      <w:r w:rsidR="00281A24">
        <w:t>s across years</w:t>
      </w:r>
      <w:r>
        <w:t xml:space="preserve">, </w:t>
      </w:r>
      <w:r w:rsidR="00F02B8D">
        <w:t xml:space="preserve">we computed Nominal Rate of Protection (NRP) for each year as the share of </w:t>
      </w:r>
      <w:r>
        <w:t xml:space="preserve">price gaps </w:t>
      </w:r>
      <w:r w:rsidR="00F02B8D">
        <w:t>to respective reference prices</w:t>
      </w:r>
      <w:r>
        <w:t xml:space="preserve">. </w:t>
      </w:r>
      <w:r w:rsidR="00CA0774">
        <w:t>Figure</w:t>
      </w:r>
      <w:r w:rsidR="000167AF">
        <w:t>s</w:t>
      </w:r>
      <w:r w:rsidR="00CA0774">
        <w:t xml:space="preserve"> </w:t>
      </w:r>
      <w:r w:rsidR="00323EC3">
        <w:fldChar w:fldCharType="begin"/>
      </w:r>
      <w:r w:rsidR="000167AF">
        <w:instrText xml:space="preserve"> REF  _Ref393892333 \# 0 \h </w:instrText>
      </w:r>
      <w:r w:rsidR="00323EC3">
        <w:fldChar w:fldCharType="separate"/>
      </w:r>
      <w:r w:rsidR="00D147FD">
        <w:t>16</w:t>
      </w:r>
      <w:r w:rsidR="00323EC3">
        <w:fldChar w:fldCharType="end"/>
      </w:r>
      <w:r w:rsidR="00CA0774">
        <w:t xml:space="preserve"> and </w:t>
      </w:r>
      <w:r w:rsidR="00323EC3">
        <w:fldChar w:fldCharType="begin"/>
      </w:r>
      <w:r w:rsidR="000167AF">
        <w:instrText xml:space="preserve"> REF  _Ref394687987 \# 0 \h </w:instrText>
      </w:r>
      <w:r w:rsidR="00323EC3">
        <w:fldChar w:fldCharType="separate"/>
      </w:r>
      <w:r w:rsidR="00D147FD">
        <w:t>17</w:t>
      </w:r>
      <w:r w:rsidR="00323EC3">
        <w:fldChar w:fldCharType="end"/>
      </w:r>
      <w:r w:rsidR="00CA0774">
        <w:t xml:space="preserve"> show </w:t>
      </w:r>
      <w:r w:rsidR="00F02B8D">
        <w:t>NRP for wholesale and farm-gate level, respectively.</w:t>
      </w:r>
    </w:p>
    <w:p w:rsidR="00A67699" w:rsidRDefault="00A67699" w:rsidP="00A67699">
      <w:pPr>
        <w:pStyle w:val="Caption"/>
        <w:keepNext/>
        <w:jc w:val="both"/>
      </w:pPr>
      <w:bookmarkStart w:id="79" w:name="_Ref393892333"/>
      <w:r>
        <w:lastRenderedPageBreak/>
        <w:t xml:space="preserve">Figure </w:t>
      </w:r>
      <w:r w:rsidR="00323EC3">
        <w:fldChar w:fldCharType="begin"/>
      </w:r>
      <w:r w:rsidR="007E22D8">
        <w:instrText xml:space="preserve"> SEQ Figure \* ARABIC </w:instrText>
      </w:r>
      <w:r w:rsidR="00323EC3">
        <w:fldChar w:fldCharType="separate"/>
      </w:r>
      <w:r w:rsidR="00D147FD">
        <w:rPr>
          <w:noProof/>
        </w:rPr>
        <w:t>16</w:t>
      </w:r>
      <w:r w:rsidR="00323EC3">
        <w:rPr>
          <w:noProof/>
        </w:rPr>
        <w:fldChar w:fldCharType="end"/>
      </w:r>
      <w:bookmarkEnd w:id="79"/>
      <w:r>
        <w:rPr>
          <w:noProof/>
        </w:rPr>
        <w:t xml:space="preserve"> </w:t>
      </w:r>
      <w:r w:rsidRPr="00960E10">
        <w:rPr>
          <w:noProof/>
        </w:rPr>
        <w:t>Observed and adjusted NRP for maize at farm gate in Mozambique</w:t>
      </w:r>
    </w:p>
    <w:p w:rsidR="00F94E0F" w:rsidRDefault="00F94E0F" w:rsidP="006F1905">
      <w:r>
        <w:rPr>
          <w:noProof/>
        </w:rPr>
        <w:drawing>
          <wp:inline distT="0" distB="0" distL="0" distR="0" wp14:anchorId="207CFEED" wp14:editId="764C7F12">
            <wp:extent cx="4087368" cy="2990088"/>
            <wp:effectExtent l="0" t="0" r="889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87368" cy="2990088"/>
                    </a:xfrm>
                    <a:prstGeom prst="rect">
                      <a:avLst/>
                    </a:prstGeom>
                    <a:noFill/>
                    <a:ln>
                      <a:noFill/>
                    </a:ln>
                  </pic:spPr>
                </pic:pic>
              </a:graphicData>
            </a:graphic>
          </wp:inline>
        </w:drawing>
      </w:r>
    </w:p>
    <w:p w:rsidR="00F94E0F" w:rsidRDefault="00F94E0F" w:rsidP="006F1905"/>
    <w:p w:rsidR="00F02B8D" w:rsidRDefault="00F02B8D" w:rsidP="00F02B8D">
      <w:pPr>
        <w:pStyle w:val="Caption"/>
        <w:keepNext/>
        <w:jc w:val="both"/>
      </w:pPr>
      <w:bookmarkStart w:id="80" w:name="_Ref394687987"/>
      <w:r>
        <w:t xml:space="preserve">Figure </w:t>
      </w:r>
      <w:r w:rsidR="00323EC3">
        <w:fldChar w:fldCharType="begin"/>
      </w:r>
      <w:r w:rsidR="007E22D8">
        <w:instrText xml:space="preserve"> SEQ Figure \* ARABIC </w:instrText>
      </w:r>
      <w:r w:rsidR="00323EC3">
        <w:fldChar w:fldCharType="separate"/>
      </w:r>
      <w:r w:rsidR="00D147FD">
        <w:rPr>
          <w:noProof/>
        </w:rPr>
        <w:t>17</w:t>
      </w:r>
      <w:r w:rsidR="00323EC3">
        <w:rPr>
          <w:noProof/>
        </w:rPr>
        <w:fldChar w:fldCharType="end"/>
      </w:r>
      <w:bookmarkEnd w:id="80"/>
      <w:r>
        <w:rPr>
          <w:noProof/>
        </w:rPr>
        <w:t xml:space="preserve"> </w:t>
      </w:r>
      <w:r w:rsidRPr="00540C41">
        <w:rPr>
          <w:noProof/>
        </w:rPr>
        <w:t xml:space="preserve">Observed and adjusted NRP for maize at </w:t>
      </w:r>
      <w:r>
        <w:rPr>
          <w:noProof/>
        </w:rPr>
        <w:t>wholesale level</w:t>
      </w:r>
      <w:r w:rsidRPr="00540C41">
        <w:rPr>
          <w:noProof/>
        </w:rPr>
        <w:t xml:space="preserve"> in Mozambique</w:t>
      </w:r>
    </w:p>
    <w:p w:rsidR="00F02B8D" w:rsidRDefault="00F02B8D" w:rsidP="006F1905">
      <w:r>
        <w:rPr>
          <w:noProof/>
        </w:rPr>
        <w:drawing>
          <wp:inline distT="0" distB="0" distL="0" distR="0" wp14:anchorId="6FB3BF7C" wp14:editId="5DC5F21B">
            <wp:extent cx="4078224" cy="29809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78224" cy="2980944"/>
                    </a:xfrm>
                    <a:prstGeom prst="rect">
                      <a:avLst/>
                    </a:prstGeom>
                    <a:noFill/>
                    <a:ln>
                      <a:noFill/>
                    </a:ln>
                  </pic:spPr>
                </pic:pic>
              </a:graphicData>
            </a:graphic>
          </wp:inline>
        </w:drawing>
      </w:r>
    </w:p>
    <w:p w:rsidR="00A5014D" w:rsidRDefault="00A5014D" w:rsidP="00D21D2D">
      <w:r>
        <w:t xml:space="preserve">As was the case with price gaps, observed and adjusted NRPs followed similar patterns over the period 2005 through 2013. We saw earlier that the largest price gaps were observed in 2007 at both wholesale and farm-gate levels. However, </w:t>
      </w:r>
      <w:r w:rsidR="00323EC3">
        <w:fldChar w:fldCharType="begin"/>
      </w:r>
      <w:r>
        <w:instrText xml:space="preserve"> REF _Ref393892333 \h </w:instrText>
      </w:r>
      <w:r w:rsidR="00323EC3">
        <w:fldChar w:fldCharType="separate"/>
      </w:r>
      <w:r w:rsidR="00D147FD">
        <w:t xml:space="preserve">Figure </w:t>
      </w:r>
      <w:r w:rsidR="00D147FD">
        <w:rPr>
          <w:noProof/>
        </w:rPr>
        <w:t>16</w:t>
      </w:r>
      <w:r w:rsidR="00323EC3">
        <w:fldChar w:fldCharType="end"/>
      </w:r>
      <w:r>
        <w:t xml:space="preserve"> shows that the largest NRP at farm-gate level was registered in 2005. In this year, maize prices paid to farmers were 54</w:t>
      </w:r>
      <w:r w:rsidR="009414AA">
        <w:t xml:space="preserve"> percent</w:t>
      </w:r>
      <w:r>
        <w:t xml:space="preserve"> higher than what farmers should have been paid for their maize if market and policy distortions were removed. Maize production declined by 11</w:t>
      </w:r>
      <w:r w:rsidR="009414AA">
        <w:t xml:space="preserve"> percent</w:t>
      </w:r>
      <w:r>
        <w:t xml:space="preserve"> from 2004 to 2005 because 2005 was a drought year in Mozambique. With 0.9 thousand </w:t>
      </w:r>
      <w:r w:rsidR="008851CC">
        <w:t>tonne</w:t>
      </w:r>
      <w:r w:rsidR="0024572A">
        <w:t>s</w:t>
      </w:r>
      <w:r>
        <w:t xml:space="preserve"> of maize, 2005 was the year with the historical low production level during the period 2005 to 2013 (see </w:t>
      </w:r>
      <w:r w:rsidR="00323EC3">
        <w:fldChar w:fldCharType="begin"/>
      </w:r>
      <w:r>
        <w:instrText xml:space="preserve"> REF _Ref394708875 \h </w:instrText>
      </w:r>
      <w:r w:rsidR="00323EC3">
        <w:fldChar w:fldCharType="separate"/>
      </w:r>
      <w:r w:rsidR="00D147FD">
        <w:t xml:space="preserve">Figure </w:t>
      </w:r>
      <w:r w:rsidR="00D147FD">
        <w:rPr>
          <w:noProof/>
        </w:rPr>
        <w:t>1</w:t>
      </w:r>
      <w:r w:rsidR="00323EC3">
        <w:fldChar w:fldCharType="end"/>
      </w:r>
      <w:r>
        <w:t>). This shortage in maize supply may have forced traders to pay higher prices to maize farmers than what they would have paid otherwise. We note that wholesale maize prices were 15</w:t>
      </w:r>
      <w:r w:rsidR="009414AA">
        <w:t xml:space="preserve"> percent</w:t>
      </w:r>
      <w:r>
        <w:t xml:space="preserve"> higher than they would have been </w:t>
      </w:r>
      <w:r w:rsidR="002F3312">
        <w:t xml:space="preserve">in absence </w:t>
      </w:r>
      <w:r w:rsidR="002F3312">
        <w:lastRenderedPageBreak/>
        <w:t>of</w:t>
      </w:r>
      <w:r>
        <w:t xml:space="preserve"> market and policy distortions. However, this was not the largest NRP over the period 2005 to 2013. Like price gap, the largest NRP at wholesale level was seen in 2007 when traders were paid 34</w:t>
      </w:r>
      <w:r w:rsidR="009414AA">
        <w:t xml:space="preserve"> percent</w:t>
      </w:r>
      <w:r>
        <w:t xml:space="preserve"> less than what they should have been paid. This is because 2007 was the only year when wholesale maize prices were higher in Maputo than in South Africa (see </w:t>
      </w:r>
      <w:r w:rsidR="00323EC3">
        <w:fldChar w:fldCharType="begin"/>
      </w:r>
      <w:r>
        <w:instrText xml:space="preserve"> REF _Ref393724236 \h </w:instrText>
      </w:r>
      <w:r w:rsidR="00323EC3">
        <w:fldChar w:fldCharType="separate"/>
      </w:r>
      <w:r w:rsidR="00D147FD">
        <w:t xml:space="preserve">Figure </w:t>
      </w:r>
      <w:r w:rsidR="00D147FD">
        <w:rPr>
          <w:noProof/>
        </w:rPr>
        <w:t>11</w:t>
      </w:r>
      <w:r w:rsidR="00323EC3">
        <w:fldChar w:fldCharType="end"/>
      </w:r>
      <w:r>
        <w:t>).</w:t>
      </w:r>
    </w:p>
    <w:p w:rsidR="009E2338" w:rsidRDefault="00FF7115" w:rsidP="00D21D2D">
      <w:r>
        <w:t>W</w:t>
      </w:r>
      <w:r w:rsidR="00166253">
        <w:t xml:space="preserve">hen maize prices were increasing in Mozambique while declining in South Africa (from 2008 to 2010), maize prices </w:t>
      </w:r>
      <w:r w:rsidR="003B5952">
        <w:t>at wholesale and farm-gate levels</w:t>
      </w:r>
      <w:r w:rsidR="00166253">
        <w:t xml:space="preserve"> were </w:t>
      </w:r>
      <w:r w:rsidR="00510234">
        <w:t xml:space="preserve">on average </w:t>
      </w:r>
      <w:r w:rsidR="003B5952">
        <w:t>10</w:t>
      </w:r>
      <w:r w:rsidR="009414AA">
        <w:t xml:space="preserve"> percent</w:t>
      </w:r>
      <w:r w:rsidR="003B5952">
        <w:t xml:space="preserve"> and </w:t>
      </w:r>
      <w:r w:rsidR="00510234">
        <w:t>36</w:t>
      </w:r>
      <w:r w:rsidR="009414AA">
        <w:t xml:space="preserve"> percent</w:t>
      </w:r>
      <w:r w:rsidR="00510234">
        <w:t xml:space="preserve"> higher than what they should have been, </w:t>
      </w:r>
      <w:r w:rsidR="003B5952">
        <w:t>respectively</w:t>
      </w:r>
      <w:r w:rsidR="000167AF">
        <w:t xml:space="preserve">, in </w:t>
      </w:r>
      <w:r w:rsidR="00A5014D">
        <w:t xml:space="preserve">the </w:t>
      </w:r>
      <w:r w:rsidR="000167AF">
        <w:t>absence of market and policy distortions</w:t>
      </w:r>
      <w:r w:rsidR="003B5952">
        <w:t xml:space="preserve">. This result suggests that over the same period, policy put in place in Mozambique </w:t>
      </w:r>
      <w:r w:rsidR="002F3312">
        <w:t xml:space="preserve">(import duty and import VAT) </w:t>
      </w:r>
      <w:r w:rsidR="003B5952">
        <w:t>as well as market functioning generated higher incentives to farmers than traders</w:t>
      </w:r>
      <w:r w:rsidR="002F3312">
        <w:t xml:space="preserve"> on average, in line with the larger</w:t>
      </w:r>
      <w:r w:rsidR="003B5952">
        <w:t xml:space="preserve"> price increase at farm-gate level compared to wholesale level</w:t>
      </w:r>
      <w:r w:rsidR="00AA3B5B">
        <w:t xml:space="preserve"> (115</w:t>
      </w:r>
      <w:r w:rsidR="009414AA">
        <w:t xml:space="preserve"> percent</w:t>
      </w:r>
      <w:r w:rsidR="00AA3B5B">
        <w:t xml:space="preserve"> versus 83</w:t>
      </w:r>
      <w:r w:rsidR="009414AA">
        <w:t xml:space="preserve"> percent</w:t>
      </w:r>
      <w:r w:rsidR="00AA3B5B">
        <w:t>)</w:t>
      </w:r>
      <w:r w:rsidR="002F3312">
        <w:t>.</w:t>
      </w:r>
    </w:p>
    <w:p w:rsidR="00166253" w:rsidRDefault="009E2338" w:rsidP="00166253">
      <w:r>
        <w:t>From 2005 to 2013, adjusted NRP averaged 12</w:t>
      </w:r>
      <w:r w:rsidR="009414AA">
        <w:t xml:space="preserve"> percent</w:t>
      </w:r>
      <w:r>
        <w:t xml:space="preserve"> at farm-gate level and less than 1</w:t>
      </w:r>
      <w:r w:rsidR="009414AA">
        <w:t xml:space="preserve"> percent</w:t>
      </w:r>
      <w:r>
        <w:t xml:space="preserve"> at wholesale level. If we exclude 2007 (the year when Maputo wholesale prices were higher compared to South Africa), then average NRP increases to 20</w:t>
      </w:r>
      <w:r w:rsidR="009414AA">
        <w:t xml:space="preserve"> percent</w:t>
      </w:r>
      <w:r>
        <w:t xml:space="preserve"> at farm-gate level and to 4</w:t>
      </w:r>
      <w:r w:rsidR="009414AA">
        <w:t xml:space="preserve"> percent</w:t>
      </w:r>
      <w:r>
        <w:t xml:space="preserve"> at wholesale level. This suggested that the policy </w:t>
      </w:r>
      <w:r w:rsidR="002F3312">
        <w:t>and</w:t>
      </w:r>
      <w:r>
        <w:t xml:space="preserve"> market structu</w:t>
      </w:r>
      <w:r w:rsidR="002F3312">
        <w:t>re gave</w:t>
      </w:r>
      <w:r>
        <w:t xml:space="preserve"> greater protect</w:t>
      </w:r>
      <w:r w:rsidR="002F3312">
        <w:t xml:space="preserve">ion to farmers than wholesalers, </w:t>
      </w:r>
      <w:r>
        <w:t xml:space="preserve">after accounting for “excessive” profit margins gained by wholesalers.  </w:t>
      </w:r>
    </w:p>
    <w:p w:rsidR="00A67699" w:rsidRDefault="00B0039C" w:rsidP="004A1329">
      <w:r>
        <w:t>The difference between observed and adjusted indicators</w:t>
      </w:r>
      <w:r w:rsidR="004A1329">
        <w:t xml:space="preserve"> reflects adjustments on</w:t>
      </w:r>
      <w:r>
        <w:t xml:space="preserve"> profit margins</w:t>
      </w:r>
      <w:r w:rsidR="004A1329">
        <w:t xml:space="preserve"> that we made for both segments of the value chain (border to point of competition and point of competition to farm gate). As explained earlier, the minimum share of profit margins in the total investment costs over the period 2005 to 2013 was used as a benchmark to adjust profit margins for each year: </w:t>
      </w:r>
      <w:r>
        <w:t>7</w:t>
      </w:r>
      <w:r w:rsidR="009414AA">
        <w:t xml:space="preserve"> percent</w:t>
      </w:r>
      <w:r>
        <w:t xml:space="preserve"> for the segment from border to </w:t>
      </w:r>
      <w:r w:rsidR="004A1329">
        <w:t xml:space="preserve">the </w:t>
      </w:r>
      <w:r>
        <w:t>point of competition and 36</w:t>
      </w:r>
      <w:r w:rsidR="009414AA">
        <w:t xml:space="preserve"> percent</w:t>
      </w:r>
      <w:r>
        <w:t xml:space="preserve"> for the segment from point of competiti</w:t>
      </w:r>
      <w:r w:rsidR="004A1329">
        <w:t>on to farm gate</w:t>
      </w:r>
      <w:r>
        <w:t xml:space="preserve">. </w:t>
      </w:r>
      <w:r w:rsidR="004A1329">
        <w:t xml:space="preserve">We computed </w:t>
      </w:r>
      <w:r w:rsidR="008D4EAF">
        <w:t xml:space="preserve">Market Development Gap (MDG) </w:t>
      </w:r>
      <w:r w:rsidR="004A1329">
        <w:t xml:space="preserve">as the difference between observed and adjusted </w:t>
      </w:r>
      <w:r w:rsidR="009D3AB2">
        <w:t>NRPs. MDG thus captures inefficiencies in access costs</w:t>
      </w:r>
      <w:r w:rsidR="00D800D8">
        <w:t xml:space="preserve"> – related to profit margins –</w:t>
      </w:r>
      <w:r w:rsidR="009D3AB2">
        <w:t xml:space="preserve"> from</w:t>
      </w:r>
      <w:r w:rsidR="00D800D8">
        <w:t xml:space="preserve"> </w:t>
      </w:r>
      <w:r w:rsidR="009D3AB2">
        <w:t xml:space="preserve">the border to farm gate. </w:t>
      </w:r>
      <w:r w:rsidR="00D800D8">
        <w:t xml:space="preserve">Our findings are summarized in </w:t>
      </w:r>
      <w:r w:rsidR="00323EC3">
        <w:fldChar w:fldCharType="begin"/>
      </w:r>
      <w:r w:rsidR="00D800D8">
        <w:instrText xml:space="preserve"> REF _Ref393969863 \h </w:instrText>
      </w:r>
      <w:r w:rsidR="00323EC3">
        <w:fldChar w:fldCharType="separate"/>
      </w:r>
      <w:r w:rsidR="00D147FD">
        <w:t xml:space="preserve">Figure </w:t>
      </w:r>
      <w:r w:rsidR="00D147FD">
        <w:rPr>
          <w:noProof/>
        </w:rPr>
        <w:t>18</w:t>
      </w:r>
      <w:r w:rsidR="00323EC3">
        <w:fldChar w:fldCharType="end"/>
      </w:r>
      <w:r w:rsidR="00D800D8">
        <w:t>.</w:t>
      </w:r>
    </w:p>
    <w:p w:rsidR="009F2CAA" w:rsidRDefault="00D800D8" w:rsidP="006F1905">
      <w:r>
        <w:t xml:space="preserve">The light blue </w:t>
      </w:r>
      <w:r w:rsidR="00903073">
        <w:t>bar</w:t>
      </w:r>
      <w:r>
        <w:t xml:space="preserve"> </w:t>
      </w:r>
      <w:r w:rsidR="00903073">
        <w:t xml:space="preserve">in </w:t>
      </w:r>
      <w:r w:rsidR="00323EC3">
        <w:fldChar w:fldCharType="begin"/>
      </w:r>
      <w:r w:rsidR="00903073">
        <w:instrText xml:space="preserve"> REF _Ref393969863 \h </w:instrText>
      </w:r>
      <w:r w:rsidR="00323EC3">
        <w:fldChar w:fldCharType="separate"/>
      </w:r>
      <w:r w:rsidR="00D147FD">
        <w:t xml:space="preserve">Figure </w:t>
      </w:r>
      <w:r w:rsidR="00D147FD">
        <w:rPr>
          <w:noProof/>
        </w:rPr>
        <w:t>18</w:t>
      </w:r>
      <w:r w:rsidR="00323EC3">
        <w:fldChar w:fldCharType="end"/>
      </w:r>
      <w:r w:rsidR="00903073">
        <w:t xml:space="preserve"> </w:t>
      </w:r>
      <w:r>
        <w:t xml:space="preserve">represents MDG between the border and Maputo. This indicator is also known as access cost gap at point of competition and reflects the effects of trading agents’ profit margins on maize prices paid to farmers and wholesalers. </w:t>
      </w:r>
      <w:r w:rsidR="00AC23C9">
        <w:t xml:space="preserve">Access cost gap at point of competition is always positive through the period under analysis, </w:t>
      </w:r>
      <w:r w:rsidR="00567E67">
        <w:t xml:space="preserve">representing gains to </w:t>
      </w:r>
      <w:r w:rsidR="00C85BC6">
        <w:t>traders who import maize from South Africa</w:t>
      </w:r>
      <w:r w:rsidR="00567E67">
        <w:t xml:space="preserve"> because their profit margins </w:t>
      </w:r>
      <w:r w:rsidR="00D34DF3">
        <w:t xml:space="preserve">from imported maize </w:t>
      </w:r>
      <w:r w:rsidR="00567E67">
        <w:t>are higher than “normal” profit margins (set at 7</w:t>
      </w:r>
      <w:r w:rsidR="009414AA">
        <w:t xml:space="preserve"> percent</w:t>
      </w:r>
      <w:r w:rsidR="00567E67">
        <w:t xml:space="preserve"> of the total investment costs). However, the gains to </w:t>
      </w:r>
      <w:r w:rsidR="00C85BC6">
        <w:t xml:space="preserve">import traders </w:t>
      </w:r>
      <w:r w:rsidR="00D34DF3">
        <w:t>from imported maize</w:t>
      </w:r>
      <w:r>
        <w:t xml:space="preserve"> </w:t>
      </w:r>
      <w:r w:rsidR="00567E67">
        <w:t>oscillate</w:t>
      </w:r>
      <w:r w:rsidR="00AC23C9">
        <w:t xml:space="preserve"> from year to year</w:t>
      </w:r>
      <w:r w:rsidR="00D34DF3">
        <w:t xml:space="preserve"> with no clear trend</w:t>
      </w:r>
      <w:r w:rsidR="00567E67">
        <w:t>,</w:t>
      </w:r>
      <w:r w:rsidR="00D91C4F">
        <w:t xml:space="preserve"> </w:t>
      </w:r>
      <w:r w:rsidR="00AC23C9">
        <w:t>dropp</w:t>
      </w:r>
      <w:r w:rsidR="00567E67">
        <w:t>ing</w:t>
      </w:r>
      <w:r w:rsidR="00AC23C9">
        <w:t xml:space="preserve"> from 269 MZN/</w:t>
      </w:r>
      <w:r w:rsidR="008851CC">
        <w:t>tonne</w:t>
      </w:r>
      <w:r w:rsidR="00AC23C9">
        <w:t xml:space="preserve"> in 2005 to about one MZN/</w:t>
      </w:r>
      <w:r w:rsidR="008851CC">
        <w:t>tonne</w:t>
      </w:r>
      <w:r w:rsidR="00AC23C9">
        <w:t xml:space="preserve"> in 2007</w:t>
      </w:r>
      <w:r w:rsidR="00D91C4F">
        <w:t xml:space="preserve"> and then sharply increas</w:t>
      </w:r>
      <w:r w:rsidR="00567E67">
        <w:t>ing</w:t>
      </w:r>
      <w:r w:rsidR="00D91C4F">
        <w:t xml:space="preserve"> to 458 MZN/</w:t>
      </w:r>
      <w:r w:rsidR="008851CC">
        <w:t>tonne</w:t>
      </w:r>
      <w:r w:rsidR="00D91C4F">
        <w:t xml:space="preserve"> in 2008 and 479 MZN/</w:t>
      </w:r>
      <w:r w:rsidR="008851CC">
        <w:t>tonne</w:t>
      </w:r>
      <w:r w:rsidR="00D91C4F">
        <w:t xml:space="preserve"> in 2010</w:t>
      </w:r>
      <w:r>
        <w:t>.</w:t>
      </w:r>
      <w:r w:rsidR="00AC23C9">
        <w:t xml:space="preserve"> </w:t>
      </w:r>
      <w:r w:rsidR="00D91C4F">
        <w:t>This was followed by a 46</w:t>
      </w:r>
      <w:r w:rsidR="009414AA">
        <w:t xml:space="preserve"> percent</w:t>
      </w:r>
      <w:r w:rsidR="00D91C4F">
        <w:t xml:space="preserve"> reduction from 2010 to 2012 and a 103</w:t>
      </w:r>
      <w:r w:rsidR="009414AA">
        <w:t xml:space="preserve"> percent</w:t>
      </w:r>
      <w:r w:rsidR="00D91C4F">
        <w:t xml:space="preserve"> increase </w:t>
      </w:r>
      <w:r w:rsidR="00903073">
        <w:t>from 2012 to 2013.</w:t>
      </w:r>
      <w:r w:rsidR="00AC23C9">
        <w:t xml:space="preserve"> </w:t>
      </w:r>
    </w:p>
    <w:p w:rsidR="00A67699" w:rsidRDefault="00A67699" w:rsidP="00A67699">
      <w:pPr>
        <w:pStyle w:val="Caption"/>
        <w:keepNext/>
        <w:jc w:val="both"/>
      </w:pPr>
      <w:bookmarkStart w:id="81" w:name="_Ref393969863"/>
      <w:r>
        <w:lastRenderedPageBreak/>
        <w:t xml:space="preserve">Figure </w:t>
      </w:r>
      <w:r w:rsidR="00323EC3">
        <w:fldChar w:fldCharType="begin"/>
      </w:r>
      <w:r w:rsidR="007E22D8">
        <w:instrText xml:space="preserve"> SEQ Figure \* ARABIC </w:instrText>
      </w:r>
      <w:r w:rsidR="00323EC3">
        <w:fldChar w:fldCharType="separate"/>
      </w:r>
      <w:r w:rsidR="00D147FD">
        <w:rPr>
          <w:noProof/>
        </w:rPr>
        <w:t>18</w:t>
      </w:r>
      <w:r w:rsidR="00323EC3">
        <w:rPr>
          <w:noProof/>
        </w:rPr>
        <w:fldChar w:fldCharType="end"/>
      </w:r>
      <w:bookmarkEnd w:id="81"/>
      <w:r>
        <w:rPr>
          <w:noProof/>
        </w:rPr>
        <w:t xml:space="preserve"> </w:t>
      </w:r>
      <w:r w:rsidRPr="008C053D">
        <w:rPr>
          <w:noProof/>
        </w:rPr>
        <w:t>Market development gap for maize in Mozambique</w:t>
      </w:r>
    </w:p>
    <w:p w:rsidR="00A2069F" w:rsidRDefault="00CC42FD" w:rsidP="006F1905">
      <w:r>
        <w:rPr>
          <w:noProof/>
        </w:rPr>
        <w:drawing>
          <wp:inline distT="0" distB="0" distL="0" distR="0" wp14:anchorId="1C83FCE1" wp14:editId="0E89120B">
            <wp:extent cx="4078224" cy="29809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78224" cy="2980944"/>
                    </a:xfrm>
                    <a:prstGeom prst="rect">
                      <a:avLst/>
                    </a:prstGeom>
                    <a:noFill/>
                    <a:ln>
                      <a:noFill/>
                    </a:ln>
                  </pic:spPr>
                </pic:pic>
              </a:graphicData>
            </a:graphic>
          </wp:inline>
        </w:drawing>
      </w:r>
    </w:p>
    <w:p w:rsidR="00B30ADB" w:rsidRPr="002A485C" w:rsidRDefault="00903073" w:rsidP="00F17007">
      <w:pPr>
        <w:rPr>
          <w:u w:val="single"/>
        </w:rPr>
      </w:pPr>
      <w:r>
        <w:t xml:space="preserve">The dark blue bar in </w:t>
      </w:r>
      <w:r w:rsidR="00323EC3">
        <w:fldChar w:fldCharType="begin"/>
      </w:r>
      <w:r>
        <w:instrText xml:space="preserve"> REF _Ref393969863 \h </w:instrText>
      </w:r>
      <w:r w:rsidR="00323EC3">
        <w:fldChar w:fldCharType="separate"/>
      </w:r>
      <w:r w:rsidR="00D147FD">
        <w:t xml:space="preserve">Figure </w:t>
      </w:r>
      <w:r w:rsidR="00D147FD">
        <w:rPr>
          <w:noProof/>
        </w:rPr>
        <w:t>18</w:t>
      </w:r>
      <w:r w:rsidR="00323EC3">
        <w:fldChar w:fldCharType="end"/>
      </w:r>
      <w:r>
        <w:t xml:space="preserve"> represents MDG between Maputo and Chimoio </w:t>
      </w:r>
      <w:r w:rsidR="00D34DF3">
        <w:t>(</w:t>
      </w:r>
      <w:r w:rsidR="00E31B7D">
        <w:t xml:space="preserve">also </w:t>
      </w:r>
      <w:r>
        <w:t>known as access cost gap at farm gate</w:t>
      </w:r>
      <w:r w:rsidR="00D34DF3">
        <w:t>)</w:t>
      </w:r>
      <w:r>
        <w:t xml:space="preserve">. </w:t>
      </w:r>
      <w:r w:rsidR="00D34DF3">
        <w:t xml:space="preserve">From 2005 to 2013, access cost gap between point of competition and farm gate is always negative, </w:t>
      </w:r>
      <w:r w:rsidR="00C9786A" w:rsidRPr="0070313B">
        <w:t>representing losses to maize farmers stemming from higher than “normal” wholesalers’ profit margins from domestically produced maize.</w:t>
      </w:r>
      <w:r w:rsidR="00D34DF3">
        <w:t xml:space="preserve"> </w:t>
      </w:r>
      <w:r w:rsidR="00EE6313">
        <w:t>Losses to maize farmers</w:t>
      </w:r>
      <w:r w:rsidR="00D34DF3">
        <w:t xml:space="preserve"> var</w:t>
      </w:r>
      <w:r w:rsidR="00EE6313">
        <w:t>y</w:t>
      </w:r>
      <w:r w:rsidR="00D34DF3">
        <w:t xml:space="preserve"> from year to year with </w:t>
      </w:r>
      <w:r w:rsidR="00EE6313">
        <w:t xml:space="preserve">no </w:t>
      </w:r>
      <w:r w:rsidR="00D34DF3">
        <w:t xml:space="preserve">clear trend, ranging from </w:t>
      </w:r>
      <w:r w:rsidR="00D34DF3">
        <w:rPr>
          <w:i/>
        </w:rPr>
        <w:t>minus</w:t>
      </w:r>
      <w:r w:rsidR="00D34DF3">
        <w:t xml:space="preserve"> 30 MZN/</w:t>
      </w:r>
      <w:r w:rsidR="008851CC">
        <w:t>tonne</w:t>
      </w:r>
      <w:r w:rsidR="00D34DF3">
        <w:t xml:space="preserve"> in 2011 </w:t>
      </w:r>
      <w:r w:rsidR="00EE6313">
        <w:t xml:space="preserve">to </w:t>
      </w:r>
      <w:r w:rsidR="00EE6313">
        <w:rPr>
          <w:i/>
        </w:rPr>
        <w:t>minus</w:t>
      </w:r>
      <w:r w:rsidR="00EE6313">
        <w:t xml:space="preserve"> 633 MZN/</w:t>
      </w:r>
      <w:r w:rsidR="008851CC">
        <w:t>tonne</w:t>
      </w:r>
      <w:r w:rsidR="00EE6313">
        <w:t xml:space="preserve"> in 2013. </w:t>
      </w:r>
      <w:r w:rsidR="00C85BC6">
        <w:t xml:space="preserve">The red bar denotes </w:t>
      </w:r>
      <w:r w:rsidR="00EE6313">
        <w:t>M</w:t>
      </w:r>
      <w:r w:rsidR="00C85BC6">
        <w:t>DG obtained by adding access cost gap</w:t>
      </w:r>
      <w:r w:rsidR="00CC42FD">
        <w:t>s for both segments of the value chain</w:t>
      </w:r>
      <w:r w:rsidR="00C85BC6">
        <w:t xml:space="preserve"> </w:t>
      </w:r>
      <w:r w:rsidR="00CC42FD">
        <w:t>(</w:t>
      </w:r>
      <w:r w:rsidR="00C85BC6">
        <w:t xml:space="preserve">the border </w:t>
      </w:r>
      <w:r w:rsidR="00CC42FD">
        <w:t>to</w:t>
      </w:r>
      <w:r w:rsidR="00C85BC6">
        <w:t xml:space="preserve"> point of completion </w:t>
      </w:r>
      <w:r w:rsidR="00CC42FD">
        <w:t xml:space="preserve">and </w:t>
      </w:r>
      <w:r w:rsidR="00C85BC6">
        <w:t xml:space="preserve">point of competition </w:t>
      </w:r>
      <w:r w:rsidR="00CC42FD">
        <w:t>to</w:t>
      </w:r>
      <w:r w:rsidR="00C85BC6">
        <w:t xml:space="preserve"> farm gate</w:t>
      </w:r>
      <w:r w:rsidR="00CC42FD">
        <w:t>)</w:t>
      </w:r>
      <w:r w:rsidR="00C85BC6">
        <w:t>.</w:t>
      </w:r>
      <w:r w:rsidR="00CC42FD">
        <w:t xml:space="preserve"> </w:t>
      </w:r>
      <w:r w:rsidR="0072536A">
        <w:t xml:space="preserve">Throughout the period under analysis, </w:t>
      </w:r>
      <w:r w:rsidR="00CC42FD">
        <w:t>MDG varies from year to year</w:t>
      </w:r>
      <w:r w:rsidR="0072536A">
        <w:t xml:space="preserve">, but it was never </w:t>
      </w:r>
      <w:r w:rsidR="00FD09AE">
        <w:t>larger</w:t>
      </w:r>
      <w:r w:rsidR="0072536A">
        <w:t xml:space="preserve"> than 6</w:t>
      </w:r>
      <w:r w:rsidR="009414AA">
        <w:t xml:space="preserve"> percent</w:t>
      </w:r>
      <w:r w:rsidR="0072536A">
        <w:t xml:space="preserve"> of the reference price at farm gate. MDG as a share of reference price at farm gate </w:t>
      </w:r>
      <w:r w:rsidR="00CA2947">
        <w:t xml:space="preserve">(the dark line in </w:t>
      </w:r>
      <w:r w:rsidR="00323EC3">
        <w:fldChar w:fldCharType="begin"/>
      </w:r>
      <w:r w:rsidR="00CA2947">
        <w:instrText xml:space="preserve"> REF _Ref393969863 \h </w:instrText>
      </w:r>
      <w:r w:rsidR="00323EC3">
        <w:fldChar w:fldCharType="separate"/>
      </w:r>
      <w:r w:rsidR="00D147FD">
        <w:t xml:space="preserve">Figure </w:t>
      </w:r>
      <w:r w:rsidR="00D147FD">
        <w:rPr>
          <w:noProof/>
        </w:rPr>
        <w:t>18</w:t>
      </w:r>
      <w:r w:rsidR="00323EC3">
        <w:fldChar w:fldCharType="end"/>
      </w:r>
      <w:r w:rsidR="00CA2947">
        <w:t xml:space="preserve">) </w:t>
      </w:r>
      <w:r w:rsidR="0072536A">
        <w:t>averaged 1</w:t>
      </w:r>
      <w:r w:rsidR="009414AA">
        <w:t xml:space="preserve"> percent</w:t>
      </w:r>
      <w:r w:rsidR="0072536A">
        <w:t xml:space="preserve"> during the period 2005 through 2013. This suggests that </w:t>
      </w:r>
      <w:r w:rsidR="00CA2947">
        <w:t xml:space="preserve">on average, </w:t>
      </w:r>
      <w:r w:rsidR="0072536A">
        <w:t>gains to traders exceed</w:t>
      </w:r>
      <w:r w:rsidR="00CA2947">
        <w:t xml:space="preserve"> (by little bit)</w:t>
      </w:r>
      <w:r w:rsidR="0072536A">
        <w:t xml:space="preserve"> losses to farmers </w:t>
      </w:r>
      <w:r w:rsidR="0026508D">
        <w:t>deriving</w:t>
      </w:r>
      <w:r w:rsidR="0072536A">
        <w:t xml:space="preserve"> from “excessive” profit margins at various stages of the maize value chain.</w:t>
      </w:r>
    </w:p>
    <w:p w:rsidR="0035156A" w:rsidRDefault="0035156A" w:rsidP="00CA2947">
      <w:pPr>
        <w:rPr>
          <w:highlight w:val="yellow"/>
        </w:rPr>
      </w:pPr>
    </w:p>
    <w:p w:rsidR="00CA2947" w:rsidRPr="00C476E0" w:rsidRDefault="00CA2947" w:rsidP="00CA2947">
      <w:pPr>
        <w:rPr>
          <w:highlight w:val="yellow"/>
        </w:rPr>
      </w:pPr>
    </w:p>
    <w:p w:rsidR="002059BF" w:rsidRDefault="002059BF">
      <w:pPr>
        <w:jc w:val="left"/>
        <w:sectPr w:rsidR="002059BF" w:rsidSect="00A60BEC">
          <w:pgSz w:w="11906" w:h="16838"/>
          <w:pgMar w:top="1418" w:right="1418" w:bottom="1418" w:left="1418" w:header="708" w:footer="708" w:gutter="0"/>
          <w:cols w:space="708"/>
          <w:docGrid w:linePitch="360"/>
        </w:sectPr>
      </w:pPr>
    </w:p>
    <w:p w:rsidR="000553C0" w:rsidRPr="008414F0" w:rsidRDefault="00B30ADB" w:rsidP="002059BF">
      <w:pPr>
        <w:pStyle w:val="Heading1"/>
        <w:numPr>
          <w:ilvl w:val="0"/>
          <w:numId w:val="30"/>
        </w:numPr>
        <w:spacing w:before="240"/>
      </w:pPr>
      <w:bookmarkStart w:id="82" w:name="_Toc336419345"/>
      <w:r>
        <w:lastRenderedPageBreak/>
        <w:t xml:space="preserve"> </w:t>
      </w:r>
      <w:bookmarkStart w:id="83" w:name="_Toc401642238"/>
      <w:r>
        <w:t>CONCLUSION</w:t>
      </w:r>
      <w:bookmarkEnd w:id="83"/>
      <w:r w:rsidR="000553C0">
        <w:t xml:space="preserve"> </w:t>
      </w:r>
      <w:bookmarkEnd w:id="82"/>
    </w:p>
    <w:p w:rsidR="000553C0" w:rsidRDefault="000553C0" w:rsidP="000553C0">
      <w:pPr>
        <w:pStyle w:val="Heading2"/>
      </w:pPr>
      <w:bookmarkStart w:id="84" w:name="_Toc335991456"/>
      <w:bookmarkStart w:id="85" w:name="_Toc336419346"/>
      <w:bookmarkStart w:id="86" w:name="_Toc401642239"/>
      <w:r>
        <w:t>MAIN MESSAGE</w:t>
      </w:r>
      <w:bookmarkEnd w:id="84"/>
      <w:bookmarkEnd w:id="85"/>
      <w:bookmarkEnd w:id="86"/>
      <w:r>
        <w:t xml:space="preserve"> </w:t>
      </w:r>
    </w:p>
    <w:p w:rsidR="000771A8" w:rsidRDefault="000A6EDD" w:rsidP="004A16E8">
      <w:r>
        <w:t>O</w:t>
      </w:r>
      <w:r w:rsidR="000771A8">
        <w:t xml:space="preserve">ur </w:t>
      </w:r>
      <w:r>
        <w:t>findings</w:t>
      </w:r>
      <w:r w:rsidR="000771A8">
        <w:t xml:space="preserve"> </w:t>
      </w:r>
      <w:r>
        <w:t>indicate</w:t>
      </w:r>
      <w:r w:rsidR="000771A8">
        <w:t xml:space="preserve"> that </w:t>
      </w:r>
      <w:r>
        <w:t xml:space="preserve">the current government policies </w:t>
      </w:r>
      <w:r w:rsidR="0026508D">
        <w:t xml:space="preserve">put in place by the government </w:t>
      </w:r>
      <w:r>
        <w:t xml:space="preserve">(e.g. </w:t>
      </w:r>
      <w:r w:rsidR="00E55104">
        <w:t xml:space="preserve">2.5 percent import duty and </w:t>
      </w:r>
      <w:r>
        <w:t>17</w:t>
      </w:r>
      <w:r w:rsidR="009414AA">
        <w:t xml:space="preserve"> percent</w:t>
      </w:r>
      <w:r>
        <w:t xml:space="preserve"> valued-added tax on maize grain imports) and </w:t>
      </w:r>
      <w:r w:rsidR="0026508D">
        <w:t xml:space="preserve">the </w:t>
      </w:r>
      <w:r>
        <w:t xml:space="preserve">market structure have resulted in greater incentives to maize farmers in Central Mozambique than maize wholesalers in Maputo. Both maize farmers and wholesalers were paid higher prices </w:t>
      </w:r>
      <w:r w:rsidR="00BE4EBF">
        <w:t xml:space="preserve">for their maize grain </w:t>
      </w:r>
      <w:r>
        <w:t xml:space="preserve">than what they would have been paid if market and policy distortions were eliminated. </w:t>
      </w:r>
      <w:r w:rsidR="0026508D">
        <w:t>This advantage for farmers and traders</w:t>
      </w:r>
      <w:r>
        <w:t xml:space="preserve"> have implications for </w:t>
      </w:r>
      <w:r w:rsidR="00FE06FD">
        <w:t xml:space="preserve">net </w:t>
      </w:r>
      <w:r>
        <w:t xml:space="preserve">maize consumers who </w:t>
      </w:r>
      <w:r w:rsidR="0026508D">
        <w:t>paid</w:t>
      </w:r>
      <w:r w:rsidR="00FE06FD">
        <w:t xml:space="preserve"> higher prices for </w:t>
      </w:r>
      <w:r w:rsidR="0026508D">
        <w:t>purchasing maize</w:t>
      </w:r>
      <w:r w:rsidR="00FE06FD">
        <w:t xml:space="preserve"> than what they would have paid under more efficient and competitive maize </w:t>
      </w:r>
      <w:r w:rsidR="00BE4EBF">
        <w:t xml:space="preserve">grain </w:t>
      </w:r>
      <w:r w:rsidR="00FE06FD">
        <w:t xml:space="preserve">markets. This should not </w:t>
      </w:r>
      <w:r w:rsidR="007C79A1">
        <w:t>cause</w:t>
      </w:r>
      <w:r w:rsidR="00FE06FD">
        <w:t xml:space="preserve"> much of a concern in Southern Mozambique</w:t>
      </w:r>
      <w:r w:rsidR="007C79A1">
        <w:t xml:space="preserve"> (the region considered as the point of competition in our analysis)</w:t>
      </w:r>
      <w:r w:rsidR="00FE06FD">
        <w:t xml:space="preserve"> because </w:t>
      </w:r>
      <w:r w:rsidR="007C79A1">
        <w:t xml:space="preserve">in terms of both total consumption and contribution to the total food expenditures, </w:t>
      </w:r>
      <w:r w:rsidR="00FE06FD">
        <w:t>maize consumption is less important in the Southern region compared to the Central and Northern regions.</w:t>
      </w:r>
    </w:p>
    <w:p w:rsidR="004E6434" w:rsidRDefault="00237831" w:rsidP="004A16E8">
      <w:r>
        <w:t xml:space="preserve">With </w:t>
      </w:r>
      <w:r w:rsidR="005816A3">
        <w:t>construction of a</w:t>
      </w:r>
      <w:r>
        <w:t xml:space="preserve"> bridg</w:t>
      </w:r>
      <w:r w:rsidR="005816A3">
        <w:t>e over the Zambezi River</w:t>
      </w:r>
      <w:r>
        <w:t xml:space="preserve"> i</w:t>
      </w:r>
      <w:r w:rsidR="00840A8D">
        <w:t xml:space="preserve">n 2009, </w:t>
      </w:r>
      <w:r w:rsidR="005816A3">
        <w:t xml:space="preserve">it is expected that there will be better connection between Northern and </w:t>
      </w:r>
      <w:r w:rsidR="0026508D">
        <w:t>Southern regions of the country. The</w:t>
      </w:r>
      <w:r w:rsidR="005816A3">
        <w:t xml:space="preserve"> lower transaction costs</w:t>
      </w:r>
      <w:r w:rsidR="0026508D">
        <w:t xml:space="preserve"> to move</w:t>
      </w:r>
      <w:r w:rsidR="005816A3">
        <w:t xml:space="preserve"> </w:t>
      </w:r>
      <w:r w:rsidR="0026508D">
        <w:t xml:space="preserve">the grain </w:t>
      </w:r>
      <w:r w:rsidR="003E3133">
        <w:t xml:space="preserve">to Southern Mozambique through Zambezi River bridge </w:t>
      </w:r>
      <w:r w:rsidR="005816A3">
        <w:t xml:space="preserve">could benefit both regions, in particular consumers in Maputo </w:t>
      </w:r>
      <w:r w:rsidR="0026508D">
        <w:t xml:space="preserve">(who access cheaper maize domestically produced) </w:t>
      </w:r>
      <w:r w:rsidR="005816A3">
        <w:t xml:space="preserve">and </w:t>
      </w:r>
      <w:r w:rsidR="0026508D">
        <w:t xml:space="preserve">farmers in Northern Mozambique (who could </w:t>
      </w:r>
      <w:r w:rsidR="005816A3">
        <w:t xml:space="preserve">sell </w:t>
      </w:r>
      <w:r w:rsidR="0026508D">
        <w:t>maize at higher prices).</w:t>
      </w:r>
    </w:p>
    <w:p w:rsidR="00550905" w:rsidRPr="00444A82" w:rsidRDefault="003E3133" w:rsidP="004A16E8">
      <w:pPr>
        <w:rPr>
          <w:rFonts w:eastAsia="Calibri"/>
        </w:rPr>
      </w:pPr>
      <w:r>
        <w:t xml:space="preserve">It </w:t>
      </w:r>
      <w:r w:rsidR="00550905">
        <w:t>appears that maize price</w:t>
      </w:r>
      <w:r>
        <w:t xml:space="preserve"> in South Africa are not </w:t>
      </w:r>
      <w:r w:rsidR="00550905">
        <w:t xml:space="preserve">that </w:t>
      </w:r>
      <w:r>
        <w:t>well integrated with maize prices in Maputo</w:t>
      </w:r>
      <w:r w:rsidR="00550905">
        <w:t xml:space="preserve"> because prices signals from wholesale markets in South Africa are not reflected in Maputo retail prices</w:t>
      </w:r>
      <w:r>
        <w:t xml:space="preserve">. This is particularly </w:t>
      </w:r>
      <w:r w:rsidR="00B97633">
        <w:t xml:space="preserve">evident </w:t>
      </w:r>
      <w:r>
        <w:t xml:space="preserve">in </w:t>
      </w:r>
      <w:r w:rsidR="00550905">
        <w:t xml:space="preserve">2007 when maize prices were higher in South Africa than in Maputo </w:t>
      </w:r>
      <w:r w:rsidR="00B00D61">
        <w:t xml:space="preserve">(in some months) </w:t>
      </w:r>
      <w:r w:rsidR="00550905">
        <w:t xml:space="preserve">and </w:t>
      </w:r>
      <w:r w:rsidR="00550905">
        <w:rPr>
          <w:rFonts w:eastAsia="Calibri"/>
        </w:rPr>
        <w:t xml:space="preserve">between 2012 and 2013 when maize prices in South Africa declined </w:t>
      </w:r>
      <w:r w:rsidR="00B00D61">
        <w:rPr>
          <w:rFonts w:eastAsia="Calibri"/>
        </w:rPr>
        <w:t xml:space="preserve">markedly </w:t>
      </w:r>
      <w:r w:rsidR="00550905">
        <w:rPr>
          <w:rFonts w:eastAsia="Calibri"/>
        </w:rPr>
        <w:t>by 18</w:t>
      </w:r>
      <w:r w:rsidR="009414AA">
        <w:rPr>
          <w:rFonts w:eastAsia="Calibri"/>
        </w:rPr>
        <w:t xml:space="preserve"> percent</w:t>
      </w:r>
      <w:r w:rsidR="00550905">
        <w:rPr>
          <w:rFonts w:eastAsia="Calibri"/>
        </w:rPr>
        <w:t xml:space="preserve"> while they increased by 19</w:t>
      </w:r>
      <w:r w:rsidR="009414AA">
        <w:rPr>
          <w:rFonts w:eastAsia="Calibri"/>
        </w:rPr>
        <w:t xml:space="preserve"> percent</w:t>
      </w:r>
      <w:r w:rsidR="00550905">
        <w:rPr>
          <w:rFonts w:eastAsia="Calibri"/>
        </w:rPr>
        <w:t xml:space="preserve"> in Maputo (and by 28</w:t>
      </w:r>
      <w:r w:rsidR="009414AA">
        <w:rPr>
          <w:rFonts w:eastAsia="Calibri"/>
        </w:rPr>
        <w:t xml:space="preserve"> percent</w:t>
      </w:r>
      <w:r w:rsidR="00550905">
        <w:rPr>
          <w:rFonts w:eastAsia="Calibri"/>
        </w:rPr>
        <w:t xml:space="preserve"> in Chimoio). </w:t>
      </w:r>
      <w:r w:rsidR="00BE24F0">
        <w:rPr>
          <w:rFonts w:eastAsia="Calibri"/>
        </w:rPr>
        <w:t xml:space="preserve">The </w:t>
      </w:r>
      <w:r w:rsidR="00B00D61">
        <w:rPr>
          <w:rFonts w:eastAsia="Calibri"/>
        </w:rPr>
        <w:t xml:space="preserve">import restrictions in place </w:t>
      </w:r>
      <w:r w:rsidR="00BE24F0">
        <w:rPr>
          <w:rFonts w:eastAsia="Calibri"/>
        </w:rPr>
        <w:t xml:space="preserve">could </w:t>
      </w:r>
      <w:r w:rsidR="00B00D61">
        <w:rPr>
          <w:rFonts w:eastAsia="Calibri"/>
        </w:rPr>
        <w:t>one</w:t>
      </w:r>
      <w:r w:rsidR="00BE24F0">
        <w:rPr>
          <w:rFonts w:eastAsia="Calibri"/>
        </w:rPr>
        <w:t xml:space="preserve"> possible driver of the </w:t>
      </w:r>
      <w:r w:rsidR="00B00D61">
        <w:rPr>
          <w:rFonts w:eastAsia="Calibri"/>
        </w:rPr>
        <w:t>price transmission mechanism</w:t>
      </w:r>
      <w:r w:rsidR="00BE24F0">
        <w:rPr>
          <w:rFonts w:eastAsia="Calibri"/>
        </w:rPr>
        <w:t xml:space="preserve"> between</w:t>
      </w:r>
      <w:r w:rsidR="00550905">
        <w:rPr>
          <w:rFonts w:eastAsia="Calibri"/>
        </w:rPr>
        <w:t xml:space="preserve"> </w:t>
      </w:r>
      <w:r w:rsidR="00B00D61">
        <w:rPr>
          <w:rFonts w:eastAsia="Calibri"/>
        </w:rPr>
        <w:t>the two countries</w:t>
      </w:r>
      <w:r w:rsidR="00BE24F0">
        <w:rPr>
          <w:rFonts w:eastAsia="Calibri"/>
        </w:rPr>
        <w:t>.</w:t>
      </w:r>
    </w:p>
    <w:p w:rsidR="00CA2947" w:rsidRPr="006F1905" w:rsidRDefault="00CA2947" w:rsidP="00CA2947">
      <w:pPr>
        <w:pStyle w:val="Heading2"/>
      </w:pPr>
      <w:bookmarkStart w:id="87" w:name="_Toc401642240"/>
      <w:r>
        <w:t>RECOMMENDATIONS</w:t>
      </w:r>
      <w:bookmarkEnd w:id="87"/>
      <w:r>
        <w:t xml:space="preserve"> </w:t>
      </w:r>
    </w:p>
    <w:p w:rsidR="00CA2947" w:rsidRDefault="00BE4EBF" w:rsidP="004A16E8">
      <w:r>
        <w:t>We recognize that additional research is demanded to get a better understanding of maize markets dynamics to draw specific policy recommendation from a more in-depth analysis</w:t>
      </w:r>
      <w:r w:rsidR="008910FE">
        <w:t xml:space="preserve">. However, </w:t>
      </w:r>
      <w:r w:rsidR="00743265">
        <w:t>it would be important to assess</w:t>
      </w:r>
      <w:r w:rsidR="008910FE">
        <w:t xml:space="preserve"> the impacts of the removal of the 17</w:t>
      </w:r>
      <w:r w:rsidR="009414AA">
        <w:t xml:space="preserve"> percent</w:t>
      </w:r>
      <w:r w:rsidR="00743265">
        <w:t xml:space="preserve"> VAT on maize grain imports</w:t>
      </w:r>
      <w:r w:rsidR="002F2258">
        <w:t xml:space="preserve"> </w:t>
      </w:r>
      <w:r w:rsidR="00404A50">
        <w:t>especially on consumers</w:t>
      </w:r>
      <w:r w:rsidR="00743265">
        <w:t>.</w:t>
      </w:r>
    </w:p>
    <w:p w:rsidR="00D26D18" w:rsidRDefault="001929B8" w:rsidP="00D26D18">
      <w:r>
        <w:t xml:space="preserve">Although the </w:t>
      </w:r>
      <w:r w:rsidR="00743265">
        <w:t xml:space="preserve">recent </w:t>
      </w:r>
      <w:r>
        <w:t xml:space="preserve">construction of the Zambesi </w:t>
      </w:r>
      <w:r w:rsidR="00743265">
        <w:t>R</w:t>
      </w:r>
      <w:r>
        <w:t xml:space="preserve">iver bridge </w:t>
      </w:r>
      <w:r w:rsidR="00743265">
        <w:t>already represents a</w:t>
      </w:r>
      <w:r>
        <w:t xml:space="preserve"> </w:t>
      </w:r>
      <w:r w:rsidR="00743265">
        <w:t>relevant</w:t>
      </w:r>
      <w:r>
        <w:t xml:space="preserve"> improvement in connections within </w:t>
      </w:r>
      <w:r w:rsidR="00743265">
        <w:t>the country, f</w:t>
      </w:r>
      <w:r w:rsidR="00B00D61">
        <w:t xml:space="preserve">urther infrastructural </w:t>
      </w:r>
      <w:r w:rsidR="00404A50">
        <w:t>upgrading</w:t>
      </w:r>
      <w:r w:rsidR="00B00D61">
        <w:t xml:space="preserve"> could facilitate maize flow from </w:t>
      </w:r>
      <w:r w:rsidR="00404A50">
        <w:t xml:space="preserve">maize </w:t>
      </w:r>
      <w:r w:rsidR="00B00D61">
        <w:t>producing regions (North) and deficit regions (South) offering a secure market channel f</w:t>
      </w:r>
      <w:r w:rsidR="00D26D18">
        <w:t>or</w:t>
      </w:r>
      <w:r w:rsidR="00B00D61">
        <w:t xml:space="preserve"> farmers in </w:t>
      </w:r>
      <w:r w:rsidR="005711DD" w:rsidRPr="005711DD">
        <w:t xml:space="preserve">Tete, </w:t>
      </w:r>
      <w:r w:rsidR="00B00D61" w:rsidRPr="00D26D18">
        <w:t>Zambezia and Manica</w:t>
      </w:r>
      <w:r w:rsidR="00D26D18" w:rsidRPr="00D26D18">
        <w:t xml:space="preserve">, which </w:t>
      </w:r>
      <w:r w:rsidR="005711DD">
        <w:t>generally supply</w:t>
      </w:r>
      <w:r w:rsidR="00D26D18" w:rsidRPr="00D26D18">
        <w:t xml:space="preserve"> Malawian markets </w:t>
      </w:r>
      <w:r w:rsidR="005711DD">
        <w:t xml:space="preserve">- mainly </w:t>
      </w:r>
      <w:r w:rsidR="00D26D18">
        <w:t>through informal channels</w:t>
      </w:r>
      <w:r w:rsidR="005711DD">
        <w:t xml:space="preserve"> - rather than urban consumers in the </w:t>
      </w:r>
      <w:r w:rsidR="00743265">
        <w:t>south</w:t>
      </w:r>
      <w:r w:rsidR="00404A50">
        <w:t xml:space="preserve"> of Mozambique.</w:t>
      </w:r>
    </w:p>
    <w:p w:rsidR="00B00D61" w:rsidRPr="00D26D18" w:rsidRDefault="00743265" w:rsidP="00B00D61">
      <w:r>
        <w:t>On the</w:t>
      </w:r>
      <w:r w:rsidR="005711DD">
        <w:t xml:space="preserve"> production </w:t>
      </w:r>
      <w:r>
        <w:t>side</w:t>
      </w:r>
      <w:r w:rsidR="00D26D18">
        <w:t xml:space="preserve">, it is recognized that </w:t>
      </w:r>
      <w:r w:rsidR="00404A50">
        <w:t xml:space="preserve">current </w:t>
      </w:r>
      <w:r w:rsidR="00D26D18">
        <w:t xml:space="preserve">maize yields </w:t>
      </w:r>
      <w:r w:rsidR="00D26D18" w:rsidRPr="00D26D18">
        <w:t>in Mozambique</w:t>
      </w:r>
      <w:r w:rsidR="00B00D61" w:rsidRPr="00D26D18">
        <w:t xml:space="preserve"> are </w:t>
      </w:r>
      <w:r>
        <w:t xml:space="preserve">still </w:t>
      </w:r>
      <w:r w:rsidR="005711DD">
        <w:t>similar</w:t>
      </w:r>
      <w:r w:rsidR="00B00D61" w:rsidRPr="00D26D18">
        <w:t xml:space="preserve"> t</w:t>
      </w:r>
      <w:r w:rsidR="00D26D18" w:rsidRPr="00D26D18">
        <w:t>o those seen in the late 1990s</w:t>
      </w:r>
      <w:r w:rsidR="005711DD">
        <w:t xml:space="preserve">, </w:t>
      </w:r>
      <w:r w:rsidR="00D26D18" w:rsidRPr="00D26D18">
        <w:t xml:space="preserve">and much </w:t>
      </w:r>
      <w:r w:rsidR="00B00D61" w:rsidRPr="00D26D18">
        <w:t xml:space="preserve">lower </w:t>
      </w:r>
      <w:r w:rsidR="00D26D18" w:rsidRPr="00D26D18">
        <w:t>than the</w:t>
      </w:r>
      <w:r w:rsidR="00B00D61" w:rsidRPr="00D26D18">
        <w:t xml:space="preserve"> neighboring countries</w:t>
      </w:r>
      <w:r w:rsidR="00D26D18" w:rsidRPr="00D26D18">
        <w:t>.</w:t>
      </w:r>
      <w:r w:rsidR="00B00D61" w:rsidRPr="00D26D18">
        <w:t xml:space="preserve"> Low use of improved inputs combined with high reliance on rain-fed production systems </w:t>
      </w:r>
      <w:r>
        <w:t>are</w:t>
      </w:r>
      <w:r w:rsidR="00B00D61" w:rsidRPr="00D26D18">
        <w:t xml:space="preserve"> driving factors of </w:t>
      </w:r>
      <w:r w:rsidR="005711DD">
        <w:t xml:space="preserve">this low productivity. The government should take into consideration these constrains affecting not only </w:t>
      </w:r>
      <w:r w:rsidR="005711DD">
        <w:lastRenderedPageBreak/>
        <w:t xml:space="preserve">maize, but also other cereals production, </w:t>
      </w:r>
      <w:r>
        <w:t>in order to</w:t>
      </w:r>
      <w:r w:rsidR="005711DD">
        <w:t xml:space="preserve"> frame appropriate policies and interventions</w:t>
      </w:r>
      <w:r w:rsidR="001929B8">
        <w:t xml:space="preserve"> to support farmers,</w:t>
      </w:r>
      <w:r w:rsidR="005711DD">
        <w:t xml:space="preserve"> in the context of PEDSA and PNISA. </w:t>
      </w:r>
    </w:p>
    <w:p w:rsidR="000553C0" w:rsidRDefault="000553C0" w:rsidP="000553C0">
      <w:pPr>
        <w:pStyle w:val="Heading2"/>
      </w:pPr>
      <w:bookmarkStart w:id="88" w:name="_Toc335991458"/>
      <w:bookmarkStart w:id="89" w:name="_Toc336419348"/>
      <w:bookmarkStart w:id="90" w:name="_Toc401642241"/>
      <w:r>
        <w:t>LIMITATIONS</w:t>
      </w:r>
      <w:bookmarkEnd w:id="88"/>
      <w:bookmarkEnd w:id="89"/>
      <w:bookmarkEnd w:id="90"/>
    </w:p>
    <w:p w:rsidR="008910FE" w:rsidRDefault="008910FE" w:rsidP="008910FE">
      <w:pPr>
        <w:pStyle w:val="ListParagraph"/>
        <w:numPr>
          <w:ilvl w:val="0"/>
          <w:numId w:val="48"/>
        </w:numPr>
      </w:pPr>
      <w:r>
        <w:t>Our analysis did not take into account quality differential between imported maize grain and domestically produced maize grain;</w:t>
      </w:r>
    </w:p>
    <w:p w:rsidR="00686F6A" w:rsidRDefault="00686F6A" w:rsidP="00686F6A">
      <w:pPr>
        <w:pStyle w:val="ListParagraph"/>
        <w:numPr>
          <w:ilvl w:val="0"/>
          <w:numId w:val="48"/>
        </w:numPr>
      </w:pPr>
      <w:r>
        <w:t>The public monetary transfers to farmers</w:t>
      </w:r>
      <w:r w:rsidR="00E55104">
        <w:t>, in form of input subsidies,</w:t>
      </w:r>
      <w:r>
        <w:t xml:space="preserve"> are not included at this stage of the analysis. Data were in the process of being collected by the MAFAP team in Mozambique and will allow to compute the Nominal Rates of Assistance.</w:t>
      </w:r>
    </w:p>
    <w:p w:rsidR="000553C0" w:rsidRDefault="000553C0" w:rsidP="000553C0">
      <w:pPr>
        <w:pStyle w:val="Heading2"/>
      </w:pPr>
      <w:bookmarkStart w:id="91" w:name="_Toc335991459"/>
      <w:bookmarkStart w:id="92" w:name="_Toc336419349"/>
      <w:bookmarkStart w:id="93" w:name="_Toc401642242"/>
      <w:r>
        <w:t>FURTHER INVESTIGATION AND RESEARCH</w:t>
      </w:r>
      <w:bookmarkEnd w:id="91"/>
      <w:bookmarkEnd w:id="92"/>
      <w:bookmarkEnd w:id="93"/>
    </w:p>
    <w:p w:rsidR="001A154E" w:rsidRDefault="001A154E" w:rsidP="008910FE">
      <w:pPr>
        <w:pStyle w:val="ListParagraph"/>
        <w:numPr>
          <w:ilvl w:val="0"/>
          <w:numId w:val="48"/>
        </w:numPr>
      </w:pPr>
      <w:r>
        <w:t>Both maize grain and maize meal are traded at wholesale level in Maputo</w:t>
      </w:r>
      <w:r w:rsidR="00D46C5C">
        <w:t xml:space="preserve"> although maize is ultimately consumed as maize meal</w:t>
      </w:r>
      <w:r>
        <w:t xml:space="preserve">. Our analysis focused on price incentives for maize grain traders and farmers. The analysis </w:t>
      </w:r>
      <w:r w:rsidR="00B00D61">
        <w:t>could</w:t>
      </w:r>
      <w:r>
        <w:t xml:space="preserve"> be improved by comparing results from two scenarios: (i) </w:t>
      </w:r>
      <w:r w:rsidR="00D46C5C">
        <w:t>computing the indicators using wholesale maize</w:t>
      </w:r>
      <w:r w:rsidR="00B00D61">
        <w:t xml:space="preserve"> grain prices as we did in our analysi</w:t>
      </w:r>
      <w:r w:rsidR="00D46C5C">
        <w:t>, and (ii) estimating the same indicators using wholesale maize meal prices. This could help us better understand whether the 17</w:t>
      </w:r>
      <w:r w:rsidR="009414AA">
        <w:t xml:space="preserve"> percent</w:t>
      </w:r>
      <w:r w:rsidR="00D46C5C">
        <w:t xml:space="preserve"> VAT on maize grain import had differential impacts on maize grain and maize meal as it would be predicted because millers who import maize grain and process it into maize meal get rebates for their VAT payments;</w:t>
      </w:r>
    </w:p>
    <w:p w:rsidR="00B00D61" w:rsidRDefault="00B00D61" w:rsidP="00B00D61">
      <w:pPr>
        <w:pStyle w:val="ListParagraph"/>
      </w:pPr>
    </w:p>
    <w:p w:rsidR="0095455F" w:rsidRDefault="00AD52EB" w:rsidP="008910FE">
      <w:pPr>
        <w:pStyle w:val="ListParagraph"/>
        <w:numPr>
          <w:ilvl w:val="0"/>
          <w:numId w:val="48"/>
        </w:numPr>
      </w:pPr>
      <w:r>
        <w:t xml:space="preserve">The focus of our analysis was on Southern Mozambique (a maize deficit region). However, </w:t>
      </w:r>
      <w:r w:rsidR="008910FE">
        <w:t xml:space="preserve">Northern Mozambique </w:t>
      </w:r>
      <w:r>
        <w:t xml:space="preserve">– a maize surplus region – </w:t>
      </w:r>
      <w:r w:rsidR="008910FE">
        <w:t xml:space="preserve">could be considered as </w:t>
      </w:r>
      <w:r>
        <w:t xml:space="preserve">a </w:t>
      </w:r>
      <w:r w:rsidR="008910FE">
        <w:t xml:space="preserve">separate marketing segment and therefore analysis </w:t>
      </w:r>
      <w:r>
        <w:t xml:space="preserve">of </w:t>
      </w:r>
      <w:r w:rsidR="008910FE">
        <w:t>prices incentives to farmers and wholesalers operating in th</w:t>
      </w:r>
      <w:r w:rsidR="0095455F">
        <w:t>is</w:t>
      </w:r>
      <w:r w:rsidR="008910FE">
        <w:t xml:space="preserve"> region</w:t>
      </w:r>
      <w:r>
        <w:t xml:space="preserve"> could be undertaken</w:t>
      </w:r>
      <w:r w:rsidR="008910FE">
        <w:t xml:space="preserve">. </w:t>
      </w:r>
      <w:r w:rsidR="0095455F">
        <w:t>T</w:t>
      </w:r>
      <w:r w:rsidR="008910FE">
        <w:t xml:space="preserve">here </w:t>
      </w:r>
      <w:r w:rsidR="0095455F">
        <w:t>had been</w:t>
      </w:r>
      <w:r>
        <w:t xml:space="preserve"> limited integration between maize markets in Northern and Southern Mozambique due </w:t>
      </w:r>
      <w:r w:rsidR="0095455F">
        <w:t xml:space="preserve">mainly </w:t>
      </w:r>
      <w:r>
        <w:t>to lack of a bridge in the Zambezi River, causing a natural barrier to maize flow from Northern to Southern Mozambique. T</w:t>
      </w:r>
      <w:r w:rsidR="0095455F">
        <w:t>he</w:t>
      </w:r>
      <w:r>
        <w:t xml:space="preserve"> </w:t>
      </w:r>
      <w:r w:rsidR="0095455F">
        <w:t xml:space="preserve">market </w:t>
      </w:r>
      <w:r>
        <w:t>integration</w:t>
      </w:r>
      <w:r w:rsidR="0095455F">
        <w:t xml:space="preserve"> between the two regions</w:t>
      </w:r>
      <w:r>
        <w:t xml:space="preserve"> has been improving since August 2009 when a bridge was built in the Zambezi River. Maize markets in Northern Mozambique are </w:t>
      </w:r>
      <w:r w:rsidR="0095455F">
        <w:t xml:space="preserve">better </w:t>
      </w:r>
      <w:r>
        <w:t xml:space="preserve">linked with markets in Southern Malawi </w:t>
      </w:r>
      <w:r w:rsidR="0095455F">
        <w:t>(</w:t>
      </w:r>
      <w:r>
        <w:t xml:space="preserve">a </w:t>
      </w:r>
      <w:r w:rsidR="0095455F">
        <w:t xml:space="preserve">major </w:t>
      </w:r>
      <w:r>
        <w:t>maize deficit region</w:t>
      </w:r>
      <w:r w:rsidR="0095455F">
        <w:t>)</w:t>
      </w:r>
      <w:r>
        <w:t>.</w:t>
      </w:r>
    </w:p>
    <w:p w:rsidR="001A154E" w:rsidRDefault="001A154E" w:rsidP="00D46C5C"/>
    <w:p w:rsidR="005F0600" w:rsidRDefault="005F0600" w:rsidP="005F0600">
      <w:pPr>
        <w:pStyle w:val="ListParagraph"/>
        <w:ind w:left="0"/>
      </w:pPr>
    </w:p>
    <w:p w:rsidR="008910FE" w:rsidRPr="008910FE" w:rsidRDefault="008910FE" w:rsidP="005F0600">
      <w:pPr>
        <w:ind w:left="360"/>
      </w:pPr>
    </w:p>
    <w:p w:rsidR="002529F8" w:rsidRDefault="002529F8" w:rsidP="00725C6F">
      <w:pPr>
        <w:pStyle w:val="Heading1"/>
        <w:spacing w:before="240"/>
        <w:jc w:val="left"/>
      </w:pPr>
      <w:r>
        <w:rPr>
          <w:rFonts w:eastAsiaTheme="minorHAnsi"/>
        </w:rPr>
        <w:br w:type="page"/>
      </w:r>
      <w:bookmarkStart w:id="94" w:name="_Toc336419350"/>
      <w:bookmarkStart w:id="95" w:name="_Toc401642243"/>
      <w:r w:rsidR="000553C0" w:rsidRPr="007F5F05">
        <w:lastRenderedPageBreak/>
        <w:t>B</w:t>
      </w:r>
      <w:r w:rsidR="000553C0">
        <w:t>IBLIOGRAPHY</w:t>
      </w:r>
      <w:bookmarkEnd w:id="94"/>
      <w:bookmarkEnd w:id="95"/>
    </w:p>
    <w:p w:rsidR="00BB2DD1" w:rsidRDefault="00BB2DD1" w:rsidP="00BB2DD1">
      <w:r>
        <w:t xml:space="preserve"> </w:t>
      </w:r>
    </w:p>
    <w:p w:rsidR="00BB2DD1" w:rsidRDefault="00BB2DD1" w:rsidP="00BB2DD1">
      <w:r>
        <w:t xml:space="preserve">Acosta, A. 2012. Measuring Spatial Transmission of White Maize Prices between South Africa and Mozambique: An Asymmetric Error Correction Model Approach. </w:t>
      </w:r>
      <w:r w:rsidRPr="00533C2F">
        <w:rPr>
          <w:i/>
        </w:rPr>
        <w:t>African Journal of Agricultural and Resource Economics</w:t>
      </w:r>
      <w:r>
        <w:t xml:space="preserve"> 7(1), 1-13.</w:t>
      </w:r>
    </w:p>
    <w:p w:rsidR="00BB2DD1" w:rsidRDefault="00BB2DD1" w:rsidP="00BB2DD1">
      <w:r>
        <w:t>Benson, T.; Cunguara, B.; Mogues, T. 2012. The supply of Inorganic Fertilizers to Smallholder Farmers in Mozambique: Evidence from Fertilizer Policy Development. IFPRI Discussion Paper 01229. Washington, DC: Internation Food Policy Research Institute (IFPRI).</w:t>
      </w:r>
    </w:p>
    <w:p w:rsidR="00BB2DD1" w:rsidRDefault="00BB2DD1" w:rsidP="00BB2DD1">
      <w:r w:rsidRPr="00533C2F">
        <w:rPr>
          <w:lang w:val="pt-PT"/>
        </w:rPr>
        <w:t xml:space="preserve">Chilonda, P.; Xavier, V.; Luciano, L.; Gemo, H.; Chamusso, A.; Zikhali, P.; Faria, A.; Govereh, J.; Musaba, E.; Manussa, S.; Acubar, B.; Osvaldo, L.; Alage, N.; Macome, E.; Manganhela, A. 2012. </w:t>
      </w:r>
      <w:r>
        <w:t>Monitoring and Evaluating Agricultural Growth, Trade and Poverty in Mozambique: 2011 Annual Trends and Outlook Report. Maputo, Mozambique: Mozambique Ministry of Agriculture (MINAG) and Mozambique Strategic Analysis and Knowledge Support System (MozSAKSS).</w:t>
      </w:r>
    </w:p>
    <w:p w:rsidR="00BB2DD1" w:rsidRDefault="00BB2DD1" w:rsidP="00BB2DD1">
      <w:r>
        <w:t>Cunguara, B. 2012. An Exposition of Development Failures in Mozambique. Review of African Political Economy 39(131), 161-170.</w:t>
      </w:r>
    </w:p>
    <w:p w:rsidR="00BB2DD1" w:rsidRDefault="00BB2DD1" w:rsidP="00BB2DD1">
      <w:r>
        <w:t>FAO; WFP. 2010. FAO/WFP Crop and Food Security Assessment Mission to Mozambique. Rome, Italy: Food and Agriculture Organization of the United Nations (FAO) and United Nations World Food Program (WFP).</w:t>
      </w:r>
    </w:p>
    <w:p w:rsidR="00BB2DD1" w:rsidRDefault="00BB2DD1" w:rsidP="00BB2DD1">
      <w:r>
        <w:t>Meeuws, R. 2004. Mozambique trade and transport facilitation audit. Report submitted to the World Bank. Rijswijk, The Netherlands: NEA Transport Research and Training.</w:t>
      </w:r>
    </w:p>
    <w:p w:rsidR="00BB2DD1" w:rsidRDefault="00BB2DD1" w:rsidP="00BB2DD1">
      <w:r>
        <w:t>MIC. 2004. Removing Obstacles to Economic Growth in Mozambique: A Diagnostic Trade Integration Study. Volume 2: Main Report. Maputo, Mozambique: Ministry of Industry and Trade (MIC).</w:t>
      </w:r>
    </w:p>
    <w:p w:rsidR="00BB2DD1" w:rsidRDefault="00BB2DD1" w:rsidP="00BB2DD1">
      <w:r>
        <w:t>Tostao, E.; Tschirley, D. 2010. On the Role of Government in Food Staples Markets: Perspectives from Recent Research and Implications for Mozambique. Flash 54E. Maputo, Mozambique: Ministry of Agriculture (MINAG).</w:t>
      </w:r>
    </w:p>
    <w:p w:rsidR="00A126A0" w:rsidRDefault="00BB2DD1" w:rsidP="00BB2DD1">
      <w:r>
        <w:t xml:space="preserve">Tschirley, D.; Abdula, D. 2007. Toward Improved Maize Marketing Trade Policies to Promote Household Food Security in Central and Southern Mozambique: 2007 update. Research Report 62E. Maputo, Mozambique: Ministry of Agricultural Rural Development, Economics Directorate. </w:t>
      </w:r>
    </w:p>
    <w:p w:rsidR="002059BF" w:rsidRDefault="002059BF" w:rsidP="002059BF">
      <w:pPr>
        <w:jc w:val="center"/>
      </w:pPr>
    </w:p>
    <w:p w:rsidR="00D21D2D" w:rsidRDefault="00D21D2D" w:rsidP="002059BF">
      <w:pPr>
        <w:jc w:val="center"/>
      </w:pPr>
    </w:p>
    <w:p w:rsidR="00727084" w:rsidRDefault="00727084" w:rsidP="002059BF">
      <w:pPr>
        <w:jc w:val="center"/>
        <w:sectPr w:rsidR="00727084" w:rsidSect="00D21D2D">
          <w:pgSz w:w="11906" w:h="16838" w:code="9"/>
          <w:pgMar w:top="1418" w:right="1418" w:bottom="1418" w:left="1418" w:header="709" w:footer="709" w:gutter="0"/>
          <w:cols w:space="708"/>
          <w:docGrid w:linePitch="360"/>
        </w:sectPr>
      </w:pPr>
    </w:p>
    <w:p w:rsidR="0046492B" w:rsidRPr="004E2502" w:rsidRDefault="0046492B" w:rsidP="002059BF">
      <w:pPr>
        <w:jc w:val="center"/>
      </w:pPr>
    </w:p>
    <w:sectPr w:rsidR="0046492B" w:rsidRPr="004E2502" w:rsidSect="002059BF">
      <w:headerReference w:type="default" r:id="rId59"/>
      <w:footerReference w:type="default" r:id="rId60"/>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28B465" w15:done="0"/>
  <w15:commentEx w15:paraId="4C9D70DD" w15:done="0"/>
  <w15:commentEx w15:paraId="4EFFB6F6" w15:done="0"/>
  <w15:commentEx w15:paraId="3BEA8C60" w15:done="0"/>
  <w15:commentEx w15:paraId="219475D0" w15:done="0"/>
  <w15:commentEx w15:paraId="3CD8BA6D" w15:done="0"/>
  <w15:commentEx w15:paraId="029DE5BD" w15:done="0"/>
  <w15:commentEx w15:paraId="263F1C41" w15:done="0"/>
  <w15:commentEx w15:paraId="511214C5" w15:done="0"/>
  <w15:commentEx w15:paraId="37953B13" w15:done="0"/>
  <w15:commentEx w15:paraId="1A98C0F9" w15:done="0"/>
  <w15:commentEx w15:paraId="4684AA9D" w15:done="0"/>
  <w15:commentEx w15:paraId="57ADB5A7" w15:done="0"/>
  <w15:commentEx w15:paraId="5CC43E80" w15:done="0"/>
  <w15:commentEx w15:paraId="4CA2C339" w15:done="0"/>
  <w15:commentEx w15:paraId="04232A7E" w15:done="0"/>
  <w15:commentEx w15:paraId="2B905E91" w15:done="0"/>
  <w15:commentEx w15:paraId="48666A99" w15:done="0"/>
  <w15:commentEx w15:paraId="6899AC46" w15:done="0"/>
  <w15:commentEx w15:paraId="5306723F" w15:done="0"/>
  <w15:commentEx w15:paraId="01CE58EE" w15:done="0"/>
  <w15:commentEx w15:paraId="4542A988" w15:done="0"/>
  <w15:commentEx w15:paraId="57BFDBE6" w15:done="0"/>
  <w15:commentEx w15:paraId="6A8C8F09" w15:done="0"/>
  <w15:commentEx w15:paraId="5C715F91" w15:done="0"/>
  <w15:commentEx w15:paraId="39BCAFEC" w15:done="0"/>
  <w15:commentEx w15:paraId="5329C37B" w15:done="0"/>
  <w15:commentEx w15:paraId="47EDCB18" w15:done="0"/>
  <w15:commentEx w15:paraId="6B609CAB" w15:done="0"/>
  <w15:commentEx w15:paraId="12888D26" w15:done="0"/>
  <w15:commentEx w15:paraId="1B9BA8C6" w15:done="0"/>
  <w15:commentEx w15:paraId="5C5797DA" w15:done="0"/>
  <w15:commentEx w15:paraId="4CA1706F" w15:done="0"/>
  <w15:commentEx w15:paraId="74DFC03A" w15:done="0"/>
  <w15:commentEx w15:paraId="03A69300" w15:done="0"/>
  <w15:commentEx w15:paraId="47D939DF" w15:done="0"/>
  <w15:commentEx w15:paraId="0F403452" w15:done="0"/>
  <w15:commentEx w15:paraId="5C1EF28C" w15:done="0"/>
  <w15:commentEx w15:paraId="5962F2C7" w15:done="0"/>
  <w15:commentEx w15:paraId="776BF7E4" w15:done="0"/>
  <w15:commentEx w15:paraId="101D74E5" w15:done="0"/>
  <w15:commentEx w15:paraId="4007908F" w15:done="0"/>
  <w15:commentEx w15:paraId="761FFF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E0D" w:rsidRDefault="002D4E0D" w:rsidP="00CC0513">
      <w:pPr>
        <w:spacing w:after="0" w:line="240" w:lineRule="auto"/>
      </w:pPr>
      <w:r>
        <w:separator/>
      </w:r>
    </w:p>
  </w:endnote>
  <w:endnote w:type="continuationSeparator" w:id="0">
    <w:p w:rsidR="002D4E0D" w:rsidRDefault="002D4E0D" w:rsidP="00CC0513">
      <w:pPr>
        <w:spacing w:after="0" w:line="240" w:lineRule="auto"/>
      </w:pPr>
      <w:r>
        <w:continuationSeparator/>
      </w:r>
    </w:p>
  </w:endnote>
  <w:endnote w:type="continuationNotice" w:id="1">
    <w:p w:rsidR="002D4E0D" w:rsidRDefault="002D4E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312" w:rsidRPr="00D10DBF" w:rsidRDefault="002F3312">
    <w:pPr>
      <w:pStyle w:val="Footer"/>
      <w:rPr>
        <w:rFonts w:eastAsiaTheme="majorEastAsia" w:cstheme="majorBidi"/>
        <w:color w:val="808080" w:themeColor="background1" w:themeShade="80"/>
        <w:sz w:val="18"/>
      </w:rPr>
    </w:pPr>
    <w:r>
      <w:rPr>
        <w:rFonts w:eastAsiaTheme="majorEastAsia" w:cstheme="majorBidi"/>
        <w:color w:val="808080" w:themeColor="background1" w:themeShade="80"/>
        <w:sz w:val="18"/>
      </w:rPr>
      <w:t>Monitoring African Food and Agricultural Policies (MAFAP)</w:t>
    </w:r>
    <w:r>
      <w:rPr>
        <w:rFonts w:eastAsiaTheme="majorEastAsia" w:cstheme="majorBidi"/>
        <w:color w:val="808080" w:themeColor="background1" w:themeShade="80"/>
        <w:sz w:val="18"/>
      </w:rPr>
      <w:ptab w:relativeTo="margin" w:alignment="right" w:leader="none"/>
    </w:r>
    <w:r>
      <w:rPr>
        <w:rFonts w:eastAsiaTheme="majorEastAsia" w:cstheme="majorBidi"/>
        <w:color w:val="808080" w:themeColor="background1" w:themeShade="80"/>
        <w:sz w:val="18"/>
      </w:rPr>
      <w:t xml:space="preserve"> </w:t>
    </w:r>
    <w:r>
      <w:rPr>
        <w:color w:val="808080" w:themeColor="background1" w:themeShade="80"/>
        <w:sz w:val="18"/>
      </w:rPr>
      <w:fldChar w:fldCharType="begin"/>
    </w:r>
    <w:r>
      <w:rPr>
        <w:color w:val="808080" w:themeColor="background1" w:themeShade="80"/>
        <w:sz w:val="18"/>
      </w:rPr>
      <w:instrText xml:space="preserve"> PAGE   \* MERGEFORMAT </w:instrText>
    </w:r>
    <w:r>
      <w:rPr>
        <w:color w:val="808080" w:themeColor="background1" w:themeShade="80"/>
        <w:sz w:val="18"/>
      </w:rPr>
      <w:fldChar w:fldCharType="separate"/>
    </w:r>
    <w:r w:rsidRPr="00D10DBF">
      <w:rPr>
        <w:rFonts w:eastAsiaTheme="majorEastAsia" w:cstheme="majorBidi"/>
        <w:noProof/>
        <w:color w:val="808080" w:themeColor="background1" w:themeShade="80"/>
        <w:sz w:val="18"/>
      </w:rPr>
      <w:t>2</w:t>
    </w:r>
    <w:r>
      <w:rPr>
        <w:rFonts w:eastAsiaTheme="majorEastAsia" w:cstheme="majorBidi"/>
        <w:noProof/>
        <w:color w:val="808080" w:themeColor="background1" w:themeShade="80"/>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690138"/>
      <w:docPartObj>
        <w:docPartGallery w:val="Page Numbers (Bottom of Page)"/>
        <w:docPartUnique/>
      </w:docPartObj>
    </w:sdtPr>
    <w:sdtEndPr>
      <w:rPr>
        <w:noProof/>
      </w:rPr>
    </w:sdtEndPr>
    <w:sdtContent>
      <w:p w:rsidR="002F3312" w:rsidRPr="00AC22A4" w:rsidRDefault="002F3312" w:rsidP="00AC22A4">
        <w:pPr>
          <w:pStyle w:val="Footer"/>
          <w:rPr>
            <w:rFonts w:eastAsiaTheme="majorEastAsia" w:cstheme="majorBidi"/>
            <w:noProof/>
            <w:color w:val="808080" w:themeColor="background1" w:themeShade="80"/>
            <w:sz w:val="18"/>
          </w:rPr>
        </w:pPr>
        <w:r>
          <w:rPr>
            <w:color w:val="808080" w:themeColor="background1" w:themeShade="80"/>
            <w:sz w:val="18"/>
          </w:rPr>
          <w:fldChar w:fldCharType="begin"/>
        </w:r>
        <w:r>
          <w:rPr>
            <w:color w:val="808080" w:themeColor="background1" w:themeShade="80"/>
            <w:sz w:val="18"/>
          </w:rPr>
          <w:instrText xml:space="preserve"> PAGE   \* MERGEFORMAT </w:instrText>
        </w:r>
        <w:r>
          <w:rPr>
            <w:color w:val="808080" w:themeColor="background1" w:themeShade="80"/>
            <w:sz w:val="18"/>
          </w:rPr>
          <w:fldChar w:fldCharType="separate"/>
        </w:r>
        <w:r w:rsidR="007C0FAB" w:rsidRPr="007C0FAB">
          <w:rPr>
            <w:rFonts w:eastAsiaTheme="majorEastAsia" w:cstheme="majorBidi"/>
            <w:noProof/>
            <w:color w:val="808080" w:themeColor="background1" w:themeShade="80"/>
            <w:sz w:val="18"/>
          </w:rPr>
          <w:t>42</w:t>
        </w:r>
        <w:r>
          <w:rPr>
            <w:rFonts w:eastAsiaTheme="majorEastAsia" w:cstheme="majorBidi"/>
            <w:noProof/>
            <w:color w:val="808080" w:themeColor="background1" w:themeShade="80"/>
            <w:sz w:val="18"/>
          </w:rPr>
          <w:fldChar w:fldCharType="end"/>
        </w:r>
        <w:r>
          <w:rPr>
            <w:rFonts w:eastAsiaTheme="majorEastAsia" w:cstheme="majorBidi"/>
            <w:noProof/>
            <w:color w:val="808080" w:themeColor="background1" w:themeShade="80"/>
            <w:sz w:val="18"/>
          </w:rPr>
          <w:t xml:space="preserve"> </w:t>
        </w:r>
        <w:r>
          <w:rPr>
            <w:rFonts w:eastAsiaTheme="majorEastAsia" w:cstheme="majorBidi"/>
            <w:noProof/>
            <w:color w:val="808080" w:themeColor="background1" w:themeShade="80"/>
            <w:sz w:val="18"/>
          </w:rPr>
          <w:tab/>
        </w:r>
        <w:r>
          <w:rPr>
            <w:rFonts w:eastAsiaTheme="majorEastAsia" w:cstheme="majorBidi"/>
            <w:noProof/>
            <w:color w:val="808080" w:themeColor="background1" w:themeShade="80"/>
            <w:sz w:val="18"/>
          </w:rPr>
          <w:tab/>
          <w:t>Monitoring and Analysing Food and Agricultural Policies (MAFAP)</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312" w:rsidRDefault="002F331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E0D" w:rsidRDefault="002D4E0D" w:rsidP="00CC0513">
      <w:pPr>
        <w:spacing w:after="0" w:line="240" w:lineRule="auto"/>
      </w:pPr>
      <w:r>
        <w:separator/>
      </w:r>
    </w:p>
  </w:footnote>
  <w:footnote w:type="continuationSeparator" w:id="0">
    <w:p w:rsidR="002D4E0D" w:rsidRDefault="002D4E0D" w:rsidP="00CC0513">
      <w:pPr>
        <w:spacing w:after="0" w:line="240" w:lineRule="auto"/>
      </w:pPr>
      <w:r>
        <w:continuationSeparator/>
      </w:r>
    </w:p>
  </w:footnote>
  <w:footnote w:type="continuationNotice" w:id="1">
    <w:p w:rsidR="002D4E0D" w:rsidRDefault="002D4E0D">
      <w:pPr>
        <w:spacing w:after="0" w:line="240" w:lineRule="auto"/>
      </w:pPr>
    </w:p>
  </w:footnote>
  <w:footnote w:id="2">
    <w:p w:rsidR="002F3312" w:rsidRDefault="002F3312">
      <w:pPr>
        <w:pStyle w:val="FootnoteText"/>
      </w:pPr>
      <w:r>
        <w:rPr>
          <w:rStyle w:val="FootnoteReference"/>
        </w:rPr>
        <w:footnoteRef/>
      </w:r>
      <w:r>
        <w:t xml:space="preserve"> Net maize sellers (buyers) are defined as households whose maize sales (purchases) outweigh their maize purchases (sales). When maize sales are equal to maize purchases then households are classified as autarkic. Here we assume that households sell all their maize production at the market and buy their maize consumption requirements from the market.</w:t>
      </w:r>
    </w:p>
  </w:footnote>
  <w:footnote w:id="3">
    <w:p w:rsidR="002F3312" w:rsidRDefault="002F3312">
      <w:pPr>
        <w:pStyle w:val="FootnoteText"/>
      </w:pPr>
      <w:r>
        <w:rPr>
          <w:rStyle w:val="FootnoteReference"/>
        </w:rPr>
        <w:footnoteRef/>
      </w:r>
      <w:r>
        <w:t xml:space="preserve"> </w:t>
      </w:r>
      <w:r w:rsidRPr="00751AE9">
        <w:rPr>
          <w:sz w:val="18"/>
          <w:szCs w:val="18"/>
        </w:rPr>
        <w:t>Northern Mozambique consists of Niassa, Cabo Delgado and Nampula provinces; Central Mozambique comprises of Zambezia, Tete, Manica and Sofala provinces; and Southern Mozambique includes Inhambane, Gaza and Maputo provinces.</w:t>
      </w:r>
    </w:p>
  </w:footnote>
  <w:footnote w:id="4">
    <w:p w:rsidR="002F3312" w:rsidRDefault="002F3312">
      <w:pPr>
        <w:pStyle w:val="FootnoteText"/>
      </w:pPr>
      <w:r>
        <w:rPr>
          <w:rStyle w:val="FootnoteReference"/>
        </w:rPr>
        <w:footnoteRef/>
      </w:r>
      <w:r>
        <w:t xml:space="preserve"> The distance between Maputo (Southern region) and Lichinga (Northern region) is estimated to be about 2,300 kilometers.</w:t>
      </w:r>
    </w:p>
  </w:footnote>
  <w:footnote w:id="5">
    <w:p w:rsidR="002F3312" w:rsidRDefault="002F3312">
      <w:pPr>
        <w:pStyle w:val="FootnoteText"/>
      </w:pPr>
      <w:r>
        <w:rPr>
          <w:rStyle w:val="FootnoteReference"/>
        </w:rPr>
        <w:footnoteRef/>
      </w:r>
      <w:r>
        <w:t xml:space="preserve"> FAO and WFP (2010) argue that the higher moisture content in domestically produced maize requires that the grain be milled immediately to avoid rotting. However, the grain quality is less of a concern for the feed industry.</w:t>
      </w:r>
    </w:p>
  </w:footnote>
  <w:footnote w:id="6">
    <w:p w:rsidR="002F3312" w:rsidRDefault="002F3312">
      <w:pPr>
        <w:pStyle w:val="FootnoteText"/>
      </w:pPr>
      <w:r>
        <w:rPr>
          <w:rStyle w:val="FootnoteReference"/>
        </w:rPr>
        <w:footnoteRef/>
      </w:r>
      <w:r>
        <w:t xml:space="preserve"> We do not know whether this silo capacity has been fully installed, but we are aware that some silos have been built. For instance, Tostao and Tschirley (2010) documented that six silos with aggregate capacity of 50 thousand tonnes were built in Tete province by January 2009.</w:t>
      </w:r>
    </w:p>
  </w:footnote>
  <w:footnote w:id="7">
    <w:p w:rsidR="002F3312" w:rsidRPr="00794549" w:rsidRDefault="002F3312" w:rsidP="00F8384F">
      <w:pPr>
        <w:pStyle w:val="FootnoteText"/>
      </w:pPr>
      <w:r w:rsidRPr="00FE73A3">
        <w:rPr>
          <w:rStyle w:val="FootnoteReference"/>
        </w:rPr>
        <w:footnoteRef/>
      </w:r>
      <w:r>
        <w:t xml:space="preserve"> Structural i</w:t>
      </w:r>
      <w:r w:rsidRPr="00794549">
        <w:t xml:space="preserve">nefficiencies </w:t>
      </w:r>
      <w:r>
        <w:t>in commodity</w:t>
      </w:r>
      <w:r w:rsidRPr="00794549">
        <w:t xml:space="preserve"> value chain</w:t>
      </w:r>
      <w:r>
        <w:t>s</w:t>
      </w:r>
      <w:r w:rsidRPr="00794549">
        <w:t xml:space="preserve"> may include government taxes and fees (excluding fees for services), high transpor</w:t>
      </w:r>
      <w:r>
        <w:t xml:space="preserve">tation and processing costs, </w:t>
      </w:r>
      <w:r w:rsidRPr="00794549">
        <w:t>high profit margins captured by various marketing agents</w:t>
      </w:r>
      <w:r>
        <w:t>, bribes and other non-tariff barriers</w:t>
      </w:r>
      <w:r w:rsidRPr="00794549">
        <w:t>.</w:t>
      </w:r>
    </w:p>
  </w:footnote>
  <w:footnote w:id="8">
    <w:p w:rsidR="002F3312" w:rsidRPr="00794549" w:rsidRDefault="002F3312" w:rsidP="00F8384F">
      <w:pPr>
        <w:pStyle w:val="FootnoteText"/>
      </w:pPr>
      <w:r w:rsidRPr="00FE73A3">
        <w:rPr>
          <w:rStyle w:val="FootnoteReference"/>
        </w:rPr>
        <w:footnoteRef/>
      </w:r>
      <w:r w:rsidRPr="00794549">
        <w:t xml:space="preserve"> The NRA indicator was not calculated for any of the commodities analyzed because of insufficient data on public expenditure. However, it will be developed in the forthcoming reports, as the public expenditure analysis is improved and better data are made available.</w:t>
      </w:r>
    </w:p>
  </w:footnote>
  <w:footnote w:id="9">
    <w:p w:rsidR="002F3312" w:rsidRDefault="002F3312">
      <w:pPr>
        <w:pStyle w:val="FootnoteText"/>
      </w:pPr>
      <w:r>
        <w:rPr>
          <w:rStyle w:val="FootnoteReference"/>
        </w:rPr>
        <w:footnoteRef/>
      </w:r>
      <w:r>
        <w:t xml:space="preserve"> CIF stands for cost, insurance and freight.</w:t>
      </w:r>
    </w:p>
  </w:footnote>
  <w:footnote w:id="10">
    <w:p w:rsidR="002F3312" w:rsidRDefault="002F3312">
      <w:pPr>
        <w:pStyle w:val="FootnoteText"/>
      </w:pPr>
      <w:r>
        <w:rPr>
          <w:rStyle w:val="FootnoteReference"/>
        </w:rPr>
        <w:footnoteRef/>
      </w:r>
      <w:r>
        <w:t xml:space="preserve"> The distance between Johanneburg to Ressano Garcia is estimated to be 474 Km.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312" w:rsidRDefault="007C0FAB">
    <w:pPr>
      <w:pStyle w:val="Header"/>
    </w:pPr>
    <w:r>
      <w:rPr>
        <w:noProof/>
      </w:rPr>
      <w:pict w14:anchorId="3374C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38851" o:spid="_x0000_s2052" type="#_x0000_t75" style="position:absolute;left:0;text-align:left;margin-left:0;margin-top:0;width:595.2pt;height:841.7pt;z-index:-251652096;mso-position-horizontal:center;mso-position-horizontal-relative:margin;mso-position-vertical:center;mso-position-vertical-relative:margin" o:allowincell="f">
          <v:imagedata r:id="rId1" o:title="template_1_MAFAP_SAPA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312" w:rsidRDefault="007C0FAB">
    <w:pPr>
      <w:pStyle w:val="Header"/>
    </w:pPr>
    <w:r>
      <w:rPr>
        <w:noProof/>
      </w:rPr>
      <w:pict w14:anchorId="21301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38852" o:spid="_x0000_s2053" type="#_x0000_t75" style="position:absolute;left:0;text-align:left;margin-left:0;margin-top:0;width:595.2pt;height:841.7pt;z-index:-251651072;mso-position-horizontal:center;mso-position-horizontal-relative:margin;mso-position-vertical:center;mso-position-vertical-relative:margin" o:allowincell="f">
          <v:imagedata r:id="rId1" o:title="template_1_MAFAP_SAPA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312" w:rsidRDefault="00043D8B" w:rsidP="00A60BEC">
    <w:pPr>
      <w:pStyle w:val="Header"/>
      <w:tabs>
        <w:tab w:val="left" w:pos="3131"/>
      </w:tabs>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065681" o:spid="_x0000_s2054" type="#_x0000_t75" style="position:absolute;left:0;text-align:left;margin-left:0;margin-top:0;width:595.2pt;height:841.7pt;z-index:-251649024;mso-position-horizontal:center;mso-position-horizontal-relative:margin;mso-position-vertical:center;mso-position-vertical-relative:margin" o:allowincell="f">
          <v:imagedata r:id="rId1" o:title="template_front_MAFAP_EN"/>
          <w10:wrap anchorx="margin" anchory="margin"/>
        </v:shape>
      </w:pict>
    </w:r>
    <w:r w:rsidR="002F3312">
      <w:tab/>
    </w:r>
  </w:p>
  <w:p w:rsidR="002F3312" w:rsidRDefault="002F33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312" w:rsidRPr="00AC22A4" w:rsidRDefault="002F3312" w:rsidP="00AC22A4">
    <w:pPr>
      <w:pStyle w:val="Header"/>
      <w:pBdr>
        <w:bottom w:val="single" w:sz="4" w:space="1" w:color="A6A6A6" w:themeColor="background1" w:themeShade="A6"/>
      </w:pBdr>
      <w:rPr>
        <w:color w:val="A6A6A6" w:themeColor="background1" w:themeShade="A6"/>
        <w:sz w:val="20"/>
      </w:rPr>
    </w:pPr>
    <w:r>
      <w:rPr>
        <w:color w:val="A6A6A6" w:themeColor="background1" w:themeShade="A6"/>
        <w:sz w:val="20"/>
      </w:rPr>
      <w:t>Analysis of price incentives and disincentives for maize in Mozambique 2005-2013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312" w:rsidRDefault="00043D8B">
    <w:pPr>
      <w:pStyle w:val="Heade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1877708" o:spid="_x0000_s2055" type="#_x0000_t75" style="position:absolute;left:0;text-align:left;margin-left:0;margin-top:0;width:595.2pt;height:841.7pt;z-index:-251646976;mso-position-horizontal:center;mso-position-horizontal-relative:margin;mso-position-vertical:center;mso-position-vertical-relative:margin" o:allowincell="f">
          <v:imagedata r:id="rId1" o:title="template_back_MAFAP_EN"/>
          <w10:wrap anchorx="margin" anchory="margin"/>
        </v:shape>
      </w:pict>
    </w:r>
    <w:r w:rsidRPr="00043D8B">
      <w:rPr>
        <w:rFonts w:ascii="Times New Roman" w:hAnsi="Times New Roman" w:cs="Times New Roman"/>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45"/>
      </v:shape>
    </w:pict>
  </w:numPicBullet>
  <w:abstractNum w:abstractNumId="0">
    <w:nsid w:val="01CD4C3A"/>
    <w:multiLevelType w:val="hybridMultilevel"/>
    <w:tmpl w:val="0CC2DD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5DF636C"/>
    <w:multiLevelType w:val="multilevel"/>
    <w:tmpl w:val="F43C35F2"/>
    <w:lvl w:ilvl="0">
      <w:start w:val="1"/>
      <w:numFmt w:val="decimal"/>
      <w:lvlText w:val="%1."/>
      <w:lvlJc w:val="left"/>
      <w:pPr>
        <w:tabs>
          <w:tab w:val="num" w:pos="720"/>
        </w:tabs>
        <w:ind w:left="720" w:hanging="720"/>
      </w:pPr>
      <w:rPr>
        <w:rFonts w:hint="default"/>
        <w:i w:val="0"/>
        <w:sz w:val="16"/>
        <w:szCs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A341497"/>
    <w:multiLevelType w:val="hybridMultilevel"/>
    <w:tmpl w:val="589E1C1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534236"/>
    <w:multiLevelType w:val="hybridMultilevel"/>
    <w:tmpl w:val="84F890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D859DB"/>
    <w:multiLevelType w:val="hybridMultilevel"/>
    <w:tmpl w:val="43D21E14"/>
    <w:lvl w:ilvl="0" w:tplc="0409000F">
      <w:start w:val="4"/>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3D7496"/>
    <w:multiLevelType w:val="hybridMultilevel"/>
    <w:tmpl w:val="BA98D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A3167B"/>
    <w:multiLevelType w:val="hybridMultilevel"/>
    <w:tmpl w:val="B04A9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B05CED"/>
    <w:multiLevelType w:val="hybridMultilevel"/>
    <w:tmpl w:val="34DAF8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87275E0"/>
    <w:multiLevelType w:val="multilevel"/>
    <w:tmpl w:val="8DE893A6"/>
    <w:lvl w:ilvl="0">
      <w:start w:val="1"/>
      <w:numFmt w:val="decimal"/>
      <w:lvlText w:val="%1."/>
      <w:lvlJc w:val="left"/>
      <w:pPr>
        <w:tabs>
          <w:tab w:val="num" w:pos="720"/>
        </w:tabs>
        <w:ind w:left="720" w:hanging="720"/>
      </w:pPr>
      <w:rPr>
        <w:rFonts w:hint="default"/>
        <w:i w:val="0"/>
        <w:sz w:val="16"/>
        <w:szCs w:val="16"/>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nsid w:val="1C897B04"/>
    <w:multiLevelType w:val="hybridMultilevel"/>
    <w:tmpl w:val="87203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106AF6"/>
    <w:multiLevelType w:val="hybridMultilevel"/>
    <w:tmpl w:val="EEC6E2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269F5441"/>
    <w:multiLevelType w:val="multilevel"/>
    <w:tmpl w:val="8DE893A6"/>
    <w:lvl w:ilvl="0">
      <w:start w:val="1"/>
      <w:numFmt w:val="decimal"/>
      <w:lvlText w:val="%1."/>
      <w:lvlJc w:val="left"/>
      <w:pPr>
        <w:tabs>
          <w:tab w:val="num" w:pos="720"/>
        </w:tabs>
        <w:ind w:left="720" w:hanging="720"/>
      </w:pPr>
      <w:rPr>
        <w:rFonts w:hint="default"/>
        <w:i w:val="0"/>
        <w:sz w:val="16"/>
        <w:szCs w:val="16"/>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nsid w:val="26A95A59"/>
    <w:multiLevelType w:val="hybridMultilevel"/>
    <w:tmpl w:val="6AC0A812"/>
    <w:lvl w:ilvl="0" w:tplc="7BCA5884">
      <w:start w:val="1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411781"/>
    <w:multiLevelType w:val="hybridMultilevel"/>
    <w:tmpl w:val="41444582"/>
    <w:lvl w:ilvl="0" w:tplc="7BCA5884">
      <w:start w:val="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516941"/>
    <w:multiLevelType w:val="hybridMultilevel"/>
    <w:tmpl w:val="3DD69D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724D3A"/>
    <w:multiLevelType w:val="hybridMultilevel"/>
    <w:tmpl w:val="F77A8E68"/>
    <w:lvl w:ilvl="0" w:tplc="7BCA5884">
      <w:start w:val="1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D0604F9"/>
    <w:multiLevelType w:val="hybridMultilevel"/>
    <w:tmpl w:val="EB884E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32B3DB2"/>
    <w:multiLevelType w:val="hybridMultilevel"/>
    <w:tmpl w:val="FDB47C4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38C4B74"/>
    <w:multiLevelType w:val="hybridMultilevel"/>
    <w:tmpl w:val="B3A8D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7643D32"/>
    <w:multiLevelType w:val="hybridMultilevel"/>
    <w:tmpl w:val="D89EB84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8969A9"/>
    <w:multiLevelType w:val="multilevel"/>
    <w:tmpl w:val="EADEEAA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D912FBE"/>
    <w:multiLevelType w:val="hybridMultilevel"/>
    <w:tmpl w:val="715E8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33E701A"/>
    <w:multiLevelType w:val="hybridMultilevel"/>
    <w:tmpl w:val="A4364AF6"/>
    <w:lvl w:ilvl="0" w:tplc="7BCA5884">
      <w:start w:val="1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4000E4"/>
    <w:multiLevelType w:val="hybridMultilevel"/>
    <w:tmpl w:val="C34E0A9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48F77F23"/>
    <w:multiLevelType w:val="hybridMultilevel"/>
    <w:tmpl w:val="68E47360"/>
    <w:lvl w:ilvl="0" w:tplc="F8D0F7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414B64"/>
    <w:multiLevelType w:val="multilevel"/>
    <w:tmpl w:val="8DE893A6"/>
    <w:lvl w:ilvl="0">
      <w:start w:val="1"/>
      <w:numFmt w:val="decimal"/>
      <w:lvlText w:val="%1."/>
      <w:lvlJc w:val="left"/>
      <w:pPr>
        <w:tabs>
          <w:tab w:val="num" w:pos="720"/>
        </w:tabs>
        <w:ind w:left="720" w:hanging="720"/>
      </w:pPr>
      <w:rPr>
        <w:rFonts w:hint="default"/>
        <w:i w:val="0"/>
        <w:sz w:val="16"/>
        <w:szCs w:val="16"/>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6">
    <w:nsid w:val="4E4873F0"/>
    <w:multiLevelType w:val="hybridMultilevel"/>
    <w:tmpl w:val="5A248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0D7A0C"/>
    <w:multiLevelType w:val="hybridMultilevel"/>
    <w:tmpl w:val="CAC224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FCE64D8"/>
    <w:multiLevelType w:val="hybridMultilevel"/>
    <w:tmpl w:val="FFB2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EE3FCA"/>
    <w:multiLevelType w:val="hybridMultilevel"/>
    <w:tmpl w:val="CEE6E6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BB79D2"/>
    <w:multiLevelType w:val="multilevel"/>
    <w:tmpl w:val="8DE893A6"/>
    <w:lvl w:ilvl="0">
      <w:start w:val="1"/>
      <w:numFmt w:val="decimal"/>
      <w:lvlText w:val="%1."/>
      <w:lvlJc w:val="left"/>
      <w:pPr>
        <w:tabs>
          <w:tab w:val="num" w:pos="720"/>
        </w:tabs>
        <w:ind w:left="720" w:hanging="720"/>
      </w:pPr>
      <w:rPr>
        <w:rFonts w:hint="default"/>
        <w:i w:val="0"/>
        <w:sz w:val="16"/>
        <w:szCs w:val="16"/>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1">
    <w:nsid w:val="55EF6D95"/>
    <w:multiLevelType w:val="hybridMultilevel"/>
    <w:tmpl w:val="8AA438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881135A"/>
    <w:multiLevelType w:val="hybridMultilevel"/>
    <w:tmpl w:val="38E86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895122B"/>
    <w:multiLevelType w:val="hybridMultilevel"/>
    <w:tmpl w:val="703C1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BE6D71"/>
    <w:multiLevelType w:val="multilevel"/>
    <w:tmpl w:val="8DE893A6"/>
    <w:lvl w:ilvl="0">
      <w:start w:val="1"/>
      <w:numFmt w:val="decimal"/>
      <w:lvlText w:val="%1."/>
      <w:lvlJc w:val="left"/>
      <w:pPr>
        <w:tabs>
          <w:tab w:val="num" w:pos="720"/>
        </w:tabs>
        <w:ind w:left="720" w:hanging="720"/>
      </w:pPr>
      <w:rPr>
        <w:rFonts w:hint="default"/>
        <w:i w:val="0"/>
        <w:sz w:val="16"/>
        <w:szCs w:val="16"/>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5">
    <w:nsid w:val="634D5F3B"/>
    <w:multiLevelType w:val="hybridMultilevel"/>
    <w:tmpl w:val="39CEF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367649"/>
    <w:multiLevelType w:val="hybridMultilevel"/>
    <w:tmpl w:val="444EBB74"/>
    <w:lvl w:ilvl="0" w:tplc="3B4656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64A5FA0"/>
    <w:multiLevelType w:val="hybridMultilevel"/>
    <w:tmpl w:val="C30C22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6F0471E"/>
    <w:multiLevelType w:val="hybridMultilevel"/>
    <w:tmpl w:val="3BBC1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D97104"/>
    <w:multiLevelType w:val="multilevel"/>
    <w:tmpl w:val="8DE893A6"/>
    <w:lvl w:ilvl="0">
      <w:start w:val="1"/>
      <w:numFmt w:val="decimal"/>
      <w:lvlText w:val="%1."/>
      <w:lvlJc w:val="left"/>
      <w:pPr>
        <w:tabs>
          <w:tab w:val="num" w:pos="720"/>
        </w:tabs>
        <w:ind w:left="720" w:hanging="720"/>
      </w:pPr>
      <w:rPr>
        <w:rFonts w:hint="default"/>
        <w:i w:val="0"/>
        <w:sz w:val="16"/>
        <w:szCs w:val="16"/>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0">
    <w:nsid w:val="6B556692"/>
    <w:multiLevelType w:val="hybridMultilevel"/>
    <w:tmpl w:val="9312B1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EF21460"/>
    <w:multiLevelType w:val="hybridMultilevel"/>
    <w:tmpl w:val="D5F84260"/>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2">
    <w:nsid w:val="73EF598B"/>
    <w:multiLevelType w:val="hybridMultilevel"/>
    <w:tmpl w:val="B04A9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91643A"/>
    <w:multiLevelType w:val="hybridMultilevel"/>
    <w:tmpl w:val="BCE2DB0C"/>
    <w:lvl w:ilvl="0" w:tplc="3B465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23532A"/>
    <w:multiLevelType w:val="hybridMultilevel"/>
    <w:tmpl w:val="6B88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516032"/>
    <w:multiLevelType w:val="hybridMultilevel"/>
    <w:tmpl w:val="62802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E1119BF"/>
    <w:multiLevelType w:val="multilevel"/>
    <w:tmpl w:val="39DE709A"/>
    <w:lvl w:ilvl="0">
      <w:start w:val="11"/>
      <w:numFmt w:val="decimal"/>
      <w:lvlText w:val="%1."/>
      <w:lvlJc w:val="left"/>
      <w:pPr>
        <w:tabs>
          <w:tab w:val="num" w:pos="720"/>
        </w:tabs>
        <w:ind w:left="720" w:hanging="720"/>
      </w:pPr>
      <w:rPr>
        <w:rFonts w:hint="default"/>
        <w:i w:val="0"/>
        <w:sz w:val="16"/>
        <w:szCs w:val="16"/>
        <w:lang w:val="en-US"/>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7">
    <w:nsid w:val="7F995A5E"/>
    <w:multiLevelType w:val="hybridMultilevel"/>
    <w:tmpl w:val="18A84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F9E349A"/>
    <w:multiLevelType w:val="multilevel"/>
    <w:tmpl w:val="F43C35F2"/>
    <w:lvl w:ilvl="0">
      <w:start w:val="1"/>
      <w:numFmt w:val="decimal"/>
      <w:lvlText w:val="%1."/>
      <w:lvlJc w:val="left"/>
      <w:pPr>
        <w:tabs>
          <w:tab w:val="num" w:pos="862"/>
        </w:tabs>
        <w:ind w:left="862" w:hanging="720"/>
      </w:pPr>
      <w:rPr>
        <w:rFonts w:hint="default"/>
        <w:i w:val="0"/>
        <w:sz w:val="16"/>
        <w:szCs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45"/>
  </w:num>
  <w:num w:numId="3">
    <w:abstractNumId w:val="19"/>
  </w:num>
  <w:num w:numId="4">
    <w:abstractNumId w:val="27"/>
  </w:num>
  <w:num w:numId="5">
    <w:abstractNumId w:val="18"/>
  </w:num>
  <w:num w:numId="6">
    <w:abstractNumId w:val="3"/>
  </w:num>
  <w:num w:numId="7">
    <w:abstractNumId w:val="11"/>
  </w:num>
  <w:num w:numId="8">
    <w:abstractNumId w:val="48"/>
  </w:num>
  <w:num w:numId="9">
    <w:abstractNumId w:val="1"/>
  </w:num>
  <w:num w:numId="10">
    <w:abstractNumId w:val="34"/>
  </w:num>
  <w:num w:numId="11">
    <w:abstractNumId w:val="25"/>
  </w:num>
  <w:num w:numId="12">
    <w:abstractNumId w:val="46"/>
  </w:num>
  <w:num w:numId="13">
    <w:abstractNumId w:val="30"/>
  </w:num>
  <w:num w:numId="14">
    <w:abstractNumId w:val="39"/>
  </w:num>
  <w:num w:numId="15">
    <w:abstractNumId w:val="8"/>
  </w:num>
  <w:num w:numId="16">
    <w:abstractNumId w:val="4"/>
  </w:num>
  <w:num w:numId="17">
    <w:abstractNumId w:val="20"/>
  </w:num>
  <w:num w:numId="18">
    <w:abstractNumId w:val="14"/>
  </w:num>
  <w:num w:numId="19">
    <w:abstractNumId w:val="29"/>
  </w:num>
  <w:num w:numId="20">
    <w:abstractNumId w:val="41"/>
  </w:num>
  <w:num w:numId="21">
    <w:abstractNumId w:val="26"/>
  </w:num>
  <w:num w:numId="22">
    <w:abstractNumId w:val="24"/>
  </w:num>
  <w:num w:numId="23">
    <w:abstractNumId w:val="38"/>
  </w:num>
  <w:num w:numId="24">
    <w:abstractNumId w:val="33"/>
  </w:num>
  <w:num w:numId="25">
    <w:abstractNumId w:val="36"/>
  </w:num>
  <w:num w:numId="26">
    <w:abstractNumId w:val="43"/>
  </w:num>
  <w:num w:numId="27">
    <w:abstractNumId w:val="40"/>
  </w:num>
  <w:num w:numId="28">
    <w:abstractNumId w:val="17"/>
  </w:num>
  <w:num w:numId="29">
    <w:abstractNumId w:val="23"/>
  </w:num>
  <w:num w:numId="30">
    <w:abstractNumId w:val="6"/>
  </w:num>
  <w:num w:numId="31">
    <w:abstractNumId w:val="35"/>
  </w:num>
  <w:num w:numId="32">
    <w:abstractNumId w:val="16"/>
  </w:num>
  <w:num w:numId="33">
    <w:abstractNumId w:val="21"/>
  </w:num>
  <w:num w:numId="34">
    <w:abstractNumId w:val="28"/>
  </w:num>
  <w:num w:numId="35">
    <w:abstractNumId w:val="13"/>
  </w:num>
  <w:num w:numId="36">
    <w:abstractNumId w:val="9"/>
  </w:num>
  <w:num w:numId="37">
    <w:abstractNumId w:val="5"/>
  </w:num>
  <w:num w:numId="38">
    <w:abstractNumId w:val="32"/>
  </w:num>
  <w:num w:numId="39">
    <w:abstractNumId w:val="37"/>
  </w:num>
  <w:num w:numId="40">
    <w:abstractNumId w:val="47"/>
  </w:num>
  <w:num w:numId="41">
    <w:abstractNumId w:val="15"/>
  </w:num>
  <w:num w:numId="42">
    <w:abstractNumId w:val="22"/>
  </w:num>
  <w:num w:numId="43">
    <w:abstractNumId w:val="12"/>
  </w:num>
  <w:num w:numId="44">
    <w:abstractNumId w:val="2"/>
  </w:num>
  <w:num w:numId="45">
    <w:abstractNumId w:val="10"/>
  </w:num>
  <w:num w:numId="46">
    <w:abstractNumId w:val="31"/>
  </w:num>
  <w:num w:numId="47">
    <w:abstractNumId w:val="42"/>
  </w:num>
  <w:num w:numId="48">
    <w:abstractNumId w:val="0"/>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324"/>
    <w:rsid w:val="0000117F"/>
    <w:rsid w:val="000032B9"/>
    <w:rsid w:val="00006EF3"/>
    <w:rsid w:val="0000707C"/>
    <w:rsid w:val="000070A0"/>
    <w:rsid w:val="00007DAC"/>
    <w:rsid w:val="00011E50"/>
    <w:rsid w:val="000138B1"/>
    <w:rsid w:val="00013B99"/>
    <w:rsid w:val="000140D7"/>
    <w:rsid w:val="000141DF"/>
    <w:rsid w:val="0001539E"/>
    <w:rsid w:val="000167AF"/>
    <w:rsid w:val="00017121"/>
    <w:rsid w:val="0002073D"/>
    <w:rsid w:val="00020C57"/>
    <w:rsid w:val="0002158E"/>
    <w:rsid w:val="0002169A"/>
    <w:rsid w:val="00022500"/>
    <w:rsid w:val="00024528"/>
    <w:rsid w:val="0002619F"/>
    <w:rsid w:val="00026598"/>
    <w:rsid w:val="000265DE"/>
    <w:rsid w:val="00026A6F"/>
    <w:rsid w:val="00026DAD"/>
    <w:rsid w:val="00027F2A"/>
    <w:rsid w:val="000307FF"/>
    <w:rsid w:val="00031245"/>
    <w:rsid w:val="000341D7"/>
    <w:rsid w:val="0003471F"/>
    <w:rsid w:val="0003604A"/>
    <w:rsid w:val="00036792"/>
    <w:rsid w:val="00036893"/>
    <w:rsid w:val="00042EBA"/>
    <w:rsid w:val="00043B55"/>
    <w:rsid w:val="00043B64"/>
    <w:rsid w:val="00043D8B"/>
    <w:rsid w:val="0004427F"/>
    <w:rsid w:val="00044B55"/>
    <w:rsid w:val="00045AA7"/>
    <w:rsid w:val="00046B50"/>
    <w:rsid w:val="0004740E"/>
    <w:rsid w:val="00052295"/>
    <w:rsid w:val="0005236A"/>
    <w:rsid w:val="00052F2B"/>
    <w:rsid w:val="000539D6"/>
    <w:rsid w:val="00053E31"/>
    <w:rsid w:val="000553C0"/>
    <w:rsid w:val="000557EE"/>
    <w:rsid w:val="00055F83"/>
    <w:rsid w:val="00057473"/>
    <w:rsid w:val="0006048A"/>
    <w:rsid w:val="0006168A"/>
    <w:rsid w:val="0006299E"/>
    <w:rsid w:val="00062B7D"/>
    <w:rsid w:val="00063F89"/>
    <w:rsid w:val="0006488A"/>
    <w:rsid w:val="00064E21"/>
    <w:rsid w:val="00065158"/>
    <w:rsid w:val="00065461"/>
    <w:rsid w:val="00066529"/>
    <w:rsid w:val="000677CF"/>
    <w:rsid w:val="00070F5C"/>
    <w:rsid w:val="00074C65"/>
    <w:rsid w:val="000771A8"/>
    <w:rsid w:val="000771D0"/>
    <w:rsid w:val="000775CB"/>
    <w:rsid w:val="0007766E"/>
    <w:rsid w:val="00080324"/>
    <w:rsid w:val="0008134F"/>
    <w:rsid w:val="000818EE"/>
    <w:rsid w:val="00082129"/>
    <w:rsid w:val="000825E0"/>
    <w:rsid w:val="00083AA8"/>
    <w:rsid w:val="000844DA"/>
    <w:rsid w:val="00084D59"/>
    <w:rsid w:val="0008566C"/>
    <w:rsid w:val="00087C77"/>
    <w:rsid w:val="000947BC"/>
    <w:rsid w:val="00095519"/>
    <w:rsid w:val="00096B48"/>
    <w:rsid w:val="000A0D4C"/>
    <w:rsid w:val="000A42BB"/>
    <w:rsid w:val="000A4F1A"/>
    <w:rsid w:val="000A6EDD"/>
    <w:rsid w:val="000B0186"/>
    <w:rsid w:val="000B0A43"/>
    <w:rsid w:val="000B3AE0"/>
    <w:rsid w:val="000B3E21"/>
    <w:rsid w:val="000B4054"/>
    <w:rsid w:val="000B43CA"/>
    <w:rsid w:val="000B4F76"/>
    <w:rsid w:val="000C190A"/>
    <w:rsid w:val="000C1ADA"/>
    <w:rsid w:val="000C1EDC"/>
    <w:rsid w:val="000C2480"/>
    <w:rsid w:val="000C29D2"/>
    <w:rsid w:val="000C466D"/>
    <w:rsid w:val="000C733E"/>
    <w:rsid w:val="000C7423"/>
    <w:rsid w:val="000C7F7C"/>
    <w:rsid w:val="000D295C"/>
    <w:rsid w:val="000D300A"/>
    <w:rsid w:val="000D554E"/>
    <w:rsid w:val="000D5A2C"/>
    <w:rsid w:val="000E3A24"/>
    <w:rsid w:val="000F0180"/>
    <w:rsid w:val="000F0563"/>
    <w:rsid w:val="000F0758"/>
    <w:rsid w:val="000F1CD1"/>
    <w:rsid w:val="000F37DF"/>
    <w:rsid w:val="000F4AFA"/>
    <w:rsid w:val="000F720F"/>
    <w:rsid w:val="000F749B"/>
    <w:rsid w:val="0010010C"/>
    <w:rsid w:val="00101020"/>
    <w:rsid w:val="00102768"/>
    <w:rsid w:val="00102D7A"/>
    <w:rsid w:val="00103F69"/>
    <w:rsid w:val="00104941"/>
    <w:rsid w:val="00107EE7"/>
    <w:rsid w:val="001108DB"/>
    <w:rsid w:val="0011099D"/>
    <w:rsid w:val="00113872"/>
    <w:rsid w:val="001175DF"/>
    <w:rsid w:val="00120B7A"/>
    <w:rsid w:val="00120B95"/>
    <w:rsid w:val="001210FF"/>
    <w:rsid w:val="00121E6F"/>
    <w:rsid w:val="00122456"/>
    <w:rsid w:val="00122618"/>
    <w:rsid w:val="00122A79"/>
    <w:rsid w:val="00122D7D"/>
    <w:rsid w:val="001236B4"/>
    <w:rsid w:val="00124684"/>
    <w:rsid w:val="0012477D"/>
    <w:rsid w:val="0012516D"/>
    <w:rsid w:val="001254BF"/>
    <w:rsid w:val="001259F0"/>
    <w:rsid w:val="0012695F"/>
    <w:rsid w:val="00132725"/>
    <w:rsid w:val="0013312E"/>
    <w:rsid w:val="00133C34"/>
    <w:rsid w:val="00133F04"/>
    <w:rsid w:val="00134E5C"/>
    <w:rsid w:val="00135686"/>
    <w:rsid w:val="00143EA1"/>
    <w:rsid w:val="001442CA"/>
    <w:rsid w:val="0014732E"/>
    <w:rsid w:val="00151500"/>
    <w:rsid w:val="00151868"/>
    <w:rsid w:val="00154085"/>
    <w:rsid w:val="00155D21"/>
    <w:rsid w:val="00155DE2"/>
    <w:rsid w:val="001606BE"/>
    <w:rsid w:val="00160F77"/>
    <w:rsid w:val="00161F9F"/>
    <w:rsid w:val="00162501"/>
    <w:rsid w:val="00162D3E"/>
    <w:rsid w:val="00166253"/>
    <w:rsid w:val="00170781"/>
    <w:rsid w:val="00170FDC"/>
    <w:rsid w:val="001735D2"/>
    <w:rsid w:val="0017400A"/>
    <w:rsid w:val="0017488E"/>
    <w:rsid w:val="001764D9"/>
    <w:rsid w:val="00177A23"/>
    <w:rsid w:val="00181224"/>
    <w:rsid w:val="001818E7"/>
    <w:rsid w:val="00181DA9"/>
    <w:rsid w:val="00183526"/>
    <w:rsid w:val="00183F78"/>
    <w:rsid w:val="00184FD5"/>
    <w:rsid w:val="00185C01"/>
    <w:rsid w:val="0018789A"/>
    <w:rsid w:val="001879E3"/>
    <w:rsid w:val="00187DFE"/>
    <w:rsid w:val="00190345"/>
    <w:rsid w:val="00190F68"/>
    <w:rsid w:val="0019186A"/>
    <w:rsid w:val="001929B8"/>
    <w:rsid w:val="00192A18"/>
    <w:rsid w:val="00193884"/>
    <w:rsid w:val="00194BA6"/>
    <w:rsid w:val="00195BDA"/>
    <w:rsid w:val="00195DD6"/>
    <w:rsid w:val="00197A03"/>
    <w:rsid w:val="001A1096"/>
    <w:rsid w:val="001A1306"/>
    <w:rsid w:val="001A154E"/>
    <w:rsid w:val="001A24E3"/>
    <w:rsid w:val="001A27BF"/>
    <w:rsid w:val="001A43C0"/>
    <w:rsid w:val="001A4B0E"/>
    <w:rsid w:val="001A5289"/>
    <w:rsid w:val="001A6E4E"/>
    <w:rsid w:val="001B00BE"/>
    <w:rsid w:val="001B07BD"/>
    <w:rsid w:val="001B0D55"/>
    <w:rsid w:val="001B2279"/>
    <w:rsid w:val="001B3379"/>
    <w:rsid w:val="001B5222"/>
    <w:rsid w:val="001B7952"/>
    <w:rsid w:val="001B7F08"/>
    <w:rsid w:val="001C1331"/>
    <w:rsid w:val="001C19CD"/>
    <w:rsid w:val="001C1F29"/>
    <w:rsid w:val="001C2469"/>
    <w:rsid w:val="001C272C"/>
    <w:rsid w:val="001C4B87"/>
    <w:rsid w:val="001C5198"/>
    <w:rsid w:val="001C6260"/>
    <w:rsid w:val="001C7523"/>
    <w:rsid w:val="001C7FD1"/>
    <w:rsid w:val="001D04B6"/>
    <w:rsid w:val="001D30B3"/>
    <w:rsid w:val="001D4F84"/>
    <w:rsid w:val="001D5059"/>
    <w:rsid w:val="001E1624"/>
    <w:rsid w:val="001E21D6"/>
    <w:rsid w:val="001E2512"/>
    <w:rsid w:val="001E48EE"/>
    <w:rsid w:val="001E5085"/>
    <w:rsid w:val="001E5F1E"/>
    <w:rsid w:val="001E6DFB"/>
    <w:rsid w:val="001E6F7D"/>
    <w:rsid w:val="001E71D3"/>
    <w:rsid w:val="001E7E34"/>
    <w:rsid w:val="001F0576"/>
    <w:rsid w:val="001F2FDC"/>
    <w:rsid w:val="0020034C"/>
    <w:rsid w:val="00202006"/>
    <w:rsid w:val="00204702"/>
    <w:rsid w:val="002059BF"/>
    <w:rsid w:val="00206E49"/>
    <w:rsid w:val="00206EAF"/>
    <w:rsid w:val="0020742B"/>
    <w:rsid w:val="00207522"/>
    <w:rsid w:val="002113FE"/>
    <w:rsid w:val="00212AD4"/>
    <w:rsid w:val="002130B7"/>
    <w:rsid w:val="00214308"/>
    <w:rsid w:val="002144A7"/>
    <w:rsid w:val="00215172"/>
    <w:rsid w:val="00215E78"/>
    <w:rsid w:val="00216032"/>
    <w:rsid w:val="00216CD8"/>
    <w:rsid w:val="00217048"/>
    <w:rsid w:val="00217F47"/>
    <w:rsid w:val="0022154B"/>
    <w:rsid w:val="002215F3"/>
    <w:rsid w:val="00221BB9"/>
    <w:rsid w:val="00222B56"/>
    <w:rsid w:val="00222F3A"/>
    <w:rsid w:val="0022371E"/>
    <w:rsid w:val="0022456D"/>
    <w:rsid w:val="00225382"/>
    <w:rsid w:val="00226A91"/>
    <w:rsid w:val="00227974"/>
    <w:rsid w:val="0023158F"/>
    <w:rsid w:val="00231700"/>
    <w:rsid w:val="0023254B"/>
    <w:rsid w:val="00233605"/>
    <w:rsid w:val="00233757"/>
    <w:rsid w:val="00233D31"/>
    <w:rsid w:val="00235A07"/>
    <w:rsid w:val="00235A94"/>
    <w:rsid w:val="00236445"/>
    <w:rsid w:val="0023661B"/>
    <w:rsid w:val="00236D56"/>
    <w:rsid w:val="00237712"/>
    <w:rsid w:val="00237831"/>
    <w:rsid w:val="00240612"/>
    <w:rsid w:val="00242022"/>
    <w:rsid w:val="00243A67"/>
    <w:rsid w:val="00243B14"/>
    <w:rsid w:val="00244807"/>
    <w:rsid w:val="0024546D"/>
    <w:rsid w:val="0024572A"/>
    <w:rsid w:val="00245783"/>
    <w:rsid w:val="002473FC"/>
    <w:rsid w:val="0025032C"/>
    <w:rsid w:val="00250F61"/>
    <w:rsid w:val="00251561"/>
    <w:rsid w:val="00251DC3"/>
    <w:rsid w:val="002529F8"/>
    <w:rsid w:val="00253267"/>
    <w:rsid w:val="00256A28"/>
    <w:rsid w:val="00256A47"/>
    <w:rsid w:val="00256F60"/>
    <w:rsid w:val="002574EC"/>
    <w:rsid w:val="002607EB"/>
    <w:rsid w:val="00261E23"/>
    <w:rsid w:val="00263437"/>
    <w:rsid w:val="0026347C"/>
    <w:rsid w:val="00264813"/>
    <w:rsid w:val="0026508D"/>
    <w:rsid w:val="0026615F"/>
    <w:rsid w:val="00267BFA"/>
    <w:rsid w:val="00270CD6"/>
    <w:rsid w:val="0027143D"/>
    <w:rsid w:val="00272196"/>
    <w:rsid w:val="002740A4"/>
    <w:rsid w:val="002807B6"/>
    <w:rsid w:val="00281A24"/>
    <w:rsid w:val="00282214"/>
    <w:rsid w:val="00285642"/>
    <w:rsid w:val="002866CA"/>
    <w:rsid w:val="002925FD"/>
    <w:rsid w:val="00293F3D"/>
    <w:rsid w:val="00294375"/>
    <w:rsid w:val="002945CE"/>
    <w:rsid w:val="00295E44"/>
    <w:rsid w:val="002A00E2"/>
    <w:rsid w:val="002A0431"/>
    <w:rsid w:val="002A1C81"/>
    <w:rsid w:val="002A2E32"/>
    <w:rsid w:val="002A3A8A"/>
    <w:rsid w:val="002A5BAB"/>
    <w:rsid w:val="002A62FE"/>
    <w:rsid w:val="002A70F9"/>
    <w:rsid w:val="002A73BA"/>
    <w:rsid w:val="002A7583"/>
    <w:rsid w:val="002B268E"/>
    <w:rsid w:val="002B2800"/>
    <w:rsid w:val="002B4947"/>
    <w:rsid w:val="002B5C88"/>
    <w:rsid w:val="002C0807"/>
    <w:rsid w:val="002C1C1B"/>
    <w:rsid w:val="002C487B"/>
    <w:rsid w:val="002C52BE"/>
    <w:rsid w:val="002C618C"/>
    <w:rsid w:val="002C7366"/>
    <w:rsid w:val="002C7C62"/>
    <w:rsid w:val="002D1620"/>
    <w:rsid w:val="002D1CD3"/>
    <w:rsid w:val="002D26FE"/>
    <w:rsid w:val="002D31A0"/>
    <w:rsid w:val="002D3446"/>
    <w:rsid w:val="002D4E0D"/>
    <w:rsid w:val="002D57E6"/>
    <w:rsid w:val="002D7266"/>
    <w:rsid w:val="002D7C9F"/>
    <w:rsid w:val="002E18E3"/>
    <w:rsid w:val="002E1DA7"/>
    <w:rsid w:val="002E3A49"/>
    <w:rsid w:val="002E4F64"/>
    <w:rsid w:val="002E6D2B"/>
    <w:rsid w:val="002F075F"/>
    <w:rsid w:val="002F2258"/>
    <w:rsid w:val="002F247C"/>
    <w:rsid w:val="002F2669"/>
    <w:rsid w:val="002F28AF"/>
    <w:rsid w:val="002F3312"/>
    <w:rsid w:val="002F4755"/>
    <w:rsid w:val="002F4E07"/>
    <w:rsid w:val="002F62D3"/>
    <w:rsid w:val="00301806"/>
    <w:rsid w:val="003028EE"/>
    <w:rsid w:val="00302D93"/>
    <w:rsid w:val="0030384F"/>
    <w:rsid w:val="00304A3C"/>
    <w:rsid w:val="00304AB0"/>
    <w:rsid w:val="00304F7B"/>
    <w:rsid w:val="00306F9E"/>
    <w:rsid w:val="00310FA4"/>
    <w:rsid w:val="0031341E"/>
    <w:rsid w:val="003134FF"/>
    <w:rsid w:val="003164B1"/>
    <w:rsid w:val="00316A9C"/>
    <w:rsid w:val="0031705D"/>
    <w:rsid w:val="00317559"/>
    <w:rsid w:val="00320621"/>
    <w:rsid w:val="0032108D"/>
    <w:rsid w:val="00321A05"/>
    <w:rsid w:val="00323BFA"/>
    <w:rsid w:val="00323EC3"/>
    <w:rsid w:val="003272E9"/>
    <w:rsid w:val="00327978"/>
    <w:rsid w:val="00332E21"/>
    <w:rsid w:val="00332F3D"/>
    <w:rsid w:val="00333C29"/>
    <w:rsid w:val="00334E35"/>
    <w:rsid w:val="00335597"/>
    <w:rsid w:val="003355F5"/>
    <w:rsid w:val="00337BC9"/>
    <w:rsid w:val="003425E8"/>
    <w:rsid w:val="00344476"/>
    <w:rsid w:val="0034453C"/>
    <w:rsid w:val="00350E55"/>
    <w:rsid w:val="003510AF"/>
    <w:rsid w:val="0035156A"/>
    <w:rsid w:val="00352282"/>
    <w:rsid w:val="00355AA0"/>
    <w:rsid w:val="0035760D"/>
    <w:rsid w:val="00357630"/>
    <w:rsid w:val="00357C70"/>
    <w:rsid w:val="00360521"/>
    <w:rsid w:val="00361A09"/>
    <w:rsid w:val="003632D6"/>
    <w:rsid w:val="00363D86"/>
    <w:rsid w:val="00364480"/>
    <w:rsid w:val="003649CB"/>
    <w:rsid w:val="00366E7E"/>
    <w:rsid w:val="0036783D"/>
    <w:rsid w:val="00367CB0"/>
    <w:rsid w:val="00374551"/>
    <w:rsid w:val="00377260"/>
    <w:rsid w:val="003772C0"/>
    <w:rsid w:val="00377B85"/>
    <w:rsid w:val="00381C60"/>
    <w:rsid w:val="0038291D"/>
    <w:rsid w:val="00382AC9"/>
    <w:rsid w:val="00382E18"/>
    <w:rsid w:val="00383181"/>
    <w:rsid w:val="00383C44"/>
    <w:rsid w:val="003843CD"/>
    <w:rsid w:val="00384B10"/>
    <w:rsid w:val="00391C40"/>
    <w:rsid w:val="003930BD"/>
    <w:rsid w:val="00393608"/>
    <w:rsid w:val="003936E0"/>
    <w:rsid w:val="00395C05"/>
    <w:rsid w:val="0039604F"/>
    <w:rsid w:val="003A02FC"/>
    <w:rsid w:val="003A0363"/>
    <w:rsid w:val="003A311B"/>
    <w:rsid w:val="003A40A1"/>
    <w:rsid w:val="003A465D"/>
    <w:rsid w:val="003A583C"/>
    <w:rsid w:val="003A6190"/>
    <w:rsid w:val="003B0945"/>
    <w:rsid w:val="003B0C2D"/>
    <w:rsid w:val="003B0DE2"/>
    <w:rsid w:val="003B12C6"/>
    <w:rsid w:val="003B3A52"/>
    <w:rsid w:val="003B415B"/>
    <w:rsid w:val="003B5952"/>
    <w:rsid w:val="003C123B"/>
    <w:rsid w:val="003C1F9E"/>
    <w:rsid w:val="003C229B"/>
    <w:rsid w:val="003C250B"/>
    <w:rsid w:val="003C264B"/>
    <w:rsid w:val="003C4AEC"/>
    <w:rsid w:val="003C5079"/>
    <w:rsid w:val="003C5781"/>
    <w:rsid w:val="003C5E95"/>
    <w:rsid w:val="003C6918"/>
    <w:rsid w:val="003D0E96"/>
    <w:rsid w:val="003D1809"/>
    <w:rsid w:val="003D476B"/>
    <w:rsid w:val="003D48F2"/>
    <w:rsid w:val="003D5AA6"/>
    <w:rsid w:val="003D7EBE"/>
    <w:rsid w:val="003E1E76"/>
    <w:rsid w:val="003E2A05"/>
    <w:rsid w:val="003E3133"/>
    <w:rsid w:val="003E57F1"/>
    <w:rsid w:val="003E6269"/>
    <w:rsid w:val="003E73AA"/>
    <w:rsid w:val="003E78C6"/>
    <w:rsid w:val="003F081F"/>
    <w:rsid w:val="003F0A23"/>
    <w:rsid w:val="003F0FC3"/>
    <w:rsid w:val="003F1AA9"/>
    <w:rsid w:val="003F1C0D"/>
    <w:rsid w:val="003F1EB8"/>
    <w:rsid w:val="003F394A"/>
    <w:rsid w:val="00400821"/>
    <w:rsid w:val="004025F6"/>
    <w:rsid w:val="00402927"/>
    <w:rsid w:val="004031D1"/>
    <w:rsid w:val="0040330E"/>
    <w:rsid w:val="00403962"/>
    <w:rsid w:val="00404A50"/>
    <w:rsid w:val="004057AA"/>
    <w:rsid w:val="00405C70"/>
    <w:rsid w:val="00413ED2"/>
    <w:rsid w:val="00414ECB"/>
    <w:rsid w:val="0041624F"/>
    <w:rsid w:val="00417DFA"/>
    <w:rsid w:val="00421D4C"/>
    <w:rsid w:val="00430E89"/>
    <w:rsid w:val="004319F1"/>
    <w:rsid w:val="00431BA8"/>
    <w:rsid w:val="00431D67"/>
    <w:rsid w:val="00432CE1"/>
    <w:rsid w:val="0043580F"/>
    <w:rsid w:val="00435BB1"/>
    <w:rsid w:val="00435D7B"/>
    <w:rsid w:val="00436EA2"/>
    <w:rsid w:val="00437915"/>
    <w:rsid w:val="0043793E"/>
    <w:rsid w:val="004379FA"/>
    <w:rsid w:val="004413E9"/>
    <w:rsid w:val="00441648"/>
    <w:rsid w:val="00444A82"/>
    <w:rsid w:val="00445D8F"/>
    <w:rsid w:val="004503F2"/>
    <w:rsid w:val="00452409"/>
    <w:rsid w:val="00452A49"/>
    <w:rsid w:val="00455ED9"/>
    <w:rsid w:val="00462350"/>
    <w:rsid w:val="00462904"/>
    <w:rsid w:val="00463B01"/>
    <w:rsid w:val="004647E6"/>
    <w:rsid w:val="0046492B"/>
    <w:rsid w:val="0046555A"/>
    <w:rsid w:val="00466556"/>
    <w:rsid w:val="00467CEA"/>
    <w:rsid w:val="00467DDD"/>
    <w:rsid w:val="00471C40"/>
    <w:rsid w:val="00472637"/>
    <w:rsid w:val="0047340D"/>
    <w:rsid w:val="00474495"/>
    <w:rsid w:val="00474A6F"/>
    <w:rsid w:val="00476346"/>
    <w:rsid w:val="00477D96"/>
    <w:rsid w:val="004818EF"/>
    <w:rsid w:val="00481A63"/>
    <w:rsid w:val="004825C6"/>
    <w:rsid w:val="00484146"/>
    <w:rsid w:val="00484356"/>
    <w:rsid w:val="00484CE8"/>
    <w:rsid w:val="00486DE9"/>
    <w:rsid w:val="00490B7C"/>
    <w:rsid w:val="00494219"/>
    <w:rsid w:val="00497832"/>
    <w:rsid w:val="00497DC9"/>
    <w:rsid w:val="004A04DB"/>
    <w:rsid w:val="004A0B16"/>
    <w:rsid w:val="004A0DF0"/>
    <w:rsid w:val="004A1329"/>
    <w:rsid w:val="004A151D"/>
    <w:rsid w:val="004A16E8"/>
    <w:rsid w:val="004A335C"/>
    <w:rsid w:val="004A3E94"/>
    <w:rsid w:val="004A4B17"/>
    <w:rsid w:val="004A5338"/>
    <w:rsid w:val="004A54FC"/>
    <w:rsid w:val="004A77FE"/>
    <w:rsid w:val="004B3CC2"/>
    <w:rsid w:val="004B5F46"/>
    <w:rsid w:val="004B5FEF"/>
    <w:rsid w:val="004B65FB"/>
    <w:rsid w:val="004B6ABB"/>
    <w:rsid w:val="004B7042"/>
    <w:rsid w:val="004B7B9E"/>
    <w:rsid w:val="004C2DC8"/>
    <w:rsid w:val="004C524A"/>
    <w:rsid w:val="004C56E1"/>
    <w:rsid w:val="004C7DC3"/>
    <w:rsid w:val="004D0BDD"/>
    <w:rsid w:val="004D1EDB"/>
    <w:rsid w:val="004D1FEA"/>
    <w:rsid w:val="004D3532"/>
    <w:rsid w:val="004D502E"/>
    <w:rsid w:val="004D563A"/>
    <w:rsid w:val="004D6200"/>
    <w:rsid w:val="004D63F9"/>
    <w:rsid w:val="004D6472"/>
    <w:rsid w:val="004D6F61"/>
    <w:rsid w:val="004D7044"/>
    <w:rsid w:val="004D716D"/>
    <w:rsid w:val="004E0B46"/>
    <w:rsid w:val="004E17FA"/>
    <w:rsid w:val="004E2502"/>
    <w:rsid w:val="004E367B"/>
    <w:rsid w:val="004E3D1F"/>
    <w:rsid w:val="004E6434"/>
    <w:rsid w:val="004E70DE"/>
    <w:rsid w:val="004F0B8A"/>
    <w:rsid w:val="004F46C4"/>
    <w:rsid w:val="004F46EC"/>
    <w:rsid w:val="004F5D72"/>
    <w:rsid w:val="004F6309"/>
    <w:rsid w:val="004F69FF"/>
    <w:rsid w:val="004F7095"/>
    <w:rsid w:val="004F729F"/>
    <w:rsid w:val="00500239"/>
    <w:rsid w:val="005002F8"/>
    <w:rsid w:val="00500316"/>
    <w:rsid w:val="005010BE"/>
    <w:rsid w:val="005019D1"/>
    <w:rsid w:val="00503B5F"/>
    <w:rsid w:val="00503C8D"/>
    <w:rsid w:val="00505275"/>
    <w:rsid w:val="00507638"/>
    <w:rsid w:val="00510234"/>
    <w:rsid w:val="00513087"/>
    <w:rsid w:val="00514366"/>
    <w:rsid w:val="0051492F"/>
    <w:rsid w:val="00514B72"/>
    <w:rsid w:val="00515A78"/>
    <w:rsid w:val="005173C2"/>
    <w:rsid w:val="00520DD7"/>
    <w:rsid w:val="0052177F"/>
    <w:rsid w:val="00521BD7"/>
    <w:rsid w:val="00522912"/>
    <w:rsid w:val="00523CB3"/>
    <w:rsid w:val="00524801"/>
    <w:rsid w:val="0052617D"/>
    <w:rsid w:val="0052730D"/>
    <w:rsid w:val="00530310"/>
    <w:rsid w:val="00530C51"/>
    <w:rsid w:val="00531B10"/>
    <w:rsid w:val="00531D21"/>
    <w:rsid w:val="00531F10"/>
    <w:rsid w:val="005325EC"/>
    <w:rsid w:val="00532942"/>
    <w:rsid w:val="005333FF"/>
    <w:rsid w:val="005334CE"/>
    <w:rsid w:val="00533BB8"/>
    <w:rsid w:val="00535C60"/>
    <w:rsid w:val="005414DE"/>
    <w:rsid w:val="005417F1"/>
    <w:rsid w:val="0054251A"/>
    <w:rsid w:val="00542BA9"/>
    <w:rsid w:val="00544E01"/>
    <w:rsid w:val="00546B31"/>
    <w:rsid w:val="00546F68"/>
    <w:rsid w:val="00547928"/>
    <w:rsid w:val="00547C69"/>
    <w:rsid w:val="00547DDA"/>
    <w:rsid w:val="00550905"/>
    <w:rsid w:val="00551177"/>
    <w:rsid w:val="00552A2D"/>
    <w:rsid w:val="005559B8"/>
    <w:rsid w:val="005564B2"/>
    <w:rsid w:val="005608C9"/>
    <w:rsid w:val="00560F5F"/>
    <w:rsid w:val="005612F5"/>
    <w:rsid w:val="00564B76"/>
    <w:rsid w:val="00566EB4"/>
    <w:rsid w:val="00567A21"/>
    <w:rsid w:val="00567E67"/>
    <w:rsid w:val="005711DD"/>
    <w:rsid w:val="005714F1"/>
    <w:rsid w:val="0057162B"/>
    <w:rsid w:val="005763AF"/>
    <w:rsid w:val="005806B2"/>
    <w:rsid w:val="005809FF"/>
    <w:rsid w:val="00580C66"/>
    <w:rsid w:val="00580ECF"/>
    <w:rsid w:val="0058117A"/>
    <w:rsid w:val="005812B4"/>
    <w:rsid w:val="005816A3"/>
    <w:rsid w:val="00581C7E"/>
    <w:rsid w:val="005845C6"/>
    <w:rsid w:val="005861AE"/>
    <w:rsid w:val="0058628E"/>
    <w:rsid w:val="0058648D"/>
    <w:rsid w:val="00586ADD"/>
    <w:rsid w:val="00587069"/>
    <w:rsid w:val="00587486"/>
    <w:rsid w:val="00587C44"/>
    <w:rsid w:val="00590DEF"/>
    <w:rsid w:val="00591EC0"/>
    <w:rsid w:val="00592555"/>
    <w:rsid w:val="00592C2F"/>
    <w:rsid w:val="0059440E"/>
    <w:rsid w:val="0059558A"/>
    <w:rsid w:val="00595809"/>
    <w:rsid w:val="00595942"/>
    <w:rsid w:val="00595CC7"/>
    <w:rsid w:val="00595FB8"/>
    <w:rsid w:val="00596BB0"/>
    <w:rsid w:val="0059767D"/>
    <w:rsid w:val="005A1B57"/>
    <w:rsid w:val="005A4226"/>
    <w:rsid w:val="005A56E5"/>
    <w:rsid w:val="005A72A8"/>
    <w:rsid w:val="005B1797"/>
    <w:rsid w:val="005B19A7"/>
    <w:rsid w:val="005B2B94"/>
    <w:rsid w:val="005B2C79"/>
    <w:rsid w:val="005B3B30"/>
    <w:rsid w:val="005B4435"/>
    <w:rsid w:val="005B70F6"/>
    <w:rsid w:val="005C152B"/>
    <w:rsid w:val="005C4147"/>
    <w:rsid w:val="005C4740"/>
    <w:rsid w:val="005C50F5"/>
    <w:rsid w:val="005C62F6"/>
    <w:rsid w:val="005C6346"/>
    <w:rsid w:val="005D04FC"/>
    <w:rsid w:val="005D0C7F"/>
    <w:rsid w:val="005D1A59"/>
    <w:rsid w:val="005D1D29"/>
    <w:rsid w:val="005D5778"/>
    <w:rsid w:val="005D693E"/>
    <w:rsid w:val="005E0BB3"/>
    <w:rsid w:val="005E0DCC"/>
    <w:rsid w:val="005E169D"/>
    <w:rsid w:val="005E1A6F"/>
    <w:rsid w:val="005E1B7D"/>
    <w:rsid w:val="005E23F3"/>
    <w:rsid w:val="005E3565"/>
    <w:rsid w:val="005E432E"/>
    <w:rsid w:val="005E4870"/>
    <w:rsid w:val="005E525D"/>
    <w:rsid w:val="005E5388"/>
    <w:rsid w:val="005E5599"/>
    <w:rsid w:val="005F0600"/>
    <w:rsid w:val="005F149A"/>
    <w:rsid w:val="005F1BFD"/>
    <w:rsid w:val="005F205F"/>
    <w:rsid w:val="005F3016"/>
    <w:rsid w:val="005F53D4"/>
    <w:rsid w:val="005F638D"/>
    <w:rsid w:val="005F70BD"/>
    <w:rsid w:val="006001F8"/>
    <w:rsid w:val="00600653"/>
    <w:rsid w:val="00601F21"/>
    <w:rsid w:val="00602D79"/>
    <w:rsid w:val="00604628"/>
    <w:rsid w:val="006058AC"/>
    <w:rsid w:val="00605AA5"/>
    <w:rsid w:val="00606073"/>
    <w:rsid w:val="00607A51"/>
    <w:rsid w:val="00607EB1"/>
    <w:rsid w:val="006110FF"/>
    <w:rsid w:val="006123C0"/>
    <w:rsid w:val="006132AC"/>
    <w:rsid w:val="00613AEB"/>
    <w:rsid w:val="0061491B"/>
    <w:rsid w:val="006157B2"/>
    <w:rsid w:val="00615830"/>
    <w:rsid w:val="0061591C"/>
    <w:rsid w:val="00616240"/>
    <w:rsid w:val="006214C7"/>
    <w:rsid w:val="00621D3F"/>
    <w:rsid w:val="00622192"/>
    <w:rsid w:val="006227B2"/>
    <w:rsid w:val="0062453F"/>
    <w:rsid w:val="006249F7"/>
    <w:rsid w:val="00624B84"/>
    <w:rsid w:val="006301AC"/>
    <w:rsid w:val="006318C0"/>
    <w:rsid w:val="0063258C"/>
    <w:rsid w:val="00632FCD"/>
    <w:rsid w:val="00634F06"/>
    <w:rsid w:val="00634F2F"/>
    <w:rsid w:val="00635164"/>
    <w:rsid w:val="00636251"/>
    <w:rsid w:val="00636C1B"/>
    <w:rsid w:val="00636CCF"/>
    <w:rsid w:val="00636F3A"/>
    <w:rsid w:val="00636F52"/>
    <w:rsid w:val="00637A13"/>
    <w:rsid w:val="00637F09"/>
    <w:rsid w:val="006434B9"/>
    <w:rsid w:val="00645B3B"/>
    <w:rsid w:val="00646BC4"/>
    <w:rsid w:val="0064721A"/>
    <w:rsid w:val="00647882"/>
    <w:rsid w:val="006505D3"/>
    <w:rsid w:val="00651891"/>
    <w:rsid w:val="00653846"/>
    <w:rsid w:val="0065516B"/>
    <w:rsid w:val="006554FE"/>
    <w:rsid w:val="00655EA9"/>
    <w:rsid w:val="00656C8B"/>
    <w:rsid w:val="0065708D"/>
    <w:rsid w:val="0065741E"/>
    <w:rsid w:val="00657A9E"/>
    <w:rsid w:val="00660324"/>
    <w:rsid w:val="006608BA"/>
    <w:rsid w:val="00660FA9"/>
    <w:rsid w:val="00662443"/>
    <w:rsid w:val="00662E5F"/>
    <w:rsid w:val="006652E9"/>
    <w:rsid w:val="00666FC7"/>
    <w:rsid w:val="00672948"/>
    <w:rsid w:val="00677600"/>
    <w:rsid w:val="00677FBC"/>
    <w:rsid w:val="006807B0"/>
    <w:rsid w:val="0068180B"/>
    <w:rsid w:val="006818B5"/>
    <w:rsid w:val="0068235C"/>
    <w:rsid w:val="00683094"/>
    <w:rsid w:val="006849E1"/>
    <w:rsid w:val="00686F6A"/>
    <w:rsid w:val="00687FC9"/>
    <w:rsid w:val="006924E7"/>
    <w:rsid w:val="00693AB7"/>
    <w:rsid w:val="00694EB3"/>
    <w:rsid w:val="00697E69"/>
    <w:rsid w:val="006A1E40"/>
    <w:rsid w:val="006A1FE2"/>
    <w:rsid w:val="006A2A21"/>
    <w:rsid w:val="006A33B0"/>
    <w:rsid w:val="006B07F8"/>
    <w:rsid w:val="006B0A4F"/>
    <w:rsid w:val="006B1A78"/>
    <w:rsid w:val="006B2296"/>
    <w:rsid w:val="006B247A"/>
    <w:rsid w:val="006B27B0"/>
    <w:rsid w:val="006B29E9"/>
    <w:rsid w:val="006B2BFF"/>
    <w:rsid w:val="006B32F7"/>
    <w:rsid w:val="006B3E78"/>
    <w:rsid w:val="006B402E"/>
    <w:rsid w:val="006B4533"/>
    <w:rsid w:val="006B63E3"/>
    <w:rsid w:val="006C0AC0"/>
    <w:rsid w:val="006C0AF0"/>
    <w:rsid w:val="006C1821"/>
    <w:rsid w:val="006C3BA3"/>
    <w:rsid w:val="006C638E"/>
    <w:rsid w:val="006C7E85"/>
    <w:rsid w:val="006C7F9E"/>
    <w:rsid w:val="006C7FD6"/>
    <w:rsid w:val="006D11B2"/>
    <w:rsid w:val="006D153A"/>
    <w:rsid w:val="006D1A7C"/>
    <w:rsid w:val="006D1E3E"/>
    <w:rsid w:val="006D3007"/>
    <w:rsid w:val="006D31CA"/>
    <w:rsid w:val="006D3BA7"/>
    <w:rsid w:val="006D7A3A"/>
    <w:rsid w:val="006E0B72"/>
    <w:rsid w:val="006E2837"/>
    <w:rsid w:val="006E3FB1"/>
    <w:rsid w:val="006E4025"/>
    <w:rsid w:val="006E432B"/>
    <w:rsid w:val="006E6904"/>
    <w:rsid w:val="006E7180"/>
    <w:rsid w:val="006F01C7"/>
    <w:rsid w:val="006F0CE2"/>
    <w:rsid w:val="006F1905"/>
    <w:rsid w:val="006F2143"/>
    <w:rsid w:val="006F2753"/>
    <w:rsid w:val="006F5996"/>
    <w:rsid w:val="00700575"/>
    <w:rsid w:val="007018CF"/>
    <w:rsid w:val="00701959"/>
    <w:rsid w:val="007023EB"/>
    <w:rsid w:val="0070313B"/>
    <w:rsid w:val="00703945"/>
    <w:rsid w:val="007052C7"/>
    <w:rsid w:val="0070670F"/>
    <w:rsid w:val="007072A1"/>
    <w:rsid w:val="00707D4D"/>
    <w:rsid w:val="00712D73"/>
    <w:rsid w:val="00713CFF"/>
    <w:rsid w:val="007164A4"/>
    <w:rsid w:val="00716FFA"/>
    <w:rsid w:val="007172E6"/>
    <w:rsid w:val="00717C00"/>
    <w:rsid w:val="00721262"/>
    <w:rsid w:val="007224B1"/>
    <w:rsid w:val="0072264E"/>
    <w:rsid w:val="00722D98"/>
    <w:rsid w:val="007238B6"/>
    <w:rsid w:val="00723BB0"/>
    <w:rsid w:val="00724E2D"/>
    <w:rsid w:val="0072536A"/>
    <w:rsid w:val="00725761"/>
    <w:rsid w:val="00725C6F"/>
    <w:rsid w:val="00725D19"/>
    <w:rsid w:val="00725D57"/>
    <w:rsid w:val="007261B3"/>
    <w:rsid w:val="00726EC2"/>
    <w:rsid w:val="00727084"/>
    <w:rsid w:val="00727D04"/>
    <w:rsid w:val="00727D0F"/>
    <w:rsid w:val="007302F4"/>
    <w:rsid w:val="00730AFA"/>
    <w:rsid w:val="00731816"/>
    <w:rsid w:val="00732494"/>
    <w:rsid w:val="0073321E"/>
    <w:rsid w:val="007337D6"/>
    <w:rsid w:val="00734B1F"/>
    <w:rsid w:val="007350D3"/>
    <w:rsid w:val="00736764"/>
    <w:rsid w:val="007400FD"/>
    <w:rsid w:val="00740436"/>
    <w:rsid w:val="00740ADB"/>
    <w:rsid w:val="00741EE6"/>
    <w:rsid w:val="00743265"/>
    <w:rsid w:val="00745135"/>
    <w:rsid w:val="00745261"/>
    <w:rsid w:val="00745F0A"/>
    <w:rsid w:val="00746FA0"/>
    <w:rsid w:val="00747B1E"/>
    <w:rsid w:val="007500BE"/>
    <w:rsid w:val="00751AE9"/>
    <w:rsid w:val="007524C3"/>
    <w:rsid w:val="00754BF1"/>
    <w:rsid w:val="00754D81"/>
    <w:rsid w:val="00755183"/>
    <w:rsid w:val="00755690"/>
    <w:rsid w:val="0075631F"/>
    <w:rsid w:val="007564B9"/>
    <w:rsid w:val="00757D88"/>
    <w:rsid w:val="00762235"/>
    <w:rsid w:val="007626E5"/>
    <w:rsid w:val="00762CCD"/>
    <w:rsid w:val="00763132"/>
    <w:rsid w:val="0076352B"/>
    <w:rsid w:val="007668FB"/>
    <w:rsid w:val="00767270"/>
    <w:rsid w:val="00767363"/>
    <w:rsid w:val="007674F0"/>
    <w:rsid w:val="00767683"/>
    <w:rsid w:val="00770687"/>
    <w:rsid w:val="00770947"/>
    <w:rsid w:val="00772151"/>
    <w:rsid w:val="0077252D"/>
    <w:rsid w:val="007751D2"/>
    <w:rsid w:val="00775726"/>
    <w:rsid w:val="007760A2"/>
    <w:rsid w:val="00776696"/>
    <w:rsid w:val="00776AC3"/>
    <w:rsid w:val="00782338"/>
    <w:rsid w:val="00782A46"/>
    <w:rsid w:val="00783FF1"/>
    <w:rsid w:val="00785921"/>
    <w:rsid w:val="007859D8"/>
    <w:rsid w:val="00785BB7"/>
    <w:rsid w:val="00786446"/>
    <w:rsid w:val="007907F1"/>
    <w:rsid w:val="00790D13"/>
    <w:rsid w:val="007912F8"/>
    <w:rsid w:val="007918A2"/>
    <w:rsid w:val="00791E74"/>
    <w:rsid w:val="00795523"/>
    <w:rsid w:val="00795B03"/>
    <w:rsid w:val="007978C3"/>
    <w:rsid w:val="007979EC"/>
    <w:rsid w:val="007A1FC7"/>
    <w:rsid w:val="007A3B49"/>
    <w:rsid w:val="007A6E9C"/>
    <w:rsid w:val="007A6FD2"/>
    <w:rsid w:val="007B0603"/>
    <w:rsid w:val="007B084D"/>
    <w:rsid w:val="007B194A"/>
    <w:rsid w:val="007B2394"/>
    <w:rsid w:val="007B37EB"/>
    <w:rsid w:val="007B4CC8"/>
    <w:rsid w:val="007B6D2C"/>
    <w:rsid w:val="007B7EF4"/>
    <w:rsid w:val="007B7F1B"/>
    <w:rsid w:val="007C0FAB"/>
    <w:rsid w:val="007C35F3"/>
    <w:rsid w:val="007C3785"/>
    <w:rsid w:val="007C48F9"/>
    <w:rsid w:val="007C53BE"/>
    <w:rsid w:val="007C71B7"/>
    <w:rsid w:val="007C71CA"/>
    <w:rsid w:val="007C745A"/>
    <w:rsid w:val="007C79A1"/>
    <w:rsid w:val="007D061E"/>
    <w:rsid w:val="007D22A6"/>
    <w:rsid w:val="007D235E"/>
    <w:rsid w:val="007D2471"/>
    <w:rsid w:val="007D2BF5"/>
    <w:rsid w:val="007D3C90"/>
    <w:rsid w:val="007D4ED2"/>
    <w:rsid w:val="007D6E60"/>
    <w:rsid w:val="007D7A74"/>
    <w:rsid w:val="007E22D8"/>
    <w:rsid w:val="007E2FC7"/>
    <w:rsid w:val="007E3294"/>
    <w:rsid w:val="007E67DD"/>
    <w:rsid w:val="007E76C9"/>
    <w:rsid w:val="007F002D"/>
    <w:rsid w:val="007F1915"/>
    <w:rsid w:val="007F26CF"/>
    <w:rsid w:val="007F2C96"/>
    <w:rsid w:val="007F3BBE"/>
    <w:rsid w:val="007F54C7"/>
    <w:rsid w:val="007F5F0E"/>
    <w:rsid w:val="007F7E34"/>
    <w:rsid w:val="008006F8"/>
    <w:rsid w:val="008009F2"/>
    <w:rsid w:val="00800A9E"/>
    <w:rsid w:val="0080210D"/>
    <w:rsid w:val="00802367"/>
    <w:rsid w:val="00802AFB"/>
    <w:rsid w:val="0080388B"/>
    <w:rsid w:val="00803FA2"/>
    <w:rsid w:val="008058BF"/>
    <w:rsid w:val="008062B9"/>
    <w:rsid w:val="00807228"/>
    <w:rsid w:val="00810F98"/>
    <w:rsid w:val="008113B9"/>
    <w:rsid w:val="00812F1C"/>
    <w:rsid w:val="008144CD"/>
    <w:rsid w:val="008147CF"/>
    <w:rsid w:val="00814B73"/>
    <w:rsid w:val="00815789"/>
    <w:rsid w:val="00816495"/>
    <w:rsid w:val="00816F89"/>
    <w:rsid w:val="00817981"/>
    <w:rsid w:val="00820342"/>
    <w:rsid w:val="008203A4"/>
    <w:rsid w:val="008206B9"/>
    <w:rsid w:val="00822704"/>
    <w:rsid w:val="00822F7B"/>
    <w:rsid w:val="00825243"/>
    <w:rsid w:val="0082788C"/>
    <w:rsid w:val="0083166F"/>
    <w:rsid w:val="0083583D"/>
    <w:rsid w:val="00840A8D"/>
    <w:rsid w:val="00841776"/>
    <w:rsid w:val="00841DB3"/>
    <w:rsid w:val="008436BE"/>
    <w:rsid w:val="0084505B"/>
    <w:rsid w:val="008461A1"/>
    <w:rsid w:val="00846938"/>
    <w:rsid w:val="008509AC"/>
    <w:rsid w:val="00850D84"/>
    <w:rsid w:val="0085159C"/>
    <w:rsid w:val="0085186D"/>
    <w:rsid w:val="008531F5"/>
    <w:rsid w:val="008536E7"/>
    <w:rsid w:val="00853B2E"/>
    <w:rsid w:val="00854190"/>
    <w:rsid w:val="00855E03"/>
    <w:rsid w:val="00856B55"/>
    <w:rsid w:val="00857542"/>
    <w:rsid w:val="008575F0"/>
    <w:rsid w:val="008579E8"/>
    <w:rsid w:val="008605D6"/>
    <w:rsid w:val="008617EC"/>
    <w:rsid w:val="00863B97"/>
    <w:rsid w:val="00864E47"/>
    <w:rsid w:val="0086720C"/>
    <w:rsid w:val="00867DCB"/>
    <w:rsid w:val="008705A0"/>
    <w:rsid w:val="00870968"/>
    <w:rsid w:val="00871514"/>
    <w:rsid w:val="00872709"/>
    <w:rsid w:val="0087386E"/>
    <w:rsid w:val="008740E3"/>
    <w:rsid w:val="00874571"/>
    <w:rsid w:val="008752AF"/>
    <w:rsid w:val="00875EE4"/>
    <w:rsid w:val="008763F6"/>
    <w:rsid w:val="00876DCC"/>
    <w:rsid w:val="008772F9"/>
    <w:rsid w:val="008851CC"/>
    <w:rsid w:val="008868E2"/>
    <w:rsid w:val="0088797F"/>
    <w:rsid w:val="00890CE5"/>
    <w:rsid w:val="008910FE"/>
    <w:rsid w:val="00891E2B"/>
    <w:rsid w:val="00893A2E"/>
    <w:rsid w:val="00893B59"/>
    <w:rsid w:val="0089447A"/>
    <w:rsid w:val="00894526"/>
    <w:rsid w:val="008959ED"/>
    <w:rsid w:val="00895D77"/>
    <w:rsid w:val="008963F9"/>
    <w:rsid w:val="00896652"/>
    <w:rsid w:val="00896F63"/>
    <w:rsid w:val="008A02E9"/>
    <w:rsid w:val="008A080D"/>
    <w:rsid w:val="008A08C1"/>
    <w:rsid w:val="008A0A9A"/>
    <w:rsid w:val="008A0DA8"/>
    <w:rsid w:val="008A269A"/>
    <w:rsid w:val="008A2CEA"/>
    <w:rsid w:val="008A35DB"/>
    <w:rsid w:val="008A3D9F"/>
    <w:rsid w:val="008A411B"/>
    <w:rsid w:val="008A4826"/>
    <w:rsid w:val="008A4B2A"/>
    <w:rsid w:val="008A4E4E"/>
    <w:rsid w:val="008A799D"/>
    <w:rsid w:val="008B02B3"/>
    <w:rsid w:val="008B093A"/>
    <w:rsid w:val="008B0E4D"/>
    <w:rsid w:val="008B25D8"/>
    <w:rsid w:val="008B289F"/>
    <w:rsid w:val="008B3FD4"/>
    <w:rsid w:val="008B5765"/>
    <w:rsid w:val="008B7440"/>
    <w:rsid w:val="008B7D78"/>
    <w:rsid w:val="008C11FF"/>
    <w:rsid w:val="008C18ED"/>
    <w:rsid w:val="008C4B3B"/>
    <w:rsid w:val="008C4BBB"/>
    <w:rsid w:val="008C543D"/>
    <w:rsid w:val="008C5838"/>
    <w:rsid w:val="008C6448"/>
    <w:rsid w:val="008D2054"/>
    <w:rsid w:val="008D289D"/>
    <w:rsid w:val="008D29E8"/>
    <w:rsid w:val="008D2DD2"/>
    <w:rsid w:val="008D39EA"/>
    <w:rsid w:val="008D4DF9"/>
    <w:rsid w:val="008D4EAF"/>
    <w:rsid w:val="008D6712"/>
    <w:rsid w:val="008D72A2"/>
    <w:rsid w:val="008D7B78"/>
    <w:rsid w:val="008E1CA5"/>
    <w:rsid w:val="008E1EEF"/>
    <w:rsid w:val="008E21D2"/>
    <w:rsid w:val="008E2E89"/>
    <w:rsid w:val="008E2F10"/>
    <w:rsid w:val="008E316F"/>
    <w:rsid w:val="008E3B39"/>
    <w:rsid w:val="008E7A09"/>
    <w:rsid w:val="008F374F"/>
    <w:rsid w:val="008F3D95"/>
    <w:rsid w:val="008F3EC0"/>
    <w:rsid w:val="008F3F09"/>
    <w:rsid w:val="008F58AB"/>
    <w:rsid w:val="008F5D83"/>
    <w:rsid w:val="008F65E6"/>
    <w:rsid w:val="008F6F52"/>
    <w:rsid w:val="008F73F0"/>
    <w:rsid w:val="00900363"/>
    <w:rsid w:val="00900E24"/>
    <w:rsid w:val="00900EA7"/>
    <w:rsid w:val="009010B9"/>
    <w:rsid w:val="00902269"/>
    <w:rsid w:val="00903073"/>
    <w:rsid w:val="00903C81"/>
    <w:rsid w:val="0090495A"/>
    <w:rsid w:val="00904DFA"/>
    <w:rsid w:val="009064A2"/>
    <w:rsid w:val="00907863"/>
    <w:rsid w:val="00911C4E"/>
    <w:rsid w:val="00916F2F"/>
    <w:rsid w:val="0091791F"/>
    <w:rsid w:val="00917F81"/>
    <w:rsid w:val="0092099F"/>
    <w:rsid w:val="009211D6"/>
    <w:rsid w:val="00921842"/>
    <w:rsid w:val="009218E6"/>
    <w:rsid w:val="00923E12"/>
    <w:rsid w:val="00925149"/>
    <w:rsid w:val="009277B7"/>
    <w:rsid w:val="009326A9"/>
    <w:rsid w:val="00934248"/>
    <w:rsid w:val="0093481E"/>
    <w:rsid w:val="00937F18"/>
    <w:rsid w:val="00940404"/>
    <w:rsid w:val="00940E83"/>
    <w:rsid w:val="00941039"/>
    <w:rsid w:val="009414AA"/>
    <w:rsid w:val="00941EEF"/>
    <w:rsid w:val="00942D5E"/>
    <w:rsid w:val="00943C1E"/>
    <w:rsid w:val="009441F8"/>
    <w:rsid w:val="00945EE7"/>
    <w:rsid w:val="00946BE4"/>
    <w:rsid w:val="00947699"/>
    <w:rsid w:val="00951A24"/>
    <w:rsid w:val="00952B72"/>
    <w:rsid w:val="00952D41"/>
    <w:rsid w:val="0095358D"/>
    <w:rsid w:val="0095455F"/>
    <w:rsid w:val="00954D58"/>
    <w:rsid w:val="00955495"/>
    <w:rsid w:val="00956187"/>
    <w:rsid w:val="00956C58"/>
    <w:rsid w:val="00957F00"/>
    <w:rsid w:val="00962DF4"/>
    <w:rsid w:val="00963218"/>
    <w:rsid w:val="009638CA"/>
    <w:rsid w:val="00963F02"/>
    <w:rsid w:val="00963F6C"/>
    <w:rsid w:val="009659DA"/>
    <w:rsid w:val="00966EC9"/>
    <w:rsid w:val="00970606"/>
    <w:rsid w:val="00971043"/>
    <w:rsid w:val="0097298B"/>
    <w:rsid w:val="00973CD2"/>
    <w:rsid w:val="00976AA6"/>
    <w:rsid w:val="00980CAB"/>
    <w:rsid w:val="0098189C"/>
    <w:rsid w:val="00981E10"/>
    <w:rsid w:val="00983A77"/>
    <w:rsid w:val="00984C09"/>
    <w:rsid w:val="009863C4"/>
    <w:rsid w:val="009876C7"/>
    <w:rsid w:val="00987BB0"/>
    <w:rsid w:val="00991F32"/>
    <w:rsid w:val="00993277"/>
    <w:rsid w:val="00993638"/>
    <w:rsid w:val="0099538E"/>
    <w:rsid w:val="0099634C"/>
    <w:rsid w:val="00997F7C"/>
    <w:rsid w:val="009A15AE"/>
    <w:rsid w:val="009A29E7"/>
    <w:rsid w:val="009A3A61"/>
    <w:rsid w:val="009A5639"/>
    <w:rsid w:val="009A578E"/>
    <w:rsid w:val="009A6B5C"/>
    <w:rsid w:val="009A7FC0"/>
    <w:rsid w:val="009B1476"/>
    <w:rsid w:val="009B1525"/>
    <w:rsid w:val="009B1574"/>
    <w:rsid w:val="009B1C96"/>
    <w:rsid w:val="009B3740"/>
    <w:rsid w:val="009B386F"/>
    <w:rsid w:val="009B5266"/>
    <w:rsid w:val="009B653F"/>
    <w:rsid w:val="009C1158"/>
    <w:rsid w:val="009C184A"/>
    <w:rsid w:val="009C1C0B"/>
    <w:rsid w:val="009C2084"/>
    <w:rsid w:val="009C347E"/>
    <w:rsid w:val="009C35C8"/>
    <w:rsid w:val="009C44DE"/>
    <w:rsid w:val="009C5B2A"/>
    <w:rsid w:val="009C6251"/>
    <w:rsid w:val="009C7CC5"/>
    <w:rsid w:val="009D0E3B"/>
    <w:rsid w:val="009D28FF"/>
    <w:rsid w:val="009D29C3"/>
    <w:rsid w:val="009D315D"/>
    <w:rsid w:val="009D3741"/>
    <w:rsid w:val="009D3AB2"/>
    <w:rsid w:val="009D600E"/>
    <w:rsid w:val="009D7249"/>
    <w:rsid w:val="009D73EF"/>
    <w:rsid w:val="009E0AC1"/>
    <w:rsid w:val="009E2338"/>
    <w:rsid w:val="009E254B"/>
    <w:rsid w:val="009E294A"/>
    <w:rsid w:val="009E3A6E"/>
    <w:rsid w:val="009E3B72"/>
    <w:rsid w:val="009E3FAF"/>
    <w:rsid w:val="009E44AB"/>
    <w:rsid w:val="009E6872"/>
    <w:rsid w:val="009E6899"/>
    <w:rsid w:val="009E7598"/>
    <w:rsid w:val="009F026B"/>
    <w:rsid w:val="009F0370"/>
    <w:rsid w:val="009F07F7"/>
    <w:rsid w:val="009F1824"/>
    <w:rsid w:val="009F1881"/>
    <w:rsid w:val="009F2CAA"/>
    <w:rsid w:val="009F38C5"/>
    <w:rsid w:val="009F4A05"/>
    <w:rsid w:val="009F5199"/>
    <w:rsid w:val="009F5C5B"/>
    <w:rsid w:val="009F66C2"/>
    <w:rsid w:val="009F707C"/>
    <w:rsid w:val="00A01691"/>
    <w:rsid w:val="00A022B8"/>
    <w:rsid w:val="00A03B94"/>
    <w:rsid w:val="00A03DFA"/>
    <w:rsid w:val="00A049F4"/>
    <w:rsid w:val="00A05195"/>
    <w:rsid w:val="00A05E05"/>
    <w:rsid w:val="00A06752"/>
    <w:rsid w:val="00A06A19"/>
    <w:rsid w:val="00A0701C"/>
    <w:rsid w:val="00A0765E"/>
    <w:rsid w:val="00A10627"/>
    <w:rsid w:val="00A124AA"/>
    <w:rsid w:val="00A126A0"/>
    <w:rsid w:val="00A127E0"/>
    <w:rsid w:val="00A150DF"/>
    <w:rsid w:val="00A1517D"/>
    <w:rsid w:val="00A173D7"/>
    <w:rsid w:val="00A1758D"/>
    <w:rsid w:val="00A2069F"/>
    <w:rsid w:val="00A20C6B"/>
    <w:rsid w:val="00A225C8"/>
    <w:rsid w:val="00A23877"/>
    <w:rsid w:val="00A23B45"/>
    <w:rsid w:val="00A24B08"/>
    <w:rsid w:val="00A25915"/>
    <w:rsid w:val="00A27165"/>
    <w:rsid w:val="00A30775"/>
    <w:rsid w:val="00A3115E"/>
    <w:rsid w:val="00A32218"/>
    <w:rsid w:val="00A3251C"/>
    <w:rsid w:val="00A35C5F"/>
    <w:rsid w:val="00A41608"/>
    <w:rsid w:val="00A41F36"/>
    <w:rsid w:val="00A43203"/>
    <w:rsid w:val="00A43E3F"/>
    <w:rsid w:val="00A4478E"/>
    <w:rsid w:val="00A44AA1"/>
    <w:rsid w:val="00A45FF1"/>
    <w:rsid w:val="00A46B56"/>
    <w:rsid w:val="00A47374"/>
    <w:rsid w:val="00A476E3"/>
    <w:rsid w:val="00A47EC5"/>
    <w:rsid w:val="00A5014D"/>
    <w:rsid w:val="00A50495"/>
    <w:rsid w:val="00A5097A"/>
    <w:rsid w:val="00A5129E"/>
    <w:rsid w:val="00A5312B"/>
    <w:rsid w:val="00A53559"/>
    <w:rsid w:val="00A54113"/>
    <w:rsid w:val="00A55652"/>
    <w:rsid w:val="00A55DB7"/>
    <w:rsid w:val="00A561F0"/>
    <w:rsid w:val="00A56AD0"/>
    <w:rsid w:val="00A56BFF"/>
    <w:rsid w:val="00A57523"/>
    <w:rsid w:val="00A57589"/>
    <w:rsid w:val="00A57952"/>
    <w:rsid w:val="00A600A4"/>
    <w:rsid w:val="00A60BEC"/>
    <w:rsid w:val="00A60C49"/>
    <w:rsid w:val="00A6218B"/>
    <w:rsid w:val="00A62191"/>
    <w:rsid w:val="00A63DEE"/>
    <w:rsid w:val="00A6579F"/>
    <w:rsid w:val="00A65853"/>
    <w:rsid w:val="00A66B71"/>
    <w:rsid w:val="00A67699"/>
    <w:rsid w:val="00A67A04"/>
    <w:rsid w:val="00A701F9"/>
    <w:rsid w:val="00A72CE2"/>
    <w:rsid w:val="00A73013"/>
    <w:rsid w:val="00A73E41"/>
    <w:rsid w:val="00A752E5"/>
    <w:rsid w:val="00A76903"/>
    <w:rsid w:val="00A76C21"/>
    <w:rsid w:val="00A76E2F"/>
    <w:rsid w:val="00A770A9"/>
    <w:rsid w:val="00A7760D"/>
    <w:rsid w:val="00A77B5F"/>
    <w:rsid w:val="00A77E41"/>
    <w:rsid w:val="00A77E92"/>
    <w:rsid w:val="00A80EA1"/>
    <w:rsid w:val="00A80F73"/>
    <w:rsid w:val="00A813D6"/>
    <w:rsid w:val="00A81BA2"/>
    <w:rsid w:val="00A81C74"/>
    <w:rsid w:val="00A82AB4"/>
    <w:rsid w:val="00A82D00"/>
    <w:rsid w:val="00A84090"/>
    <w:rsid w:val="00A84091"/>
    <w:rsid w:val="00A85AD9"/>
    <w:rsid w:val="00A91C17"/>
    <w:rsid w:val="00A94691"/>
    <w:rsid w:val="00A94D60"/>
    <w:rsid w:val="00A95BF4"/>
    <w:rsid w:val="00A979AA"/>
    <w:rsid w:val="00AA0E94"/>
    <w:rsid w:val="00AA16DD"/>
    <w:rsid w:val="00AA1F05"/>
    <w:rsid w:val="00AA36A8"/>
    <w:rsid w:val="00AA3776"/>
    <w:rsid w:val="00AA3B5B"/>
    <w:rsid w:val="00AA6E43"/>
    <w:rsid w:val="00AA7233"/>
    <w:rsid w:val="00AB004A"/>
    <w:rsid w:val="00AB1C7A"/>
    <w:rsid w:val="00AB2C19"/>
    <w:rsid w:val="00AC0894"/>
    <w:rsid w:val="00AC22A4"/>
    <w:rsid w:val="00AC23C9"/>
    <w:rsid w:val="00AC2721"/>
    <w:rsid w:val="00AC32F8"/>
    <w:rsid w:val="00AC33BD"/>
    <w:rsid w:val="00AC39A4"/>
    <w:rsid w:val="00AC3B17"/>
    <w:rsid w:val="00AC44AB"/>
    <w:rsid w:val="00AC6189"/>
    <w:rsid w:val="00AC6E90"/>
    <w:rsid w:val="00AC7FCC"/>
    <w:rsid w:val="00AD1B13"/>
    <w:rsid w:val="00AD254F"/>
    <w:rsid w:val="00AD2BE9"/>
    <w:rsid w:val="00AD4DDF"/>
    <w:rsid w:val="00AD52EB"/>
    <w:rsid w:val="00AD75EB"/>
    <w:rsid w:val="00AE01D6"/>
    <w:rsid w:val="00AE0279"/>
    <w:rsid w:val="00AE38B7"/>
    <w:rsid w:val="00AE5F0F"/>
    <w:rsid w:val="00AE732E"/>
    <w:rsid w:val="00AF08EC"/>
    <w:rsid w:val="00AF1BA9"/>
    <w:rsid w:val="00AF5604"/>
    <w:rsid w:val="00AF5D77"/>
    <w:rsid w:val="00B0039C"/>
    <w:rsid w:val="00B00D61"/>
    <w:rsid w:val="00B033EA"/>
    <w:rsid w:val="00B06FAA"/>
    <w:rsid w:val="00B07476"/>
    <w:rsid w:val="00B07993"/>
    <w:rsid w:val="00B124B6"/>
    <w:rsid w:val="00B125AA"/>
    <w:rsid w:val="00B12BA1"/>
    <w:rsid w:val="00B13E25"/>
    <w:rsid w:val="00B143CA"/>
    <w:rsid w:val="00B20184"/>
    <w:rsid w:val="00B205F5"/>
    <w:rsid w:val="00B22470"/>
    <w:rsid w:val="00B228FE"/>
    <w:rsid w:val="00B24F93"/>
    <w:rsid w:val="00B2505B"/>
    <w:rsid w:val="00B256F8"/>
    <w:rsid w:val="00B25A03"/>
    <w:rsid w:val="00B25B95"/>
    <w:rsid w:val="00B27283"/>
    <w:rsid w:val="00B27625"/>
    <w:rsid w:val="00B300B9"/>
    <w:rsid w:val="00B30ADB"/>
    <w:rsid w:val="00B312DA"/>
    <w:rsid w:val="00B335BA"/>
    <w:rsid w:val="00B33FAF"/>
    <w:rsid w:val="00B35676"/>
    <w:rsid w:val="00B35D16"/>
    <w:rsid w:val="00B40671"/>
    <w:rsid w:val="00B40AD9"/>
    <w:rsid w:val="00B438F4"/>
    <w:rsid w:val="00B43922"/>
    <w:rsid w:val="00B439B8"/>
    <w:rsid w:val="00B44FCC"/>
    <w:rsid w:val="00B45BE6"/>
    <w:rsid w:val="00B45DE2"/>
    <w:rsid w:val="00B47AB8"/>
    <w:rsid w:val="00B47EB6"/>
    <w:rsid w:val="00B5179A"/>
    <w:rsid w:val="00B525B9"/>
    <w:rsid w:val="00B52687"/>
    <w:rsid w:val="00B52FA2"/>
    <w:rsid w:val="00B55046"/>
    <w:rsid w:val="00B55168"/>
    <w:rsid w:val="00B557C4"/>
    <w:rsid w:val="00B56ABF"/>
    <w:rsid w:val="00B5799F"/>
    <w:rsid w:val="00B57A17"/>
    <w:rsid w:val="00B57CBF"/>
    <w:rsid w:val="00B6072F"/>
    <w:rsid w:val="00B6175A"/>
    <w:rsid w:val="00B6308F"/>
    <w:rsid w:val="00B63558"/>
    <w:rsid w:val="00B63697"/>
    <w:rsid w:val="00B6688A"/>
    <w:rsid w:val="00B67857"/>
    <w:rsid w:val="00B70721"/>
    <w:rsid w:val="00B70A18"/>
    <w:rsid w:val="00B70BEF"/>
    <w:rsid w:val="00B70D87"/>
    <w:rsid w:val="00B71195"/>
    <w:rsid w:val="00B73F9D"/>
    <w:rsid w:val="00B749D0"/>
    <w:rsid w:val="00B77357"/>
    <w:rsid w:val="00B81657"/>
    <w:rsid w:val="00B816D3"/>
    <w:rsid w:val="00B81FDF"/>
    <w:rsid w:val="00B83BD6"/>
    <w:rsid w:val="00B84910"/>
    <w:rsid w:val="00B84FBB"/>
    <w:rsid w:val="00B90942"/>
    <w:rsid w:val="00B91051"/>
    <w:rsid w:val="00B94B96"/>
    <w:rsid w:val="00B954FD"/>
    <w:rsid w:val="00B97633"/>
    <w:rsid w:val="00B97EBC"/>
    <w:rsid w:val="00BA12DE"/>
    <w:rsid w:val="00BA17A0"/>
    <w:rsid w:val="00BA1B86"/>
    <w:rsid w:val="00BA4F69"/>
    <w:rsid w:val="00BA60EF"/>
    <w:rsid w:val="00BA6FDD"/>
    <w:rsid w:val="00BA7390"/>
    <w:rsid w:val="00BB0747"/>
    <w:rsid w:val="00BB0B87"/>
    <w:rsid w:val="00BB1C69"/>
    <w:rsid w:val="00BB2DD1"/>
    <w:rsid w:val="00BB32FB"/>
    <w:rsid w:val="00BC005A"/>
    <w:rsid w:val="00BC113D"/>
    <w:rsid w:val="00BC2711"/>
    <w:rsid w:val="00BC3FCB"/>
    <w:rsid w:val="00BC43D4"/>
    <w:rsid w:val="00BC6F34"/>
    <w:rsid w:val="00BC7804"/>
    <w:rsid w:val="00BD0056"/>
    <w:rsid w:val="00BD1C6A"/>
    <w:rsid w:val="00BD606D"/>
    <w:rsid w:val="00BD6538"/>
    <w:rsid w:val="00BD784C"/>
    <w:rsid w:val="00BE0072"/>
    <w:rsid w:val="00BE16AC"/>
    <w:rsid w:val="00BE1A7C"/>
    <w:rsid w:val="00BE1B11"/>
    <w:rsid w:val="00BE1B4A"/>
    <w:rsid w:val="00BE24F0"/>
    <w:rsid w:val="00BE2CB9"/>
    <w:rsid w:val="00BE4EBF"/>
    <w:rsid w:val="00BE51B1"/>
    <w:rsid w:val="00BE7092"/>
    <w:rsid w:val="00BE76D7"/>
    <w:rsid w:val="00BF03A8"/>
    <w:rsid w:val="00BF2E4B"/>
    <w:rsid w:val="00BF37E6"/>
    <w:rsid w:val="00BF3B10"/>
    <w:rsid w:val="00BF4E55"/>
    <w:rsid w:val="00BF537E"/>
    <w:rsid w:val="00BF5FB5"/>
    <w:rsid w:val="00BF6F29"/>
    <w:rsid w:val="00C013EB"/>
    <w:rsid w:val="00C02E28"/>
    <w:rsid w:val="00C0497B"/>
    <w:rsid w:val="00C04F78"/>
    <w:rsid w:val="00C05297"/>
    <w:rsid w:val="00C0643F"/>
    <w:rsid w:val="00C0685E"/>
    <w:rsid w:val="00C06DD5"/>
    <w:rsid w:val="00C06FA1"/>
    <w:rsid w:val="00C0744C"/>
    <w:rsid w:val="00C07785"/>
    <w:rsid w:val="00C07E4E"/>
    <w:rsid w:val="00C10AF3"/>
    <w:rsid w:val="00C1140C"/>
    <w:rsid w:val="00C11C72"/>
    <w:rsid w:val="00C122A8"/>
    <w:rsid w:val="00C123C4"/>
    <w:rsid w:val="00C1336E"/>
    <w:rsid w:val="00C136AA"/>
    <w:rsid w:val="00C13AED"/>
    <w:rsid w:val="00C15BA1"/>
    <w:rsid w:val="00C1625E"/>
    <w:rsid w:val="00C22DA4"/>
    <w:rsid w:val="00C24824"/>
    <w:rsid w:val="00C25F56"/>
    <w:rsid w:val="00C26348"/>
    <w:rsid w:val="00C274FA"/>
    <w:rsid w:val="00C30AC5"/>
    <w:rsid w:val="00C31D9D"/>
    <w:rsid w:val="00C348DD"/>
    <w:rsid w:val="00C35303"/>
    <w:rsid w:val="00C366BC"/>
    <w:rsid w:val="00C40365"/>
    <w:rsid w:val="00C41D2A"/>
    <w:rsid w:val="00C43545"/>
    <w:rsid w:val="00C46000"/>
    <w:rsid w:val="00C476E0"/>
    <w:rsid w:val="00C47E54"/>
    <w:rsid w:val="00C513D9"/>
    <w:rsid w:val="00C52A77"/>
    <w:rsid w:val="00C538A2"/>
    <w:rsid w:val="00C54185"/>
    <w:rsid w:val="00C54585"/>
    <w:rsid w:val="00C54837"/>
    <w:rsid w:val="00C555EC"/>
    <w:rsid w:val="00C557B7"/>
    <w:rsid w:val="00C56678"/>
    <w:rsid w:val="00C60B3E"/>
    <w:rsid w:val="00C60C4C"/>
    <w:rsid w:val="00C60D09"/>
    <w:rsid w:val="00C61A8D"/>
    <w:rsid w:val="00C62819"/>
    <w:rsid w:val="00C63A3C"/>
    <w:rsid w:val="00C6545F"/>
    <w:rsid w:val="00C6586B"/>
    <w:rsid w:val="00C65BCC"/>
    <w:rsid w:val="00C70A67"/>
    <w:rsid w:val="00C70CCD"/>
    <w:rsid w:val="00C71FCB"/>
    <w:rsid w:val="00C7431C"/>
    <w:rsid w:val="00C74708"/>
    <w:rsid w:val="00C74A44"/>
    <w:rsid w:val="00C74D7C"/>
    <w:rsid w:val="00C75027"/>
    <w:rsid w:val="00C75ECD"/>
    <w:rsid w:val="00C76D98"/>
    <w:rsid w:val="00C77476"/>
    <w:rsid w:val="00C77873"/>
    <w:rsid w:val="00C80B11"/>
    <w:rsid w:val="00C821A4"/>
    <w:rsid w:val="00C82A9F"/>
    <w:rsid w:val="00C84E22"/>
    <w:rsid w:val="00C84FBB"/>
    <w:rsid w:val="00C85BC6"/>
    <w:rsid w:val="00C86106"/>
    <w:rsid w:val="00C8645F"/>
    <w:rsid w:val="00C86742"/>
    <w:rsid w:val="00C87F1F"/>
    <w:rsid w:val="00C926CC"/>
    <w:rsid w:val="00C93513"/>
    <w:rsid w:val="00C939EE"/>
    <w:rsid w:val="00C945A1"/>
    <w:rsid w:val="00C96C91"/>
    <w:rsid w:val="00C9786A"/>
    <w:rsid w:val="00CA030E"/>
    <w:rsid w:val="00CA0774"/>
    <w:rsid w:val="00CA18A4"/>
    <w:rsid w:val="00CA2947"/>
    <w:rsid w:val="00CA2F71"/>
    <w:rsid w:val="00CA4D4A"/>
    <w:rsid w:val="00CA630A"/>
    <w:rsid w:val="00CA6750"/>
    <w:rsid w:val="00CA7A21"/>
    <w:rsid w:val="00CB0FAD"/>
    <w:rsid w:val="00CB1563"/>
    <w:rsid w:val="00CB3AF4"/>
    <w:rsid w:val="00CB47B0"/>
    <w:rsid w:val="00CB61E5"/>
    <w:rsid w:val="00CB646E"/>
    <w:rsid w:val="00CB7DE5"/>
    <w:rsid w:val="00CC0513"/>
    <w:rsid w:val="00CC0787"/>
    <w:rsid w:val="00CC0971"/>
    <w:rsid w:val="00CC09F0"/>
    <w:rsid w:val="00CC0B74"/>
    <w:rsid w:val="00CC12BE"/>
    <w:rsid w:val="00CC1D13"/>
    <w:rsid w:val="00CC2703"/>
    <w:rsid w:val="00CC3917"/>
    <w:rsid w:val="00CC42FD"/>
    <w:rsid w:val="00CC4E80"/>
    <w:rsid w:val="00CC58B6"/>
    <w:rsid w:val="00CC5F9F"/>
    <w:rsid w:val="00CC6D04"/>
    <w:rsid w:val="00CC736E"/>
    <w:rsid w:val="00CC759F"/>
    <w:rsid w:val="00CD13C4"/>
    <w:rsid w:val="00CD155A"/>
    <w:rsid w:val="00CD1D63"/>
    <w:rsid w:val="00CD1D81"/>
    <w:rsid w:val="00CD3D63"/>
    <w:rsid w:val="00CD4D5D"/>
    <w:rsid w:val="00CD4DDB"/>
    <w:rsid w:val="00CD52A0"/>
    <w:rsid w:val="00CD52B4"/>
    <w:rsid w:val="00CD5614"/>
    <w:rsid w:val="00CD5D0D"/>
    <w:rsid w:val="00CD7CCB"/>
    <w:rsid w:val="00CE1A21"/>
    <w:rsid w:val="00CE1E90"/>
    <w:rsid w:val="00CE2E13"/>
    <w:rsid w:val="00CE31BF"/>
    <w:rsid w:val="00CE3D89"/>
    <w:rsid w:val="00CE3F5B"/>
    <w:rsid w:val="00CE5CDB"/>
    <w:rsid w:val="00CE6225"/>
    <w:rsid w:val="00CE7869"/>
    <w:rsid w:val="00CF05C3"/>
    <w:rsid w:val="00CF103B"/>
    <w:rsid w:val="00CF191E"/>
    <w:rsid w:val="00CF1F0A"/>
    <w:rsid w:val="00CF3011"/>
    <w:rsid w:val="00CF35E7"/>
    <w:rsid w:val="00CF37FA"/>
    <w:rsid w:val="00CF4744"/>
    <w:rsid w:val="00CF56B4"/>
    <w:rsid w:val="00CF6658"/>
    <w:rsid w:val="00CF7945"/>
    <w:rsid w:val="00D00EA0"/>
    <w:rsid w:val="00D0211A"/>
    <w:rsid w:val="00D02CE2"/>
    <w:rsid w:val="00D04448"/>
    <w:rsid w:val="00D05037"/>
    <w:rsid w:val="00D065D0"/>
    <w:rsid w:val="00D108BD"/>
    <w:rsid w:val="00D1126A"/>
    <w:rsid w:val="00D11E13"/>
    <w:rsid w:val="00D1294A"/>
    <w:rsid w:val="00D146C9"/>
    <w:rsid w:val="00D147FD"/>
    <w:rsid w:val="00D14884"/>
    <w:rsid w:val="00D178BF"/>
    <w:rsid w:val="00D17DEE"/>
    <w:rsid w:val="00D2034B"/>
    <w:rsid w:val="00D21471"/>
    <w:rsid w:val="00D21891"/>
    <w:rsid w:val="00D21D2D"/>
    <w:rsid w:val="00D23120"/>
    <w:rsid w:val="00D23B09"/>
    <w:rsid w:val="00D26779"/>
    <w:rsid w:val="00D26947"/>
    <w:rsid w:val="00D26D18"/>
    <w:rsid w:val="00D30C4B"/>
    <w:rsid w:val="00D30F5C"/>
    <w:rsid w:val="00D3106F"/>
    <w:rsid w:val="00D33800"/>
    <w:rsid w:val="00D34082"/>
    <w:rsid w:val="00D34654"/>
    <w:rsid w:val="00D34DF3"/>
    <w:rsid w:val="00D3697D"/>
    <w:rsid w:val="00D42073"/>
    <w:rsid w:val="00D42C5D"/>
    <w:rsid w:val="00D4358C"/>
    <w:rsid w:val="00D442E8"/>
    <w:rsid w:val="00D460BA"/>
    <w:rsid w:val="00D46994"/>
    <w:rsid w:val="00D46C5C"/>
    <w:rsid w:val="00D46F85"/>
    <w:rsid w:val="00D47218"/>
    <w:rsid w:val="00D47C56"/>
    <w:rsid w:val="00D50E48"/>
    <w:rsid w:val="00D5233A"/>
    <w:rsid w:val="00D530DC"/>
    <w:rsid w:val="00D531FA"/>
    <w:rsid w:val="00D54043"/>
    <w:rsid w:val="00D54A8E"/>
    <w:rsid w:val="00D55C5C"/>
    <w:rsid w:val="00D56952"/>
    <w:rsid w:val="00D56D10"/>
    <w:rsid w:val="00D56FD6"/>
    <w:rsid w:val="00D570BB"/>
    <w:rsid w:val="00D571D1"/>
    <w:rsid w:val="00D57D61"/>
    <w:rsid w:val="00D618A9"/>
    <w:rsid w:val="00D619AF"/>
    <w:rsid w:val="00D623A0"/>
    <w:rsid w:val="00D623A9"/>
    <w:rsid w:val="00D63483"/>
    <w:rsid w:val="00D66006"/>
    <w:rsid w:val="00D6622C"/>
    <w:rsid w:val="00D669CF"/>
    <w:rsid w:val="00D67030"/>
    <w:rsid w:val="00D70376"/>
    <w:rsid w:val="00D70AD1"/>
    <w:rsid w:val="00D7345C"/>
    <w:rsid w:val="00D73A38"/>
    <w:rsid w:val="00D73F0E"/>
    <w:rsid w:val="00D745AD"/>
    <w:rsid w:val="00D75E69"/>
    <w:rsid w:val="00D75FD3"/>
    <w:rsid w:val="00D7674D"/>
    <w:rsid w:val="00D770D5"/>
    <w:rsid w:val="00D800D8"/>
    <w:rsid w:val="00D80CCD"/>
    <w:rsid w:val="00D818CD"/>
    <w:rsid w:val="00D81A95"/>
    <w:rsid w:val="00D82452"/>
    <w:rsid w:val="00D82992"/>
    <w:rsid w:val="00D82FB8"/>
    <w:rsid w:val="00D85758"/>
    <w:rsid w:val="00D85EA7"/>
    <w:rsid w:val="00D9056C"/>
    <w:rsid w:val="00D90CCC"/>
    <w:rsid w:val="00D91C4F"/>
    <w:rsid w:val="00D9200E"/>
    <w:rsid w:val="00D941A4"/>
    <w:rsid w:val="00D9525F"/>
    <w:rsid w:val="00D959DB"/>
    <w:rsid w:val="00D975CE"/>
    <w:rsid w:val="00DA2BCC"/>
    <w:rsid w:val="00DA2F50"/>
    <w:rsid w:val="00DA3C66"/>
    <w:rsid w:val="00DA483D"/>
    <w:rsid w:val="00DA5397"/>
    <w:rsid w:val="00DA5C6D"/>
    <w:rsid w:val="00DA79F0"/>
    <w:rsid w:val="00DA7B24"/>
    <w:rsid w:val="00DB08B5"/>
    <w:rsid w:val="00DB215A"/>
    <w:rsid w:val="00DB23C7"/>
    <w:rsid w:val="00DB264E"/>
    <w:rsid w:val="00DB4EC5"/>
    <w:rsid w:val="00DB4F23"/>
    <w:rsid w:val="00DB547E"/>
    <w:rsid w:val="00DB58DB"/>
    <w:rsid w:val="00DB62C6"/>
    <w:rsid w:val="00DC1177"/>
    <w:rsid w:val="00DC209E"/>
    <w:rsid w:val="00DC5ACC"/>
    <w:rsid w:val="00DC66D5"/>
    <w:rsid w:val="00DD6118"/>
    <w:rsid w:val="00DE00B4"/>
    <w:rsid w:val="00DE04A4"/>
    <w:rsid w:val="00DE128C"/>
    <w:rsid w:val="00DE22C2"/>
    <w:rsid w:val="00DE3A6F"/>
    <w:rsid w:val="00DE3C3C"/>
    <w:rsid w:val="00DE4CB3"/>
    <w:rsid w:val="00DE6CB1"/>
    <w:rsid w:val="00DF0801"/>
    <w:rsid w:val="00DF0868"/>
    <w:rsid w:val="00DF0FF0"/>
    <w:rsid w:val="00DF2B23"/>
    <w:rsid w:val="00DF3110"/>
    <w:rsid w:val="00DF33D1"/>
    <w:rsid w:val="00DF5376"/>
    <w:rsid w:val="00DF60EE"/>
    <w:rsid w:val="00DF62E5"/>
    <w:rsid w:val="00DF77A1"/>
    <w:rsid w:val="00E01194"/>
    <w:rsid w:val="00E01348"/>
    <w:rsid w:val="00E01B3C"/>
    <w:rsid w:val="00E022CD"/>
    <w:rsid w:val="00E02C63"/>
    <w:rsid w:val="00E031B5"/>
    <w:rsid w:val="00E055CC"/>
    <w:rsid w:val="00E06338"/>
    <w:rsid w:val="00E10AA5"/>
    <w:rsid w:val="00E11C57"/>
    <w:rsid w:val="00E11DE9"/>
    <w:rsid w:val="00E13402"/>
    <w:rsid w:val="00E15702"/>
    <w:rsid w:val="00E170DA"/>
    <w:rsid w:val="00E2233D"/>
    <w:rsid w:val="00E2381D"/>
    <w:rsid w:val="00E23C64"/>
    <w:rsid w:val="00E244A6"/>
    <w:rsid w:val="00E2558A"/>
    <w:rsid w:val="00E26629"/>
    <w:rsid w:val="00E319DD"/>
    <w:rsid w:val="00E31B7D"/>
    <w:rsid w:val="00E31DC1"/>
    <w:rsid w:val="00E326AB"/>
    <w:rsid w:val="00E33446"/>
    <w:rsid w:val="00E337EF"/>
    <w:rsid w:val="00E34C01"/>
    <w:rsid w:val="00E363CB"/>
    <w:rsid w:val="00E36A96"/>
    <w:rsid w:val="00E36AB0"/>
    <w:rsid w:val="00E378EF"/>
    <w:rsid w:val="00E40998"/>
    <w:rsid w:val="00E41472"/>
    <w:rsid w:val="00E4173C"/>
    <w:rsid w:val="00E42B25"/>
    <w:rsid w:val="00E43CA8"/>
    <w:rsid w:val="00E4691A"/>
    <w:rsid w:val="00E4762B"/>
    <w:rsid w:val="00E5000F"/>
    <w:rsid w:val="00E50847"/>
    <w:rsid w:val="00E52F89"/>
    <w:rsid w:val="00E53EFD"/>
    <w:rsid w:val="00E5452F"/>
    <w:rsid w:val="00E5477F"/>
    <w:rsid w:val="00E54F52"/>
    <w:rsid w:val="00E55104"/>
    <w:rsid w:val="00E56498"/>
    <w:rsid w:val="00E56BF9"/>
    <w:rsid w:val="00E56C85"/>
    <w:rsid w:val="00E5702D"/>
    <w:rsid w:val="00E6147E"/>
    <w:rsid w:val="00E621F8"/>
    <w:rsid w:val="00E62DA2"/>
    <w:rsid w:val="00E651A7"/>
    <w:rsid w:val="00E65DB1"/>
    <w:rsid w:val="00E7016F"/>
    <w:rsid w:val="00E71485"/>
    <w:rsid w:val="00E71761"/>
    <w:rsid w:val="00E72EF0"/>
    <w:rsid w:val="00E7320E"/>
    <w:rsid w:val="00E73B66"/>
    <w:rsid w:val="00E73C6E"/>
    <w:rsid w:val="00E76CA8"/>
    <w:rsid w:val="00E80FF5"/>
    <w:rsid w:val="00E81763"/>
    <w:rsid w:val="00E81B88"/>
    <w:rsid w:val="00E820D6"/>
    <w:rsid w:val="00E83F25"/>
    <w:rsid w:val="00E8401E"/>
    <w:rsid w:val="00E845AC"/>
    <w:rsid w:val="00E84860"/>
    <w:rsid w:val="00E850FA"/>
    <w:rsid w:val="00E90497"/>
    <w:rsid w:val="00E90EAC"/>
    <w:rsid w:val="00E91011"/>
    <w:rsid w:val="00E919A1"/>
    <w:rsid w:val="00E91DA3"/>
    <w:rsid w:val="00E92BF4"/>
    <w:rsid w:val="00E93875"/>
    <w:rsid w:val="00E93DAD"/>
    <w:rsid w:val="00E94081"/>
    <w:rsid w:val="00E95E99"/>
    <w:rsid w:val="00E96349"/>
    <w:rsid w:val="00EA0B34"/>
    <w:rsid w:val="00EA0D85"/>
    <w:rsid w:val="00EA1001"/>
    <w:rsid w:val="00EA1CEC"/>
    <w:rsid w:val="00EA3BB7"/>
    <w:rsid w:val="00EA3D09"/>
    <w:rsid w:val="00EA43AE"/>
    <w:rsid w:val="00EA48B9"/>
    <w:rsid w:val="00EA56F2"/>
    <w:rsid w:val="00EA68EA"/>
    <w:rsid w:val="00EA690E"/>
    <w:rsid w:val="00EA73CE"/>
    <w:rsid w:val="00EA7EC8"/>
    <w:rsid w:val="00EB1B24"/>
    <w:rsid w:val="00EB2DBA"/>
    <w:rsid w:val="00EB2FEE"/>
    <w:rsid w:val="00EB5C32"/>
    <w:rsid w:val="00EB71EC"/>
    <w:rsid w:val="00EB7982"/>
    <w:rsid w:val="00EC0C01"/>
    <w:rsid w:val="00EC2D95"/>
    <w:rsid w:val="00EC2FFD"/>
    <w:rsid w:val="00EC31BD"/>
    <w:rsid w:val="00EC605A"/>
    <w:rsid w:val="00EC63CF"/>
    <w:rsid w:val="00EC7EBD"/>
    <w:rsid w:val="00ED0785"/>
    <w:rsid w:val="00ED1444"/>
    <w:rsid w:val="00ED15DB"/>
    <w:rsid w:val="00ED1F92"/>
    <w:rsid w:val="00ED3011"/>
    <w:rsid w:val="00ED3884"/>
    <w:rsid w:val="00ED452C"/>
    <w:rsid w:val="00ED6D31"/>
    <w:rsid w:val="00ED7809"/>
    <w:rsid w:val="00EE199A"/>
    <w:rsid w:val="00EE33DB"/>
    <w:rsid w:val="00EE3998"/>
    <w:rsid w:val="00EE5349"/>
    <w:rsid w:val="00EE6313"/>
    <w:rsid w:val="00EE7587"/>
    <w:rsid w:val="00EE7C56"/>
    <w:rsid w:val="00EF01EF"/>
    <w:rsid w:val="00EF0C52"/>
    <w:rsid w:val="00EF0C94"/>
    <w:rsid w:val="00EF2FCC"/>
    <w:rsid w:val="00EF34F4"/>
    <w:rsid w:val="00EF4084"/>
    <w:rsid w:val="00EF5340"/>
    <w:rsid w:val="00EF5FC7"/>
    <w:rsid w:val="00F00656"/>
    <w:rsid w:val="00F01215"/>
    <w:rsid w:val="00F015B2"/>
    <w:rsid w:val="00F02B8D"/>
    <w:rsid w:val="00F04039"/>
    <w:rsid w:val="00F05146"/>
    <w:rsid w:val="00F0520B"/>
    <w:rsid w:val="00F05781"/>
    <w:rsid w:val="00F064CB"/>
    <w:rsid w:val="00F068C3"/>
    <w:rsid w:val="00F06DEB"/>
    <w:rsid w:val="00F13274"/>
    <w:rsid w:val="00F1498E"/>
    <w:rsid w:val="00F17007"/>
    <w:rsid w:val="00F17A8B"/>
    <w:rsid w:val="00F20822"/>
    <w:rsid w:val="00F20CE1"/>
    <w:rsid w:val="00F21AEC"/>
    <w:rsid w:val="00F24F00"/>
    <w:rsid w:val="00F265A3"/>
    <w:rsid w:val="00F26DB0"/>
    <w:rsid w:val="00F272A8"/>
    <w:rsid w:val="00F3025F"/>
    <w:rsid w:val="00F30319"/>
    <w:rsid w:val="00F3088B"/>
    <w:rsid w:val="00F3175F"/>
    <w:rsid w:val="00F326EB"/>
    <w:rsid w:val="00F32993"/>
    <w:rsid w:val="00F336D5"/>
    <w:rsid w:val="00F34408"/>
    <w:rsid w:val="00F34488"/>
    <w:rsid w:val="00F344DF"/>
    <w:rsid w:val="00F34BF3"/>
    <w:rsid w:val="00F367A3"/>
    <w:rsid w:val="00F409DE"/>
    <w:rsid w:val="00F4448F"/>
    <w:rsid w:val="00F444EC"/>
    <w:rsid w:val="00F449CA"/>
    <w:rsid w:val="00F45D29"/>
    <w:rsid w:val="00F46825"/>
    <w:rsid w:val="00F511E0"/>
    <w:rsid w:val="00F51302"/>
    <w:rsid w:val="00F51F06"/>
    <w:rsid w:val="00F52315"/>
    <w:rsid w:val="00F52799"/>
    <w:rsid w:val="00F54C43"/>
    <w:rsid w:val="00F553DA"/>
    <w:rsid w:val="00F55476"/>
    <w:rsid w:val="00F556F9"/>
    <w:rsid w:val="00F566A6"/>
    <w:rsid w:val="00F568DC"/>
    <w:rsid w:val="00F576A0"/>
    <w:rsid w:val="00F57DB4"/>
    <w:rsid w:val="00F60167"/>
    <w:rsid w:val="00F6155F"/>
    <w:rsid w:val="00F634B4"/>
    <w:rsid w:val="00F639A8"/>
    <w:rsid w:val="00F64178"/>
    <w:rsid w:val="00F651F6"/>
    <w:rsid w:val="00F66F69"/>
    <w:rsid w:val="00F67433"/>
    <w:rsid w:val="00F72376"/>
    <w:rsid w:val="00F72C20"/>
    <w:rsid w:val="00F73AA2"/>
    <w:rsid w:val="00F75F5D"/>
    <w:rsid w:val="00F77EF9"/>
    <w:rsid w:val="00F8000E"/>
    <w:rsid w:val="00F8016A"/>
    <w:rsid w:val="00F80535"/>
    <w:rsid w:val="00F81862"/>
    <w:rsid w:val="00F8384F"/>
    <w:rsid w:val="00F8635E"/>
    <w:rsid w:val="00F86C58"/>
    <w:rsid w:val="00F87B38"/>
    <w:rsid w:val="00F908EB"/>
    <w:rsid w:val="00F91E92"/>
    <w:rsid w:val="00F9499D"/>
    <w:rsid w:val="00F94BC3"/>
    <w:rsid w:val="00F94E0F"/>
    <w:rsid w:val="00F94F68"/>
    <w:rsid w:val="00F9551F"/>
    <w:rsid w:val="00F96B80"/>
    <w:rsid w:val="00FA179C"/>
    <w:rsid w:val="00FA276A"/>
    <w:rsid w:val="00FA2A23"/>
    <w:rsid w:val="00FA3756"/>
    <w:rsid w:val="00FA6FA0"/>
    <w:rsid w:val="00FA7E7A"/>
    <w:rsid w:val="00FB2645"/>
    <w:rsid w:val="00FB3CC7"/>
    <w:rsid w:val="00FB4107"/>
    <w:rsid w:val="00FB4640"/>
    <w:rsid w:val="00FB4ECF"/>
    <w:rsid w:val="00FB5E81"/>
    <w:rsid w:val="00FC067F"/>
    <w:rsid w:val="00FC18DD"/>
    <w:rsid w:val="00FC6C3E"/>
    <w:rsid w:val="00FD0953"/>
    <w:rsid w:val="00FD09AE"/>
    <w:rsid w:val="00FD0B2F"/>
    <w:rsid w:val="00FD1112"/>
    <w:rsid w:val="00FD2130"/>
    <w:rsid w:val="00FD27F6"/>
    <w:rsid w:val="00FD29E4"/>
    <w:rsid w:val="00FD2F37"/>
    <w:rsid w:val="00FD63D1"/>
    <w:rsid w:val="00FE06FD"/>
    <w:rsid w:val="00FE086A"/>
    <w:rsid w:val="00FE0999"/>
    <w:rsid w:val="00FE352A"/>
    <w:rsid w:val="00FE3A1F"/>
    <w:rsid w:val="00FE5451"/>
    <w:rsid w:val="00FE59BD"/>
    <w:rsid w:val="00FE5A04"/>
    <w:rsid w:val="00FE7181"/>
    <w:rsid w:val="00FF011F"/>
    <w:rsid w:val="00FF0CC3"/>
    <w:rsid w:val="00FF0D38"/>
    <w:rsid w:val="00FF1B64"/>
    <w:rsid w:val="00FF203C"/>
    <w:rsid w:val="00FF4269"/>
    <w:rsid w:val="00FF55AB"/>
    <w:rsid w:val="00FF60BA"/>
    <w:rsid w:val="00FF7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hapeDefaults>
    <o:shapedefaults v:ext="edit" spidmax="2057"/>
    <o:shapelayout v:ext="edit">
      <o:idmap v:ext="edit" data="1"/>
    </o:shapelayout>
  </w:shapeDefaults>
  <w:decimalSymbol w:val="."/>
  <w:listSeparator w:val=","/>
  <w14:docId w14:val="6073D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BEC"/>
    <w:pPr>
      <w:jc w:val="both"/>
    </w:pPr>
  </w:style>
  <w:style w:type="paragraph" w:styleId="Heading1">
    <w:name w:val="heading 1"/>
    <w:basedOn w:val="Normal"/>
    <w:next w:val="Normal"/>
    <w:link w:val="Heading1Char"/>
    <w:uiPriority w:val="9"/>
    <w:qFormat/>
    <w:rsid w:val="00A60BEC"/>
    <w:pPr>
      <w:keepNext/>
      <w:keepLines/>
      <w:spacing w:before="600" w:after="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0BEC"/>
    <w:pPr>
      <w:keepNext/>
      <w:keepLines/>
      <w:spacing w:before="32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0B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0BE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0BE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60BE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60BE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60BE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60BE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1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60B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60BEC"/>
    <w:pPr>
      <w:outlineLvl w:val="9"/>
    </w:pPr>
  </w:style>
  <w:style w:type="paragraph" w:styleId="TOC1">
    <w:name w:val="toc 1"/>
    <w:basedOn w:val="Normal"/>
    <w:next w:val="Normal"/>
    <w:autoRedefine/>
    <w:uiPriority w:val="39"/>
    <w:unhideWhenUsed/>
    <w:rsid w:val="003510AF"/>
    <w:pPr>
      <w:spacing w:after="100"/>
    </w:pPr>
  </w:style>
  <w:style w:type="character" w:styleId="Hyperlink">
    <w:name w:val="Hyperlink"/>
    <w:basedOn w:val="DefaultParagraphFont"/>
    <w:uiPriority w:val="99"/>
    <w:unhideWhenUsed/>
    <w:rsid w:val="003510AF"/>
    <w:rPr>
      <w:color w:val="0000FF" w:themeColor="hyperlink"/>
      <w:u w:val="single"/>
    </w:rPr>
  </w:style>
  <w:style w:type="paragraph" w:styleId="TOC2">
    <w:name w:val="toc 2"/>
    <w:basedOn w:val="Normal"/>
    <w:next w:val="Normal"/>
    <w:autoRedefine/>
    <w:uiPriority w:val="39"/>
    <w:unhideWhenUsed/>
    <w:rsid w:val="003510AF"/>
    <w:pPr>
      <w:spacing w:after="100"/>
      <w:ind w:left="220"/>
    </w:pPr>
  </w:style>
  <w:style w:type="paragraph" w:styleId="BalloonText">
    <w:name w:val="Balloon Text"/>
    <w:basedOn w:val="Normal"/>
    <w:link w:val="BalloonTextChar"/>
    <w:uiPriority w:val="99"/>
    <w:semiHidden/>
    <w:unhideWhenUsed/>
    <w:rsid w:val="00351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0AF"/>
    <w:rPr>
      <w:rFonts w:ascii="Tahoma" w:hAnsi="Tahoma" w:cs="Tahoma"/>
      <w:sz w:val="16"/>
      <w:szCs w:val="16"/>
      <w:lang w:val="en-US"/>
    </w:rPr>
  </w:style>
  <w:style w:type="character" w:customStyle="1" w:styleId="Heading2Char">
    <w:name w:val="Heading 2 Char"/>
    <w:basedOn w:val="DefaultParagraphFont"/>
    <w:link w:val="Heading2"/>
    <w:uiPriority w:val="9"/>
    <w:rsid w:val="00A60BE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60BEC"/>
    <w:pPr>
      <w:ind w:left="720"/>
      <w:contextualSpacing/>
    </w:pPr>
  </w:style>
  <w:style w:type="paragraph" w:customStyle="1" w:styleId="metadata">
    <w:name w:val="metadata"/>
    <w:basedOn w:val="Normal"/>
    <w:rsid w:val="00CF37FA"/>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Caption">
    <w:name w:val="caption"/>
    <w:basedOn w:val="Normal"/>
    <w:next w:val="Normal"/>
    <w:uiPriority w:val="35"/>
    <w:unhideWhenUsed/>
    <w:qFormat/>
    <w:rsid w:val="004F46C4"/>
    <w:pPr>
      <w:spacing w:after="0" w:line="240" w:lineRule="auto"/>
      <w:jc w:val="left"/>
    </w:pPr>
    <w:rPr>
      <w:b/>
      <w:bCs/>
      <w:szCs w:val="18"/>
    </w:rPr>
  </w:style>
  <w:style w:type="paragraph" w:styleId="NoSpacing">
    <w:name w:val="No Spacing"/>
    <w:link w:val="NoSpacingChar"/>
    <w:uiPriority w:val="1"/>
    <w:qFormat/>
    <w:rsid w:val="00A60BEC"/>
    <w:pPr>
      <w:spacing w:after="0" w:line="240" w:lineRule="auto"/>
    </w:pPr>
  </w:style>
  <w:style w:type="character" w:customStyle="1" w:styleId="Heading3Char">
    <w:name w:val="Heading 3 Char"/>
    <w:basedOn w:val="DefaultParagraphFont"/>
    <w:link w:val="Heading3"/>
    <w:uiPriority w:val="9"/>
    <w:rsid w:val="00A60BE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CC05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CC0513"/>
    <w:rPr>
      <w:lang w:val="en-US"/>
    </w:rPr>
  </w:style>
  <w:style w:type="paragraph" w:styleId="Footer">
    <w:name w:val="footer"/>
    <w:basedOn w:val="Normal"/>
    <w:link w:val="FooterChar"/>
    <w:uiPriority w:val="99"/>
    <w:unhideWhenUsed/>
    <w:rsid w:val="00CC05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C0513"/>
    <w:rPr>
      <w:lang w:val="en-US"/>
    </w:rPr>
  </w:style>
  <w:style w:type="character" w:styleId="CommentReference">
    <w:name w:val="annotation reference"/>
    <w:basedOn w:val="DefaultParagraphFont"/>
    <w:uiPriority w:val="99"/>
    <w:semiHidden/>
    <w:unhideWhenUsed/>
    <w:rsid w:val="001E6DFB"/>
    <w:rPr>
      <w:sz w:val="18"/>
      <w:szCs w:val="18"/>
    </w:rPr>
  </w:style>
  <w:style w:type="paragraph" w:styleId="CommentText">
    <w:name w:val="annotation text"/>
    <w:basedOn w:val="Normal"/>
    <w:link w:val="CommentTextChar"/>
    <w:uiPriority w:val="99"/>
    <w:unhideWhenUsed/>
    <w:rsid w:val="001E6DFB"/>
    <w:pPr>
      <w:spacing w:line="240" w:lineRule="auto"/>
    </w:pPr>
    <w:rPr>
      <w:sz w:val="24"/>
      <w:szCs w:val="24"/>
    </w:rPr>
  </w:style>
  <w:style w:type="character" w:customStyle="1" w:styleId="CommentTextChar">
    <w:name w:val="Comment Text Char"/>
    <w:basedOn w:val="DefaultParagraphFont"/>
    <w:link w:val="CommentText"/>
    <w:uiPriority w:val="99"/>
    <w:rsid w:val="001E6DFB"/>
    <w:rPr>
      <w:sz w:val="24"/>
      <w:szCs w:val="24"/>
      <w:lang w:val="en-US"/>
    </w:rPr>
  </w:style>
  <w:style w:type="paragraph" w:styleId="CommentSubject">
    <w:name w:val="annotation subject"/>
    <w:basedOn w:val="CommentText"/>
    <w:next w:val="CommentText"/>
    <w:link w:val="CommentSubjectChar"/>
    <w:uiPriority w:val="99"/>
    <w:semiHidden/>
    <w:unhideWhenUsed/>
    <w:rsid w:val="001E6DFB"/>
    <w:rPr>
      <w:b/>
      <w:bCs/>
      <w:sz w:val="20"/>
      <w:szCs w:val="20"/>
    </w:rPr>
  </w:style>
  <w:style w:type="character" w:customStyle="1" w:styleId="CommentSubjectChar">
    <w:name w:val="Comment Subject Char"/>
    <w:basedOn w:val="CommentTextChar"/>
    <w:link w:val="CommentSubject"/>
    <w:uiPriority w:val="99"/>
    <w:semiHidden/>
    <w:rsid w:val="001E6DFB"/>
    <w:rPr>
      <w:b/>
      <w:bCs/>
      <w:sz w:val="20"/>
      <w:szCs w:val="20"/>
      <w:lang w:val="en-US"/>
    </w:rPr>
  </w:style>
  <w:style w:type="paragraph" w:styleId="Revision">
    <w:name w:val="Revision"/>
    <w:hidden/>
    <w:uiPriority w:val="99"/>
    <w:semiHidden/>
    <w:rsid w:val="00221BB9"/>
    <w:pPr>
      <w:spacing w:after="0" w:line="240" w:lineRule="auto"/>
    </w:pPr>
  </w:style>
  <w:style w:type="paragraph" w:styleId="TOC3">
    <w:name w:val="toc 3"/>
    <w:basedOn w:val="Normal"/>
    <w:next w:val="Normal"/>
    <w:autoRedefine/>
    <w:uiPriority w:val="39"/>
    <w:unhideWhenUsed/>
    <w:rsid w:val="00183526"/>
    <w:pPr>
      <w:spacing w:after="100"/>
      <w:ind w:left="440"/>
    </w:pPr>
  </w:style>
  <w:style w:type="character" w:customStyle="1" w:styleId="NoSpacingChar">
    <w:name w:val="No Spacing Char"/>
    <w:basedOn w:val="DefaultParagraphFont"/>
    <w:link w:val="NoSpacing"/>
    <w:uiPriority w:val="1"/>
    <w:rsid w:val="00782338"/>
  </w:style>
  <w:style w:type="paragraph" w:styleId="Quote">
    <w:name w:val="Quote"/>
    <w:basedOn w:val="Normal"/>
    <w:next w:val="Normal"/>
    <w:link w:val="QuoteChar"/>
    <w:uiPriority w:val="29"/>
    <w:qFormat/>
    <w:rsid w:val="00A60BEC"/>
    <w:rPr>
      <w:i/>
      <w:iCs/>
      <w:color w:val="000000" w:themeColor="text1"/>
    </w:rPr>
  </w:style>
  <w:style w:type="character" w:customStyle="1" w:styleId="QuoteChar">
    <w:name w:val="Quote Char"/>
    <w:basedOn w:val="DefaultParagraphFont"/>
    <w:link w:val="Quote"/>
    <w:uiPriority w:val="29"/>
    <w:rsid w:val="00A60BEC"/>
    <w:rPr>
      <w:i/>
      <w:iCs/>
      <w:color w:val="000000" w:themeColor="text1"/>
    </w:rPr>
  </w:style>
  <w:style w:type="character" w:customStyle="1" w:styleId="Heading4Char">
    <w:name w:val="Heading 4 Char"/>
    <w:basedOn w:val="DefaultParagraphFont"/>
    <w:link w:val="Heading4"/>
    <w:uiPriority w:val="9"/>
    <w:semiHidden/>
    <w:rsid w:val="00A60BE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60BE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60BE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60BE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60BE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60BEC"/>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60B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BE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60BE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60BE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60BEC"/>
    <w:rPr>
      <w:b/>
      <w:bCs/>
    </w:rPr>
  </w:style>
  <w:style w:type="character" w:styleId="Emphasis">
    <w:name w:val="Emphasis"/>
    <w:basedOn w:val="DefaultParagraphFont"/>
    <w:uiPriority w:val="20"/>
    <w:qFormat/>
    <w:rsid w:val="00A60BEC"/>
    <w:rPr>
      <w:i/>
      <w:iCs/>
    </w:rPr>
  </w:style>
  <w:style w:type="paragraph" w:styleId="IntenseQuote">
    <w:name w:val="Intense Quote"/>
    <w:basedOn w:val="Normal"/>
    <w:next w:val="Normal"/>
    <w:link w:val="IntenseQuoteChar"/>
    <w:uiPriority w:val="30"/>
    <w:qFormat/>
    <w:rsid w:val="00A60BE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60BEC"/>
    <w:rPr>
      <w:b/>
      <w:bCs/>
      <w:i/>
      <w:iCs/>
      <w:color w:val="4F81BD" w:themeColor="accent1"/>
    </w:rPr>
  </w:style>
  <w:style w:type="character" w:styleId="SubtleEmphasis">
    <w:name w:val="Subtle Emphasis"/>
    <w:basedOn w:val="DefaultParagraphFont"/>
    <w:uiPriority w:val="19"/>
    <w:qFormat/>
    <w:rsid w:val="00A60BEC"/>
    <w:rPr>
      <w:i/>
      <w:iCs/>
      <w:color w:val="808080" w:themeColor="text1" w:themeTint="7F"/>
    </w:rPr>
  </w:style>
  <w:style w:type="character" w:styleId="IntenseEmphasis">
    <w:name w:val="Intense Emphasis"/>
    <w:basedOn w:val="DefaultParagraphFont"/>
    <w:uiPriority w:val="21"/>
    <w:qFormat/>
    <w:rsid w:val="00A60BEC"/>
    <w:rPr>
      <w:b/>
      <w:bCs/>
      <w:i/>
      <w:iCs/>
      <w:color w:val="4F81BD" w:themeColor="accent1"/>
    </w:rPr>
  </w:style>
  <w:style w:type="character" w:styleId="SubtleReference">
    <w:name w:val="Subtle Reference"/>
    <w:basedOn w:val="DefaultParagraphFont"/>
    <w:uiPriority w:val="31"/>
    <w:qFormat/>
    <w:rsid w:val="00A60BEC"/>
    <w:rPr>
      <w:smallCaps/>
      <w:color w:val="C0504D" w:themeColor="accent2"/>
      <w:u w:val="single"/>
    </w:rPr>
  </w:style>
  <w:style w:type="character" w:styleId="IntenseReference">
    <w:name w:val="Intense Reference"/>
    <w:basedOn w:val="DefaultParagraphFont"/>
    <w:uiPriority w:val="32"/>
    <w:qFormat/>
    <w:rsid w:val="00A60BEC"/>
    <w:rPr>
      <w:b/>
      <w:bCs/>
      <w:smallCaps/>
      <w:color w:val="C0504D" w:themeColor="accent2"/>
      <w:spacing w:val="5"/>
      <w:u w:val="single"/>
    </w:rPr>
  </w:style>
  <w:style w:type="character" w:styleId="BookTitle">
    <w:name w:val="Book Title"/>
    <w:basedOn w:val="DefaultParagraphFont"/>
    <w:uiPriority w:val="33"/>
    <w:qFormat/>
    <w:rsid w:val="00A60BEC"/>
    <w:rPr>
      <w:b/>
      <w:bCs/>
      <w:smallCaps/>
      <w:spacing w:val="5"/>
    </w:rPr>
  </w:style>
  <w:style w:type="paragraph" w:styleId="NormalWeb">
    <w:name w:val="Normal (Web)"/>
    <w:basedOn w:val="Normal"/>
    <w:uiPriority w:val="99"/>
    <w:semiHidden/>
    <w:unhideWhenUsed/>
    <w:rsid w:val="00A60BEC"/>
    <w:pPr>
      <w:spacing w:before="100" w:beforeAutospacing="1" w:after="100" w:afterAutospacing="1" w:line="240" w:lineRule="auto"/>
      <w:jc w:val="left"/>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618A9"/>
    <w:rPr>
      <w:color w:val="800080" w:themeColor="followedHyperlink"/>
      <w:u w:val="single"/>
    </w:rPr>
  </w:style>
  <w:style w:type="paragraph" w:styleId="FootnoteText">
    <w:name w:val="footnote text"/>
    <w:aliases w:val="Texte de note de bas de page,footnote text,single space,ALTS FOOTNOTE,ADB,fn,ft,Footnote Text Char1,Footnote Text Char Char,FOOTNOTES,Note de bas de page Car Car,Note de bas de page Car1 Car Car,FOOTNOTES1,fn1,single space1,FOOTNOTES2,fn2"/>
    <w:basedOn w:val="Normal"/>
    <w:link w:val="FootnoteTextChar"/>
    <w:uiPriority w:val="99"/>
    <w:unhideWhenUsed/>
    <w:rsid w:val="001A1096"/>
    <w:pPr>
      <w:spacing w:after="0" w:line="240" w:lineRule="auto"/>
    </w:pPr>
    <w:rPr>
      <w:sz w:val="20"/>
      <w:szCs w:val="20"/>
    </w:rPr>
  </w:style>
  <w:style w:type="character" w:customStyle="1" w:styleId="FootnoteTextChar">
    <w:name w:val="Footnote Text Char"/>
    <w:aliases w:val="Texte de note de bas de page Char,footnote text Char,single space Char,ALTS FOOTNOTE Char,ADB Char,fn Char,ft Char,Footnote Text Char1 Char,Footnote Text Char Char Char,FOOTNOTES Char,Note de bas de page Car Car Char,FOOTNOTES1 Char"/>
    <w:basedOn w:val="DefaultParagraphFont"/>
    <w:link w:val="FootnoteText"/>
    <w:uiPriority w:val="99"/>
    <w:rsid w:val="001A1096"/>
    <w:rPr>
      <w:sz w:val="20"/>
      <w:szCs w:val="20"/>
    </w:rPr>
  </w:style>
  <w:style w:type="character" w:styleId="FootnoteReference">
    <w:name w:val="footnote reference"/>
    <w:aliases w:val="ftref,BVI fnr, BVI fnr,Знак сноски 1,16 Point,Superscript 6 Point"/>
    <w:basedOn w:val="DefaultParagraphFont"/>
    <w:uiPriority w:val="99"/>
    <w:unhideWhenUsed/>
    <w:rsid w:val="001A1096"/>
    <w:rPr>
      <w:vertAlign w:val="superscript"/>
    </w:rPr>
  </w:style>
  <w:style w:type="table" w:styleId="MediumShading1-Accent3">
    <w:name w:val="Medium Shading 1 Accent 3"/>
    <w:basedOn w:val="TableNormal"/>
    <w:uiPriority w:val="63"/>
    <w:rsid w:val="00A03DF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A03DF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1-Accent3">
    <w:name w:val="Medium Grid 1 Accent 3"/>
    <w:basedOn w:val="TableNormal"/>
    <w:uiPriority w:val="67"/>
    <w:rsid w:val="00A03DF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3-Accent3">
    <w:name w:val="Medium Grid 3 Accent 3"/>
    <w:basedOn w:val="TableNormal"/>
    <w:uiPriority w:val="69"/>
    <w:rsid w:val="00A03DF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3">
    <w:name w:val="Medium Grid 2 Accent 3"/>
    <w:basedOn w:val="TableNormal"/>
    <w:uiPriority w:val="68"/>
    <w:rsid w:val="00A03DF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LightShading1">
    <w:name w:val="Light Shading1"/>
    <w:basedOn w:val="TableNormal"/>
    <w:uiPriority w:val="60"/>
    <w:rsid w:val="00DF60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DF60E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TDisplayEquation">
    <w:name w:val="MTDisplayEquation"/>
    <w:basedOn w:val="Normal"/>
    <w:next w:val="Normal"/>
    <w:link w:val="MTDisplayEquationChar"/>
    <w:rsid w:val="00DF62E5"/>
    <w:pPr>
      <w:tabs>
        <w:tab w:val="center" w:pos="4540"/>
        <w:tab w:val="right" w:pos="9080"/>
      </w:tabs>
    </w:pPr>
  </w:style>
  <w:style w:type="character" w:customStyle="1" w:styleId="MTDisplayEquationChar">
    <w:name w:val="MTDisplayEquation Char"/>
    <w:basedOn w:val="DefaultParagraphFont"/>
    <w:link w:val="MTDisplayEquation"/>
    <w:rsid w:val="00DF62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BEC"/>
    <w:pPr>
      <w:jc w:val="both"/>
    </w:pPr>
  </w:style>
  <w:style w:type="paragraph" w:styleId="Heading1">
    <w:name w:val="heading 1"/>
    <w:basedOn w:val="Normal"/>
    <w:next w:val="Normal"/>
    <w:link w:val="Heading1Char"/>
    <w:uiPriority w:val="9"/>
    <w:qFormat/>
    <w:rsid w:val="00A60BEC"/>
    <w:pPr>
      <w:keepNext/>
      <w:keepLines/>
      <w:spacing w:before="600" w:after="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0BEC"/>
    <w:pPr>
      <w:keepNext/>
      <w:keepLines/>
      <w:spacing w:before="32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0B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0BE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0BE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60BE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60BE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60BE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60BE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1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60B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60BEC"/>
    <w:pPr>
      <w:outlineLvl w:val="9"/>
    </w:pPr>
  </w:style>
  <w:style w:type="paragraph" w:styleId="TOC1">
    <w:name w:val="toc 1"/>
    <w:basedOn w:val="Normal"/>
    <w:next w:val="Normal"/>
    <w:autoRedefine/>
    <w:uiPriority w:val="39"/>
    <w:unhideWhenUsed/>
    <w:rsid w:val="003510AF"/>
    <w:pPr>
      <w:spacing w:after="100"/>
    </w:pPr>
  </w:style>
  <w:style w:type="character" w:styleId="Hyperlink">
    <w:name w:val="Hyperlink"/>
    <w:basedOn w:val="DefaultParagraphFont"/>
    <w:uiPriority w:val="99"/>
    <w:unhideWhenUsed/>
    <w:rsid w:val="003510AF"/>
    <w:rPr>
      <w:color w:val="0000FF" w:themeColor="hyperlink"/>
      <w:u w:val="single"/>
    </w:rPr>
  </w:style>
  <w:style w:type="paragraph" w:styleId="TOC2">
    <w:name w:val="toc 2"/>
    <w:basedOn w:val="Normal"/>
    <w:next w:val="Normal"/>
    <w:autoRedefine/>
    <w:uiPriority w:val="39"/>
    <w:unhideWhenUsed/>
    <w:rsid w:val="003510AF"/>
    <w:pPr>
      <w:spacing w:after="100"/>
      <w:ind w:left="220"/>
    </w:pPr>
  </w:style>
  <w:style w:type="paragraph" w:styleId="BalloonText">
    <w:name w:val="Balloon Text"/>
    <w:basedOn w:val="Normal"/>
    <w:link w:val="BalloonTextChar"/>
    <w:uiPriority w:val="99"/>
    <w:semiHidden/>
    <w:unhideWhenUsed/>
    <w:rsid w:val="00351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0AF"/>
    <w:rPr>
      <w:rFonts w:ascii="Tahoma" w:hAnsi="Tahoma" w:cs="Tahoma"/>
      <w:sz w:val="16"/>
      <w:szCs w:val="16"/>
      <w:lang w:val="en-US"/>
    </w:rPr>
  </w:style>
  <w:style w:type="character" w:customStyle="1" w:styleId="Heading2Char">
    <w:name w:val="Heading 2 Char"/>
    <w:basedOn w:val="DefaultParagraphFont"/>
    <w:link w:val="Heading2"/>
    <w:uiPriority w:val="9"/>
    <w:rsid w:val="00A60BE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60BEC"/>
    <w:pPr>
      <w:ind w:left="720"/>
      <w:contextualSpacing/>
    </w:pPr>
  </w:style>
  <w:style w:type="paragraph" w:customStyle="1" w:styleId="metadata">
    <w:name w:val="metadata"/>
    <w:basedOn w:val="Normal"/>
    <w:rsid w:val="00CF37FA"/>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Caption">
    <w:name w:val="caption"/>
    <w:basedOn w:val="Normal"/>
    <w:next w:val="Normal"/>
    <w:uiPriority w:val="35"/>
    <w:unhideWhenUsed/>
    <w:qFormat/>
    <w:rsid w:val="004F46C4"/>
    <w:pPr>
      <w:spacing w:after="0" w:line="240" w:lineRule="auto"/>
      <w:jc w:val="left"/>
    </w:pPr>
    <w:rPr>
      <w:b/>
      <w:bCs/>
      <w:szCs w:val="18"/>
    </w:rPr>
  </w:style>
  <w:style w:type="paragraph" w:styleId="NoSpacing">
    <w:name w:val="No Spacing"/>
    <w:link w:val="NoSpacingChar"/>
    <w:uiPriority w:val="1"/>
    <w:qFormat/>
    <w:rsid w:val="00A60BEC"/>
    <w:pPr>
      <w:spacing w:after="0" w:line="240" w:lineRule="auto"/>
    </w:pPr>
  </w:style>
  <w:style w:type="character" w:customStyle="1" w:styleId="Heading3Char">
    <w:name w:val="Heading 3 Char"/>
    <w:basedOn w:val="DefaultParagraphFont"/>
    <w:link w:val="Heading3"/>
    <w:uiPriority w:val="9"/>
    <w:rsid w:val="00A60BE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CC05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CC0513"/>
    <w:rPr>
      <w:lang w:val="en-US"/>
    </w:rPr>
  </w:style>
  <w:style w:type="paragraph" w:styleId="Footer">
    <w:name w:val="footer"/>
    <w:basedOn w:val="Normal"/>
    <w:link w:val="FooterChar"/>
    <w:uiPriority w:val="99"/>
    <w:unhideWhenUsed/>
    <w:rsid w:val="00CC05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C0513"/>
    <w:rPr>
      <w:lang w:val="en-US"/>
    </w:rPr>
  </w:style>
  <w:style w:type="character" w:styleId="CommentReference">
    <w:name w:val="annotation reference"/>
    <w:basedOn w:val="DefaultParagraphFont"/>
    <w:uiPriority w:val="99"/>
    <w:semiHidden/>
    <w:unhideWhenUsed/>
    <w:rsid w:val="001E6DFB"/>
    <w:rPr>
      <w:sz w:val="18"/>
      <w:szCs w:val="18"/>
    </w:rPr>
  </w:style>
  <w:style w:type="paragraph" w:styleId="CommentText">
    <w:name w:val="annotation text"/>
    <w:basedOn w:val="Normal"/>
    <w:link w:val="CommentTextChar"/>
    <w:uiPriority w:val="99"/>
    <w:unhideWhenUsed/>
    <w:rsid w:val="001E6DFB"/>
    <w:pPr>
      <w:spacing w:line="240" w:lineRule="auto"/>
    </w:pPr>
    <w:rPr>
      <w:sz w:val="24"/>
      <w:szCs w:val="24"/>
    </w:rPr>
  </w:style>
  <w:style w:type="character" w:customStyle="1" w:styleId="CommentTextChar">
    <w:name w:val="Comment Text Char"/>
    <w:basedOn w:val="DefaultParagraphFont"/>
    <w:link w:val="CommentText"/>
    <w:uiPriority w:val="99"/>
    <w:rsid w:val="001E6DFB"/>
    <w:rPr>
      <w:sz w:val="24"/>
      <w:szCs w:val="24"/>
      <w:lang w:val="en-US"/>
    </w:rPr>
  </w:style>
  <w:style w:type="paragraph" w:styleId="CommentSubject">
    <w:name w:val="annotation subject"/>
    <w:basedOn w:val="CommentText"/>
    <w:next w:val="CommentText"/>
    <w:link w:val="CommentSubjectChar"/>
    <w:uiPriority w:val="99"/>
    <w:semiHidden/>
    <w:unhideWhenUsed/>
    <w:rsid w:val="001E6DFB"/>
    <w:rPr>
      <w:b/>
      <w:bCs/>
      <w:sz w:val="20"/>
      <w:szCs w:val="20"/>
    </w:rPr>
  </w:style>
  <w:style w:type="character" w:customStyle="1" w:styleId="CommentSubjectChar">
    <w:name w:val="Comment Subject Char"/>
    <w:basedOn w:val="CommentTextChar"/>
    <w:link w:val="CommentSubject"/>
    <w:uiPriority w:val="99"/>
    <w:semiHidden/>
    <w:rsid w:val="001E6DFB"/>
    <w:rPr>
      <w:b/>
      <w:bCs/>
      <w:sz w:val="20"/>
      <w:szCs w:val="20"/>
      <w:lang w:val="en-US"/>
    </w:rPr>
  </w:style>
  <w:style w:type="paragraph" w:styleId="Revision">
    <w:name w:val="Revision"/>
    <w:hidden/>
    <w:uiPriority w:val="99"/>
    <w:semiHidden/>
    <w:rsid w:val="00221BB9"/>
    <w:pPr>
      <w:spacing w:after="0" w:line="240" w:lineRule="auto"/>
    </w:pPr>
  </w:style>
  <w:style w:type="paragraph" w:styleId="TOC3">
    <w:name w:val="toc 3"/>
    <w:basedOn w:val="Normal"/>
    <w:next w:val="Normal"/>
    <w:autoRedefine/>
    <w:uiPriority w:val="39"/>
    <w:unhideWhenUsed/>
    <w:rsid w:val="00183526"/>
    <w:pPr>
      <w:spacing w:after="100"/>
      <w:ind w:left="440"/>
    </w:pPr>
  </w:style>
  <w:style w:type="character" w:customStyle="1" w:styleId="NoSpacingChar">
    <w:name w:val="No Spacing Char"/>
    <w:basedOn w:val="DefaultParagraphFont"/>
    <w:link w:val="NoSpacing"/>
    <w:uiPriority w:val="1"/>
    <w:rsid w:val="00782338"/>
  </w:style>
  <w:style w:type="paragraph" w:styleId="Quote">
    <w:name w:val="Quote"/>
    <w:basedOn w:val="Normal"/>
    <w:next w:val="Normal"/>
    <w:link w:val="QuoteChar"/>
    <w:uiPriority w:val="29"/>
    <w:qFormat/>
    <w:rsid w:val="00A60BEC"/>
    <w:rPr>
      <w:i/>
      <w:iCs/>
      <w:color w:val="000000" w:themeColor="text1"/>
    </w:rPr>
  </w:style>
  <w:style w:type="character" w:customStyle="1" w:styleId="QuoteChar">
    <w:name w:val="Quote Char"/>
    <w:basedOn w:val="DefaultParagraphFont"/>
    <w:link w:val="Quote"/>
    <w:uiPriority w:val="29"/>
    <w:rsid w:val="00A60BEC"/>
    <w:rPr>
      <w:i/>
      <w:iCs/>
      <w:color w:val="000000" w:themeColor="text1"/>
    </w:rPr>
  </w:style>
  <w:style w:type="character" w:customStyle="1" w:styleId="Heading4Char">
    <w:name w:val="Heading 4 Char"/>
    <w:basedOn w:val="DefaultParagraphFont"/>
    <w:link w:val="Heading4"/>
    <w:uiPriority w:val="9"/>
    <w:semiHidden/>
    <w:rsid w:val="00A60BE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60BE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60BE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60BE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60BE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60BEC"/>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60B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BE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60BE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60BE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60BEC"/>
    <w:rPr>
      <w:b/>
      <w:bCs/>
    </w:rPr>
  </w:style>
  <w:style w:type="character" w:styleId="Emphasis">
    <w:name w:val="Emphasis"/>
    <w:basedOn w:val="DefaultParagraphFont"/>
    <w:uiPriority w:val="20"/>
    <w:qFormat/>
    <w:rsid w:val="00A60BEC"/>
    <w:rPr>
      <w:i/>
      <w:iCs/>
    </w:rPr>
  </w:style>
  <w:style w:type="paragraph" w:styleId="IntenseQuote">
    <w:name w:val="Intense Quote"/>
    <w:basedOn w:val="Normal"/>
    <w:next w:val="Normal"/>
    <w:link w:val="IntenseQuoteChar"/>
    <w:uiPriority w:val="30"/>
    <w:qFormat/>
    <w:rsid w:val="00A60BE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60BEC"/>
    <w:rPr>
      <w:b/>
      <w:bCs/>
      <w:i/>
      <w:iCs/>
      <w:color w:val="4F81BD" w:themeColor="accent1"/>
    </w:rPr>
  </w:style>
  <w:style w:type="character" w:styleId="SubtleEmphasis">
    <w:name w:val="Subtle Emphasis"/>
    <w:basedOn w:val="DefaultParagraphFont"/>
    <w:uiPriority w:val="19"/>
    <w:qFormat/>
    <w:rsid w:val="00A60BEC"/>
    <w:rPr>
      <w:i/>
      <w:iCs/>
      <w:color w:val="808080" w:themeColor="text1" w:themeTint="7F"/>
    </w:rPr>
  </w:style>
  <w:style w:type="character" w:styleId="IntenseEmphasis">
    <w:name w:val="Intense Emphasis"/>
    <w:basedOn w:val="DefaultParagraphFont"/>
    <w:uiPriority w:val="21"/>
    <w:qFormat/>
    <w:rsid w:val="00A60BEC"/>
    <w:rPr>
      <w:b/>
      <w:bCs/>
      <w:i/>
      <w:iCs/>
      <w:color w:val="4F81BD" w:themeColor="accent1"/>
    </w:rPr>
  </w:style>
  <w:style w:type="character" w:styleId="SubtleReference">
    <w:name w:val="Subtle Reference"/>
    <w:basedOn w:val="DefaultParagraphFont"/>
    <w:uiPriority w:val="31"/>
    <w:qFormat/>
    <w:rsid w:val="00A60BEC"/>
    <w:rPr>
      <w:smallCaps/>
      <w:color w:val="C0504D" w:themeColor="accent2"/>
      <w:u w:val="single"/>
    </w:rPr>
  </w:style>
  <w:style w:type="character" w:styleId="IntenseReference">
    <w:name w:val="Intense Reference"/>
    <w:basedOn w:val="DefaultParagraphFont"/>
    <w:uiPriority w:val="32"/>
    <w:qFormat/>
    <w:rsid w:val="00A60BEC"/>
    <w:rPr>
      <w:b/>
      <w:bCs/>
      <w:smallCaps/>
      <w:color w:val="C0504D" w:themeColor="accent2"/>
      <w:spacing w:val="5"/>
      <w:u w:val="single"/>
    </w:rPr>
  </w:style>
  <w:style w:type="character" w:styleId="BookTitle">
    <w:name w:val="Book Title"/>
    <w:basedOn w:val="DefaultParagraphFont"/>
    <w:uiPriority w:val="33"/>
    <w:qFormat/>
    <w:rsid w:val="00A60BEC"/>
    <w:rPr>
      <w:b/>
      <w:bCs/>
      <w:smallCaps/>
      <w:spacing w:val="5"/>
    </w:rPr>
  </w:style>
  <w:style w:type="paragraph" w:styleId="NormalWeb">
    <w:name w:val="Normal (Web)"/>
    <w:basedOn w:val="Normal"/>
    <w:uiPriority w:val="99"/>
    <w:semiHidden/>
    <w:unhideWhenUsed/>
    <w:rsid w:val="00A60BEC"/>
    <w:pPr>
      <w:spacing w:before="100" w:beforeAutospacing="1" w:after="100" w:afterAutospacing="1" w:line="240" w:lineRule="auto"/>
      <w:jc w:val="left"/>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618A9"/>
    <w:rPr>
      <w:color w:val="800080" w:themeColor="followedHyperlink"/>
      <w:u w:val="single"/>
    </w:rPr>
  </w:style>
  <w:style w:type="paragraph" w:styleId="FootnoteText">
    <w:name w:val="footnote text"/>
    <w:aliases w:val="Texte de note de bas de page,footnote text,single space,ALTS FOOTNOTE,ADB,fn,ft,Footnote Text Char1,Footnote Text Char Char,FOOTNOTES,Note de bas de page Car Car,Note de bas de page Car1 Car Car,FOOTNOTES1,fn1,single space1,FOOTNOTES2,fn2"/>
    <w:basedOn w:val="Normal"/>
    <w:link w:val="FootnoteTextChar"/>
    <w:uiPriority w:val="99"/>
    <w:unhideWhenUsed/>
    <w:rsid w:val="001A1096"/>
    <w:pPr>
      <w:spacing w:after="0" w:line="240" w:lineRule="auto"/>
    </w:pPr>
    <w:rPr>
      <w:sz w:val="20"/>
      <w:szCs w:val="20"/>
    </w:rPr>
  </w:style>
  <w:style w:type="character" w:customStyle="1" w:styleId="FootnoteTextChar">
    <w:name w:val="Footnote Text Char"/>
    <w:aliases w:val="Texte de note de bas de page Char,footnote text Char,single space Char,ALTS FOOTNOTE Char,ADB Char,fn Char,ft Char,Footnote Text Char1 Char,Footnote Text Char Char Char,FOOTNOTES Char,Note de bas de page Car Car Char,FOOTNOTES1 Char"/>
    <w:basedOn w:val="DefaultParagraphFont"/>
    <w:link w:val="FootnoteText"/>
    <w:uiPriority w:val="99"/>
    <w:rsid w:val="001A1096"/>
    <w:rPr>
      <w:sz w:val="20"/>
      <w:szCs w:val="20"/>
    </w:rPr>
  </w:style>
  <w:style w:type="character" w:styleId="FootnoteReference">
    <w:name w:val="footnote reference"/>
    <w:aliases w:val="ftref,BVI fnr, BVI fnr,Знак сноски 1,16 Point,Superscript 6 Point"/>
    <w:basedOn w:val="DefaultParagraphFont"/>
    <w:uiPriority w:val="99"/>
    <w:unhideWhenUsed/>
    <w:rsid w:val="001A1096"/>
    <w:rPr>
      <w:vertAlign w:val="superscript"/>
    </w:rPr>
  </w:style>
  <w:style w:type="table" w:styleId="MediumShading1-Accent3">
    <w:name w:val="Medium Shading 1 Accent 3"/>
    <w:basedOn w:val="TableNormal"/>
    <w:uiPriority w:val="63"/>
    <w:rsid w:val="00A03DF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A03DF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1-Accent3">
    <w:name w:val="Medium Grid 1 Accent 3"/>
    <w:basedOn w:val="TableNormal"/>
    <w:uiPriority w:val="67"/>
    <w:rsid w:val="00A03DF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3-Accent3">
    <w:name w:val="Medium Grid 3 Accent 3"/>
    <w:basedOn w:val="TableNormal"/>
    <w:uiPriority w:val="69"/>
    <w:rsid w:val="00A03DF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3">
    <w:name w:val="Medium Grid 2 Accent 3"/>
    <w:basedOn w:val="TableNormal"/>
    <w:uiPriority w:val="68"/>
    <w:rsid w:val="00A03DF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LightShading1">
    <w:name w:val="Light Shading1"/>
    <w:basedOn w:val="TableNormal"/>
    <w:uiPriority w:val="60"/>
    <w:rsid w:val="00DF60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DF60E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TDisplayEquation">
    <w:name w:val="MTDisplayEquation"/>
    <w:basedOn w:val="Normal"/>
    <w:next w:val="Normal"/>
    <w:link w:val="MTDisplayEquationChar"/>
    <w:rsid w:val="00DF62E5"/>
    <w:pPr>
      <w:tabs>
        <w:tab w:val="center" w:pos="4540"/>
        <w:tab w:val="right" w:pos="9080"/>
      </w:tabs>
    </w:pPr>
  </w:style>
  <w:style w:type="character" w:customStyle="1" w:styleId="MTDisplayEquationChar">
    <w:name w:val="MTDisplayEquation Char"/>
    <w:basedOn w:val="DefaultParagraphFont"/>
    <w:link w:val="MTDisplayEquation"/>
    <w:rsid w:val="00DF6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72834">
      <w:bodyDiv w:val="1"/>
      <w:marLeft w:val="0"/>
      <w:marRight w:val="0"/>
      <w:marTop w:val="0"/>
      <w:marBottom w:val="0"/>
      <w:divBdr>
        <w:top w:val="none" w:sz="0" w:space="0" w:color="auto"/>
        <w:left w:val="none" w:sz="0" w:space="0" w:color="auto"/>
        <w:bottom w:val="none" w:sz="0" w:space="0" w:color="auto"/>
        <w:right w:val="none" w:sz="0" w:space="0" w:color="auto"/>
      </w:divBdr>
    </w:div>
    <w:div w:id="168645397">
      <w:bodyDiv w:val="1"/>
      <w:marLeft w:val="0"/>
      <w:marRight w:val="0"/>
      <w:marTop w:val="0"/>
      <w:marBottom w:val="0"/>
      <w:divBdr>
        <w:top w:val="none" w:sz="0" w:space="0" w:color="auto"/>
        <w:left w:val="none" w:sz="0" w:space="0" w:color="auto"/>
        <w:bottom w:val="none" w:sz="0" w:space="0" w:color="auto"/>
        <w:right w:val="none" w:sz="0" w:space="0" w:color="auto"/>
      </w:divBdr>
    </w:div>
    <w:div w:id="174392623">
      <w:bodyDiv w:val="1"/>
      <w:marLeft w:val="0"/>
      <w:marRight w:val="0"/>
      <w:marTop w:val="0"/>
      <w:marBottom w:val="0"/>
      <w:divBdr>
        <w:top w:val="none" w:sz="0" w:space="0" w:color="auto"/>
        <w:left w:val="none" w:sz="0" w:space="0" w:color="auto"/>
        <w:bottom w:val="none" w:sz="0" w:space="0" w:color="auto"/>
        <w:right w:val="none" w:sz="0" w:space="0" w:color="auto"/>
      </w:divBdr>
    </w:div>
    <w:div w:id="282150080">
      <w:bodyDiv w:val="1"/>
      <w:marLeft w:val="0"/>
      <w:marRight w:val="0"/>
      <w:marTop w:val="0"/>
      <w:marBottom w:val="0"/>
      <w:divBdr>
        <w:top w:val="none" w:sz="0" w:space="0" w:color="auto"/>
        <w:left w:val="none" w:sz="0" w:space="0" w:color="auto"/>
        <w:bottom w:val="none" w:sz="0" w:space="0" w:color="auto"/>
        <w:right w:val="none" w:sz="0" w:space="0" w:color="auto"/>
      </w:divBdr>
    </w:div>
    <w:div w:id="297688286">
      <w:bodyDiv w:val="1"/>
      <w:marLeft w:val="0"/>
      <w:marRight w:val="0"/>
      <w:marTop w:val="0"/>
      <w:marBottom w:val="0"/>
      <w:divBdr>
        <w:top w:val="none" w:sz="0" w:space="0" w:color="auto"/>
        <w:left w:val="none" w:sz="0" w:space="0" w:color="auto"/>
        <w:bottom w:val="none" w:sz="0" w:space="0" w:color="auto"/>
        <w:right w:val="none" w:sz="0" w:space="0" w:color="auto"/>
      </w:divBdr>
      <w:divsChild>
        <w:div w:id="93210248">
          <w:marLeft w:val="0"/>
          <w:marRight w:val="0"/>
          <w:marTop w:val="0"/>
          <w:marBottom w:val="0"/>
          <w:divBdr>
            <w:top w:val="none" w:sz="0" w:space="0" w:color="auto"/>
            <w:left w:val="none" w:sz="0" w:space="0" w:color="auto"/>
            <w:bottom w:val="none" w:sz="0" w:space="0" w:color="auto"/>
            <w:right w:val="none" w:sz="0" w:space="0" w:color="auto"/>
          </w:divBdr>
        </w:div>
        <w:div w:id="1567256379">
          <w:marLeft w:val="0"/>
          <w:marRight w:val="0"/>
          <w:marTop w:val="0"/>
          <w:marBottom w:val="0"/>
          <w:divBdr>
            <w:top w:val="none" w:sz="0" w:space="0" w:color="auto"/>
            <w:left w:val="none" w:sz="0" w:space="0" w:color="auto"/>
            <w:bottom w:val="none" w:sz="0" w:space="0" w:color="auto"/>
            <w:right w:val="none" w:sz="0" w:space="0" w:color="auto"/>
          </w:divBdr>
        </w:div>
        <w:div w:id="1169828320">
          <w:marLeft w:val="0"/>
          <w:marRight w:val="0"/>
          <w:marTop w:val="0"/>
          <w:marBottom w:val="0"/>
          <w:divBdr>
            <w:top w:val="none" w:sz="0" w:space="0" w:color="auto"/>
            <w:left w:val="none" w:sz="0" w:space="0" w:color="auto"/>
            <w:bottom w:val="none" w:sz="0" w:space="0" w:color="auto"/>
            <w:right w:val="none" w:sz="0" w:space="0" w:color="auto"/>
          </w:divBdr>
        </w:div>
        <w:div w:id="366371857">
          <w:marLeft w:val="0"/>
          <w:marRight w:val="0"/>
          <w:marTop w:val="0"/>
          <w:marBottom w:val="0"/>
          <w:divBdr>
            <w:top w:val="none" w:sz="0" w:space="0" w:color="auto"/>
            <w:left w:val="none" w:sz="0" w:space="0" w:color="auto"/>
            <w:bottom w:val="none" w:sz="0" w:space="0" w:color="auto"/>
            <w:right w:val="none" w:sz="0" w:space="0" w:color="auto"/>
          </w:divBdr>
        </w:div>
      </w:divsChild>
    </w:div>
    <w:div w:id="402408107">
      <w:bodyDiv w:val="1"/>
      <w:marLeft w:val="0"/>
      <w:marRight w:val="0"/>
      <w:marTop w:val="0"/>
      <w:marBottom w:val="0"/>
      <w:divBdr>
        <w:top w:val="none" w:sz="0" w:space="0" w:color="auto"/>
        <w:left w:val="none" w:sz="0" w:space="0" w:color="auto"/>
        <w:bottom w:val="none" w:sz="0" w:space="0" w:color="auto"/>
        <w:right w:val="none" w:sz="0" w:space="0" w:color="auto"/>
      </w:divBdr>
    </w:div>
    <w:div w:id="409739398">
      <w:bodyDiv w:val="1"/>
      <w:marLeft w:val="0"/>
      <w:marRight w:val="0"/>
      <w:marTop w:val="0"/>
      <w:marBottom w:val="0"/>
      <w:divBdr>
        <w:top w:val="none" w:sz="0" w:space="0" w:color="auto"/>
        <w:left w:val="none" w:sz="0" w:space="0" w:color="auto"/>
        <w:bottom w:val="none" w:sz="0" w:space="0" w:color="auto"/>
        <w:right w:val="none" w:sz="0" w:space="0" w:color="auto"/>
      </w:divBdr>
    </w:div>
    <w:div w:id="521210075">
      <w:bodyDiv w:val="1"/>
      <w:marLeft w:val="0"/>
      <w:marRight w:val="0"/>
      <w:marTop w:val="0"/>
      <w:marBottom w:val="0"/>
      <w:divBdr>
        <w:top w:val="none" w:sz="0" w:space="0" w:color="auto"/>
        <w:left w:val="none" w:sz="0" w:space="0" w:color="auto"/>
        <w:bottom w:val="none" w:sz="0" w:space="0" w:color="auto"/>
        <w:right w:val="none" w:sz="0" w:space="0" w:color="auto"/>
      </w:divBdr>
    </w:div>
    <w:div w:id="541985969">
      <w:bodyDiv w:val="1"/>
      <w:marLeft w:val="0"/>
      <w:marRight w:val="0"/>
      <w:marTop w:val="0"/>
      <w:marBottom w:val="0"/>
      <w:divBdr>
        <w:top w:val="none" w:sz="0" w:space="0" w:color="auto"/>
        <w:left w:val="none" w:sz="0" w:space="0" w:color="auto"/>
        <w:bottom w:val="none" w:sz="0" w:space="0" w:color="auto"/>
        <w:right w:val="none" w:sz="0" w:space="0" w:color="auto"/>
      </w:divBdr>
    </w:div>
    <w:div w:id="554049302">
      <w:bodyDiv w:val="1"/>
      <w:marLeft w:val="0"/>
      <w:marRight w:val="0"/>
      <w:marTop w:val="0"/>
      <w:marBottom w:val="0"/>
      <w:divBdr>
        <w:top w:val="none" w:sz="0" w:space="0" w:color="auto"/>
        <w:left w:val="none" w:sz="0" w:space="0" w:color="auto"/>
        <w:bottom w:val="none" w:sz="0" w:space="0" w:color="auto"/>
        <w:right w:val="none" w:sz="0" w:space="0" w:color="auto"/>
      </w:divBdr>
    </w:div>
    <w:div w:id="613681246">
      <w:bodyDiv w:val="1"/>
      <w:marLeft w:val="0"/>
      <w:marRight w:val="0"/>
      <w:marTop w:val="0"/>
      <w:marBottom w:val="0"/>
      <w:divBdr>
        <w:top w:val="none" w:sz="0" w:space="0" w:color="auto"/>
        <w:left w:val="none" w:sz="0" w:space="0" w:color="auto"/>
        <w:bottom w:val="none" w:sz="0" w:space="0" w:color="auto"/>
        <w:right w:val="none" w:sz="0" w:space="0" w:color="auto"/>
      </w:divBdr>
    </w:div>
    <w:div w:id="727146780">
      <w:bodyDiv w:val="1"/>
      <w:marLeft w:val="0"/>
      <w:marRight w:val="0"/>
      <w:marTop w:val="0"/>
      <w:marBottom w:val="0"/>
      <w:divBdr>
        <w:top w:val="none" w:sz="0" w:space="0" w:color="auto"/>
        <w:left w:val="none" w:sz="0" w:space="0" w:color="auto"/>
        <w:bottom w:val="none" w:sz="0" w:space="0" w:color="auto"/>
        <w:right w:val="none" w:sz="0" w:space="0" w:color="auto"/>
      </w:divBdr>
    </w:div>
    <w:div w:id="911232400">
      <w:bodyDiv w:val="1"/>
      <w:marLeft w:val="0"/>
      <w:marRight w:val="0"/>
      <w:marTop w:val="0"/>
      <w:marBottom w:val="0"/>
      <w:divBdr>
        <w:top w:val="none" w:sz="0" w:space="0" w:color="auto"/>
        <w:left w:val="none" w:sz="0" w:space="0" w:color="auto"/>
        <w:bottom w:val="none" w:sz="0" w:space="0" w:color="auto"/>
        <w:right w:val="none" w:sz="0" w:space="0" w:color="auto"/>
      </w:divBdr>
    </w:div>
    <w:div w:id="917245993">
      <w:bodyDiv w:val="1"/>
      <w:marLeft w:val="0"/>
      <w:marRight w:val="0"/>
      <w:marTop w:val="0"/>
      <w:marBottom w:val="0"/>
      <w:divBdr>
        <w:top w:val="none" w:sz="0" w:space="0" w:color="auto"/>
        <w:left w:val="none" w:sz="0" w:space="0" w:color="auto"/>
        <w:bottom w:val="none" w:sz="0" w:space="0" w:color="auto"/>
        <w:right w:val="none" w:sz="0" w:space="0" w:color="auto"/>
      </w:divBdr>
    </w:div>
    <w:div w:id="948897304">
      <w:bodyDiv w:val="1"/>
      <w:marLeft w:val="0"/>
      <w:marRight w:val="0"/>
      <w:marTop w:val="0"/>
      <w:marBottom w:val="0"/>
      <w:divBdr>
        <w:top w:val="none" w:sz="0" w:space="0" w:color="auto"/>
        <w:left w:val="none" w:sz="0" w:space="0" w:color="auto"/>
        <w:bottom w:val="none" w:sz="0" w:space="0" w:color="auto"/>
        <w:right w:val="none" w:sz="0" w:space="0" w:color="auto"/>
      </w:divBdr>
    </w:div>
    <w:div w:id="1031613854">
      <w:bodyDiv w:val="1"/>
      <w:marLeft w:val="0"/>
      <w:marRight w:val="0"/>
      <w:marTop w:val="0"/>
      <w:marBottom w:val="0"/>
      <w:divBdr>
        <w:top w:val="none" w:sz="0" w:space="0" w:color="auto"/>
        <w:left w:val="none" w:sz="0" w:space="0" w:color="auto"/>
        <w:bottom w:val="none" w:sz="0" w:space="0" w:color="auto"/>
        <w:right w:val="none" w:sz="0" w:space="0" w:color="auto"/>
      </w:divBdr>
    </w:div>
    <w:div w:id="1124421980">
      <w:bodyDiv w:val="1"/>
      <w:marLeft w:val="0"/>
      <w:marRight w:val="0"/>
      <w:marTop w:val="0"/>
      <w:marBottom w:val="0"/>
      <w:divBdr>
        <w:top w:val="none" w:sz="0" w:space="0" w:color="auto"/>
        <w:left w:val="none" w:sz="0" w:space="0" w:color="auto"/>
        <w:bottom w:val="none" w:sz="0" w:space="0" w:color="auto"/>
        <w:right w:val="none" w:sz="0" w:space="0" w:color="auto"/>
      </w:divBdr>
    </w:div>
    <w:div w:id="1248226863">
      <w:bodyDiv w:val="1"/>
      <w:marLeft w:val="0"/>
      <w:marRight w:val="0"/>
      <w:marTop w:val="0"/>
      <w:marBottom w:val="0"/>
      <w:divBdr>
        <w:top w:val="none" w:sz="0" w:space="0" w:color="auto"/>
        <w:left w:val="none" w:sz="0" w:space="0" w:color="auto"/>
        <w:bottom w:val="none" w:sz="0" w:space="0" w:color="auto"/>
        <w:right w:val="none" w:sz="0" w:space="0" w:color="auto"/>
      </w:divBdr>
    </w:div>
    <w:div w:id="1397818610">
      <w:bodyDiv w:val="1"/>
      <w:marLeft w:val="0"/>
      <w:marRight w:val="0"/>
      <w:marTop w:val="0"/>
      <w:marBottom w:val="0"/>
      <w:divBdr>
        <w:top w:val="none" w:sz="0" w:space="0" w:color="auto"/>
        <w:left w:val="none" w:sz="0" w:space="0" w:color="auto"/>
        <w:bottom w:val="none" w:sz="0" w:space="0" w:color="auto"/>
        <w:right w:val="none" w:sz="0" w:space="0" w:color="auto"/>
      </w:divBdr>
    </w:div>
    <w:div w:id="1493063919">
      <w:bodyDiv w:val="1"/>
      <w:marLeft w:val="0"/>
      <w:marRight w:val="0"/>
      <w:marTop w:val="0"/>
      <w:marBottom w:val="0"/>
      <w:divBdr>
        <w:top w:val="none" w:sz="0" w:space="0" w:color="auto"/>
        <w:left w:val="none" w:sz="0" w:space="0" w:color="auto"/>
        <w:bottom w:val="none" w:sz="0" w:space="0" w:color="auto"/>
        <w:right w:val="none" w:sz="0" w:space="0" w:color="auto"/>
      </w:divBdr>
    </w:div>
    <w:div w:id="1533806313">
      <w:bodyDiv w:val="1"/>
      <w:marLeft w:val="0"/>
      <w:marRight w:val="0"/>
      <w:marTop w:val="0"/>
      <w:marBottom w:val="0"/>
      <w:divBdr>
        <w:top w:val="none" w:sz="0" w:space="0" w:color="auto"/>
        <w:left w:val="none" w:sz="0" w:space="0" w:color="auto"/>
        <w:bottom w:val="none" w:sz="0" w:space="0" w:color="auto"/>
        <w:right w:val="none" w:sz="0" w:space="0" w:color="auto"/>
      </w:divBdr>
    </w:div>
    <w:div w:id="1549797101">
      <w:bodyDiv w:val="1"/>
      <w:marLeft w:val="0"/>
      <w:marRight w:val="0"/>
      <w:marTop w:val="0"/>
      <w:marBottom w:val="0"/>
      <w:divBdr>
        <w:top w:val="none" w:sz="0" w:space="0" w:color="auto"/>
        <w:left w:val="none" w:sz="0" w:space="0" w:color="auto"/>
        <w:bottom w:val="none" w:sz="0" w:space="0" w:color="auto"/>
        <w:right w:val="none" w:sz="0" w:space="0" w:color="auto"/>
      </w:divBdr>
    </w:div>
    <w:div w:id="1578008416">
      <w:bodyDiv w:val="1"/>
      <w:marLeft w:val="0"/>
      <w:marRight w:val="0"/>
      <w:marTop w:val="0"/>
      <w:marBottom w:val="0"/>
      <w:divBdr>
        <w:top w:val="none" w:sz="0" w:space="0" w:color="auto"/>
        <w:left w:val="none" w:sz="0" w:space="0" w:color="auto"/>
        <w:bottom w:val="none" w:sz="0" w:space="0" w:color="auto"/>
        <w:right w:val="none" w:sz="0" w:space="0" w:color="auto"/>
      </w:divBdr>
    </w:div>
    <w:div w:id="1607731202">
      <w:bodyDiv w:val="1"/>
      <w:marLeft w:val="0"/>
      <w:marRight w:val="0"/>
      <w:marTop w:val="0"/>
      <w:marBottom w:val="0"/>
      <w:divBdr>
        <w:top w:val="none" w:sz="0" w:space="0" w:color="auto"/>
        <w:left w:val="none" w:sz="0" w:space="0" w:color="auto"/>
        <w:bottom w:val="none" w:sz="0" w:space="0" w:color="auto"/>
        <w:right w:val="none" w:sz="0" w:space="0" w:color="auto"/>
      </w:divBdr>
      <w:divsChild>
        <w:div w:id="923539115">
          <w:marLeft w:val="0"/>
          <w:marRight w:val="0"/>
          <w:marTop w:val="0"/>
          <w:marBottom w:val="0"/>
          <w:divBdr>
            <w:top w:val="none" w:sz="0" w:space="0" w:color="auto"/>
            <w:left w:val="none" w:sz="0" w:space="0" w:color="auto"/>
            <w:bottom w:val="none" w:sz="0" w:space="0" w:color="auto"/>
            <w:right w:val="none" w:sz="0" w:space="0" w:color="auto"/>
          </w:divBdr>
        </w:div>
        <w:div w:id="1024555355">
          <w:marLeft w:val="0"/>
          <w:marRight w:val="0"/>
          <w:marTop w:val="0"/>
          <w:marBottom w:val="0"/>
          <w:divBdr>
            <w:top w:val="none" w:sz="0" w:space="0" w:color="auto"/>
            <w:left w:val="none" w:sz="0" w:space="0" w:color="auto"/>
            <w:bottom w:val="none" w:sz="0" w:space="0" w:color="auto"/>
            <w:right w:val="none" w:sz="0" w:space="0" w:color="auto"/>
          </w:divBdr>
        </w:div>
        <w:div w:id="1224296507">
          <w:marLeft w:val="0"/>
          <w:marRight w:val="0"/>
          <w:marTop w:val="0"/>
          <w:marBottom w:val="0"/>
          <w:divBdr>
            <w:top w:val="none" w:sz="0" w:space="0" w:color="auto"/>
            <w:left w:val="none" w:sz="0" w:space="0" w:color="auto"/>
            <w:bottom w:val="none" w:sz="0" w:space="0" w:color="auto"/>
            <w:right w:val="none" w:sz="0" w:space="0" w:color="auto"/>
          </w:divBdr>
        </w:div>
        <w:div w:id="585922601">
          <w:marLeft w:val="0"/>
          <w:marRight w:val="0"/>
          <w:marTop w:val="0"/>
          <w:marBottom w:val="0"/>
          <w:divBdr>
            <w:top w:val="none" w:sz="0" w:space="0" w:color="auto"/>
            <w:left w:val="none" w:sz="0" w:space="0" w:color="auto"/>
            <w:bottom w:val="none" w:sz="0" w:space="0" w:color="auto"/>
            <w:right w:val="none" w:sz="0" w:space="0" w:color="auto"/>
          </w:divBdr>
        </w:div>
        <w:div w:id="2058770582">
          <w:marLeft w:val="0"/>
          <w:marRight w:val="0"/>
          <w:marTop w:val="0"/>
          <w:marBottom w:val="0"/>
          <w:divBdr>
            <w:top w:val="none" w:sz="0" w:space="0" w:color="auto"/>
            <w:left w:val="none" w:sz="0" w:space="0" w:color="auto"/>
            <w:bottom w:val="none" w:sz="0" w:space="0" w:color="auto"/>
            <w:right w:val="none" w:sz="0" w:space="0" w:color="auto"/>
          </w:divBdr>
        </w:div>
        <w:div w:id="514268215">
          <w:marLeft w:val="0"/>
          <w:marRight w:val="0"/>
          <w:marTop w:val="0"/>
          <w:marBottom w:val="0"/>
          <w:divBdr>
            <w:top w:val="none" w:sz="0" w:space="0" w:color="auto"/>
            <w:left w:val="none" w:sz="0" w:space="0" w:color="auto"/>
            <w:bottom w:val="none" w:sz="0" w:space="0" w:color="auto"/>
            <w:right w:val="none" w:sz="0" w:space="0" w:color="auto"/>
          </w:divBdr>
        </w:div>
        <w:div w:id="1801460249">
          <w:marLeft w:val="0"/>
          <w:marRight w:val="0"/>
          <w:marTop w:val="0"/>
          <w:marBottom w:val="0"/>
          <w:divBdr>
            <w:top w:val="none" w:sz="0" w:space="0" w:color="auto"/>
            <w:left w:val="none" w:sz="0" w:space="0" w:color="auto"/>
            <w:bottom w:val="none" w:sz="0" w:space="0" w:color="auto"/>
            <w:right w:val="none" w:sz="0" w:space="0" w:color="auto"/>
          </w:divBdr>
        </w:div>
        <w:div w:id="921992609">
          <w:marLeft w:val="0"/>
          <w:marRight w:val="0"/>
          <w:marTop w:val="0"/>
          <w:marBottom w:val="0"/>
          <w:divBdr>
            <w:top w:val="none" w:sz="0" w:space="0" w:color="auto"/>
            <w:left w:val="none" w:sz="0" w:space="0" w:color="auto"/>
            <w:bottom w:val="none" w:sz="0" w:space="0" w:color="auto"/>
            <w:right w:val="none" w:sz="0" w:space="0" w:color="auto"/>
          </w:divBdr>
        </w:div>
        <w:div w:id="1013729609">
          <w:marLeft w:val="0"/>
          <w:marRight w:val="0"/>
          <w:marTop w:val="0"/>
          <w:marBottom w:val="0"/>
          <w:divBdr>
            <w:top w:val="none" w:sz="0" w:space="0" w:color="auto"/>
            <w:left w:val="none" w:sz="0" w:space="0" w:color="auto"/>
            <w:bottom w:val="none" w:sz="0" w:space="0" w:color="auto"/>
            <w:right w:val="none" w:sz="0" w:space="0" w:color="auto"/>
          </w:divBdr>
        </w:div>
        <w:div w:id="492452692">
          <w:marLeft w:val="0"/>
          <w:marRight w:val="0"/>
          <w:marTop w:val="0"/>
          <w:marBottom w:val="0"/>
          <w:divBdr>
            <w:top w:val="none" w:sz="0" w:space="0" w:color="auto"/>
            <w:left w:val="none" w:sz="0" w:space="0" w:color="auto"/>
            <w:bottom w:val="none" w:sz="0" w:space="0" w:color="auto"/>
            <w:right w:val="none" w:sz="0" w:space="0" w:color="auto"/>
          </w:divBdr>
        </w:div>
        <w:div w:id="440340757">
          <w:marLeft w:val="0"/>
          <w:marRight w:val="0"/>
          <w:marTop w:val="0"/>
          <w:marBottom w:val="0"/>
          <w:divBdr>
            <w:top w:val="none" w:sz="0" w:space="0" w:color="auto"/>
            <w:left w:val="none" w:sz="0" w:space="0" w:color="auto"/>
            <w:bottom w:val="none" w:sz="0" w:space="0" w:color="auto"/>
            <w:right w:val="none" w:sz="0" w:space="0" w:color="auto"/>
          </w:divBdr>
        </w:div>
        <w:div w:id="1863857319">
          <w:marLeft w:val="0"/>
          <w:marRight w:val="0"/>
          <w:marTop w:val="0"/>
          <w:marBottom w:val="0"/>
          <w:divBdr>
            <w:top w:val="none" w:sz="0" w:space="0" w:color="auto"/>
            <w:left w:val="none" w:sz="0" w:space="0" w:color="auto"/>
            <w:bottom w:val="none" w:sz="0" w:space="0" w:color="auto"/>
            <w:right w:val="none" w:sz="0" w:space="0" w:color="auto"/>
          </w:divBdr>
        </w:div>
        <w:div w:id="168833361">
          <w:marLeft w:val="0"/>
          <w:marRight w:val="0"/>
          <w:marTop w:val="0"/>
          <w:marBottom w:val="0"/>
          <w:divBdr>
            <w:top w:val="none" w:sz="0" w:space="0" w:color="auto"/>
            <w:left w:val="none" w:sz="0" w:space="0" w:color="auto"/>
            <w:bottom w:val="none" w:sz="0" w:space="0" w:color="auto"/>
            <w:right w:val="none" w:sz="0" w:space="0" w:color="auto"/>
          </w:divBdr>
        </w:div>
        <w:div w:id="2118481762">
          <w:marLeft w:val="0"/>
          <w:marRight w:val="0"/>
          <w:marTop w:val="0"/>
          <w:marBottom w:val="0"/>
          <w:divBdr>
            <w:top w:val="none" w:sz="0" w:space="0" w:color="auto"/>
            <w:left w:val="none" w:sz="0" w:space="0" w:color="auto"/>
            <w:bottom w:val="none" w:sz="0" w:space="0" w:color="auto"/>
            <w:right w:val="none" w:sz="0" w:space="0" w:color="auto"/>
          </w:divBdr>
        </w:div>
        <w:div w:id="163475319">
          <w:marLeft w:val="0"/>
          <w:marRight w:val="0"/>
          <w:marTop w:val="0"/>
          <w:marBottom w:val="0"/>
          <w:divBdr>
            <w:top w:val="none" w:sz="0" w:space="0" w:color="auto"/>
            <w:left w:val="none" w:sz="0" w:space="0" w:color="auto"/>
            <w:bottom w:val="none" w:sz="0" w:space="0" w:color="auto"/>
            <w:right w:val="none" w:sz="0" w:space="0" w:color="auto"/>
          </w:divBdr>
        </w:div>
        <w:div w:id="1121460890">
          <w:marLeft w:val="0"/>
          <w:marRight w:val="0"/>
          <w:marTop w:val="0"/>
          <w:marBottom w:val="0"/>
          <w:divBdr>
            <w:top w:val="none" w:sz="0" w:space="0" w:color="auto"/>
            <w:left w:val="none" w:sz="0" w:space="0" w:color="auto"/>
            <w:bottom w:val="none" w:sz="0" w:space="0" w:color="auto"/>
            <w:right w:val="none" w:sz="0" w:space="0" w:color="auto"/>
          </w:divBdr>
        </w:div>
        <w:div w:id="1932622335">
          <w:marLeft w:val="0"/>
          <w:marRight w:val="0"/>
          <w:marTop w:val="0"/>
          <w:marBottom w:val="0"/>
          <w:divBdr>
            <w:top w:val="none" w:sz="0" w:space="0" w:color="auto"/>
            <w:left w:val="none" w:sz="0" w:space="0" w:color="auto"/>
            <w:bottom w:val="none" w:sz="0" w:space="0" w:color="auto"/>
            <w:right w:val="none" w:sz="0" w:space="0" w:color="auto"/>
          </w:divBdr>
        </w:div>
        <w:div w:id="1416197414">
          <w:marLeft w:val="0"/>
          <w:marRight w:val="0"/>
          <w:marTop w:val="0"/>
          <w:marBottom w:val="0"/>
          <w:divBdr>
            <w:top w:val="none" w:sz="0" w:space="0" w:color="auto"/>
            <w:left w:val="none" w:sz="0" w:space="0" w:color="auto"/>
            <w:bottom w:val="none" w:sz="0" w:space="0" w:color="auto"/>
            <w:right w:val="none" w:sz="0" w:space="0" w:color="auto"/>
          </w:divBdr>
        </w:div>
        <w:div w:id="1804226329">
          <w:marLeft w:val="0"/>
          <w:marRight w:val="0"/>
          <w:marTop w:val="0"/>
          <w:marBottom w:val="0"/>
          <w:divBdr>
            <w:top w:val="none" w:sz="0" w:space="0" w:color="auto"/>
            <w:left w:val="none" w:sz="0" w:space="0" w:color="auto"/>
            <w:bottom w:val="none" w:sz="0" w:space="0" w:color="auto"/>
            <w:right w:val="none" w:sz="0" w:space="0" w:color="auto"/>
          </w:divBdr>
        </w:div>
        <w:div w:id="155148582">
          <w:marLeft w:val="0"/>
          <w:marRight w:val="0"/>
          <w:marTop w:val="0"/>
          <w:marBottom w:val="0"/>
          <w:divBdr>
            <w:top w:val="none" w:sz="0" w:space="0" w:color="auto"/>
            <w:left w:val="none" w:sz="0" w:space="0" w:color="auto"/>
            <w:bottom w:val="none" w:sz="0" w:space="0" w:color="auto"/>
            <w:right w:val="none" w:sz="0" w:space="0" w:color="auto"/>
          </w:divBdr>
        </w:div>
        <w:div w:id="647244926">
          <w:marLeft w:val="0"/>
          <w:marRight w:val="0"/>
          <w:marTop w:val="0"/>
          <w:marBottom w:val="0"/>
          <w:divBdr>
            <w:top w:val="none" w:sz="0" w:space="0" w:color="auto"/>
            <w:left w:val="none" w:sz="0" w:space="0" w:color="auto"/>
            <w:bottom w:val="none" w:sz="0" w:space="0" w:color="auto"/>
            <w:right w:val="none" w:sz="0" w:space="0" w:color="auto"/>
          </w:divBdr>
        </w:div>
        <w:div w:id="1797990218">
          <w:marLeft w:val="0"/>
          <w:marRight w:val="0"/>
          <w:marTop w:val="0"/>
          <w:marBottom w:val="0"/>
          <w:divBdr>
            <w:top w:val="none" w:sz="0" w:space="0" w:color="auto"/>
            <w:left w:val="none" w:sz="0" w:space="0" w:color="auto"/>
            <w:bottom w:val="none" w:sz="0" w:space="0" w:color="auto"/>
            <w:right w:val="none" w:sz="0" w:space="0" w:color="auto"/>
          </w:divBdr>
        </w:div>
        <w:div w:id="1565752740">
          <w:marLeft w:val="0"/>
          <w:marRight w:val="0"/>
          <w:marTop w:val="0"/>
          <w:marBottom w:val="0"/>
          <w:divBdr>
            <w:top w:val="none" w:sz="0" w:space="0" w:color="auto"/>
            <w:left w:val="none" w:sz="0" w:space="0" w:color="auto"/>
            <w:bottom w:val="none" w:sz="0" w:space="0" w:color="auto"/>
            <w:right w:val="none" w:sz="0" w:space="0" w:color="auto"/>
          </w:divBdr>
        </w:div>
        <w:div w:id="814033328">
          <w:marLeft w:val="0"/>
          <w:marRight w:val="0"/>
          <w:marTop w:val="0"/>
          <w:marBottom w:val="0"/>
          <w:divBdr>
            <w:top w:val="none" w:sz="0" w:space="0" w:color="auto"/>
            <w:left w:val="none" w:sz="0" w:space="0" w:color="auto"/>
            <w:bottom w:val="none" w:sz="0" w:space="0" w:color="auto"/>
            <w:right w:val="none" w:sz="0" w:space="0" w:color="auto"/>
          </w:divBdr>
        </w:div>
        <w:div w:id="1383215246">
          <w:marLeft w:val="0"/>
          <w:marRight w:val="0"/>
          <w:marTop w:val="0"/>
          <w:marBottom w:val="0"/>
          <w:divBdr>
            <w:top w:val="none" w:sz="0" w:space="0" w:color="auto"/>
            <w:left w:val="none" w:sz="0" w:space="0" w:color="auto"/>
            <w:bottom w:val="none" w:sz="0" w:space="0" w:color="auto"/>
            <w:right w:val="none" w:sz="0" w:space="0" w:color="auto"/>
          </w:divBdr>
        </w:div>
        <w:div w:id="1116173748">
          <w:marLeft w:val="0"/>
          <w:marRight w:val="0"/>
          <w:marTop w:val="0"/>
          <w:marBottom w:val="0"/>
          <w:divBdr>
            <w:top w:val="none" w:sz="0" w:space="0" w:color="auto"/>
            <w:left w:val="none" w:sz="0" w:space="0" w:color="auto"/>
            <w:bottom w:val="none" w:sz="0" w:space="0" w:color="auto"/>
            <w:right w:val="none" w:sz="0" w:space="0" w:color="auto"/>
          </w:divBdr>
        </w:div>
        <w:div w:id="392198957">
          <w:marLeft w:val="0"/>
          <w:marRight w:val="0"/>
          <w:marTop w:val="0"/>
          <w:marBottom w:val="0"/>
          <w:divBdr>
            <w:top w:val="none" w:sz="0" w:space="0" w:color="auto"/>
            <w:left w:val="none" w:sz="0" w:space="0" w:color="auto"/>
            <w:bottom w:val="none" w:sz="0" w:space="0" w:color="auto"/>
            <w:right w:val="none" w:sz="0" w:space="0" w:color="auto"/>
          </w:divBdr>
        </w:div>
        <w:div w:id="513618371">
          <w:marLeft w:val="0"/>
          <w:marRight w:val="0"/>
          <w:marTop w:val="0"/>
          <w:marBottom w:val="0"/>
          <w:divBdr>
            <w:top w:val="none" w:sz="0" w:space="0" w:color="auto"/>
            <w:left w:val="none" w:sz="0" w:space="0" w:color="auto"/>
            <w:bottom w:val="none" w:sz="0" w:space="0" w:color="auto"/>
            <w:right w:val="none" w:sz="0" w:space="0" w:color="auto"/>
          </w:divBdr>
        </w:div>
        <w:div w:id="312419180">
          <w:marLeft w:val="0"/>
          <w:marRight w:val="0"/>
          <w:marTop w:val="0"/>
          <w:marBottom w:val="0"/>
          <w:divBdr>
            <w:top w:val="none" w:sz="0" w:space="0" w:color="auto"/>
            <w:left w:val="none" w:sz="0" w:space="0" w:color="auto"/>
            <w:bottom w:val="none" w:sz="0" w:space="0" w:color="auto"/>
            <w:right w:val="none" w:sz="0" w:space="0" w:color="auto"/>
          </w:divBdr>
        </w:div>
        <w:div w:id="2092853593">
          <w:marLeft w:val="0"/>
          <w:marRight w:val="0"/>
          <w:marTop w:val="0"/>
          <w:marBottom w:val="0"/>
          <w:divBdr>
            <w:top w:val="none" w:sz="0" w:space="0" w:color="auto"/>
            <w:left w:val="none" w:sz="0" w:space="0" w:color="auto"/>
            <w:bottom w:val="none" w:sz="0" w:space="0" w:color="auto"/>
            <w:right w:val="none" w:sz="0" w:space="0" w:color="auto"/>
          </w:divBdr>
        </w:div>
        <w:div w:id="712577478">
          <w:marLeft w:val="0"/>
          <w:marRight w:val="0"/>
          <w:marTop w:val="0"/>
          <w:marBottom w:val="0"/>
          <w:divBdr>
            <w:top w:val="none" w:sz="0" w:space="0" w:color="auto"/>
            <w:left w:val="none" w:sz="0" w:space="0" w:color="auto"/>
            <w:bottom w:val="none" w:sz="0" w:space="0" w:color="auto"/>
            <w:right w:val="none" w:sz="0" w:space="0" w:color="auto"/>
          </w:divBdr>
        </w:div>
      </w:divsChild>
    </w:div>
    <w:div w:id="1654676661">
      <w:bodyDiv w:val="1"/>
      <w:marLeft w:val="0"/>
      <w:marRight w:val="0"/>
      <w:marTop w:val="0"/>
      <w:marBottom w:val="0"/>
      <w:divBdr>
        <w:top w:val="none" w:sz="0" w:space="0" w:color="auto"/>
        <w:left w:val="none" w:sz="0" w:space="0" w:color="auto"/>
        <w:bottom w:val="none" w:sz="0" w:space="0" w:color="auto"/>
        <w:right w:val="none" w:sz="0" w:space="0" w:color="auto"/>
      </w:divBdr>
    </w:div>
    <w:div w:id="1673605764">
      <w:bodyDiv w:val="1"/>
      <w:marLeft w:val="0"/>
      <w:marRight w:val="0"/>
      <w:marTop w:val="0"/>
      <w:marBottom w:val="0"/>
      <w:divBdr>
        <w:top w:val="none" w:sz="0" w:space="0" w:color="auto"/>
        <w:left w:val="none" w:sz="0" w:space="0" w:color="auto"/>
        <w:bottom w:val="none" w:sz="0" w:space="0" w:color="auto"/>
        <w:right w:val="none" w:sz="0" w:space="0" w:color="auto"/>
      </w:divBdr>
    </w:div>
    <w:div w:id="1687638054">
      <w:bodyDiv w:val="1"/>
      <w:marLeft w:val="0"/>
      <w:marRight w:val="0"/>
      <w:marTop w:val="0"/>
      <w:marBottom w:val="0"/>
      <w:divBdr>
        <w:top w:val="none" w:sz="0" w:space="0" w:color="auto"/>
        <w:left w:val="none" w:sz="0" w:space="0" w:color="auto"/>
        <w:bottom w:val="none" w:sz="0" w:space="0" w:color="auto"/>
        <w:right w:val="none" w:sz="0" w:space="0" w:color="auto"/>
      </w:divBdr>
    </w:div>
    <w:div w:id="1736968357">
      <w:bodyDiv w:val="1"/>
      <w:marLeft w:val="0"/>
      <w:marRight w:val="0"/>
      <w:marTop w:val="0"/>
      <w:marBottom w:val="0"/>
      <w:divBdr>
        <w:top w:val="none" w:sz="0" w:space="0" w:color="auto"/>
        <w:left w:val="none" w:sz="0" w:space="0" w:color="auto"/>
        <w:bottom w:val="none" w:sz="0" w:space="0" w:color="auto"/>
        <w:right w:val="none" w:sz="0" w:space="0" w:color="auto"/>
      </w:divBdr>
    </w:div>
    <w:div w:id="1752972294">
      <w:bodyDiv w:val="1"/>
      <w:marLeft w:val="0"/>
      <w:marRight w:val="0"/>
      <w:marTop w:val="0"/>
      <w:marBottom w:val="0"/>
      <w:divBdr>
        <w:top w:val="none" w:sz="0" w:space="0" w:color="auto"/>
        <w:left w:val="none" w:sz="0" w:space="0" w:color="auto"/>
        <w:bottom w:val="none" w:sz="0" w:space="0" w:color="auto"/>
        <w:right w:val="none" w:sz="0" w:space="0" w:color="auto"/>
      </w:divBdr>
    </w:div>
    <w:div w:id="1795519047">
      <w:bodyDiv w:val="1"/>
      <w:marLeft w:val="0"/>
      <w:marRight w:val="0"/>
      <w:marTop w:val="0"/>
      <w:marBottom w:val="0"/>
      <w:divBdr>
        <w:top w:val="none" w:sz="0" w:space="0" w:color="auto"/>
        <w:left w:val="none" w:sz="0" w:space="0" w:color="auto"/>
        <w:bottom w:val="none" w:sz="0" w:space="0" w:color="auto"/>
        <w:right w:val="none" w:sz="0" w:space="0" w:color="auto"/>
      </w:divBdr>
    </w:div>
    <w:div w:id="1817336582">
      <w:bodyDiv w:val="1"/>
      <w:marLeft w:val="0"/>
      <w:marRight w:val="0"/>
      <w:marTop w:val="0"/>
      <w:marBottom w:val="0"/>
      <w:divBdr>
        <w:top w:val="none" w:sz="0" w:space="0" w:color="auto"/>
        <w:left w:val="none" w:sz="0" w:space="0" w:color="auto"/>
        <w:bottom w:val="none" w:sz="0" w:space="0" w:color="auto"/>
        <w:right w:val="none" w:sz="0" w:space="0" w:color="auto"/>
      </w:divBdr>
    </w:div>
    <w:div w:id="1830174603">
      <w:bodyDiv w:val="1"/>
      <w:marLeft w:val="0"/>
      <w:marRight w:val="0"/>
      <w:marTop w:val="0"/>
      <w:marBottom w:val="0"/>
      <w:divBdr>
        <w:top w:val="none" w:sz="0" w:space="0" w:color="auto"/>
        <w:left w:val="none" w:sz="0" w:space="0" w:color="auto"/>
        <w:bottom w:val="none" w:sz="0" w:space="0" w:color="auto"/>
        <w:right w:val="none" w:sz="0" w:space="0" w:color="auto"/>
      </w:divBdr>
    </w:div>
    <w:div w:id="1845170846">
      <w:bodyDiv w:val="1"/>
      <w:marLeft w:val="0"/>
      <w:marRight w:val="0"/>
      <w:marTop w:val="0"/>
      <w:marBottom w:val="0"/>
      <w:divBdr>
        <w:top w:val="none" w:sz="0" w:space="0" w:color="auto"/>
        <w:left w:val="none" w:sz="0" w:space="0" w:color="auto"/>
        <w:bottom w:val="none" w:sz="0" w:space="0" w:color="auto"/>
        <w:right w:val="none" w:sz="0" w:space="0" w:color="auto"/>
      </w:divBdr>
    </w:div>
    <w:div w:id="1861159343">
      <w:bodyDiv w:val="1"/>
      <w:marLeft w:val="0"/>
      <w:marRight w:val="0"/>
      <w:marTop w:val="0"/>
      <w:marBottom w:val="0"/>
      <w:divBdr>
        <w:top w:val="none" w:sz="0" w:space="0" w:color="auto"/>
        <w:left w:val="none" w:sz="0" w:space="0" w:color="auto"/>
        <w:bottom w:val="none" w:sz="0" w:space="0" w:color="auto"/>
        <w:right w:val="none" w:sz="0" w:space="0" w:color="auto"/>
      </w:divBdr>
    </w:div>
    <w:div w:id="1864901257">
      <w:bodyDiv w:val="1"/>
      <w:marLeft w:val="0"/>
      <w:marRight w:val="0"/>
      <w:marTop w:val="0"/>
      <w:marBottom w:val="0"/>
      <w:divBdr>
        <w:top w:val="none" w:sz="0" w:space="0" w:color="auto"/>
        <w:left w:val="none" w:sz="0" w:space="0" w:color="auto"/>
        <w:bottom w:val="none" w:sz="0" w:space="0" w:color="auto"/>
        <w:right w:val="none" w:sz="0" w:space="0" w:color="auto"/>
      </w:divBdr>
    </w:div>
    <w:div w:id="1877886951">
      <w:bodyDiv w:val="1"/>
      <w:marLeft w:val="0"/>
      <w:marRight w:val="0"/>
      <w:marTop w:val="0"/>
      <w:marBottom w:val="0"/>
      <w:divBdr>
        <w:top w:val="none" w:sz="0" w:space="0" w:color="auto"/>
        <w:left w:val="none" w:sz="0" w:space="0" w:color="auto"/>
        <w:bottom w:val="none" w:sz="0" w:space="0" w:color="auto"/>
        <w:right w:val="none" w:sz="0" w:space="0" w:color="auto"/>
      </w:divBdr>
      <w:divsChild>
        <w:div w:id="1153909994">
          <w:marLeft w:val="0"/>
          <w:marRight w:val="-427"/>
          <w:marTop w:val="0"/>
          <w:marBottom w:val="0"/>
          <w:divBdr>
            <w:top w:val="none" w:sz="0" w:space="0" w:color="auto"/>
            <w:left w:val="none" w:sz="0" w:space="0" w:color="auto"/>
            <w:bottom w:val="none" w:sz="0" w:space="0" w:color="auto"/>
            <w:right w:val="none" w:sz="0" w:space="0" w:color="auto"/>
          </w:divBdr>
        </w:div>
      </w:divsChild>
    </w:div>
    <w:div w:id="1930700281">
      <w:bodyDiv w:val="1"/>
      <w:marLeft w:val="0"/>
      <w:marRight w:val="0"/>
      <w:marTop w:val="0"/>
      <w:marBottom w:val="0"/>
      <w:divBdr>
        <w:top w:val="none" w:sz="0" w:space="0" w:color="auto"/>
        <w:left w:val="none" w:sz="0" w:space="0" w:color="auto"/>
        <w:bottom w:val="none" w:sz="0" w:space="0" w:color="auto"/>
        <w:right w:val="none" w:sz="0" w:space="0" w:color="auto"/>
      </w:divBdr>
    </w:div>
    <w:div w:id="1984692277">
      <w:bodyDiv w:val="1"/>
      <w:marLeft w:val="0"/>
      <w:marRight w:val="0"/>
      <w:marTop w:val="0"/>
      <w:marBottom w:val="0"/>
      <w:divBdr>
        <w:top w:val="none" w:sz="0" w:space="0" w:color="auto"/>
        <w:left w:val="none" w:sz="0" w:space="0" w:color="auto"/>
        <w:bottom w:val="none" w:sz="0" w:space="0" w:color="auto"/>
        <w:right w:val="none" w:sz="0" w:space="0" w:color="auto"/>
      </w:divBdr>
    </w:div>
    <w:div w:id="2125922705">
      <w:bodyDiv w:val="1"/>
      <w:marLeft w:val="0"/>
      <w:marRight w:val="0"/>
      <w:marTop w:val="0"/>
      <w:marBottom w:val="0"/>
      <w:divBdr>
        <w:top w:val="none" w:sz="0" w:space="0" w:color="auto"/>
        <w:left w:val="none" w:sz="0" w:space="0" w:color="auto"/>
        <w:bottom w:val="none" w:sz="0" w:space="0" w:color="auto"/>
        <w:right w:val="none" w:sz="0" w:space="0" w:color="auto"/>
      </w:divBdr>
      <w:divsChild>
        <w:div w:id="1542667201">
          <w:marLeft w:val="0"/>
          <w:marRight w:val="0"/>
          <w:marTop w:val="0"/>
          <w:marBottom w:val="0"/>
          <w:divBdr>
            <w:top w:val="none" w:sz="0" w:space="0" w:color="auto"/>
            <w:left w:val="none" w:sz="0" w:space="0" w:color="auto"/>
            <w:bottom w:val="none" w:sz="0" w:space="0" w:color="auto"/>
            <w:right w:val="none" w:sz="0" w:space="0" w:color="auto"/>
          </w:divBdr>
        </w:div>
        <w:div w:id="1917281178">
          <w:marLeft w:val="0"/>
          <w:marRight w:val="0"/>
          <w:marTop w:val="0"/>
          <w:marBottom w:val="0"/>
          <w:divBdr>
            <w:top w:val="none" w:sz="0" w:space="0" w:color="auto"/>
            <w:left w:val="none" w:sz="0" w:space="0" w:color="auto"/>
            <w:bottom w:val="none" w:sz="0" w:space="0" w:color="auto"/>
            <w:right w:val="none" w:sz="0" w:space="0" w:color="auto"/>
          </w:divBdr>
        </w:div>
        <w:div w:id="772360744">
          <w:marLeft w:val="0"/>
          <w:marRight w:val="0"/>
          <w:marTop w:val="0"/>
          <w:marBottom w:val="0"/>
          <w:divBdr>
            <w:top w:val="none" w:sz="0" w:space="0" w:color="auto"/>
            <w:left w:val="none" w:sz="0" w:space="0" w:color="auto"/>
            <w:bottom w:val="none" w:sz="0" w:space="0" w:color="auto"/>
            <w:right w:val="none" w:sz="0" w:space="0" w:color="auto"/>
          </w:divBdr>
        </w:div>
        <w:div w:id="1804425354">
          <w:marLeft w:val="0"/>
          <w:marRight w:val="0"/>
          <w:marTop w:val="0"/>
          <w:marBottom w:val="0"/>
          <w:divBdr>
            <w:top w:val="none" w:sz="0" w:space="0" w:color="auto"/>
            <w:left w:val="none" w:sz="0" w:space="0" w:color="auto"/>
            <w:bottom w:val="none" w:sz="0" w:space="0" w:color="auto"/>
            <w:right w:val="none" w:sz="0" w:space="0" w:color="auto"/>
          </w:divBdr>
        </w:div>
        <w:div w:id="1474056879">
          <w:marLeft w:val="0"/>
          <w:marRight w:val="0"/>
          <w:marTop w:val="0"/>
          <w:marBottom w:val="0"/>
          <w:divBdr>
            <w:top w:val="none" w:sz="0" w:space="0" w:color="auto"/>
            <w:left w:val="none" w:sz="0" w:space="0" w:color="auto"/>
            <w:bottom w:val="none" w:sz="0" w:space="0" w:color="auto"/>
            <w:right w:val="none" w:sz="0" w:space="0" w:color="auto"/>
          </w:divBdr>
        </w:div>
        <w:div w:id="873083712">
          <w:marLeft w:val="0"/>
          <w:marRight w:val="0"/>
          <w:marTop w:val="0"/>
          <w:marBottom w:val="0"/>
          <w:divBdr>
            <w:top w:val="none" w:sz="0" w:space="0" w:color="auto"/>
            <w:left w:val="none" w:sz="0" w:space="0" w:color="auto"/>
            <w:bottom w:val="none" w:sz="0" w:space="0" w:color="auto"/>
            <w:right w:val="none" w:sz="0" w:space="0" w:color="auto"/>
          </w:divBdr>
        </w:div>
        <w:div w:id="1020204767">
          <w:marLeft w:val="0"/>
          <w:marRight w:val="0"/>
          <w:marTop w:val="0"/>
          <w:marBottom w:val="0"/>
          <w:divBdr>
            <w:top w:val="none" w:sz="0" w:space="0" w:color="auto"/>
            <w:left w:val="none" w:sz="0" w:space="0" w:color="auto"/>
            <w:bottom w:val="none" w:sz="0" w:space="0" w:color="auto"/>
            <w:right w:val="none" w:sz="0" w:space="0" w:color="auto"/>
          </w:divBdr>
        </w:div>
        <w:div w:id="1733893477">
          <w:marLeft w:val="0"/>
          <w:marRight w:val="0"/>
          <w:marTop w:val="0"/>
          <w:marBottom w:val="0"/>
          <w:divBdr>
            <w:top w:val="none" w:sz="0" w:space="0" w:color="auto"/>
            <w:left w:val="none" w:sz="0" w:space="0" w:color="auto"/>
            <w:bottom w:val="none" w:sz="0" w:space="0" w:color="auto"/>
            <w:right w:val="none" w:sz="0" w:space="0" w:color="auto"/>
          </w:divBdr>
        </w:div>
        <w:div w:id="1012729199">
          <w:marLeft w:val="0"/>
          <w:marRight w:val="0"/>
          <w:marTop w:val="0"/>
          <w:marBottom w:val="0"/>
          <w:divBdr>
            <w:top w:val="none" w:sz="0" w:space="0" w:color="auto"/>
            <w:left w:val="none" w:sz="0" w:space="0" w:color="auto"/>
            <w:bottom w:val="none" w:sz="0" w:space="0" w:color="auto"/>
            <w:right w:val="none" w:sz="0" w:space="0" w:color="auto"/>
          </w:divBdr>
        </w:div>
        <w:div w:id="2057778679">
          <w:marLeft w:val="0"/>
          <w:marRight w:val="0"/>
          <w:marTop w:val="0"/>
          <w:marBottom w:val="0"/>
          <w:divBdr>
            <w:top w:val="none" w:sz="0" w:space="0" w:color="auto"/>
            <w:left w:val="none" w:sz="0" w:space="0" w:color="auto"/>
            <w:bottom w:val="none" w:sz="0" w:space="0" w:color="auto"/>
            <w:right w:val="none" w:sz="0" w:space="0" w:color="auto"/>
          </w:divBdr>
        </w:div>
        <w:div w:id="1563634944">
          <w:marLeft w:val="0"/>
          <w:marRight w:val="0"/>
          <w:marTop w:val="0"/>
          <w:marBottom w:val="0"/>
          <w:divBdr>
            <w:top w:val="none" w:sz="0" w:space="0" w:color="auto"/>
            <w:left w:val="none" w:sz="0" w:space="0" w:color="auto"/>
            <w:bottom w:val="none" w:sz="0" w:space="0" w:color="auto"/>
            <w:right w:val="none" w:sz="0" w:space="0" w:color="auto"/>
          </w:divBdr>
        </w:div>
        <w:div w:id="1533231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copyright@fao.org" TargetMode="External"/><Relationship Id="rId26" Type="http://schemas.openxmlformats.org/officeDocument/2006/relationships/image" Target="media/image8.emf"/><Relationship Id="rId39" Type="http://schemas.openxmlformats.org/officeDocument/2006/relationships/oleObject" Target="embeddings/oleObject3.bin"/><Relationship Id="rId21" Type="http://schemas.openxmlformats.org/officeDocument/2006/relationships/chart" Target="charts/chart1.xml"/><Relationship Id="rId34" Type="http://schemas.openxmlformats.org/officeDocument/2006/relationships/image" Target="media/image15.wmf"/><Relationship Id="rId42" Type="http://schemas.openxmlformats.org/officeDocument/2006/relationships/oleObject" Target="embeddings/oleObject5.bin"/><Relationship Id="rId47" Type="http://schemas.openxmlformats.org/officeDocument/2006/relationships/oleObject" Target="embeddings/oleObject8.bin"/><Relationship Id="rId50" Type="http://schemas.openxmlformats.org/officeDocument/2006/relationships/image" Target="media/image22.emf"/><Relationship Id="rId55" Type="http://schemas.openxmlformats.org/officeDocument/2006/relationships/image" Target="media/image27.e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fao.org/in-action/mafap" TargetMode="External"/><Relationship Id="rId20" Type="http://schemas.openxmlformats.org/officeDocument/2006/relationships/hyperlink" Target="mailto:copyright@fao.org" TargetMode="External"/><Relationship Id="rId29" Type="http://schemas.openxmlformats.org/officeDocument/2006/relationships/image" Target="media/image11.emf"/><Relationship Id="rId41" Type="http://schemas.openxmlformats.org/officeDocument/2006/relationships/oleObject" Target="embeddings/oleObject4.bin"/><Relationship Id="rId54" Type="http://schemas.openxmlformats.org/officeDocument/2006/relationships/image" Target="media/image26.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oleObject" Target="embeddings/oleObject2.bin"/><Relationship Id="rId40" Type="http://schemas.openxmlformats.org/officeDocument/2006/relationships/image" Target="media/image18.wmf"/><Relationship Id="rId45" Type="http://schemas.openxmlformats.org/officeDocument/2006/relationships/oleObject" Target="embeddings/oleObject7.bin"/><Relationship Id="rId53" Type="http://schemas.openxmlformats.org/officeDocument/2006/relationships/image" Target="media/image25.emf"/><Relationship Id="rId58" Type="http://schemas.openxmlformats.org/officeDocument/2006/relationships/image" Target="media/image30.emf"/><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2.xml"/><Relationship Id="rId28" Type="http://schemas.openxmlformats.org/officeDocument/2006/relationships/image" Target="media/image10.emf"/><Relationship Id="rId36" Type="http://schemas.openxmlformats.org/officeDocument/2006/relationships/image" Target="media/image16.wmf"/><Relationship Id="rId49" Type="http://schemas.openxmlformats.org/officeDocument/2006/relationships/image" Target="media/image21.emf"/><Relationship Id="rId57" Type="http://schemas.openxmlformats.org/officeDocument/2006/relationships/image" Target="media/image29.emf"/><Relationship Id="rId61"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6.bin"/><Relationship Id="rId52" Type="http://schemas.openxmlformats.org/officeDocument/2006/relationships/image" Target="media/image24.emf"/><Relationship Id="rId60" Type="http://schemas.openxmlformats.org/officeDocument/2006/relationships/footer" Target="footer3.xml"/><Relationship Id="rId65"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oleObject" Target="embeddings/oleObject1.bin"/><Relationship Id="rId43" Type="http://schemas.openxmlformats.org/officeDocument/2006/relationships/image" Target="media/image19.wmf"/><Relationship Id="rId48" Type="http://schemas.openxmlformats.org/officeDocument/2006/relationships/oleObject" Target="embeddings/oleObject9.bin"/><Relationship Id="rId56" Type="http://schemas.openxmlformats.org/officeDocument/2006/relationships/image" Target="media/image28.emf"/><Relationship Id="rId8" Type="http://schemas.openxmlformats.org/officeDocument/2006/relationships/footnotes" Target="footnotes.xml"/><Relationship Id="rId51" Type="http://schemas.openxmlformats.org/officeDocument/2006/relationships/image" Target="media/image23.gif"/><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www.fao.org/in-action/mafap" TargetMode="External"/><Relationship Id="rId25" Type="http://schemas.openxmlformats.org/officeDocument/2006/relationships/image" Target="media/image7.emf"/><Relationship Id="rId33" Type="http://schemas.openxmlformats.org/officeDocument/2006/relationships/hyperlink" Target="http://www.fao.org/in-action/mafap" TargetMode="External"/><Relationship Id="rId38" Type="http://schemas.openxmlformats.org/officeDocument/2006/relationships/image" Target="media/image17.wmf"/><Relationship Id="rId46" Type="http://schemas.openxmlformats.org/officeDocument/2006/relationships/image" Target="media/image20.wmf"/><Relationship Id="rId59"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zavalehe\Documents\UEM\CEPPAG\MAFAP\Helder%20MAFAP\Technical%20Notes\Milho\Technical%20Note%20MAIZE%202014082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v>"Observed NRP at farm gate"</c:v>
          </c:tx>
          <c:spPr>
            <a:solidFill>
              <a:schemeClr val="bg1"/>
            </a:solidFill>
          </c:spPr>
          <c:cat>
            <c:numRef>
              <c:f>'Executive summary graph'!$H$7:$P$7</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'Executive summary graph'!$H$8:$P$8</c:f>
              <c:numCache>
                <c:formatCode>0%</c:formatCode>
                <c:ptCount val="9"/>
                <c:pt idx="0">
                  <c:v>0.53507840731833489</c:v>
                </c:pt>
                <c:pt idx="1">
                  <c:v>-0.14509729388389211</c:v>
                </c:pt>
                <c:pt idx="2">
                  <c:v>-0.45948657180891977</c:v>
                </c:pt>
                <c:pt idx="3">
                  <c:v>0.42500997775112082</c:v>
                </c:pt>
                <c:pt idx="4">
                  <c:v>0.406788399660511</c:v>
                </c:pt>
                <c:pt idx="5">
                  <c:v>0.25164886521052776</c:v>
                </c:pt>
                <c:pt idx="6">
                  <c:v>2.3577363538648179E-2</c:v>
                </c:pt>
                <c:pt idx="7">
                  <c:v>-0.22548511582815961</c:v>
                </c:pt>
                <c:pt idx="8">
                  <c:v>0.12656987788191165</c:v>
                </c:pt>
              </c:numCache>
            </c:numRef>
          </c:val>
        </c:ser>
        <c:ser>
          <c:idx val="1"/>
          <c:order val="1"/>
          <c:tx>
            <c:v>Adjusted NRP at farm gate</c:v>
          </c:tx>
          <c:spPr>
            <a:solidFill>
              <a:schemeClr val="accent2">
                <a:lumMod val="40000"/>
                <a:lumOff val="60000"/>
                <a:alpha val="72000"/>
              </a:schemeClr>
            </a:solidFill>
          </c:spPr>
          <c:cat>
            <c:numRef>
              <c:f>'Executive summary graph'!$H$7:$P$7</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'Executive summary graph'!$H$10:$P$10</c:f>
              <c:numCache>
                <c:formatCode>0%</c:formatCode>
                <c:ptCount val="9"/>
                <c:pt idx="0">
                  <c:v>5.8454886922265414E-2</c:v>
                </c:pt>
                <c:pt idx="1">
                  <c:v>-5.2834298556975233E-4</c:v>
                </c:pt>
                <c:pt idx="2">
                  <c:v>-2.018299697888909E-2</c:v>
                </c:pt>
                <c:pt idx="3">
                  <c:v>3.2030001622121294E-2</c:v>
                </c:pt>
                <c:pt idx="4">
                  <c:v>7.7810267436823344E-2</c:v>
                </c:pt>
                <c:pt idx="5">
                  <c:v>8.3733933662038552E-3</c:v>
                </c:pt>
                <c:pt idx="6">
                  <c:v>3.6198816529719437E-2</c:v>
                </c:pt>
                <c:pt idx="7">
                  <c:v>-2.7721132458494998E-2</c:v>
                </c:pt>
                <c:pt idx="8">
                  <c:v>-1.5806107070810226E-2</c:v>
                </c:pt>
              </c:numCache>
            </c:numRef>
          </c:val>
        </c:ser>
        <c:dLbls>
          <c:showLegendKey val="0"/>
          <c:showVal val="0"/>
          <c:showCatName val="0"/>
          <c:showSerName val="0"/>
          <c:showPercent val="0"/>
          <c:showBubbleSize val="0"/>
        </c:dLbls>
        <c:axId val="222316416"/>
        <c:axId val="222317952"/>
      </c:areaChart>
      <c:lineChart>
        <c:grouping val="standard"/>
        <c:varyColors val="0"/>
        <c:ser>
          <c:idx val="2"/>
          <c:order val="2"/>
          <c:tx>
            <c:strRef>
              <c:f>'Executive summary graph'!$E$8</c:f>
              <c:strCache>
                <c:ptCount val="1"/>
                <c:pt idx="0">
                  <c:v>Observed nominal rate of protection at farm gate</c:v>
                </c:pt>
              </c:strCache>
            </c:strRef>
          </c:tx>
          <c:spPr>
            <a:ln w="22225">
              <a:solidFill>
                <a:schemeClr val="accent3">
                  <a:lumMod val="75000"/>
                </a:schemeClr>
              </a:solidFill>
            </a:ln>
          </c:spPr>
          <c:marker>
            <c:symbol val="none"/>
          </c:marker>
          <c:val>
            <c:numRef>
              <c:f>'Executive summary graph'!$H$8:$P$8</c:f>
              <c:numCache>
                <c:formatCode>0%</c:formatCode>
                <c:ptCount val="9"/>
                <c:pt idx="0">
                  <c:v>0.53507840731833489</c:v>
                </c:pt>
                <c:pt idx="1">
                  <c:v>-0.14509729388389211</c:v>
                </c:pt>
                <c:pt idx="2">
                  <c:v>-0.45948657180891977</c:v>
                </c:pt>
                <c:pt idx="3">
                  <c:v>0.42500997775112082</c:v>
                </c:pt>
                <c:pt idx="4">
                  <c:v>0.406788399660511</c:v>
                </c:pt>
                <c:pt idx="5">
                  <c:v>0.25164886521052776</c:v>
                </c:pt>
                <c:pt idx="6">
                  <c:v>2.3577363538648179E-2</c:v>
                </c:pt>
                <c:pt idx="7">
                  <c:v>-0.22548511582815961</c:v>
                </c:pt>
                <c:pt idx="8">
                  <c:v>0.12656987788191165</c:v>
                </c:pt>
              </c:numCache>
            </c:numRef>
          </c:val>
          <c:smooth val="0"/>
        </c:ser>
        <c:ser>
          <c:idx val="3"/>
          <c:order val="3"/>
          <c:tx>
            <c:strRef>
              <c:f>'Executive summary graph'!$E$9</c:f>
              <c:strCache>
                <c:ptCount val="1"/>
                <c:pt idx="0">
                  <c:v>Adjusted nominal rate of protection at farm gate</c:v>
                </c:pt>
              </c:strCache>
            </c:strRef>
          </c:tx>
          <c:spPr>
            <a:ln w="22225">
              <a:solidFill>
                <a:schemeClr val="accent1">
                  <a:lumMod val="75000"/>
                </a:schemeClr>
              </a:solidFill>
            </a:ln>
          </c:spPr>
          <c:marker>
            <c:symbol val="none"/>
          </c:marker>
          <c:val>
            <c:numRef>
              <c:f>'Executive summary graph'!$H$9:$P$9</c:f>
              <c:numCache>
                <c:formatCode>0%</c:formatCode>
                <c:ptCount val="9"/>
                <c:pt idx="0">
                  <c:v>0.59353329424059997</c:v>
                </c:pt>
                <c:pt idx="1">
                  <c:v>-0.14562563686946181</c:v>
                </c:pt>
                <c:pt idx="2">
                  <c:v>-0.47966956878780886</c:v>
                </c:pt>
                <c:pt idx="3">
                  <c:v>0.45703997937324231</c:v>
                </c:pt>
                <c:pt idx="4">
                  <c:v>0.48459866709733435</c:v>
                </c:pt>
                <c:pt idx="5">
                  <c:v>0.26002225857673139</c:v>
                </c:pt>
                <c:pt idx="6">
                  <c:v>5.9776180068367601E-2</c:v>
                </c:pt>
                <c:pt idx="7">
                  <c:v>-0.25320624828665456</c:v>
                </c:pt>
                <c:pt idx="8">
                  <c:v>0.11076377081110146</c:v>
                </c:pt>
              </c:numCache>
            </c:numRef>
          </c:val>
          <c:smooth val="0"/>
        </c:ser>
        <c:dLbls>
          <c:showLegendKey val="0"/>
          <c:showVal val="0"/>
          <c:showCatName val="0"/>
          <c:showSerName val="0"/>
          <c:showPercent val="0"/>
          <c:showBubbleSize val="0"/>
        </c:dLbls>
        <c:marker val="1"/>
        <c:smooth val="0"/>
        <c:axId val="222316416"/>
        <c:axId val="222317952"/>
      </c:lineChart>
      <c:catAx>
        <c:axId val="222316416"/>
        <c:scaling>
          <c:orientation val="minMax"/>
        </c:scaling>
        <c:delete val="0"/>
        <c:axPos val="b"/>
        <c:numFmt formatCode="General" sourceLinked="1"/>
        <c:majorTickMark val="out"/>
        <c:minorTickMark val="none"/>
        <c:tickLblPos val="low"/>
        <c:txPr>
          <a:bodyPr rot="0" anchor="t" anchorCtr="0"/>
          <a:lstStyle/>
          <a:p>
            <a:pPr>
              <a:defRPr/>
            </a:pPr>
            <a:endParaRPr lang="en-US"/>
          </a:p>
        </c:txPr>
        <c:crossAx val="222317952"/>
        <c:crosses val="autoZero"/>
        <c:auto val="1"/>
        <c:lblAlgn val="ctr"/>
        <c:lblOffset val="100"/>
        <c:noMultiLvlLbl val="0"/>
      </c:catAx>
      <c:valAx>
        <c:axId val="222317952"/>
        <c:scaling>
          <c:orientation val="minMax"/>
        </c:scaling>
        <c:delete val="0"/>
        <c:axPos val="l"/>
        <c:numFmt formatCode="0%" sourceLinked="1"/>
        <c:majorTickMark val="out"/>
        <c:minorTickMark val="none"/>
        <c:tickLblPos val="nextTo"/>
        <c:crossAx val="222316416"/>
        <c:crosses val="autoZero"/>
        <c:crossBetween val="midCat"/>
      </c:valAx>
    </c:plotArea>
    <c:legend>
      <c:legendPos val="b"/>
      <c:legendEntry>
        <c:idx val="0"/>
        <c:delete val="1"/>
      </c:legendEntry>
      <c:legendEntry>
        <c:idx val="1"/>
        <c:delete val="1"/>
      </c:legendEntry>
      <c:layout/>
      <c:overlay val="0"/>
    </c:legend>
    <c:plotVisOnly val="1"/>
    <c:dispBlanksAs val="zero"/>
    <c:showDLblsOverMax val="0"/>
  </c:chart>
  <c:spPr>
    <a:solidFill>
      <a:schemeClr val="bg1">
        <a:lumMod val="85000"/>
      </a:schemeClr>
    </a:solidFill>
    <a:ln cap="sq">
      <a:miter lim="800000"/>
    </a:ln>
    <a:effectLst/>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2708A-1817-4543-AA08-EA50D6E836EA}">
  <ds:schemaRefs>
    <ds:schemaRef ds:uri="http://schemas.openxmlformats.org/officeDocument/2006/bibliography"/>
  </ds:schemaRefs>
</ds:datastoreItem>
</file>

<file path=customXml/itemProps2.xml><?xml version="1.0" encoding="utf-8"?>
<ds:datastoreItem xmlns:ds="http://schemas.openxmlformats.org/officeDocument/2006/customXml" ds:itemID="{1A6A65C5-CDA4-4546-BA1D-0E9811E4E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13533</Words>
  <Characters>77139</Characters>
  <Application>Microsoft Office Word</Application>
  <DocSecurity>0</DocSecurity>
  <Lines>642</Lines>
  <Paragraphs>180</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Company>Grizli777</Company>
  <LinksUpToDate>false</LinksUpToDate>
  <CharactersWithSpaces>90492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Helder Zavale</dc:creator>
  <cp:lastModifiedBy>JuanLuis Salazar (TCSS)</cp:lastModifiedBy>
  <cp:revision>2</cp:revision>
  <dcterms:created xsi:type="dcterms:W3CDTF">2014-11-07T09:24:00Z</dcterms:created>
  <dcterms:modified xsi:type="dcterms:W3CDTF">2014-11-07T09:24:00Z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