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C2" w:rsidRPr="004740FE" w:rsidRDefault="009E112E" w:rsidP="002A3C1C">
      <w:pPr>
        <w:spacing w:after="0" w:line="240" w:lineRule="auto"/>
        <w:jc w:val="center"/>
        <w:rPr>
          <w:rFonts w:asciiTheme="majorHAnsi" w:hAnsiTheme="majorHAnsi"/>
          <w:b/>
          <w:color w:val="1F497D" w:themeColor="text2"/>
          <w:sz w:val="32"/>
          <w:szCs w:val="32"/>
          <w:lang w:val="fr-FR"/>
        </w:rPr>
      </w:pPr>
      <w:r w:rsidRPr="004740FE">
        <w:rPr>
          <w:rFonts w:asciiTheme="majorHAnsi" w:hAnsiTheme="majorHAnsi"/>
          <w:b/>
          <w:color w:val="1F497D" w:themeColor="text2"/>
          <w:sz w:val="32"/>
          <w:lang w:val="fr-FR"/>
        </w:rPr>
        <w:t>Conferencia electrónica sobre pastizales sostenibles</w:t>
      </w:r>
    </w:p>
    <w:p w:rsidR="009E112E" w:rsidRPr="004740FE" w:rsidRDefault="00A640C2" w:rsidP="002A3C1C">
      <w:pPr>
        <w:spacing w:after="0" w:line="240" w:lineRule="auto"/>
        <w:jc w:val="center"/>
        <w:rPr>
          <w:rFonts w:asciiTheme="majorHAnsi" w:hAnsiTheme="majorHAnsi"/>
          <w:b/>
          <w:color w:val="1F497D" w:themeColor="text2"/>
          <w:sz w:val="32"/>
          <w:szCs w:val="32"/>
          <w:lang w:val="fr-FR"/>
        </w:rPr>
      </w:pPr>
      <w:r w:rsidRPr="004740FE">
        <w:rPr>
          <w:rFonts w:asciiTheme="majorHAnsi" w:hAnsiTheme="majorHAnsi"/>
          <w:b/>
          <w:color w:val="1F497D" w:themeColor="text2"/>
          <w:sz w:val="32"/>
          <w:lang w:val="fr-FR"/>
        </w:rPr>
        <w:t xml:space="preserve">FAO, 2-30 de septiembre de 2013 </w:t>
      </w:r>
    </w:p>
    <w:p w:rsidR="009E112E" w:rsidRPr="00550A07" w:rsidRDefault="009E112E" w:rsidP="002A3C1C">
      <w:pPr>
        <w:spacing w:after="0" w:line="240" w:lineRule="auto"/>
        <w:jc w:val="center"/>
        <w:rPr>
          <w:rFonts w:asciiTheme="majorHAnsi" w:hAnsiTheme="majorHAnsi"/>
          <w:b/>
          <w:color w:val="1F497D" w:themeColor="text2"/>
          <w:sz w:val="32"/>
          <w:szCs w:val="32"/>
        </w:rPr>
      </w:pPr>
      <w:bookmarkStart w:id="0" w:name="_GoBack"/>
      <w:r>
        <w:rPr>
          <w:rFonts w:asciiTheme="majorHAnsi" w:hAnsiTheme="majorHAnsi"/>
          <w:b/>
          <w:color w:val="1F497D" w:themeColor="text2"/>
          <w:sz w:val="32"/>
        </w:rPr>
        <w:t>Resumen ejecutivo</w:t>
      </w:r>
    </w:p>
    <w:bookmarkEnd w:id="0"/>
    <w:p w:rsidR="009E112E" w:rsidRPr="00550A07" w:rsidRDefault="009E112E" w:rsidP="009E112E">
      <w:pPr>
        <w:jc w:val="both"/>
        <w:rPr>
          <w:b/>
          <w:color w:val="1F497D" w:themeColor="text2"/>
          <w:sz w:val="28"/>
          <w:szCs w:val="28"/>
        </w:rPr>
      </w:pPr>
    </w:p>
    <w:p w:rsidR="00550A07" w:rsidRDefault="00550A07" w:rsidP="00550A07"/>
    <w:p w:rsidR="00570649" w:rsidRPr="00550A07" w:rsidRDefault="002A3C1C" w:rsidP="00550A07">
      <w:pPr>
        <w:spacing w:before="240"/>
        <w:jc w:val="both"/>
        <w:rPr>
          <w:b/>
          <w:color w:val="1F497D" w:themeColor="text2"/>
          <w:sz w:val="28"/>
          <w:szCs w:val="28"/>
        </w:rPr>
      </w:pPr>
      <w:r>
        <w:rPr>
          <w:b/>
          <w:color w:val="1F497D" w:themeColor="text2"/>
          <w:sz w:val="28"/>
        </w:rPr>
        <w:t>Objetivos y participación</w:t>
      </w:r>
    </w:p>
    <w:p w:rsidR="00C1735F" w:rsidRPr="009E112E" w:rsidRDefault="001F6D0F" w:rsidP="00550A07">
      <w:pPr>
        <w:spacing w:before="240"/>
        <w:jc w:val="both"/>
      </w:pPr>
      <w:r>
        <w:t>La conferencia electrónica de la FAO sobre pastizales sostenibles se llevó a cabo del 2-30 de septiembre de 2013, con los siguientes objetivos:</w:t>
      </w:r>
    </w:p>
    <w:p w:rsidR="000C205A" w:rsidRPr="009E112E" w:rsidRDefault="001F6D0F" w:rsidP="009E112E">
      <w:pPr>
        <w:pStyle w:val="ListParagraph"/>
        <w:numPr>
          <w:ilvl w:val="0"/>
          <w:numId w:val="4"/>
        </w:numPr>
        <w:jc w:val="both"/>
      </w:pPr>
      <w:r w:rsidRPr="004740FE">
        <w:rPr>
          <w:lang w:val="fr-FR"/>
        </w:rPr>
        <w:t xml:space="preserve">Resaltar las múltiples funciones de los pastizales. </w:t>
      </w:r>
      <w:r>
        <w:t xml:space="preserve">Demostrar el potencial de los pastizales para aumentar la seguridad alimentaria y la sostenibilidad ambiental, económica y social. </w:t>
      </w:r>
    </w:p>
    <w:p w:rsidR="0042051C" w:rsidRPr="004740FE" w:rsidRDefault="0042051C" w:rsidP="009E112E">
      <w:pPr>
        <w:pStyle w:val="ListParagraph"/>
        <w:numPr>
          <w:ilvl w:val="0"/>
          <w:numId w:val="4"/>
        </w:numPr>
        <w:jc w:val="both"/>
        <w:rPr>
          <w:lang w:val="fr-FR"/>
        </w:rPr>
      </w:pPr>
      <w:r w:rsidRPr="004740FE">
        <w:rPr>
          <w:lang w:val="fr-FR"/>
        </w:rPr>
        <w:t>Promover un mayor conocimiento de los pastizales para hacer un balance del estado actual de los conocimientos sobre los pastizales, determinar lagunas críticas en la investigación y prioridades de investigación para el futuro.</w:t>
      </w:r>
    </w:p>
    <w:p w:rsidR="000C205A" w:rsidRPr="004740FE" w:rsidRDefault="000C205A" w:rsidP="009E112E">
      <w:pPr>
        <w:pStyle w:val="ListParagraph"/>
        <w:numPr>
          <w:ilvl w:val="0"/>
          <w:numId w:val="4"/>
        </w:numPr>
        <w:jc w:val="both"/>
        <w:rPr>
          <w:lang w:val="fr-FR"/>
        </w:rPr>
      </w:pPr>
      <w:r w:rsidRPr="004740FE">
        <w:rPr>
          <w:lang w:val="fr-FR"/>
        </w:rPr>
        <w:t>Construir una red de pastizales expertos, profesionales e interesados y fomentar el intercambio de mejores prácticas de los diferentes regiones agroecológicas del mundo.</w:t>
      </w:r>
    </w:p>
    <w:p w:rsidR="000C205A" w:rsidRPr="004740FE" w:rsidRDefault="000C205A" w:rsidP="009E112E">
      <w:pPr>
        <w:pStyle w:val="ListParagraph"/>
        <w:numPr>
          <w:ilvl w:val="0"/>
          <w:numId w:val="4"/>
        </w:numPr>
        <w:jc w:val="both"/>
        <w:rPr>
          <w:lang w:val="fr-FR"/>
        </w:rPr>
      </w:pPr>
      <w:r w:rsidRPr="004740FE">
        <w:rPr>
          <w:lang w:val="fr-FR"/>
        </w:rPr>
        <w:t>Iniciar un diálogo y un proceso dirigidos a la elaboración de directrices mundiales para la gestión sostenible de los pastizales.</w:t>
      </w:r>
    </w:p>
    <w:p w:rsidR="00CE7A38" w:rsidRPr="004740FE" w:rsidRDefault="00CE7A38" w:rsidP="00CE7A38">
      <w:pPr>
        <w:jc w:val="both"/>
        <w:rPr>
          <w:lang w:val="fr-FR"/>
        </w:rPr>
      </w:pPr>
      <w:r w:rsidRPr="004740FE">
        <w:rPr>
          <w:lang w:val="fr-FR"/>
        </w:rPr>
        <w:t>Estarán dirigidas a los profesionales y expertos en pastizales, así como a  los agricultores, los pastores, los conservacionistas, científicos e investigadores. La participación es gratuita y está abierta a todos. La invitación inicial se envió a través de diversas listas de correo de personas y organizaciones asociadas con la investigación de pastizales, grupos de productores y ONG, incluida la lista de la FAO Animal  Feeding (2 600 suscriptores), la red del FIDA (2000), la lista de la CELEP, la lista de científicos europeos y otras redes informales. Se pidió a los participantes que distribuyeran la invitación en sus propias redes.</w:t>
      </w:r>
    </w:p>
    <w:p w:rsidR="00CF34AE" w:rsidRPr="004740FE" w:rsidRDefault="00CF34AE" w:rsidP="00CE7A38">
      <w:pPr>
        <w:jc w:val="both"/>
        <w:rPr>
          <w:lang w:val="fr-FR"/>
        </w:rPr>
      </w:pPr>
      <w:r w:rsidRPr="004740FE">
        <w:rPr>
          <w:lang w:val="fr-FR"/>
        </w:rPr>
        <w:t>En total, 356 personas de 70 países se inscribieron para participar en la conferencia electrónica. El mayor número de participantes inscritos de un país fue de Indonesia (36), seguida de la India (26), los Estados Unidos de América (25) y el Brasil (23). Por regiones del mundo, el 25,3 % procedía de Asia y 25,3 % de América Latina y el Caribe, seguidas de Europa (23,0 %), África (12,9 %), Oceanía (8,4 %) y América del Norte (5,1 %).</w:t>
      </w:r>
    </w:p>
    <w:p w:rsidR="00550A07" w:rsidRPr="004740FE" w:rsidRDefault="00550A07" w:rsidP="00550A07">
      <w:pPr>
        <w:rPr>
          <w:lang w:val="fr-FR"/>
        </w:rPr>
      </w:pPr>
    </w:p>
    <w:p w:rsidR="002A3C1C" w:rsidRPr="004740FE" w:rsidRDefault="002A3C1C" w:rsidP="00550A07">
      <w:pPr>
        <w:spacing w:before="240"/>
        <w:jc w:val="both"/>
        <w:rPr>
          <w:b/>
          <w:color w:val="1F497D" w:themeColor="text2"/>
          <w:sz w:val="28"/>
          <w:szCs w:val="28"/>
          <w:lang w:val="it-IT"/>
        </w:rPr>
      </w:pPr>
      <w:r w:rsidRPr="004740FE">
        <w:rPr>
          <w:b/>
          <w:color w:val="1F497D" w:themeColor="text2"/>
          <w:sz w:val="28"/>
          <w:lang w:val="it-IT"/>
        </w:rPr>
        <w:t>Proceso</w:t>
      </w:r>
    </w:p>
    <w:p w:rsidR="00BE306C" w:rsidRPr="004740FE" w:rsidRDefault="00BE306C" w:rsidP="00550A07">
      <w:pPr>
        <w:spacing w:before="240"/>
        <w:jc w:val="both"/>
        <w:rPr>
          <w:lang w:val="fr-FR"/>
        </w:rPr>
      </w:pPr>
      <w:r w:rsidRPr="004740FE">
        <w:rPr>
          <w:lang w:val="it-IT"/>
        </w:rPr>
        <w:t xml:space="preserve">La conferencia electrónica se llevó a cabo como un debate en línea. </w:t>
      </w:r>
      <w:r w:rsidRPr="004740FE">
        <w:rPr>
          <w:lang w:val="fr-FR"/>
        </w:rPr>
        <w:t>Cada semana se dedicó a un tema en particular: productividad de los pastizales; múltiples funciones de los pastizales; desafíos de la gestión; y mejores prácticas. Se propusieron algunas cuestiones fundamentales relacionadas con el tema de cada semana.  Además, los participantes podían establecer sus propios temas de discusión.</w:t>
      </w:r>
    </w:p>
    <w:p w:rsidR="00C33EF3" w:rsidRPr="004740FE" w:rsidRDefault="00E123F6" w:rsidP="009E112E">
      <w:pPr>
        <w:jc w:val="both"/>
        <w:rPr>
          <w:lang w:val="it-IT"/>
        </w:rPr>
      </w:pPr>
      <w:r w:rsidRPr="004740FE">
        <w:rPr>
          <w:lang w:val="it-IT"/>
        </w:rPr>
        <w:lastRenderedPageBreak/>
        <w:t>Se presentó un documento de trabajo para contribuir a la conferencia electrónica. Con respecto a las previsiones de referencia para el año 2050, se examinaron con el modelo SOL diversas hipótesis en las que un cambio de los piensos concentrados  a una mayor producción pecuaria basada en los pastizales.</w:t>
      </w:r>
      <w:r>
        <w:rPr>
          <w:rStyle w:val="FootnoteReference"/>
        </w:rPr>
        <w:footnoteReference w:id="1"/>
      </w:r>
      <w:r w:rsidRPr="004740FE">
        <w:rPr>
          <w:lang w:val="it-IT"/>
        </w:rPr>
        <w:t xml:space="preserve"> Los resultados preliminares sugieren que un sistema alimentario basado en los pastizales podría cumplir las exigencias de seguridad alimentaria de una población mundial en aumento y, al mismo tiempo, aliviar las presiones sobre el medio ambiente de diversos indicadores, incluida la energía y los nutrientes, el potencial de calentamiento global, la degradación de las tierras, la deforestación, la toxicidad, la sobreexplotación de los pastos  y la pérdida de biodiversidad. </w:t>
      </w:r>
    </w:p>
    <w:p w:rsidR="00F30A81" w:rsidRPr="004740FE" w:rsidRDefault="00F435D5" w:rsidP="006D5DCB">
      <w:pPr>
        <w:jc w:val="both"/>
        <w:rPr>
          <w:lang w:val="fr-FR"/>
        </w:rPr>
      </w:pPr>
      <w:r w:rsidRPr="004740FE">
        <w:rPr>
          <w:lang w:val="it-IT"/>
        </w:rPr>
        <w:t xml:space="preserve">Estos resultados iniciales demuestran el potencial de una producción pecuaria más basada en los pastizales para contribuir a la sostenibilidad social y ambiental. Sin embargo, el modelo adopta una amplia perspectiva a escala mundial y se basa en una serie de supuestos para lo cual hay pocos datos. </w:t>
      </w:r>
      <w:r w:rsidRPr="004740FE">
        <w:rPr>
          <w:lang w:val="fr-FR"/>
        </w:rPr>
        <w:t>Para mejorar estos aspectos, en las dos primeras semanas de la conferencia electrónica la atención se concentró en un balance de conocimientos científicos y prácticos relacionados con la productividad de los pastizales de sistemas ganaderos (semana uno) y la variedad más amplia de servicios de los ecosistemas y de los beneficios sociales de los pastizales (semana dos). Los principales objetivos fueron recoger datos dispersos e identificar las lagunas críticas de investigación que es necesario subsanar. Se propusieron algunos ejemplos sobre la base de la falta de datos identificados durante el proceso de modelización. Se alentó a los participantes a añadir nuevas prioridades para esbozar una amplia agenda de investigación para la sostenibilidad de los pastizales.</w:t>
      </w:r>
    </w:p>
    <w:p w:rsidR="00743AEA" w:rsidRPr="004740FE" w:rsidRDefault="00CE7A38" w:rsidP="00550A07">
      <w:pPr>
        <w:autoSpaceDE w:val="0"/>
        <w:autoSpaceDN w:val="0"/>
        <w:adjustRightInd w:val="0"/>
        <w:jc w:val="both"/>
        <w:rPr>
          <w:rFonts w:cs="Cambria"/>
          <w:color w:val="000000"/>
          <w:lang w:val="fr-FR"/>
        </w:rPr>
      </w:pPr>
      <w:r w:rsidRPr="004740FE">
        <w:rPr>
          <w:color w:val="000000"/>
          <w:lang w:val="fr-FR"/>
        </w:rPr>
        <w:t xml:space="preserve">Después de una exploración de la productividad y otras múltiples funciones de los pastizales, el resto de la conferencia se concentró en temas clave de gestión sustentable de pastizales. En la semana tres se debatieron algunas cuestiones críticas, y en la semana cuatro las mejores prácticas.  </w:t>
      </w:r>
      <w:r w:rsidRPr="004740FE">
        <w:rPr>
          <w:color w:val="000000"/>
          <w:lang w:val="it-IT"/>
        </w:rPr>
        <w:t>Como punto de partida, se presentó el marco de la evaluación de la sostenibilidad para la agricultura y la alimentación (SAFA).</w:t>
      </w:r>
      <w:r>
        <w:rPr>
          <w:rStyle w:val="FootnoteReference"/>
          <w:color w:val="000000"/>
        </w:rPr>
        <w:footnoteReference w:id="2"/>
      </w:r>
      <w:r w:rsidRPr="004740FE">
        <w:rPr>
          <w:color w:val="000000"/>
          <w:lang w:val="it-IT"/>
        </w:rPr>
        <w:t xml:space="preserve"> SAFA se basa en cuatro dimensiones de la sostenibilidad: ambiental, económica, social y la gobernabilidad. Estas dimensiones y subtemas proporcionan un ejemplo teórico de un sistema alimentario sostenible. Con estas dimensiones como estructura sería posible crear un marco más concreto para los sistemas sostenibles de alimentación basada en los pastizales, sobre la base de mejores prácticas. </w:t>
      </w:r>
      <w:r w:rsidRPr="004740FE">
        <w:rPr>
          <w:color w:val="000000"/>
          <w:lang w:val="fr-FR"/>
        </w:rPr>
        <w:t>Las deliberaciones de la conferencia de las semanas tres y cuatro se pueden considerar como los pasos iniciales de ese proceso.</w:t>
      </w:r>
    </w:p>
    <w:p w:rsidR="00550A07" w:rsidRPr="004740FE" w:rsidRDefault="00550A07" w:rsidP="00550A07">
      <w:pPr>
        <w:spacing w:before="240"/>
        <w:jc w:val="both"/>
        <w:rPr>
          <w:b/>
          <w:color w:val="1F497D" w:themeColor="text2"/>
          <w:sz w:val="28"/>
          <w:szCs w:val="28"/>
          <w:lang w:val="fr-FR"/>
        </w:rPr>
      </w:pPr>
    </w:p>
    <w:p w:rsidR="00550A07" w:rsidRPr="004740FE" w:rsidRDefault="00550A07" w:rsidP="00550A07">
      <w:pPr>
        <w:spacing w:before="240"/>
        <w:jc w:val="both"/>
        <w:rPr>
          <w:b/>
          <w:color w:val="1F497D" w:themeColor="text2"/>
          <w:sz w:val="28"/>
          <w:szCs w:val="28"/>
          <w:lang w:val="fr-FR"/>
        </w:rPr>
      </w:pPr>
    </w:p>
    <w:p w:rsidR="00550A07" w:rsidRPr="004740FE" w:rsidRDefault="00550A07" w:rsidP="00550A07">
      <w:pPr>
        <w:spacing w:before="240"/>
        <w:jc w:val="both"/>
        <w:rPr>
          <w:b/>
          <w:color w:val="1F497D" w:themeColor="text2"/>
          <w:sz w:val="28"/>
          <w:szCs w:val="28"/>
          <w:lang w:val="fr-FR"/>
        </w:rPr>
      </w:pPr>
    </w:p>
    <w:p w:rsidR="00363D51" w:rsidRPr="00550A07" w:rsidRDefault="00363D51" w:rsidP="00550A07">
      <w:pPr>
        <w:spacing w:before="240"/>
        <w:jc w:val="both"/>
        <w:rPr>
          <w:b/>
          <w:color w:val="1F497D" w:themeColor="text2"/>
          <w:sz w:val="28"/>
          <w:szCs w:val="28"/>
        </w:rPr>
      </w:pPr>
      <w:r>
        <w:rPr>
          <w:b/>
          <w:color w:val="1F497D" w:themeColor="text2"/>
          <w:sz w:val="28"/>
        </w:rPr>
        <w:t>Resultados de la conferencia electrónica</w:t>
      </w:r>
    </w:p>
    <w:p w:rsidR="00C0330D" w:rsidRPr="00EB0401" w:rsidRDefault="00C0330D" w:rsidP="00550A07">
      <w:pPr>
        <w:spacing w:before="240"/>
        <w:jc w:val="both"/>
        <w:rPr>
          <w:b/>
          <w:color w:val="1F497D" w:themeColor="text2"/>
          <w:sz w:val="24"/>
          <w:szCs w:val="24"/>
        </w:rPr>
      </w:pPr>
      <w:r>
        <w:rPr>
          <w:b/>
          <w:color w:val="1F497D" w:themeColor="text2"/>
          <w:sz w:val="24"/>
        </w:rPr>
        <w:t xml:space="preserve">Inventario de la información y modelos de producción pecuaria basada en pastizales </w:t>
      </w:r>
    </w:p>
    <w:p w:rsidR="00A54497" w:rsidRPr="004740FE" w:rsidRDefault="008F5F3D" w:rsidP="008F5F3D">
      <w:pPr>
        <w:jc w:val="both"/>
        <w:rPr>
          <w:lang w:val="it-IT"/>
        </w:rPr>
      </w:pPr>
      <w:r w:rsidRPr="004740FE">
        <w:rPr>
          <w:lang w:val="fr-FR"/>
        </w:rPr>
        <w:t xml:space="preserve">Diversos participantes proporcionaron datos sobre las capacidades de carga de los pastizales de diferentes regiones agroecológicas y bajo diferentes sistemas de gestión (p. ej. </w:t>
      </w:r>
      <w:r w:rsidRPr="004740FE">
        <w:rPr>
          <w:lang w:val="it-IT"/>
        </w:rPr>
        <w:t>Chile, la India, Nueva Zelandia, Irán, el Reino Unido, Ucrania y Kazajstán). Se citaron ejemplos en los que se había incrementado  la capacidad de carga mejorando la composición de las especies forrajeras y la fertilización, y mediante el uso de prácticas de gestión como el uso de árboles forrajeros, silvopastoreo y pastoreo intensivo y breve.</w:t>
      </w:r>
    </w:p>
    <w:p w:rsidR="008F5F3D" w:rsidRPr="004740FE" w:rsidRDefault="00A54497" w:rsidP="008F5F3D">
      <w:pPr>
        <w:jc w:val="both"/>
        <w:rPr>
          <w:lang w:val="it-IT"/>
        </w:rPr>
      </w:pPr>
      <w:r w:rsidRPr="004740FE">
        <w:rPr>
          <w:lang w:val="it-IT"/>
        </w:rPr>
        <w:t>Los servicios del ecosistema más amplios que representan los pastizales representan otra laguna de investigación.  Se indicaron fuentes de datos para determinados servicios de los ecosistemas y regiones agroecológicas (p. ej., la fijación de carbono en las praderas tropicales). Si bien se presentaron en forma cualitativa muchos e importantes servicios de los ecosistemas proporcionados por los pastizales, su cuantificación y valoración monetaria siguen siendo difíciles. Esto podría proporcionar un importante instrumento para analizar los pros y los contras y agregar valor a los ecosistemas de pastizales, y deberá considerarse como una futura prioridad.</w:t>
      </w:r>
    </w:p>
    <w:p w:rsidR="00862C70" w:rsidRPr="004740FE" w:rsidRDefault="00E9466C" w:rsidP="00862C70">
      <w:pPr>
        <w:jc w:val="both"/>
        <w:rPr>
          <w:lang w:val="fr-FR"/>
        </w:rPr>
      </w:pPr>
      <w:r w:rsidRPr="004740FE">
        <w:rPr>
          <w:lang w:val="fr-FR"/>
        </w:rPr>
        <w:t>Además de sugerir nuevas fuentes de datos para perfeccionar las hipótesis, muchos de los participantes proporcionaron valiosa información sobre los medios de mejorar los modelos de las hipótesis de ganadería basada en pastizales expuestas  en el documento de trabajo. En particular, dos de las prioridades para mejorar los modelos de pastizales son el análisis de la viabilidad y el impacto de diferentes hipótesis desde una perspectiva de nutrición animal, e incorporar la variabilidad de las condiciones climáticas y la productividad en el contexto del cambio climático.</w:t>
      </w:r>
    </w:p>
    <w:p w:rsidR="006D5DCB" w:rsidRPr="004740FE" w:rsidRDefault="00043D83" w:rsidP="006D5DCB">
      <w:pPr>
        <w:jc w:val="both"/>
        <w:rPr>
          <w:lang w:val="fr-FR"/>
        </w:rPr>
      </w:pPr>
      <w:r w:rsidRPr="004740FE">
        <w:rPr>
          <w:lang w:val="it-IT"/>
        </w:rPr>
        <w:t xml:space="preserve">Se consideró muy importante obtener una definición más precisa del término "concentrados". </w:t>
      </w:r>
      <w:r w:rsidRPr="004740FE">
        <w:rPr>
          <w:lang w:val="fr-FR"/>
        </w:rPr>
        <w:t>Deberán introducirse clasificaciones de los productos secundarios y hay que separar los cultivos forrajeros que no se cultivan en los pastizales pero no son concentrados (p. ej.: maíz forrajero). Además, los pastizales temporales (es decir los pastizales de las tierras agrícolas) deben distinguirse de los pastizales permanentes a fin de abordar de manera adecuada las compensaciones entre la producción de piensos y la de alimentos.</w:t>
      </w:r>
    </w:p>
    <w:p w:rsidR="006D5DCB" w:rsidRPr="004740FE" w:rsidRDefault="007D67DC" w:rsidP="006D5DCB">
      <w:pPr>
        <w:jc w:val="both"/>
        <w:rPr>
          <w:lang w:val="fr-FR"/>
        </w:rPr>
      </w:pPr>
      <w:r>
        <w:t xml:space="preserve">Desde el punto de vista nutricional, una pregunta fundamental es si una pequeña cantidad de concentrados que se utilizan en la producción de rumiantes aumenta la eficacia de la alimentación en pastizales mediante degradación mejorada de la fibra, particularmente en las zonas donde la calidad de los pastizales es deficiente. </w:t>
      </w:r>
      <w:r w:rsidRPr="004740FE">
        <w:rPr>
          <w:lang w:val="fr-FR"/>
        </w:rPr>
        <w:t xml:space="preserve">Esto requiere más investigación interdisciplinaria a fin de determinar las posibles repercusiones sobre los rendimientos, los efectos en el medio ambiente y en los servicios de los ecosistemas. </w:t>
      </w:r>
    </w:p>
    <w:p w:rsidR="00EB701C" w:rsidRPr="004740FE" w:rsidRDefault="00862C70" w:rsidP="006D5DCB">
      <w:pPr>
        <w:jc w:val="both"/>
        <w:rPr>
          <w:lang w:val="fr-FR"/>
        </w:rPr>
      </w:pPr>
      <w:r w:rsidRPr="004740FE">
        <w:rPr>
          <w:lang w:val="it-IT"/>
        </w:rPr>
        <w:lastRenderedPageBreak/>
        <w:t xml:space="preserve">La variabilidad de la productividad fue otro tema importante. </w:t>
      </w:r>
      <w:r w:rsidRPr="004740FE">
        <w:rPr>
          <w:lang w:val="fr-FR"/>
        </w:rPr>
        <w:t xml:space="preserve">La productividad de los pastizales varía en el transcurso del año y entre años en muchas regiones, debido a las lluvias o las variaciones de temperatura. </w:t>
      </w:r>
      <w:r w:rsidRPr="004740FE">
        <w:rPr>
          <w:lang w:val="it-IT"/>
        </w:rPr>
        <w:t xml:space="preserve">Por lo tanto, el almacenamiento y conservación de forrajes debe planificarse y es necesario crear técnicas mejoradas para alimentar el ganado durante todo el año. </w:t>
      </w:r>
      <w:r w:rsidRPr="004740FE">
        <w:rPr>
          <w:lang w:val="fr-FR"/>
        </w:rPr>
        <w:t xml:space="preserve">Una cuidadosa consideración y planificación del número de cabezas de ganado es importante para no abusar de los pastizales en años desfavorables. </w:t>
      </w:r>
    </w:p>
    <w:p w:rsidR="00550A07" w:rsidRPr="004740FE" w:rsidRDefault="00550A07" w:rsidP="009E112E">
      <w:pPr>
        <w:jc w:val="both"/>
        <w:rPr>
          <w:b/>
          <w:color w:val="1F497D" w:themeColor="text2"/>
          <w:lang w:val="fr-FR"/>
        </w:rPr>
      </w:pPr>
    </w:p>
    <w:p w:rsidR="00550A07" w:rsidRPr="004740FE" w:rsidRDefault="00550A07" w:rsidP="009E112E">
      <w:pPr>
        <w:jc w:val="both"/>
        <w:rPr>
          <w:b/>
          <w:color w:val="1F497D" w:themeColor="text2"/>
          <w:lang w:val="fr-FR"/>
        </w:rPr>
      </w:pPr>
    </w:p>
    <w:p w:rsidR="00550A07" w:rsidRPr="004740FE" w:rsidRDefault="00550A07" w:rsidP="009E112E">
      <w:pPr>
        <w:jc w:val="both"/>
        <w:rPr>
          <w:b/>
          <w:color w:val="1F497D" w:themeColor="text2"/>
          <w:lang w:val="fr-FR"/>
        </w:rPr>
      </w:pPr>
    </w:p>
    <w:p w:rsidR="00FB672B" w:rsidRPr="004740FE" w:rsidRDefault="00D53C02" w:rsidP="009E112E">
      <w:pPr>
        <w:jc w:val="both"/>
        <w:rPr>
          <w:b/>
          <w:color w:val="1F497D" w:themeColor="text2"/>
          <w:sz w:val="24"/>
          <w:szCs w:val="24"/>
          <w:lang w:val="fr-FR"/>
        </w:rPr>
      </w:pPr>
      <w:r w:rsidRPr="004740FE">
        <w:rPr>
          <w:b/>
          <w:color w:val="1F497D" w:themeColor="text2"/>
          <w:sz w:val="24"/>
          <w:lang w:val="fr-FR"/>
        </w:rPr>
        <w:t>Desafíos y mejores prácticas en la gestión sostenible de los pastizales</w:t>
      </w:r>
    </w:p>
    <w:p w:rsidR="00DD1958" w:rsidRPr="004740FE" w:rsidRDefault="00305B93" w:rsidP="00DD1958">
      <w:pPr>
        <w:autoSpaceDE w:val="0"/>
        <w:autoSpaceDN w:val="0"/>
        <w:adjustRightInd w:val="0"/>
        <w:spacing w:after="240"/>
        <w:jc w:val="both"/>
        <w:rPr>
          <w:rFonts w:cs="Cambria"/>
          <w:color w:val="000000"/>
          <w:lang w:val="it-IT"/>
        </w:rPr>
      </w:pPr>
      <w:r w:rsidRPr="004740FE">
        <w:rPr>
          <w:color w:val="000000"/>
          <w:lang w:val="it-IT"/>
        </w:rPr>
        <w:t xml:space="preserve">El modelo SAFA modelo fue recibido como fórmula adecuada para evaluar la sostenibilidad de los pastizales por varios de los participantes. </w:t>
      </w:r>
      <w:r w:rsidRPr="004740FE">
        <w:rPr>
          <w:color w:val="000000"/>
          <w:lang w:val="fr-FR"/>
        </w:rPr>
        <w:t xml:space="preserve">En particular, los pilares de la sostenibilidad  ambiental, económica, social y de la gobernanza sirvieron para analizar los desafíos de la sostenibilidad y ejemplos de buenas prácticas en la gestión de los pastizales. </w:t>
      </w:r>
      <w:r w:rsidRPr="004740FE">
        <w:rPr>
          <w:color w:val="000000"/>
          <w:lang w:val="it-IT"/>
        </w:rPr>
        <w:t>A continuación se destacan asuntos críticos relativos a cada dimensión de la sostenibilidad .</w:t>
      </w:r>
    </w:p>
    <w:p w:rsidR="00DD1958" w:rsidRPr="004740FE" w:rsidRDefault="00DD1958" w:rsidP="00DD1958">
      <w:pPr>
        <w:autoSpaceDE w:val="0"/>
        <w:autoSpaceDN w:val="0"/>
        <w:adjustRightInd w:val="0"/>
        <w:spacing w:after="240"/>
        <w:jc w:val="both"/>
        <w:rPr>
          <w:rFonts w:cs="Cambria"/>
          <w:b/>
          <w:i/>
          <w:color w:val="1F497D" w:themeColor="text2"/>
          <w:lang w:val="fr-FR"/>
        </w:rPr>
      </w:pPr>
      <w:r w:rsidRPr="004740FE">
        <w:rPr>
          <w:b/>
          <w:i/>
          <w:color w:val="1F497D" w:themeColor="text2"/>
          <w:lang w:val="fr-FR"/>
        </w:rPr>
        <w:t>Sostenibilidad ambiental</w:t>
      </w:r>
    </w:p>
    <w:p w:rsidR="00DD1958" w:rsidRPr="004740FE" w:rsidRDefault="00DD1958" w:rsidP="00DD1958">
      <w:pPr>
        <w:autoSpaceDE w:val="0"/>
        <w:autoSpaceDN w:val="0"/>
        <w:adjustRightInd w:val="0"/>
        <w:spacing w:after="240"/>
        <w:jc w:val="both"/>
        <w:rPr>
          <w:rFonts w:cs="Cambria"/>
          <w:color w:val="000000"/>
          <w:lang w:val="it-IT"/>
        </w:rPr>
      </w:pPr>
      <w:r w:rsidRPr="004740FE">
        <w:rPr>
          <w:color w:val="000000"/>
          <w:lang w:val="fr-FR"/>
        </w:rPr>
        <w:t xml:space="preserve">Las amenazas creadas por el hombre a los pastizales fueron un tema recurrente en la conferencia electrónica. Los ejemplos de la creciente conversión de los pastizales para otros usos de las tierras se citaron a través de las diferentes regiones agroecológicas y condiciones socioeconómicas. </w:t>
      </w:r>
      <w:r w:rsidRPr="004740FE">
        <w:rPr>
          <w:color w:val="000000"/>
          <w:lang w:val="it-IT"/>
        </w:rPr>
        <w:t xml:space="preserve">Un factor importante es la presión demográfica y el desarrollo urbano. Las políticas de apoyo a la producción agrícola y a las fuerzas del mercado fueron otro de los factores de motivación para cambiar a otras modalidades más rentables de producción, como la ganadería intensiva o  producción de cultivos anuales y comerciales. </w:t>
      </w:r>
    </w:p>
    <w:p w:rsidR="00DD1958" w:rsidRPr="004740FE" w:rsidRDefault="00DD1958" w:rsidP="00DD1958">
      <w:pPr>
        <w:autoSpaceDE w:val="0"/>
        <w:autoSpaceDN w:val="0"/>
        <w:adjustRightInd w:val="0"/>
        <w:spacing w:after="240"/>
        <w:jc w:val="both"/>
        <w:rPr>
          <w:rFonts w:cs="Cambria"/>
          <w:color w:val="000000"/>
          <w:lang w:val="fr-FR"/>
        </w:rPr>
      </w:pPr>
      <w:r w:rsidRPr="004740FE">
        <w:rPr>
          <w:color w:val="000000"/>
          <w:lang w:val="it-IT"/>
        </w:rPr>
        <w:t xml:space="preserve">Estos cambios a gran escala producen un doble impacto en el medio ambiente. </w:t>
      </w:r>
      <w:r w:rsidRPr="004740FE">
        <w:rPr>
          <w:color w:val="000000"/>
          <w:lang w:val="fr-FR"/>
        </w:rPr>
        <w:t>Por ejemplo, en las zonas secas afrontan cambios estacionales extremos,  los ecosistemas de los pastizales tienen una abundante biodiversidad que se ha adaptado para hacer frente a la disponibilidad variable de agua, la alta salinidad de los suelos y escasez de nutrientes. Proporcionan captación y almacenamiento de agua, a la vez que ayudan a evitar la pérdida de nutrientes y de suelo. La reducción de la superficie de pastizales supone una pérdida de servicios de los ecosistemas, mientras que la intensificación de la producción agrícola está asociada a externalidades negativas, como el aumento de la contaminación atmosférica y del agua, la degradación de la tierra y la pérdida de fertilidad de los suelos.</w:t>
      </w:r>
    </w:p>
    <w:p w:rsidR="00DD1958" w:rsidRPr="004740FE" w:rsidRDefault="00DD1958" w:rsidP="00DD1958">
      <w:pPr>
        <w:autoSpaceDE w:val="0"/>
        <w:autoSpaceDN w:val="0"/>
        <w:adjustRightInd w:val="0"/>
        <w:spacing w:after="240"/>
        <w:jc w:val="both"/>
        <w:rPr>
          <w:rFonts w:cs="Cambria"/>
          <w:color w:val="000000"/>
          <w:lang w:val="fr-FR"/>
        </w:rPr>
      </w:pPr>
      <w:r w:rsidRPr="004740FE">
        <w:rPr>
          <w:color w:val="000000"/>
          <w:lang w:val="fr-FR"/>
        </w:rPr>
        <w:t>Otro desafío procede de la degradación de las tierras asociada a sistemas inadecuados de gestión. La degradación lleva a la pérdida o reducción de servicios de los ecosistemas.</w:t>
      </w:r>
    </w:p>
    <w:p w:rsidR="00DD1958" w:rsidRPr="004740FE" w:rsidRDefault="00DD1958" w:rsidP="00DD1958">
      <w:pPr>
        <w:autoSpaceDE w:val="0"/>
        <w:autoSpaceDN w:val="0"/>
        <w:adjustRightInd w:val="0"/>
        <w:spacing w:after="240"/>
        <w:jc w:val="both"/>
        <w:rPr>
          <w:rFonts w:cs="Cambria"/>
          <w:color w:val="000000"/>
          <w:lang w:val="fr-FR"/>
        </w:rPr>
      </w:pPr>
      <w:r w:rsidRPr="004740FE">
        <w:rPr>
          <w:color w:val="000000"/>
          <w:lang w:val="fr-FR"/>
        </w:rPr>
        <w:lastRenderedPageBreak/>
        <w:t>En cada uno de estos ejemplos, un desafío crucial es el de reconocer y valorar los múltiples servicios de los ecosistemas que proporcionan los pastizales e incorporar estos valores en la planificación del uso de las tierras y la toma de decisiones económicas.</w:t>
      </w:r>
    </w:p>
    <w:p w:rsidR="003557AC" w:rsidRPr="004740FE" w:rsidRDefault="003557AC" w:rsidP="003557AC">
      <w:pPr>
        <w:autoSpaceDE w:val="0"/>
        <w:autoSpaceDN w:val="0"/>
        <w:adjustRightInd w:val="0"/>
        <w:spacing w:after="240"/>
        <w:jc w:val="both"/>
        <w:rPr>
          <w:rFonts w:cs="Cambria"/>
          <w:b/>
          <w:i/>
          <w:color w:val="1F497D" w:themeColor="text2"/>
          <w:lang w:val="fr-FR"/>
        </w:rPr>
      </w:pPr>
      <w:r w:rsidRPr="004740FE">
        <w:rPr>
          <w:b/>
          <w:i/>
          <w:color w:val="1F497D" w:themeColor="text2"/>
          <w:lang w:val="fr-FR"/>
        </w:rPr>
        <w:t>Sostenibilidad social</w:t>
      </w:r>
    </w:p>
    <w:p w:rsidR="003557AC" w:rsidRPr="004740FE" w:rsidRDefault="003557AC" w:rsidP="003557AC">
      <w:pPr>
        <w:autoSpaceDE w:val="0"/>
        <w:autoSpaceDN w:val="0"/>
        <w:adjustRightInd w:val="0"/>
        <w:jc w:val="both"/>
        <w:rPr>
          <w:rFonts w:cs="Cambria"/>
          <w:color w:val="000000"/>
          <w:lang w:val="fr-FR"/>
        </w:rPr>
      </w:pPr>
      <w:r w:rsidRPr="004740FE">
        <w:rPr>
          <w:color w:val="000000"/>
          <w:lang w:val="fr-FR"/>
        </w:rPr>
        <w:t>La importancia de los sistemas de producción de alimentos basados en los pastizales como columna vertebral de la producción de pequeños rumiantes se ilustró a través de ejemplos de la India y África occidental. En las sabanas del África occidental, los medios de subsistencia del 47,1 % de las personas dependen de un amplio sistema de producción de ganado.</w:t>
      </w:r>
    </w:p>
    <w:p w:rsidR="003557AC" w:rsidRPr="003557AC" w:rsidRDefault="001D1505" w:rsidP="003557AC">
      <w:pPr>
        <w:autoSpaceDE w:val="0"/>
        <w:autoSpaceDN w:val="0"/>
        <w:adjustRightInd w:val="0"/>
        <w:jc w:val="both"/>
        <w:rPr>
          <w:rFonts w:cs="Cambria"/>
          <w:color w:val="000000"/>
        </w:rPr>
      </w:pPr>
      <w:r w:rsidRPr="004740FE">
        <w:rPr>
          <w:color w:val="000000"/>
          <w:lang w:val="it-IT"/>
        </w:rPr>
        <w:t xml:space="preserve">Los principios del comercio justo se ven como una estrategia valiosa para garantizar la sostenibilidad económica y social mediante el apoyo a medios de subsistencia dignos. Con precios justos sería posible que los pastores obtuvieran mejores ingresos por el suministro a los mercados urbanos e internacionales. </w:t>
      </w:r>
      <w:r>
        <w:rPr>
          <w:color w:val="000000"/>
        </w:rPr>
        <w:t>Este es un ejemplo de la estrecha relación durante la conferencia entre la sostenibilidad económica y social.</w:t>
      </w:r>
    </w:p>
    <w:p w:rsidR="003557AC" w:rsidRPr="004740FE" w:rsidRDefault="003557AC" w:rsidP="001D1505">
      <w:pPr>
        <w:autoSpaceDE w:val="0"/>
        <w:autoSpaceDN w:val="0"/>
        <w:adjustRightInd w:val="0"/>
        <w:jc w:val="both"/>
        <w:rPr>
          <w:rFonts w:cs="Cambria"/>
          <w:color w:val="000000"/>
          <w:lang w:val="it-IT"/>
        </w:rPr>
      </w:pPr>
      <w:r w:rsidRPr="004740FE">
        <w:rPr>
          <w:color w:val="000000"/>
          <w:lang w:val="it-IT"/>
        </w:rPr>
        <w:t>Se reconoció la sostenibilidad cultural como crítica para la situación a largo plazo de los pastizales. Cuando los pastizales se consideran una parte integral del paisaje, las comunidades locales los valoran y protegen. Otra idea afín fue la de fomentar el capital social para inculcar una ética de buena administración.</w:t>
      </w:r>
    </w:p>
    <w:p w:rsidR="00241FBD" w:rsidRPr="004740FE" w:rsidRDefault="00241FBD" w:rsidP="00DD1958">
      <w:pPr>
        <w:autoSpaceDE w:val="0"/>
        <w:autoSpaceDN w:val="0"/>
        <w:adjustRightInd w:val="0"/>
        <w:spacing w:after="240"/>
        <w:jc w:val="both"/>
        <w:rPr>
          <w:rFonts w:cs="Cambria"/>
          <w:b/>
          <w:i/>
          <w:color w:val="1F497D" w:themeColor="text2"/>
          <w:lang w:val="it-IT"/>
        </w:rPr>
      </w:pPr>
      <w:r w:rsidRPr="004740FE">
        <w:rPr>
          <w:b/>
          <w:i/>
          <w:color w:val="1F497D" w:themeColor="text2"/>
          <w:lang w:val="it-IT"/>
        </w:rPr>
        <w:t>Sostenibilidad económica</w:t>
      </w:r>
    </w:p>
    <w:p w:rsidR="00CB63DE" w:rsidRPr="004740FE" w:rsidRDefault="00043648" w:rsidP="001D1505">
      <w:pPr>
        <w:autoSpaceDE w:val="0"/>
        <w:autoSpaceDN w:val="0"/>
        <w:adjustRightInd w:val="0"/>
        <w:spacing w:after="240"/>
        <w:jc w:val="both"/>
        <w:rPr>
          <w:rFonts w:cs="Cambria"/>
          <w:color w:val="000000"/>
          <w:lang w:val="it-IT"/>
        </w:rPr>
      </w:pPr>
      <w:r w:rsidRPr="004740FE">
        <w:rPr>
          <w:color w:val="000000"/>
          <w:lang w:val="it-IT"/>
        </w:rPr>
        <w:t xml:space="preserve">El concepto de sostenibilidad económica debe ir más allá de una definición estrecha de interés económico, basada únicamente en la optimización de los beneficios. </w:t>
      </w:r>
      <w:r w:rsidRPr="004740FE">
        <w:rPr>
          <w:color w:val="000000"/>
          <w:lang w:val="fr-FR"/>
        </w:rPr>
        <w:t xml:space="preserve">Por ejemplo, los sistemas tradicionales basados en los pastizales de América del Sur se convierten cada vez más a la producción agrícola para satisfacer la demanda de piensos para la producción de rumiantes y monogástricos en Europa. </w:t>
      </w:r>
      <w:r w:rsidRPr="004740FE">
        <w:rPr>
          <w:color w:val="000000"/>
          <w:lang w:val="it-IT"/>
        </w:rPr>
        <w:t>En este caso, una cadena de producción de alimentos  globalizada  produce consecuencias negativas para el medio ambiente en ambos lados del Atlántico, que amenazan con socavar la base productiva. Las opciones de un sistema económico con mayor resiliencia que se propuso durante la conferencia electrónica incluyen: etiquetado y promover los beneficios para la salud de la carne roja basada en pastos, desarrollo del comercio justo y mercados del ecoturismo, cadenas alimentarias  más cercanas y una mayor autosuficiencia alimentaria dentro de las regiones.</w:t>
      </w:r>
    </w:p>
    <w:p w:rsidR="00DD1958" w:rsidRPr="004740FE" w:rsidRDefault="00CB63DE" w:rsidP="00CB63DE">
      <w:pPr>
        <w:autoSpaceDE w:val="0"/>
        <w:autoSpaceDN w:val="0"/>
        <w:adjustRightInd w:val="0"/>
        <w:spacing w:after="240"/>
        <w:jc w:val="both"/>
        <w:rPr>
          <w:rFonts w:cs="Cambria"/>
          <w:color w:val="000000"/>
          <w:lang w:val="fr-FR"/>
        </w:rPr>
      </w:pPr>
      <w:r w:rsidRPr="004740FE">
        <w:rPr>
          <w:color w:val="000000"/>
          <w:lang w:val="it-IT"/>
        </w:rPr>
        <w:t xml:space="preserve">Fortalecer la multifuncionalidad de los pastizales también puede contribuir a la resiliencia económica y social. Por ejemplo, la creación de un turismo agro/ecológico ofrece una oportunidad a los pequeños productores de diversificar sus fuentes de ingresos. </w:t>
      </w:r>
      <w:r w:rsidRPr="004740FE">
        <w:rPr>
          <w:color w:val="000000"/>
          <w:lang w:val="fr-FR"/>
        </w:rPr>
        <w:t>La bioenergía, los servicios de los ecosistemas y los mercados de carbono son otras perspectivas para el futuro, pero que actualmente están insuficientemente desarrolladas.</w:t>
      </w:r>
    </w:p>
    <w:p w:rsidR="00DD1958" w:rsidRPr="004740FE" w:rsidRDefault="001411F3" w:rsidP="00DD1958">
      <w:pPr>
        <w:autoSpaceDE w:val="0"/>
        <w:autoSpaceDN w:val="0"/>
        <w:adjustRightInd w:val="0"/>
        <w:spacing w:after="240"/>
        <w:jc w:val="both"/>
        <w:rPr>
          <w:rFonts w:cs="Cambria"/>
          <w:b/>
          <w:i/>
          <w:color w:val="1F497D" w:themeColor="text2"/>
          <w:lang w:val="fr-FR"/>
        </w:rPr>
      </w:pPr>
      <w:r w:rsidRPr="004740FE">
        <w:rPr>
          <w:b/>
          <w:i/>
          <w:color w:val="1F497D" w:themeColor="text2"/>
          <w:lang w:val="fr-FR"/>
        </w:rPr>
        <w:t>Sostenibilidad de la gobernanza</w:t>
      </w:r>
    </w:p>
    <w:p w:rsidR="001E5FB9" w:rsidRPr="004740FE" w:rsidRDefault="00DD1958" w:rsidP="00DD1958">
      <w:pPr>
        <w:autoSpaceDE w:val="0"/>
        <w:autoSpaceDN w:val="0"/>
        <w:adjustRightInd w:val="0"/>
        <w:spacing w:after="240"/>
        <w:jc w:val="both"/>
        <w:rPr>
          <w:rFonts w:cs="Cambria"/>
          <w:color w:val="000000"/>
          <w:lang w:val="fr-FR"/>
        </w:rPr>
      </w:pPr>
      <w:r w:rsidRPr="004740FE">
        <w:rPr>
          <w:color w:val="000000"/>
          <w:lang w:val="fr-FR"/>
        </w:rPr>
        <w:lastRenderedPageBreak/>
        <w:t xml:space="preserve">Las múltiples funciones de los pastizales son inherentemente complejas. Las dimensiones de la sostenibilidad ambiental, social y económica están relacionadas con diferentes temas y desafíos en varias categorías. </w:t>
      </w:r>
    </w:p>
    <w:p w:rsidR="00E23A12" w:rsidRPr="004740FE" w:rsidRDefault="00E23A12" w:rsidP="00E23A12">
      <w:pPr>
        <w:autoSpaceDE w:val="0"/>
        <w:autoSpaceDN w:val="0"/>
        <w:adjustRightInd w:val="0"/>
        <w:spacing w:after="240"/>
        <w:jc w:val="both"/>
        <w:rPr>
          <w:rFonts w:cs="Cambria"/>
          <w:color w:val="000000"/>
          <w:lang w:val="fr-FR"/>
        </w:rPr>
      </w:pPr>
      <w:r w:rsidRPr="004740FE">
        <w:rPr>
          <w:color w:val="000000"/>
          <w:lang w:val="fr-FR"/>
        </w:rPr>
        <w:t>La desertificación de las tierras de pastoreo en todo el territorio de los EE UU, África, Australia, Asia y América del Sur es un buen ejemplo de un complejo desafío de gobernanza que repercute en los pastizales. Una gestión inadecuada conduce a la degradación y la desertificación, una cuestión ambiental de profundas consecuencias económicas y sociales. A su vez, la desertificación es un factor del cambio climático, que agrava el impacto de las sequías y las inundaciones, la pobreza, el abuso contra las mujeres y los niños, y la competencia por recursos cada vez más escasos. En la peor de las situaciones esta competencia se ha traducido en violencia y guerras.</w:t>
      </w:r>
    </w:p>
    <w:p w:rsidR="001E5FB9" w:rsidRPr="004740FE" w:rsidRDefault="001E5FB9" w:rsidP="001E5FB9">
      <w:pPr>
        <w:autoSpaceDE w:val="0"/>
        <w:autoSpaceDN w:val="0"/>
        <w:adjustRightInd w:val="0"/>
        <w:spacing w:after="240"/>
        <w:jc w:val="both"/>
        <w:rPr>
          <w:rFonts w:cs="Cambria"/>
          <w:color w:val="000000"/>
          <w:lang w:val="fr-FR"/>
        </w:rPr>
      </w:pPr>
      <w:r w:rsidRPr="004740FE">
        <w:rPr>
          <w:color w:val="000000"/>
          <w:lang w:val="fr-FR"/>
        </w:rPr>
        <w:t>La tenencia de la tierra y los derechos de acceso son otro desafío clave de gobernanza para los pastizales. La tenencia y los derechos de acceso se complican en los sistemas pastoriles de producción debido a las migraciones estacionales, los territorios  transfronterizos y los derechos de acceso a los recursos. Ya que los sistemas de derechos de tenencia definen y regulan el acceso a los recursos naturales, son esenciales para la creación de medios de subsistencia sostenibles, la promoción de la seguridad alimentaria y de sostenibilidad ambiental. Por lo tanto, la buena gobernanza de la tenencia de la tierra es indispensable para apoyar las dimensiones económica, social y ambiental de la sostenibilidad.</w:t>
      </w:r>
    </w:p>
    <w:p w:rsidR="00DD1958" w:rsidRPr="004740FE" w:rsidRDefault="00DD1958" w:rsidP="00DD1958">
      <w:pPr>
        <w:autoSpaceDE w:val="0"/>
        <w:autoSpaceDN w:val="0"/>
        <w:adjustRightInd w:val="0"/>
        <w:spacing w:after="240"/>
        <w:jc w:val="both"/>
        <w:rPr>
          <w:rFonts w:cs="Cambria"/>
          <w:color w:val="000000"/>
          <w:lang w:val="fr-FR"/>
        </w:rPr>
      </w:pPr>
      <w:r w:rsidRPr="004740FE">
        <w:rPr>
          <w:color w:val="000000"/>
          <w:lang w:val="fr-FR"/>
        </w:rPr>
        <w:t xml:space="preserve">A fin de reflejar la complejidad y la interrelación de los problemas y responder de forma eficaz, es importante que la gobernanza de los pastizales incorpore enfoques integrales y basados en los sistemas. Este fue un vigoroso mensaje presente en las deliberaciones de la conferencia electrónica. Ejemplos de prácticas de gestión integradas e integrales de los pastizales que han demostrado su eficacia son el silvopastoralismo, la integración de cultivos y ganadería y la intensificación ecológica.  </w:t>
      </w:r>
    </w:p>
    <w:p w:rsidR="00DD1958" w:rsidRPr="004740FE" w:rsidRDefault="00DD1958" w:rsidP="002C1CF5">
      <w:pPr>
        <w:autoSpaceDE w:val="0"/>
        <w:autoSpaceDN w:val="0"/>
        <w:adjustRightInd w:val="0"/>
        <w:jc w:val="both"/>
        <w:rPr>
          <w:rFonts w:cs="Cambria"/>
          <w:color w:val="000000"/>
          <w:lang w:val="fr-FR"/>
        </w:rPr>
      </w:pPr>
      <w:r w:rsidRPr="004740FE">
        <w:rPr>
          <w:color w:val="000000"/>
          <w:lang w:val="fr-FR"/>
        </w:rPr>
        <w:t xml:space="preserve">Para una serie de importantes desafíos que ponen en peligro la sostenibilidad de los pastizales , una concepción estrecha del interés económico está superando las dimensiones ambiental y social de la sostenibilidad. Un desafío clave para asumir una gestión sostenible de los pastizales es reorientar las políticas agrícola, alimentaria y comercial, con el fin de lograr un mayor equilibrio entre las dimensiones económica, social y ambiental de la sostenibilidad; la buena gobernanza es el cuarto pilar para lograr sistemas alimentarios sostenibles en los que cada una de estas dimensiones recibe la igual atención. </w:t>
      </w:r>
    </w:p>
    <w:p w:rsidR="00550A07" w:rsidRPr="004740FE" w:rsidRDefault="00550A07" w:rsidP="00550A07">
      <w:pPr>
        <w:rPr>
          <w:lang w:val="fr-FR"/>
        </w:rPr>
      </w:pPr>
    </w:p>
    <w:p w:rsidR="004152DD" w:rsidRPr="004740FE" w:rsidRDefault="00743AEA" w:rsidP="009E112E">
      <w:pPr>
        <w:jc w:val="both"/>
        <w:rPr>
          <w:b/>
          <w:color w:val="1F497D" w:themeColor="text2"/>
          <w:sz w:val="28"/>
          <w:szCs w:val="28"/>
          <w:lang w:val="fr-FR"/>
        </w:rPr>
      </w:pPr>
      <w:r w:rsidRPr="004740FE">
        <w:rPr>
          <w:b/>
          <w:color w:val="1F497D" w:themeColor="text2"/>
          <w:sz w:val="28"/>
          <w:lang w:val="fr-FR"/>
        </w:rPr>
        <w:t>El camino a seguir</w:t>
      </w:r>
    </w:p>
    <w:p w:rsidR="007A2D6E" w:rsidRPr="004740FE" w:rsidRDefault="007A2D6E" w:rsidP="009E112E">
      <w:pPr>
        <w:jc w:val="both"/>
        <w:rPr>
          <w:b/>
          <w:color w:val="1F497D" w:themeColor="text2"/>
          <w:sz w:val="24"/>
          <w:szCs w:val="24"/>
          <w:lang w:val="fr-FR"/>
        </w:rPr>
      </w:pPr>
      <w:r w:rsidRPr="004740FE">
        <w:rPr>
          <w:b/>
          <w:color w:val="1F497D" w:themeColor="text2"/>
          <w:sz w:val="24"/>
          <w:lang w:val="fr-FR"/>
        </w:rPr>
        <w:t>Subsanar las lagunas de datos</w:t>
      </w:r>
    </w:p>
    <w:p w:rsidR="00440493" w:rsidRPr="004740FE" w:rsidRDefault="004759A8" w:rsidP="009E112E">
      <w:pPr>
        <w:jc w:val="both"/>
        <w:rPr>
          <w:lang w:val="it-IT"/>
        </w:rPr>
      </w:pPr>
      <w:r w:rsidRPr="004740FE">
        <w:rPr>
          <w:lang w:val="fr-FR"/>
        </w:rPr>
        <w:t>Es necesario que la investigación futura se concentre en zanjar las lagunas de datos identificadas durante la conferencia electrónica y en otros foros. En cuanto a los servicios de los ecosistemas, las múltiples funciones que proporcionan los pastizales han recibido mucha publicidad,</w:t>
      </w:r>
      <w:r>
        <w:rPr>
          <w:rStyle w:val="FootnoteReference"/>
        </w:rPr>
        <w:footnoteReference w:id="3"/>
      </w:r>
      <w:r w:rsidRPr="004740FE">
        <w:rPr>
          <w:lang w:val="fr-FR"/>
        </w:rPr>
        <w:t xml:space="preserve"> y muchos de los participantes </w:t>
      </w:r>
      <w:r w:rsidRPr="004740FE">
        <w:rPr>
          <w:lang w:val="fr-FR"/>
        </w:rPr>
        <w:lastRenderedPageBreak/>
        <w:t xml:space="preserve">presentaron ejemplos de importantes servicios de los ecosistemas de pastizales de diferentes regiones agroecológicas. </w:t>
      </w:r>
      <w:r w:rsidRPr="004740FE">
        <w:rPr>
          <w:lang w:val="it-IT"/>
        </w:rPr>
        <w:t xml:space="preserve">El próximo paso importante será recoger estos datos de forma estructurada. La FAO está llevando a cabo un estudio para obtener información sobre los servicios de los ecosistemas proporcionados por poblaciones específicas de ganado de pastoreo en determinados lugares de pastizales. Los resultados se utilizarán como insumo para la preparación del Segundo Informe sobre </w:t>
      </w:r>
      <w:r w:rsidRPr="004740FE">
        <w:rPr>
          <w:i/>
          <w:lang w:val="it-IT"/>
        </w:rPr>
        <w:t>La situación de los recursos zoogenéticos mundiales para la alimentación y la agricultura</w:t>
      </w:r>
      <w:r w:rsidRPr="004740FE">
        <w:rPr>
          <w:lang w:val="it-IT"/>
        </w:rPr>
        <w:t>.</w:t>
      </w:r>
      <w:r>
        <w:rPr>
          <w:rStyle w:val="FootnoteReference"/>
        </w:rPr>
        <w:footnoteReference w:id="4"/>
      </w:r>
    </w:p>
    <w:p w:rsidR="007A2D6E" w:rsidRPr="004740FE" w:rsidRDefault="007A2D6E" w:rsidP="009E112E">
      <w:pPr>
        <w:jc w:val="both"/>
        <w:rPr>
          <w:b/>
          <w:color w:val="1F497D" w:themeColor="text2"/>
          <w:sz w:val="24"/>
          <w:szCs w:val="24"/>
          <w:lang w:val="fr-FR"/>
        </w:rPr>
      </w:pPr>
      <w:r w:rsidRPr="004740FE">
        <w:rPr>
          <w:b/>
          <w:color w:val="1F497D" w:themeColor="text2"/>
          <w:sz w:val="24"/>
          <w:lang w:val="fr-FR"/>
        </w:rPr>
        <w:t>Directrices técnicas y de políticas basadas en las mejores prácticas de gestión sostenible de los pastizales</w:t>
      </w:r>
    </w:p>
    <w:p w:rsidR="00AF5EE3" w:rsidRPr="004740FE" w:rsidRDefault="00AF5EE3" w:rsidP="00AF5EE3">
      <w:pPr>
        <w:autoSpaceDE w:val="0"/>
        <w:autoSpaceDN w:val="0"/>
        <w:adjustRightInd w:val="0"/>
        <w:jc w:val="both"/>
        <w:rPr>
          <w:rFonts w:cs="Cambria"/>
          <w:color w:val="000000"/>
          <w:lang w:val="fr-FR"/>
        </w:rPr>
      </w:pPr>
      <w:r w:rsidRPr="004740FE">
        <w:rPr>
          <w:color w:val="000000"/>
          <w:lang w:val="fr-FR"/>
        </w:rPr>
        <w:t xml:space="preserve">Durante la conferencia hubo un amplio apoyo a la idea de elaborar directrices generales sobre la gestión sostenible de los pastizales, con un enfoque integral que abarque las cuatro dimensiones de la sostenibilidad ambiental, social, económica y de gobernanza. La conferencia pidió la definición de directrices técnicas y de políticas  basada en las mejores prácticas. Se hizo hincapié en que las posibles directrices deberían centrarse en mejorar los medios de subsistencia de los ganaderos. Las directrices deberán apoyar las culturas y tradiciones de los pastores, incluidos sus conocimientos ecológicos tradicionales. Las directrices podrían basarse en una síntesis de casos de éxito de pastizales de todo el mundo, organizados por zonas agroecológicas, con soluciones que reflejen las condiciones locales. </w:t>
      </w:r>
    </w:p>
    <w:p w:rsidR="00AF5EE3" w:rsidRPr="004740FE" w:rsidRDefault="00AF5EE3" w:rsidP="00AF5EE3">
      <w:pPr>
        <w:autoSpaceDE w:val="0"/>
        <w:autoSpaceDN w:val="0"/>
        <w:adjustRightInd w:val="0"/>
        <w:jc w:val="both"/>
        <w:rPr>
          <w:rFonts w:cs="Cambria"/>
          <w:color w:val="000000"/>
          <w:lang w:val="fr-FR"/>
        </w:rPr>
      </w:pPr>
      <w:r w:rsidRPr="004740FE">
        <w:rPr>
          <w:color w:val="000000"/>
          <w:lang w:val="fr-FR"/>
        </w:rPr>
        <w:t xml:space="preserve">Durante la conferencia electrónica ya se presentaron diversos estudios de caso sobre mejores prácticas de distintas regiones. Por ejemplo, el Programa de políticas pecuarias en favor de los pobres del Asia meridional (SA PPLPP) trabaja en apoyo a la gestión comunitaria de los recursos de propiedad común. Una buena gobernanza de los derechos de tenencia y acceso, a través de instituciones locales democráticas y equitativas, han contribuido a los resultados positivos en cuanto a restablecimiento del medio ambiente, aumento de la producción, mejoramiento de la calidad de vida de las familias marginadas y mayor seguridad alimentaria. </w:t>
      </w:r>
      <w:r>
        <w:rPr>
          <w:color w:val="000000"/>
          <w:vertAlign w:val="superscript"/>
        </w:rPr>
        <w:footnoteReference w:id="5"/>
      </w:r>
    </w:p>
    <w:p w:rsidR="00AF5EE3" w:rsidRPr="004740FE" w:rsidRDefault="00AF5EE3" w:rsidP="00AF5EE3">
      <w:pPr>
        <w:jc w:val="both"/>
        <w:rPr>
          <w:lang w:val="fr-FR"/>
        </w:rPr>
      </w:pPr>
      <w:r w:rsidRPr="004740FE">
        <w:rPr>
          <w:lang w:val="fr-FR"/>
        </w:rPr>
        <w:t>Después de la conferencia electrónica se creó una base de datos que se puede consultar en línea se ha creado en la página web Vías de la sostenibilidad, de la FAO.</w:t>
      </w:r>
      <w:r>
        <w:rPr>
          <w:vertAlign w:val="superscript"/>
        </w:rPr>
        <w:footnoteReference w:id="6"/>
      </w:r>
      <w:r w:rsidRPr="004740FE">
        <w:rPr>
          <w:lang w:val="fr-FR"/>
        </w:rPr>
        <w:t xml:space="preserve"> El objetivo es crear un repositorio de buenas prácticas y casos de éxito que otros puedan aprovechar. Por último, una síntesis de las mejores prácticas de diferentes regiones agroecológicas y condiciones socioeconómicas se puede utilizar como base de las directrices técnicas y de políticas para la gestión sostenible de los pastizales. Se invita a los participantes a compartir sus experiencias, que se publicarán en el sitio web de la FAO.</w:t>
      </w:r>
    </w:p>
    <w:p w:rsidR="00C25B6A" w:rsidRPr="004740FE" w:rsidRDefault="00C25B6A" w:rsidP="00743AEA">
      <w:pPr>
        <w:jc w:val="both"/>
        <w:rPr>
          <w:b/>
          <w:color w:val="1F497D" w:themeColor="text2"/>
          <w:sz w:val="24"/>
          <w:szCs w:val="24"/>
          <w:lang w:val="fr-FR"/>
        </w:rPr>
      </w:pPr>
      <w:r w:rsidRPr="004740FE">
        <w:rPr>
          <w:b/>
          <w:color w:val="1F497D" w:themeColor="text2"/>
          <w:sz w:val="24"/>
          <w:lang w:val="fr-FR"/>
        </w:rPr>
        <w:lastRenderedPageBreak/>
        <w:t>Comentarios y sugerencias</w:t>
      </w:r>
    </w:p>
    <w:p w:rsidR="00743AEA" w:rsidRPr="004740FE" w:rsidRDefault="00743AEA" w:rsidP="00743AEA">
      <w:pPr>
        <w:jc w:val="both"/>
        <w:rPr>
          <w:lang w:val="fr-FR"/>
        </w:rPr>
      </w:pPr>
      <w:r w:rsidRPr="004740FE">
        <w:rPr>
          <w:lang w:val="fr-FR"/>
        </w:rPr>
        <w:t xml:space="preserve">LA FAO invita a enviarnos cualquier comentario o sugerencia acerca de los pasos siguientes expuestos en este documento, así como otras ideas sobre la manera de proceder en la elaboración de las directrices técnicas y de políticas para las mejores prácticas de gestión sostenible de los pastizales. </w:t>
      </w:r>
      <w:r w:rsidRPr="004740FE">
        <w:rPr>
          <w:lang w:val="it-IT"/>
        </w:rPr>
        <w:t xml:space="preserve">Gracias a todos los que han aportado valiosas contribuciones a la conferencia electrónica. </w:t>
      </w:r>
      <w:r w:rsidRPr="004740FE">
        <w:rPr>
          <w:lang w:val="fr-FR"/>
        </w:rPr>
        <w:t>Esperamos que ustedes sigan estos acontecimientos y que tengamos futuras oportunidades de colaboración.</w:t>
      </w:r>
    </w:p>
    <w:sectPr w:rsidR="00743AEA" w:rsidRPr="004740FE" w:rsidSect="001A5A6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F1" w:rsidRDefault="00FE07F1" w:rsidP="00E66BD6">
      <w:pPr>
        <w:spacing w:after="0" w:line="240" w:lineRule="auto"/>
      </w:pPr>
      <w:r>
        <w:separator/>
      </w:r>
    </w:p>
  </w:endnote>
  <w:endnote w:type="continuationSeparator" w:id="0">
    <w:p w:rsidR="00FE07F1" w:rsidRDefault="00FE07F1" w:rsidP="00E6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896"/>
      <w:docPartObj>
        <w:docPartGallery w:val="Page Numbers (Bottom of Page)"/>
        <w:docPartUnique/>
      </w:docPartObj>
    </w:sdtPr>
    <w:sdtEndPr/>
    <w:sdtContent>
      <w:p w:rsidR="001411F3" w:rsidRDefault="001A5665">
        <w:pPr>
          <w:pStyle w:val="Footer"/>
          <w:jc w:val="center"/>
        </w:pPr>
        <w:r>
          <w:fldChar w:fldCharType="begin"/>
        </w:r>
        <w:r>
          <w:instrText xml:space="preserve"> PAGE   \* MERGEFORMAT </w:instrText>
        </w:r>
        <w:r>
          <w:fldChar w:fldCharType="separate"/>
        </w:r>
        <w:r w:rsidR="004740FE">
          <w:rPr>
            <w:noProof/>
          </w:rPr>
          <w:t>1</w:t>
        </w:r>
        <w:r>
          <w:rPr>
            <w:noProof/>
          </w:rPr>
          <w:fldChar w:fldCharType="end"/>
        </w:r>
      </w:p>
    </w:sdtContent>
  </w:sdt>
  <w:p w:rsidR="001411F3" w:rsidRDefault="0014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F1" w:rsidRDefault="00FE07F1" w:rsidP="00E66BD6">
      <w:pPr>
        <w:spacing w:after="0" w:line="240" w:lineRule="auto"/>
      </w:pPr>
      <w:r>
        <w:separator/>
      </w:r>
    </w:p>
  </w:footnote>
  <w:footnote w:type="continuationSeparator" w:id="0">
    <w:p w:rsidR="00FE07F1" w:rsidRDefault="00FE07F1" w:rsidP="00E66BD6">
      <w:pPr>
        <w:spacing w:after="0" w:line="240" w:lineRule="auto"/>
      </w:pPr>
      <w:r>
        <w:continuationSeparator/>
      </w:r>
    </w:p>
  </w:footnote>
  <w:footnote w:id="1">
    <w:p w:rsidR="00E9466C" w:rsidRPr="004740FE" w:rsidRDefault="00E9466C" w:rsidP="003610A9">
      <w:pPr>
        <w:jc w:val="both"/>
        <w:rPr>
          <w:rFonts w:cs="Times New Roman"/>
          <w:sz w:val="20"/>
          <w:szCs w:val="20"/>
          <w:lang w:val="fr-FR" w:eastAsia="it-IT"/>
        </w:rPr>
      </w:pPr>
      <w:r>
        <w:rPr>
          <w:rStyle w:val="FootnoteReference"/>
          <w:sz w:val="20"/>
        </w:rPr>
        <w:footnoteRef/>
      </w:r>
      <w:r w:rsidRPr="004740FE">
        <w:rPr>
          <w:sz w:val="20"/>
          <w:lang w:val="fr-FR"/>
        </w:rPr>
        <w:t xml:space="preserve"> SOL-m es un modelo de flujo de masas creado para evaluar la sostenibilidad de los sistemas alimentarios y hacer proyecciones de hipótesis de desarrollo. Este modelo abarca todo el sector agrícola (en lugar de cultivos específicos), incluye las repercusiones ambientales (uso de energía no renovable, eutrofización por nitrógeno y fósforo, degradación de las tierras y uso de plaguicidas), y permite el análisis de temas interrelacionados, tales como los vínculos de la disponibilidad de alimentos y el suministro y la demanda de alimentos a escala mundial: </w:t>
      </w:r>
      <w:hyperlink r:id="rId1">
        <w:r w:rsidRPr="004740FE">
          <w:rPr>
            <w:rStyle w:val="Hyperlink"/>
            <w:noProof/>
            <w:sz w:val="20"/>
            <w:lang w:val="fr-FR"/>
          </w:rPr>
          <w:t>www.fao.org/fileadmin/templates/nr/sustainability_pathways/docs/SOL_Concept_Note.pdf</w:t>
        </w:r>
      </w:hyperlink>
    </w:p>
  </w:footnote>
  <w:footnote w:id="2">
    <w:p w:rsidR="002A3C1C" w:rsidRPr="004740FE" w:rsidRDefault="002A3C1C" w:rsidP="003610A9">
      <w:pPr>
        <w:pStyle w:val="FootnoteText"/>
        <w:jc w:val="both"/>
        <w:rPr>
          <w:lang w:val="fr-FR"/>
        </w:rPr>
      </w:pPr>
      <w:r>
        <w:rPr>
          <w:rStyle w:val="FootnoteReference"/>
        </w:rPr>
        <w:footnoteRef/>
      </w:r>
      <w:r w:rsidRPr="004740FE">
        <w:rPr>
          <w:lang w:val="fr-FR"/>
        </w:rPr>
        <w:t xml:space="preserve">Hay más información sobre SAFA en: </w:t>
      </w:r>
      <w:hyperlink r:id="rId2">
        <w:r w:rsidRPr="004740FE">
          <w:rPr>
            <w:rStyle w:val="Hyperlink"/>
            <w:lang w:val="fr-FR"/>
          </w:rPr>
          <w:t>http://www.fao.org/nr/sustainability/sustainability-assessments-safa/es/</w:t>
        </w:r>
      </w:hyperlink>
    </w:p>
    <w:p w:rsidR="002A3C1C" w:rsidRPr="004740FE" w:rsidRDefault="002A3C1C">
      <w:pPr>
        <w:pStyle w:val="FootnoteText"/>
        <w:rPr>
          <w:lang w:val="fr-FR"/>
        </w:rPr>
      </w:pPr>
    </w:p>
  </w:footnote>
  <w:footnote w:id="3">
    <w:p w:rsidR="00582CBA" w:rsidRPr="004740FE" w:rsidRDefault="00582CBA">
      <w:pPr>
        <w:pStyle w:val="FootnoteText"/>
        <w:rPr>
          <w:lang w:val="fr-FR"/>
        </w:rPr>
      </w:pPr>
      <w:r>
        <w:rPr>
          <w:rStyle w:val="FootnoteReference"/>
        </w:rPr>
        <w:footnoteRef/>
      </w:r>
      <w:r w:rsidRPr="004740FE">
        <w:rPr>
          <w:lang w:val="fr-FR"/>
        </w:rPr>
        <w:t xml:space="preserve"> Por ejemplo, a través del proyecto de la UE MultiSward: </w:t>
      </w:r>
      <w:hyperlink r:id="rId3">
        <w:r w:rsidRPr="004740FE">
          <w:rPr>
            <w:rStyle w:val="Hyperlink"/>
            <w:lang w:val="fr-FR"/>
          </w:rPr>
          <w:t>http://www.multisward.eu/multisward/</w:t>
        </w:r>
      </w:hyperlink>
    </w:p>
    <w:p w:rsidR="00080068" w:rsidRPr="004740FE" w:rsidRDefault="00080068">
      <w:pPr>
        <w:pStyle w:val="FootnoteText"/>
        <w:rPr>
          <w:lang w:val="fr-FR"/>
        </w:rPr>
      </w:pPr>
    </w:p>
  </w:footnote>
  <w:footnote w:id="4">
    <w:p w:rsidR="00087B40" w:rsidRPr="004740FE" w:rsidRDefault="00087B40" w:rsidP="00087B40">
      <w:pPr>
        <w:pStyle w:val="FootnoteText"/>
        <w:rPr>
          <w:lang w:val="fr-FR"/>
        </w:rPr>
      </w:pPr>
      <w:r>
        <w:rPr>
          <w:rStyle w:val="FootnoteReference"/>
        </w:rPr>
        <w:footnoteRef/>
      </w:r>
      <w:r w:rsidRPr="004740FE">
        <w:rPr>
          <w:lang w:val="fr-FR"/>
        </w:rPr>
        <w:t xml:space="preserve"> El estudio realizado por correo electrónico se ha distribuido a los participantes en la conferencia electrónica de la FAO sobre pastizales sostenibles, que están invitados a participar. Para obtener más información, consulte: </w:t>
      </w:r>
      <w:hyperlink r:id="rId4">
        <w:r w:rsidRPr="004740FE">
          <w:rPr>
            <w:rStyle w:val="Hyperlink"/>
            <w:lang w:val="fr-FR"/>
          </w:rPr>
          <w:t>www.fao.org/ag/againfo/programmes/en/A5.html</w:t>
        </w:r>
      </w:hyperlink>
      <w:r w:rsidRPr="004740FE">
        <w:rPr>
          <w:lang w:val="fr-FR"/>
        </w:rPr>
        <w:t xml:space="preserve"> </w:t>
      </w:r>
    </w:p>
  </w:footnote>
  <w:footnote w:id="5">
    <w:p w:rsidR="00C25B6A" w:rsidRPr="004740FE" w:rsidRDefault="00C25B6A" w:rsidP="00C25B6A">
      <w:pPr>
        <w:pStyle w:val="FootnoteText"/>
        <w:rPr>
          <w:lang w:val="fr-FR"/>
        </w:rPr>
      </w:pPr>
      <w:r>
        <w:rPr>
          <w:rStyle w:val="FootnoteReference"/>
        </w:rPr>
        <w:footnoteRef/>
      </w:r>
      <w:r w:rsidRPr="004740FE">
        <w:rPr>
          <w:lang w:val="fr-FR"/>
        </w:rPr>
        <w:t xml:space="preserve"> Si desea más información, consulte: </w:t>
      </w:r>
      <w:hyperlink r:id="rId5" w:history="1">
        <w:r w:rsidRPr="004740FE">
          <w:rPr>
            <w:rStyle w:val="Hyperlink"/>
            <w:lang w:val="fr-FR"/>
          </w:rPr>
          <w:t>http://sapplpp.org/goodpractices/CPR-Livestock/SAGP13-Securing-Community-Tenure-over-Common-Lands/</w:t>
        </w:r>
      </w:hyperlink>
      <w:r w:rsidRPr="004740FE">
        <w:rPr>
          <w:lang w:val="fr-FR"/>
        </w:rPr>
        <w:t xml:space="preserve"> </w:t>
      </w:r>
    </w:p>
    <w:p w:rsidR="00080068" w:rsidRPr="004740FE" w:rsidRDefault="00080068" w:rsidP="00C25B6A">
      <w:pPr>
        <w:pStyle w:val="FootnoteText"/>
        <w:rPr>
          <w:lang w:val="fr-FR"/>
        </w:rPr>
      </w:pPr>
    </w:p>
  </w:footnote>
  <w:footnote w:id="6">
    <w:p w:rsidR="006552F4" w:rsidRPr="004740FE" w:rsidRDefault="00AF5EE3" w:rsidP="00AF5EE3">
      <w:pPr>
        <w:pStyle w:val="FootnoteText"/>
        <w:rPr>
          <w:lang w:val="fr-FR"/>
        </w:rPr>
      </w:pPr>
      <w:r>
        <w:rPr>
          <w:rStyle w:val="FootnoteReference"/>
        </w:rPr>
        <w:footnoteRef/>
      </w:r>
      <w:r w:rsidRPr="004740FE">
        <w:rPr>
          <w:lang w:val="fr-FR"/>
        </w:rPr>
        <w:t xml:space="preserve"> La base de datos de mejores prácticas estará disponible en noviembre de 2013 en el sitio web de Vías de la sostenibilidad:  </w:t>
      </w:r>
      <w:hyperlink r:id="rId6">
        <w:r w:rsidRPr="004740FE">
          <w:rPr>
            <w:rStyle w:val="Hyperlink"/>
            <w:lang w:val="fr-FR"/>
          </w:rPr>
          <w:t>http://www.fao.org/nr/sustainability</w:t>
        </w:r>
      </w:hyperlink>
      <w:r w:rsidRPr="004740FE">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C1F"/>
    <w:multiLevelType w:val="hybridMultilevel"/>
    <w:tmpl w:val="03CA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6D26"/>
    <w:multiLevelType w:val="hybridMultilevel"/>
    <w:tmpl w:val="5BC89B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A97"/>
    <w:multiLevelType w:val="hybridMultilevel"/>
    <w:tmpl w:val="3C7A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D435C"/>
    <w:multiLevelType w:val="hybridMultilevel"/>
    <w:tmpl w:val="B538A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1C3"/>
    <w:multiLevelType w:val="hybridMultilevel"/>
    <w:tmpl w:val="329E3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EF0043"/>
    <w:multiLevelType w:val="hybridMultilevel"/>
    <w:tmpl w:val="52AC0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A33AC"/>
    <w:multiLevelType w:val="hybridMultilevel"/>
    <w:tmpl w:val="05A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F05"/>
    <w:multiLevelType w:val="hybridMultilevel"/>
    <w:tmpl w:val="B53AFC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E2BE9"/>
    <w:multiLevelType w:val="hybridMultilevel"/>
    <w:tmpl w:val="8B6400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43127"/>
    <w:multiLevelType w:val="hybridMultilevel"/>
    <w:tmpl w:val="DD8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325A5"/>
    <w:multiLevelType w:val="hybridMultilevel"/>
    <w:tmpl w:val="CC7E7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5A1C68"/>
    <w:multiLevelType w:val="hybridMultilevel"/>
    <w:tmpl w:val="DA0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4674"/>
    <w:multiLevelType w:val="hybridMultilevel"/>
    <w:tmpl w:val="B4F6C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23FD5"/>
    <w:multiLevelType w:val="hybridMultilevel"/>
    <w:tmpl w:val="0BDA0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900CD6"/>
    <w:multiLevelType w:val="hybridMultilevel"/>
    <w:tmpl w:val="5A0E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472CE"/>
    <w:multiLevelType w:val="hybridMultilevel"/>
    <w:tmpl w:val="39BA1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610E4B"/>
    <w:multiLevelType w:val="hybridMultilevel"/>
    <w:tmpl w:val="146E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C3754"/>
    <w:multiLevelType w:val="hybridMultilevel"/>
    <w:tmpl w:val="A7920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793C6F"/>
    <w:multiLevelType w:val="hybridMultilevel"/>
    <w:tmpl w:val="3FC039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C6C61"/>
    <w:multiLevelType w:val="hybridMultilevel"/>
    <w:tmpl w:val="26B08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900E3"/>
    <w:multiLevelType w:val="hybridMultilevel"/>
    <w:tmpl w:val="6A3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B21B1"/>
    <w:multiLevelType w:val="hybridMultilevel"/>
    <w:tmpl w:val="6F6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E370E"/>
    <w:multiLevelType w:val="hybridMultilevel"/>
    <w:tmpl w:val="99BE9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D485D"/>
    <w:multiLevelType w:val="hybridMultilevel"/>
    <w:tmpl w:val="AFAE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F2A7C"/>
    <w:multiLevelType w:val="hybridMultilevel"/>
    <w:tmpl w:val="1A9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334E1"/>
    <w:multiLevelType w:val="hybridMultilevel"/>
    <w:tmpl w:val="AABC9F0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63684F7E"/>
    <w:multiLevelType w:val="hybridMultilevel"/>
    <w:tmpl w:val="0DAC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D4BC9"/>
    <w:multiLevelType w:val="hybridMultilevel"/>
    <w:tmpl w:val="7164830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8" w15:restartNumberingAfterBreak="0">
    <w:nsid w:val="66300334"/>
    <w:multiLevelType w:val="hybridMultilevel"/>
    <w:tmpl w:val="26D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778A3"/>
    <w:multiLevelType w:val="hybridMultilevel"/>
    <w:tmpl w:val="8C4267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720F3A"/>
    <w:multiLevelType w:val="hybridMultilevel"/>
    <w:tmpl w:val="BA2C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10413"/>
    <w:multiLevelType w:val="multilevel"/>
    <w:tmpl w:val="10B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F5E57"/>
    <w:multiLevelType w:val="hybridMultilevel"/>
    <w:tmpl w:val="9B5EF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4918FC"/>
    <w:multiLevelType w:val="hybridMultilevel"/>
    <w:tmpl w:val="57000B16"/>
    <w:lvl w:ilvl="0" w:tplc="04090003">
      <w:start w:val="1"/>
      <w:numFmt w:val="bullet"/>
      <w:lvlText w:val="o"/>
      <w:lvlJc w:val="left"/>
      <w:pPr>
        <w:ind w:left="1779"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F0DAA"/>
    <w:multiLevelType w:val="hybridMultilevel"/>
    <w:tmpl w:val="15E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1716E"/>
    <w:multiLevelType w:val="hybridMultilevel"/>
    <w:tmpl w:val="1088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D0542"/>
    <w:multiLevelType w:val="hybridMultilevel"/>
    <w:tmpl w:val="BEF687AC"/>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7" w15:restartNumberingAfterBreak="0">
    <w:nsid w:val="7E2F377B"/>
    <w:multiLevelType w:val="hybridMultilevel"/>
    <w:tmpl w:val="6D34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0"/>
  </w:num>
  <w:num w:numId="4">
    <w:abstractNumId w:val="12"/>
  </w:num>
  <w:num w:numId="5">
    <w:abstractNumId w:val="28"/>
  </w:num>
  <w:num w:numId="6">
    <w:abstractNumId w:val="31"/>
  </w:num>
  <w:num w:numId="7">
    <w:abstractNumId w:val="36"/>
  </w:num>
  <w:num w:numId="8">
    <w:abstractNumId w:val="11"/>
  </w:num>
  <w:num w:numId="9">
    <w:abstractNumId w:val="1"/>
  </w:num>
  <w:num w:numId="10">
    <w:abstractNumId w:val="25"/>
  </w:num>
  <w:num w:numId="11">
    <w:abstractNumId w:val="21"/>
  </w:num>
  <w:num w:numId="12">
    <w:abstractNumId w:val="15"/>
  </w:num>
  <w:num w:numId="13">
    <w:abstractNumId w:val="10"/>
  </w:num>
  <w:num w:numId="14">
    <w:abstractNumId w:val="17"/>
  </w:num>
  <w:num w:numId="15">
    <w:abstractNumId w:val="13"/>
  </w:num>
  <w:num w:numId="16">
    <w:abstractNumId w:val="24"/>
  </w:num>
  <w:num w:numId="17">
    <w:abstractNumId w:val="9"/>
  </w:num>
  <w:num w:numId="18">
    <w:abstractNumId w:val="35"/>
  </w:num>
  <w:num w:numId="19">
    <w:abstractNumId w:val="34"/>
  </w:num>
  <w:num w:numId="20">
    <w:abstractNumId w:val="32"/>
  </w:num>
  <w:num w:numId="21">
    <w:abstractNumId w:val="27"/>
  </w:num>
  <w:num w:numId="22">
    <w:abstractNumId w:val="29"/>
  </w:num>
  <w:num w:numId="23">
    <w:abstractNumId w:val="16"/>
  </w:num>
  <w:num w:numId="24">
    <w:abstractNumId w:val="14"/>
  </w:num>
  <w:num w:numId="25">
    <w:abstractNumId w:val="5"/>
  </w:num>
  <w:num w:numId="26">
    <w:abstractNumId w:val="7"/>
  </w:num>
  <w:num w:numId="27">
    <w:abstractNumId w:val="20"/>
  </w:num>
  <w:num w:numId="28">
    <w:abstractNumId w:val="3"/>
  </w:num>
  <w:num w:numId="29">
    <w:abstractNumId w:val="22"/>
  </w:num>
  <w:num w:numId="30">
    <w:abstractNumId w:val="37"/>
  </w:num>
  <w:num w:numId="31">
    <w:abstractNumId w:val="30"/>
  </w:num>
  <w:num w:numId="32">
    <w:abstractNumId w:val="8"/>
  </w:num>
  <w:num w:numId="33">
    <w:abstractNumId w:val="23"/>
  </w:num>
  <w:num w:numId="34">
    <w:abstractNumId w:val="19"/>
  </w:num>
  <w:num w:numId="35">
    <w:abstractNumId w:val="18"/>
  </w:num>
  <w:num w:numId="36">
    <w:abstractNumId w:val="33"/>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D6"/>
    <w:rsid w:val="00010E96"/>
    <w:rsid w:val="00017440"/>
    <w:rsid w:val="000200E4"/>
    <w:rsid w:val="000208F1"/>
    <w:rsid w:val="00027B51"/>
    <w:rsid w:val="000300A0"/>
    <w:rsid w:val="00030BB2"/>
    <w:rsid w:val="000335FF"/>
    <w:rsid w:val="00043648"/>
    <w:rsid w:val="00043D83"/>
    <w:rsid w:val="00050B0F"/>
    <w:rsid w:val="000515E0"/>
    <w:rsid w:val="00053B97"/>
    <w:rsid w:val="00067AEE"/>
    <w:rsid w:val="00073590"/>
    <w:rsid w:val="000752F5"/>
    <w:rsid w:val="00080068"/>
    <w:rsid w:val="00081D02"/>
    <w:rsid w:val="00087101"/>
    <w:rsid w:val="00087B40"/>
    <w:rsid w:val="00087D95"/>
    <w:rsid w:val="000B00DA"/>
    <w:rsid w:val="000C02CC"/>
    <w:rsid w:val="000C205A"/>
    <w:rsid w:val="000D0961"/>
    <w:rsid w:val="00101892"/>
    <w:rsid w:val="00103EA9"/>
    <w:rsid w:val="00114CB0"/>
    <w:rsid w:val="00115514"/>
    <w:rsid w:val="00115EB8"/>
    <w:rsid w:val="0012119F"/>
    <w:rsid w:val="001318AC"/>
    <w:rsid w:val="001358F9"/>
    <w:rsid w:val="001411F3"/>
    <w:rsid w:val="00141CB8"/>
    <w:rsid w:val="00142FBC"/>
    <w:rsid w:val="0014583B"/>
    <w:rsid w:val="0016271D"/>
    <w:rsid w:val="001652A5"/>
    <w:rsid w:val="00176026"/>
    <w:rsid w:val="00187491"/>
    <w:rsid w:val="00187A2D"/>
    <w:rsid w:val="001A1B1A"/>
    <w:rsid w:val="001A2DBC"/>
    <w:rsid w:val="001A43E5"/>
    <w:rsid w:val="001A48B7"/>
    <w:rsid w:val="001A5665"/>
    <w:rsid w:val="001A5A6C"/>
    <w:rsid w:val="001C1822"/>
    <w:rsid w:val="001C460E"/>
    <w:rsid w:val="001C65F8"/>
    <w:rsid w:val="001C6972"/>
    <w:rsid w:val="001D13B0"/>
    <w:rsid w:val="001D1505"/>
    <w:rsid w:val="001D326C"/>
    <w:rsid w:val="001E5FB9"/>
    <w:rsid w:val="001F5F6C"/>
    <w:rsid w:val="001F6D0F"/>
    <w:rsid w:val="00200C0A"/>
    <w:rsid w:val="00227B28"/>
    <w:rsid w:val="00241248"/>
    <w:rsid w:val="00241FBD"/>
    <w:rsid w:val="0024344B"/>
    <w:rsid w:val="002461EF"/>
    <w:rsid w:val="002517D4"/>
    <w:rsid w:val="002547DA"/>
    <w:rsid w:val="00276190"/>
    <w:rsid w:val="00294BF5"/>
    <w:rsid w:val="00297E38"/>
    <w:rsid w:val="002A3C1C"/>
    <w:rsid w:val="002A45F9"/>
    <w:rsid w:val="002B1C22"/>
    <w:rsid w:val="002B59C1"/>
    <w:rsid w:val="002C1CF5"/>
    <w:rsid w:val="002C6F7E"/>
    <w:rsid w:val="00300991"/>
    <w:rsid w:val="003024BD"/>
    <w:rsid w:val="00304109"/>
    <w:rsid w:val="00305B93"/>
    <w:rsid w:val="0031440C"/>
    <w:rsid w:val="00331BA7"/>
    <w:rsid w:val="00337ED1"/>
    <w:rsid w:val="0034076F"/>
    <w:rsid w:val="003557AC"/>
    <w:rsid w:val="00357C06"/>
    <w:rsid w:val="003610A9"/>
    <w:rsid w:val="00363B50"/>
    <w:rsid w:val="00363D51"/>
    <w:rsid w:val="00363F2F"/>
    <w:rsid w:val="00364C98"/>
    <w:rsid w:val="00377467"/>
    <w:rsid w:val="003817B1"/>
    <w:rsid w:val="00383BA6"/>
    <w:rsid w:val="003922E7"/>
    <w:rsid w:val="003A0DFF"/>
    <w:rsid w:val="003A390A"/>
    <w:rsid w:val="003B2CC1"/>
    <w:rsid w:val="003B3E3A"/>
    <w:rsid w:val="003C50CC"/>
    <w:rsid w:val="003D4872"/>
    <w:rsid w:val="003E6617"/>
    <w:rsid w:val="003F4AA3"/>
    <w:rsid w:val="003F725A"/>
    <w:rsid w:val="00401093"/>
    <w:rsid w:val="004014E0"/>
    <w:rsid w:val="004152DD"/>
    <w:rsid w:val="004200D5"/>
    <w:rsid w:val="0042051C"/>
    <w:rsid w:val="00420AA4"/>
    <w:rsid w:val="00421770"/>
    <w:rsid w:val="00426024"/>
    <w:rsid w:val="00427CB9"/>
    <w:rsid w:val="00435BD4"/>
    <w:rsid w:val="00440493"/>
    <w:rsid w:val="00441FCB"/>
    <w:rsid w:val="00445D60"/>
    <w:rsid w:val="004477F1"/>
    <w:rsid w:val="0045222E"/>
    <w:rsid w:val="00455637"/>
    <w:rsid w:val="004568EE"/>
    <w:rsid w:val="0046786D"/>
    <w:rsid w:val="00473F6C"/>
    <w:rsid w:val="004740FE"/>
    <w:rsid w:val="004759A8"/>
    <w:rsid w:val="004A0C76"/>
    <w:rsid w:val="004A6CBA"/>
    <w:rsid w:val="004B1C01"/>
    <w:rsid w:val="004B3290"/>
    <w:rsid w:val="004C61B6"/>
    <w:rsid w:val="004E0335"/>
    <w:rsid w:val="004E386E"/>
    <w:rsid w:val="0051206C"/>
    <w:rsid w:val="00513C43"/>
    <w:rsid w:val="005252B8"/>
    <w:rsid w:val="00525480"/>
    <w:rsid w:val="00526140"/>
    <w:rsid w:val="00526D97"/>
    <w:rsid w:val="00533F0E"/>
    <w:rsid w:val="005368DA"/>
    <w:rsid w:val="005507E5"/>
    <w:rsid w:val="00550A07"/>
    <w:rsid w:val="00550BD5"/>
    <w:rsid w:val="00553CE1"/>
    <w:rsid w:val="00555E6F"/>
    <w:rsid w:val="00570649"/>
    <w:rsid w:val="00582CBA"/>
    <w:rsid w:val="0058408F"/>
    <w:rsid w:val="00587453"/>
    <w:rsid w:val="005939C6"/>
    <w:rsid w:val="005B0E0E"/>
    <w:rsid w:val="005B3877"/>
    <w:rsid w:val="005C08A3"/>
    <w:rsid w:val="005C759A"/>
    <w:rsid w:val="005D1FF8"/>
    <w:rsid w:val="005D3349"/>
    <w:rsid w:val="005D6190"/>
    <w:rsid w:val="005E19ED"/>
    <w:rsid w:val="005E1AC7"/>
    <w:rsid w:val="005E4C83"/>
    <w:rsid w:val="005F6A48"/>
    <w:rsid w:val="006005A7"/>
    <w:rsid w:val="00605C97"/>
    <w:rsid w:val="00615BC0"/>
    <w:rsid w:val="006211E0"/>
    <w:rsid w:val="00621578"/>
    <w:rsid w:val="00624357"/>
    <w:rsid w:val="00633DD3"/>
    <w:rsid w:val="006513CA"/>
    <w:rsid w:val="00651A3A"/>
    <w:rsid w:val="006552F4"/>
    <w:rsid w:val="00660C5D"/>
    <w:rsid w:val="00663146"/>
    <w:rsid w:val="0066693E"/>
    <w:rsid w:val="00674BC2"/>
    <w:rsid w:val="00676E32"/>
    <w:rsid w:val="00682EB3"/>
    <w:rsid w:val="00687336"/>
    <w:rsid w:val="00690029"/>
    <w:rsid w:val="006A593A"/>
    <w:rsid w:val="006D0069"/>
    <w:rsid w:val="006D2858"/>
    <w:rsid w:val="006D5DCB"/>
    <w:rsid w:val="006E0AC4"/>
    <w:rsid w:val="006F0923"/>
    <w:rsid w:val="006F0AD6"/>
    <w:rsid w:val="006F7A13"/>
    <w:rsid w:val="00705AB5"/>
    <w:rsid w:val="00706BC5"/>
    <w:rsid w:val="0071331D"/>
    <w:rsid w:val="007154E6"/>
    <w:rsid w:val="00720D54"/>
    <w:rsid w:val="007229FE"/>
    <w:rsid w:val="00730D57"/>
    <w:rsid w:val="00731420"/>
    <w:rsid w:val="00743AEA"/>
    <w:rsid w:val="00746D66"/>
    <w:rsid w:val="0075125F"/>
    <w:rsid w:val="0077724E"/>
    <w:rsid w:val="0078704D"/>
    <w:rsid w:val="007A0849"/>
    <w:rsid w:val="007A2D6E"/>
    <w:rsid w:val="007A3282"/>
    <w:rsid w:val="007B0DFB"/>
    <w:rsid w:val="007D4E03"/>
    <w:rsid w:val="007D57CC"/>
    <w:rsid w:val="007D67DC"/>
    <w:rsid w:val="007E561D"/>
    <w:rsid w:val="007F3DBE"/>
    <w:rsid w:val="00804315"/>
    <w:rsid w:val="008067C7"/>
    <w:rsid w:val="00812A56"/>
    <w:rsid w:val="00813750"/>
    <w:rsid w:val="00815080"/>
    <w:rsid w:val="00817614"/>
    <w:rsid w:val="00817F48"/>
    <w:rsid w:val="00833DF6"/>
    <w:rsid w:val="0083710D"/>
    <w:rsid w:val="00845B35"/>
    <w:rsid w:val="008608D0"/>
    <w:rsid w:val="00861074"/>
    <w:rsid w:val="00862C70"/>
    <w:rsid w:val="008660A3"/>
    <w:rsid w:val="0087225D"/>
    <w:rsid w:val="00875B3D"/>
    <w:rsid w:val="00885F51"/>
    <w:rsid w:val="0088718D"/>
    <w:rsid w:val="008877E9"/>
    <w:rsid w:val="00890F4F"/>
    <w:rsid w:val="0089369F"/>
    <w:rsid w:val="008B67F9"/>
    <w:rsid w:val="008C2981"/>
    <w:rsid w:val="008C3793"/>
    <w:rsid w:val="008C43BF"/>
    <w:rsid w:val="008E06B0"/>
    <w:rsid w:val="008E1C4F"/>
    <w:rsid w:val="008F5F3D"/>
    <w:rsid w:val="008F6B69"/>
    <w:rsid w:val="00901AB9"/>
    <w:rsid w:val="00902AF4"/>
    <w:rsid w:val="00916908"/>
    <w:rsid w:val="0092266A"/>
    <w:rsid w:val="009229DE"/>
    <w:rsid w:val="009236F5"/>
    <w:rsid w:val="0093571F"/>
    <w:rsid w:val="00940B63"/>
    <w:rsid w:val="00951DDD"/>
    <w:rsid w:val="009560B2"/>
    <w:rsid w:val="009633E1"/>
    <w:rsid w:val="00971612"/>
    <w:rsid w:val="009923DE"/>
    <w:rsid w:val="00993BDB"/>
    <w:rsid w:val="0099742F"/>
    <w:rsid w:val="00997BF2"/>
    <w:rsid w:val="009B0C4C"/>
    <w:rsid w:val="009E0E5A"/>
    <w:rsid w:val="009E112E"/>
    <w:rsid w:val="009E1999"/>
    <w:rsid w:val="009E4E19"/>
    <w:rsid w:val="009E72B9"/>
    <w:rsid w:val="009F22E9"/>
    <w:rsid w:val="009F5829"/>
    <w:rsid w:val="00A03C09"/>
    <w:rsid w:val="00A10FA4"/>
    <w:rsid w:val="00A308AE"/>
    <w:rsid w:val="00A310D9"/>
    <w:rsid w:val="00A43FE5"/>
    <w:rsid w:val="00A4771E"/>
    <w:rsid w:val="00A54497"/>
    <w:rsid w:val="00A602FB"/>
    <w:rsid w:val="00A6182A"/>
    <w:rsid w:val="00A634A9"/>
    <w:rsid w:val="00A640C2"/>
    <w:rsid w:val="00A73F3D"/>
    <w:rsid w:val="00A76558"/>
    <w:rsid w:val="00A832C7"/>
    <w:rsid w:val="00AA14E3"/>
    <w:rsid w:val="00AA2A98"/>
    <w:rsid w:val="00AC1EFA"/>
    <w:rsid w:val="00AC4611"/>
    <w:rsid w:val="00AC4992"/>
    <w:rsid w:val="00AE166C"/>
    <w:rsid w:val="00AF5EE3"/>
    <w:rsid w:val="00B00D68"/>
    <w:rsid w:val="00B01282"/>
    <w:rsid w:val="00B02A3D"/>
    <w:rsid w:val="00B15ADF"/>
    <w:rsid w:val="00B20728"/>
    <w:rsid w:val="00B30E1E"/>
    <w:rsid w:val="00B51559"/>
    <w:rsid w:val="00B52629"/>
    <w:rsid w:val="00B53E1E"/>
    <w:rsid w:val="00B76C01"/>
    <w:rsid w:val="00B907D4"/>
    <w:rsid w:val="00B91113"/>
    <w:rsid w:val="00BA013F"/>
    <w:rsid w:val="00BA0E1C"/>
    <w:rsid w:val="00BA1B4C"/>
    <w:rsid w:val="00BB1C5F"/>
    <w:rsid w:val="00BB30EF"/>
    <w:rsid w:val="00BD62AB"/>
    <w:rsid w:val="00BD71B4"/>
    <w:rsid w:val="00BE2867"/>
    <w:rsid w:val="00BE306C"/>
    <w:rsid w:val="00BE335A"/>
    <w:rsid w:val="00BF01A7"/>
    <w:rsid w:val="00C0330D"/>
    <w:rsid w:val="00C03802"/>
    <w:rsid w:val="00C12C95"/>
    <w:rsid w:val="00C149FE"/>
    <w:rsid w:val="00C1735F"/>
    <w:rsid w:val="00C17C6F"/>
    <w:rsid w:val="00C22A93"/>
    <w:rsid w:val="00C238A0"/>
    <w:rsid w:val="00C25B6A"/>
    <w:rsid w:val="00C320BB"/>
    <w:rsid w:val="00C333D7"/>
    <w:rsid w:val="00C33EF3"/>
    <w:rsid w:val="00C34F78"/>
    <w:rsid w:val="00C42AFA"/>
    <w:rsid w:val="00C62FB5"/>
    <w:rsid w:val="00C671D2"/>
    <w:rsid w:val="00C71473"/>
    <w:rsid w:val="00C75B1D"/>
    <w:rsid w:val="00C85FEB"/>
    <w:rsid w:val="00C8662D"/>
    <w:rsid w:val="00C91EDA"/>
    <w:rsid w:val="00C939A5"/>
    <w:rsid w:val="00C95FCC"/>
    <w:rsid w:val="00CA3B98"/>
    <w:rsid w:val="00CB63DE"/>
    <w:rsid w:val="00CB7654"/>
    <w:rsid w:val="00CC04F6"/>
    <w:rsid w:val="00CC4E98"/>
    <w:rsid w:val="00CE4B7D"/>
    <w:rsid w:val="00CE7A38"/>
    <w:rsid w:val="00CF34AE"/>
    <w:rsid w:val="00CF42C7"/>
    <w:rsid w:val="00CF4D4D"/>
    <w:rsid w:val="00CF5EB7"/>
    <w:rsid w:val="00D046B0"/>
    <w:rsid w:val="00D055E3"/>
    <w:rsid w:val="00D2565C"/>
    <w:rsid w:val="00D32349"/>
    <w:rsid w:val="00D3414B"/>
    <w:rsid w:val="00D35566"/>
    <w:rsid w:val="00D43848"/>
    <w:rsid w:val="00D46645"/>
    <w:rsid w:val="00D53C02"/>
    <w:rsid w:val="00D53E5D"/>
    <w:rsid w:val="00D545C0"/>
    <w:rsid w:val="00D6023D"/>
    <w:rsid w:val="00D8086A"/>
    <w:rsid w:val="00D82383"/>
    <w:rsid w:val="00D877DF"/>
    <w:rsid w:val="00D90146"/>
    <w:rsid w:val="00DA2403"/>
    <w:rsid w:val="00DA4797"/>
    <w:rsid w:val="00DC00DC"/>
    <w:rsid w:val="00DD1958"/>
    <w:rsid w:val="00DD1D74"/>
    <w:rsid w:val="00DD6189"/>
    <w:rsid w:val="00DD6BB5"/>
    <w:rsid w:val="00DD6E00"/>
    <w:rsid w:val="00DE2DDD"/>
    <w:rsid w:val="00DF1AF2"/>
    <w:rsid w:val="00DF3F04"/>
    <w:rsid w:val="00DF44C6"/>
    <w:rsid w:val="00E03248"/>
    <w:rsid w:val="00E03A05"/>
    <w:rsid w:val="00E05B32"/>
    <w:rsid w:val="00E123F6"/>
    <w:rsid w:val="00E1299A"/>
    <w:rsid w:val="00E13AE0"/>
    <w:rsid w:val="00E16E5E"/>
    <w:rsid w:val="00E23A12"/>
    <w:rsid w:val="00E254FF"/>
    <w:rsid w:val="00E32A38"/>
    <w:rsid w:val="00E33CC1"/>
    <w:rsid w:val="00E34D1D"/>
    <w:rsid w:val="00E442F2"/>
    <w:rsid w:val="00E4618F"/>
    <w:rsid w:val="00E479A0"/>
    <w:rsid w:val="00E55196"/>
    <w:rsid w:val="00E55CB4"/>
    <w:rsid w:val="00E60DC6"/>
    <w:rsid w:val="00E63F16"/>
    <w:rsid w:val="00E66BD6"/>
    <w:rsid w:val="00E724D3"/>
    <w:rsid w:val="00E81CEB"/>
    <w:rsid w:val="00E8515F"/>
    <w:rsid w:val="00E87921"/>
    <w:rsid w:val="00E90FF7"/>
    <w:rsid w:val="00E93845"/>
    <w:rsid w:val="00E9466C"/>
    <w:rsid w:val="00E972B6"/>
    <w:rsid w:val="00E976B7"/>
    <w:rsid w:val="00EA3FC2"/>
    <w:rsid w:val="00EB0401"/>
    <w:rsid w:val="00EB701C"/>
    <w:rsid w:val="00EE1B3C"/>
    <w:rsid w:val="00EE1FE7"/>
    <w:rsid w:val="00F07041"/>
    <w:rsid w:val="00F07AC1"/>
    <w:rsid w:val="00F169E3"/>
    <w:rsid w:val="00F16D7F"/>
    <w:rsid w:val="00F218F1"/>
    <w:rsid w:val="00F239F8"/>
    <w:rsid w:val="00F30A81"/>
    <w:rsid w:val="00F34351"/>
    <w:rsid w:val="00F40817"/>
    <w:rsid w:val="00F4236D"/>
    <w:rsid w:val="00F435D5"/>
    <w:rsid w:val="00F5079F"/>
    <w:rsid w:val="00F54AC7"/>
    <w:rsid w:val="00F5500E"/>
    <w:rsid w:val="00F57EF9"/>
    <w:rsid w:val="00F666B1"/>
    <w:rsid w:val="00F75B94"/>
    <w:rsid w:val="00F808EB"/>
    <w:rsid w:val="00F81974"/>
    <w:rsid w:val="00F829AF"/>
    <w:rsid w:val="00F83AC7"/>
    <w:rsid w:val="00F85C04"/>
    <w:rsid w:val="00F86290"/>
    <w:rsid w:val="00F90B2D"/>
    <w:rsid w:val="00F93E45"/>
    <w:rsid w:val="00F9507A"/>
    <w:rsid w:val="00FA0EEC"/>
    <w:rsid w:val="00FA246F"/>
    <w:rsid w:val="00FA3731"/>
    <w:rsid w:val="00FB0A20"/>
    <w:rsid w:val="00FB42AB"/>
    <w:rsid w:val="00FB672B"/>
    <w:rsid w:val="00FC1909"/>
    <w:rsid w:val="00FD6F3D"/>
    <w:rsid w:val="00FD7991"/>
    <w:rsid w:val="00FE07F1"/>
    <w:rsid w:val="00FE13C7"/>
    <w:rsid w:val="00FE147B"/>
    <w:rsid w:val="00FE28B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914EC-99C3-4925-B4EE-47FCCAF1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112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D6"/>
    <w:rPr>
      <w:sz w:val="20"/>
      <w:szCs w:val="20"/>
      <w:lang w:val="en-GB"/>
    </w:rPr>
  </w:style>
  <w:style w:type="character" w:styleId="FootnoteReference">
    <w:name w:val="footnote reference"/>
    <w:basedOn w:val="DefaultParagraphFont"/>
    <w:uiPriority w:val="99"/>
    <w:semiHidden/>
    <w:unhideWhenUsed/>
    <w:rsid w:val="00E66BD6"/>
    <w:rPr>
      <w:vertAlign w:val="superscript"/>
    </w:rPr>
  </w:style>
  <w:style w:type="paragraph" w:customStyle="1" w:styleId="Default">
    <w:name w:val="Default"/>
    <w:rsid w:val="00E66BD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71473"/>
    <w:pPr>
      <w:ind w:left="720"/>
      <w:contextualSpacing/>
    </w:pPr>
  </w:style>
  <w:style w:type="character" w:styleId="CommentReference">
    <w:name w:val="annotation reference"/>
    <w:basedOn w:val="DefaultParagraphFont"/>
    <w:uiPriority w:val="99"/>
    <w:semiHidden/>
    <w:unhideWhenUsed/>
    <w:rsid w:val="00363D51"/>
    <w:rPr>
      <w:sz w:val="16"/>
      <w:szCs w:val="16"/>
    </w:rPr>
  </w:style>
  <w:style w:type="paragraph" w:styleId="CommentText">
    <w:name w:val="annotation text"/>
    <w:basedOn w:val="Normal"/>
    <w:link w:val="CommentTextChar"/>
    <w:uiPriority w:val="99"/>
    <w:semiHidden/>
    <w:unhideWhenUsed/>
    <w:rsid w:val="00363D51"/>
    <w:pPr>
      <w:spacing w:line="240" w:lineRule="auto"/>
    </w:pPr>
    <w:rPr>
      <w:sz w:val="20"/>
      <w:szCs w:val="20"/>
    </w:rPr>
  </w:style>
  <w:style w:type="character" w:customStyle="1" w:styleId="CommentTextChar">
    <w:name w:val="Comment Text Char"/>
    <w:basedOn w:val="DefaultParagraphFont"/>
    <w:link w:val="CommentText"/>
    <w:uiPriority w:val="99"/>
    <w:semiHidden/>
    <w:rsid w:val="00363D51"/>
    <w:rPr>
      <w:sz w:val="20"/>
      <w:szCs w:val="20"/>
      <w:lang w:val="en-GB"/>
    </w:rPr>
  </w:style>
  <w:style w:type="paragraph" w:styleId="CommentSubject">
    <w:name w:val="annotation subject"/>
    <w:basedOn w:val="CommentText"/>
    <w:next w:val="CommentText"/>
    <w:link w:val="CommentSubjectChar"/>
    <w:uiPriority w:val="99"/>
    <w:semiHidden/>
    <w:unhideWhenUsed/>
    <w:rsid w:val="00363D51"/>
    <w:rPr>
      <w:b/>
      <w:bCs/>
    </w:rPr>
  </w:style>
  <w:style w:type="character" w:customStyle="1" w:styleId="CommentSubjectChar">
    <w:name w:val="Comment Subject Char"/>
    <w:basedOn w:val="CommentTextChar"/>
    <w:link w:val="CommentSubject"/>
    <w:uiPriority w:val="99"/>
    <w:semiHidden/>
    <w:rsid w:val="00363D51"/>
    <w:rPr>
      <w:b/>
      <w:bCs/>
      <w:sz w:val="20"/>
      <w:szCs w:val="20"/>
      <w:lang w:val="en-GB"/>
    </w:rPr>
  </w:style>
  <w:style w:type="paragraph" w:styleId="BalloonText">
    <w:name w:val="Balloon Text"/>
    <w:basedOn w:val="Normal"/>
    <w:link w:val="BalloonTextChar"/>
    <w:uiPriority w:val="99"/>
    <w:semiHidden/>
    <w:unhideWhenUsed/>
    <w:rsid w:val="0036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51"/>
    <w:rPr>
      <w:rFonts w:ascii="Tahoma" w:hAnsi="Tahoma" w:cs="Tahoma"/>
      <w:sz w:val="16"/>
      <w:szCs w:val="16"/>
      <w:lang w:val="en-GB"/>
    </w:rPr>
  </w:style>
  <w:style w:type="character" w:styleId="Hyperlink">
    <w:name w:val="Hyperlink"/>
    <w:basedOn w:val="DefaultParagraphFont"/>
    <w:uiPriority w:val="99"/>
    <w:unhideWhenUsed/>
    <w:rsid w:val="00440493"/>
    <w:rPr>
      <w:color w:val="0000FF"/>
      <w:u w:val="single"/>
    </w:rPr>
  </w:style>
  <w:style w:type="paragraph" w:styleId="PlainText">
    <w:name w:val="Plain Text"/>
    <w:basedOn w:val="Normal"/>
    <w:link w:val="PlainTextChar"/>
    <w:uiPriority w:val="99"/>
    <w:semiHidden/>
    <w:unhideWhenUsed/>
    <w:rsid w:val="00440493"/>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semiHidden/>
    <w:rsid w:val="00440493"/>
    <w:rPr>
      <w:rFonts w:ascii="Calibri" w:hAnsi="Calibri" w:cs="Times New Roman"/>
    </w:rPr>
  </w:style>
  <w:style w:type="paragraph" w:customStyle="1" w:styleId="bodytext">
    <w:name w:val="bodytext"/>
    <w:basedOn w:val="Normal"/>
    <w:rsid w:val="00AA2A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A2A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E112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9E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E112E"/>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41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1F3"/>
  </w:style>
  <w:style w:type="paragraph" w:styleId="Footer">
    <w:name w:val="footer"/>
    <w:basedOn w:val="Normal"/>
    <w:link w:val="FooterChar"/>
    <w:uiPriority w:val="99"/>
    <w:unhideWhenUsed/>
    <w:rsid w:val="0014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79650">
      <w:bodyDiv w:val="1"/>
      <w:marLeft w:val="0"/>
      <w:marRight w:val="0"/>
      <w:marTop w:val="0"/>
      <w:marBottom w:val="0"/>
      <w:divBdr>
        <w:top w:val="none" w:sz="0" w:space="0" w:color="auto"/>
        <w:left w:val="none" w:sz="0" w:space="0" w:color="auto"/>
        <w:bottom w:val="none" w:sz="0" w:space="0" w:color="auto"/>
        <w:right w:val="none" w:sz="0" w:space="0" w:color="auto"/>
      </w:divBdr>
      <w:divsChild>
        <w:div w:id="1830436640">
          <w:marLeft w:val="0"/>
          <w:marRight w:val="0"/>
          <w:marTop w:val="0"/>
          <w:marBottom w:val="0"/>
          <w:divBdr>
            <w:top w:val="none" w:sz="0" w:space="0" w:color="auto"/>
            <w:left w:val="none" w:sz="0" w:space="0" w:color="auto"/>
            <w:bottom w:val="none" w:sz="0" w:space="0" w:color="auto"/>
            <w:right w:val="none" w:sz="0" w:space="0" w:color="auto"/>
          </w:divBdr>
        </w:div>
      </w:divsChild>
    </w:div>
    <w:div w:id="1440175746">
      <w:bodyDiv w:val="1"/>
      <w:marLeft w:val="0"/>
      <w:marRight w:val="0"/>
      <w:marTop w:val="0"/>
      <w:marBottom w:val="0"/>
      <w:divBdr>
        <w:top w:val="none" w:sz="0" w:space="0" w:color="auto"/>
        <w:left w:val="none" w:sz="0" w:space="0" w:color="auto"/>
        <w:bottom w:val="none" w:sz="0" w:space="0" w:color="auto"/>
        <w:right w:val="none" w:sz="0" w:space="0" w:color="auto"/>
      </w:divBdr>
    </w:div>
    <w:div w:id="16152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ultisward.eu/multisward/" TargetMode="External"/><Relationship Id="rId2" Type="http://schemas.openxmlformats.org/officeDocument/2006/relationships/hyperlink" Target="http://www.fao.org/nr/sustainability/sustainability-assessments-safa/es/" TargetMode="External"/><Relationship Id="rId1" Type="http://schemas.openxmlformats.org/officeDocument/2006/relationships/hyperlink" Target="http://www.fao.org/fileadmin/templates/nr/sustainability_pathways/docs/SOL_Concept_Note.pdf" TargetMode="External"/><Relationship Id="rId6" Type="http://schemas.openxmlformats.org/officeDocument/2006/relationships/hyperlink" Target="http://www.fao.org/nr/sustainability" TargetMode="External"/><Relationship Id="rId5" Type="http://schemas.openxmlformats.org/officeDocument/2006/relationships/hyperlink" Target="http://sapplpp.org/goodpractices/CPR-Livestock/SAGP13-Securing-Community-Tenure-over-Common-Lands/" TargetMode="External"/><Relationship Id="rId4" Type="http://schemas.openxmlformats.org/officeDocument/2006/relationships/hyperlink" Target="http://www.fao.org/ag/againfo/programmes/en/A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F2442-5915-429F-8193-C3638BDA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17046</Characters>
  <Application>Microsoft Office Word</Application>
  <DocSecurity>0</DocSecurity>
  <Lines>142</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Grasslands Summary</vt:lpstr>
      <vt:lpstr>Grasslands Summary</vt:lpstr>
    </vt:vector>
  </TitlesOfParts>
  <Company>FAO of the UN</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Grasslands Summary</dc:title>
  <dc:creator>Rosamaría</dc:creator>
  <cp:lastModifiedBy>Rocchi, Simone (NRCB)</cp:lastModifiedBy>
  <cp:revision>2</cp:revision>
  <dcterms:created xsi:type="dcterms:W3CDTF">2016-07-26T09:07:00Z</dcterms:created>
  <dcterms:modified xsi:type="dcterms:W3CDTF">2016-07-26T09:07:00Z</dcterms:modified>
  <cp:category>RAFFAELLA 2013 SONIA</cp:category>
</cp:coreProperties>
</file>