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w:hAnsi="Arial" w:cs="Helvetica"/>
          <w:sz w:val="20"/>
        </w:rPr>
      </w:pPr>
      <w:r w:rsidRPr="00BA5FA4">
        <w:rPr>
          <w:rFonts w:ascii="Arial" w:hAnsi="Arial" w:cs="Verdana"/>
          <w:b/>
          <w:sz w:val="20"/>
          <w:szCs w:val="28"/>
          <w:u w:val="single"/>
        </w:rPr>
        <w:t>EB/2009/98/R47</w:t>
      </w:r>
      <w:r w:rsidRPr="00BA5FA4">
        <w:rPr>
          <w:rFonts w:ascii="Arial" w:hAnsi="Arial" w:cs="Verdana"/>
          <w:sz w:val="20"/>
          <w:szCs w:val="28"/>
        </w:rPr>
        <w:t>: President’s report on proposed grants under the</w:t>
      </w:r>
      <w:r w:rsidRPr="00BA5FA4">
        <w:rPr>
          <w:rFonts w:ascii="Arial" w:hAnsi="Arial" w:cs="Helvetica"/>
          <w:sz w:val="20"/>
        </w:rPr>
        <w:t xml:space="preserve"> </w:t>
      </w:r>
      <w:r w:rsidRPr="00BA5FA4">
        <w:rPr>
          <w:rFonts w:ascii="Arial" w:hAnsi="Arial" w:cs="Verdana"/>
          <w:sz w:val="20"/>
          <w:szCs w:val="28"/>
        </w:rPr>
        <w:t>global/regional grants window to non-CGIAR-supported</w:t>
      </w:r>
      <w:r w:rsidRPr="00BA5FA4">
        <w:rPr>
          <w:rFonts w:ascii="Arial" w:hAnsi="Arial" w:cs="Helvetica"/>
          <w:sz w:val="20"/>
        </w:rPr>
        <w:t xml:space="preserve"> </w:t>
      </w:r>
      <w:r w:rsidRPr="00BA5FA4">
        <w:rPr>
          <w:rFonts w:ascii="Arial" w:hAnsi="Arial" w:cs="Verdana"/>
          <w:sz w:val="20"/>
          <w:szCs w:val="28"/>
        </w:rPr>
        <w:t xml:space="preserve">international </w:t>
      </w:r>
      <w:proofErr w:type="spellStart"/>
      <w:r w:rsidRPr="00BA5FA4">
        <w:rPr>
          <w:rFonts w:ascii="Arial" w:hAnsi="Arial" w:cs="Verdana"/>
          <w:sz w:val="20"/>
          <w:szCs w:val="28"/>
        </w:rPr>
        <w:t>centres</w:t>
      </w:r>
      <w:proofErr w:type="spellEnd"/>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p>
    <w:p w:rsidR="00394D6A" w:rsidRPr="00BA5FA4" w:rsidRDefault="00394D6A" w:rsidP="00BA5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The overarching strategic objectives that drive the IFAD Policy for Grant Financing, which was approved by the Executive Board in December 2003, are: (a)</w:t>
      </w:r>
      <w:r w:rsidRPr="00BA5FA4">
        <w:rPr>
          <w:rFonts w:ascii="Arial" w:hAnsi="Arial" w:cs="Helvetica"/>
          <w:sz w:val="20"/>
          <w:szCs w:val="20"/>
        </w:rPr>
        <w:t xml:space="preserve"> </w:t>
      </w:r>
      <w:r w:rsidRPr="00BA5FA4">
        <w:rPr>
          <w:rFonts w:ascii="Arial" w:hAnsi="Arial" w:cs="Verdana"/>
          <w:sz w:val="20"/>
          <w:szCs w:val="20"/>
        </w:rPr>
        <w:t>Promoting pro-poor research on innovative approaches and technological options to enhance field-level impact; and/or (b)</w:t>
      </w:r>
      <w:r w:rsidRPr="00BA5FA4">
        <w:rPr>
          <w:rFonts w:ascii="Arial" w:hAnsi="Arial" w:cs="Helvetica"/>
          <w:sz w:val="20"/>
          <w:szCs w:val="20"/>
        </w:rPr>
        <w:t xml:space="preserve"> </w:t>
      </w:r>
      <w:r w:rsidRPr="00BA5FA4">
        <w:rPr>
          <w:rFonts w:ascii="Arial" w:hAnsi="Arial" w:cs="Verdana"/>
          <w:sz w:val="20"/>
          <w:szCs w:val="20"/>
        </w:rPr>
        <w:t xml:space="preserve">Building pro-poor capacities of partner institutions, including community-based organizations and NGOs. The Support to Farmers’ Organizations in Africa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will (</w:t>
      </w:r>
      <w:proofErr w:type="spellStart"/>
      <w:r w:rsidRPr="00BA5FA4">
        <w:rPr>
          <w:rFonts w:ascii="Arial" w:hAnsi="Arial" w:cs="Verdana"/>
          <w:sz w:val="20"/>
          <w:szCs w:val="20"/>
        </w:rPr>
        <w:t>i</w:t>
      </w:r>
      <w:proofErr w:type="spellEnd"/>
      <w:r w:rsidRPr="00BA5FA4">
        <w:rPr>
          <w:rFonts w:ascii="Arial" w:hAnsi="Arial" w:cs="Verdana"/>
          <w:sz w:val="20"/>
          <w:szCs w:val="20"/>
        </w:rPr>
        <w:t xml:space="preserve">) empower farmers’ organizations by building their capacities; and (ii) strengthen the role played by farmers’ organizations in formulating and implementing policies and </w:t>
      </w:r>
      <w:proofErr w:type="spellStart"/>
      <w:r w:rsidRPr="00BA5FA4">
        <w:rPr>
          <w:rFonts w:ascii="Arial" w:hAnsi="Arial" w:cs="Verdana"/>
          <w:sz w:val="20"/>
          <w:szCs w:val="20"/>
        </w:rPr>
        <w:t>programmes</w:t>
      </w:r>
      <w:proofErr w:type="spellEnd"/>
      <w:r w:rsidRPr="00BA5FA4">
        <w:rPr>
          <w:rFonts w:ascii="Arial" w:hAnsi="Arial" w:cs="Verdana"/>
          <w:sz w:val="20"/>
          <w:szCs w:val="20"/>
        </w:rPr>
        <w:t xml:space="preserve"> related to agricultural development</w:t>
      </w:r>
      <w:r w:rsidR="00BA5FA4" w:rsidRPr="00BA5FA4">
        <w:rPr>
          <w:rFonts w:ascii="Arial" w:hAnsi="Arial" w:cs="Verdana"/>
          <w:sz w:val="20"/>
          <w:szCs w:val="20"/>
        </w:rPr>
        <w:t>.</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IFDC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for Mainstreaming Pro-Poor Fertilizer Access and Innovative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Practices in West Africa will provide an enhanced enabling environment for appropriate and sustainable use of fertilizer and organic resources.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IUCN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for Enabling Sustainable Land Management, Resilient Pastoral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Livelihoods and Poverty Reduction in Africa will empower pastoralist women and men; provide support for improved pastoral livelihoods; enhance pastoralists’ and pastoral institutions’ capacities for sustainable natural resource management; generate knowledge through research and thematic reviews; apply findings to planning and disseminate them to influence policies and practices; and enhance policy frameworks at local, national and international levels.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The ICBA project for Adaptation to Climate Change in Marginal Environments in West Asia and North Africa through Sustainable Crop and Livestock Diversification</w:t>
      </w:r>
      <w:r w:rsidR="00BA5FA4" w:rsidRPr="00BA5FA4">
        <w:rPr>
          <w:rFonts w:ascii="Arial" w:hAnsi="Arial" w:cs="Verdana"/>
          <w:sz w:val="20"/>
          <w:szCs w:val="20"/>
        </w:rPr>
        <w:t xml:space="preserve"> </w:t>
      </w:r>
      <w:r w:rsidRPr="00BA5FA4">
        <w:rPr>
          <w:rFonts w:ascii="Arial" w:hAnsi="Arial" w:cs="Verdana"/>
          <w:sz w:val="20"/>
          <w:szCs w:val="20"/>
        </w:rPr>
        <w:t xml:space="preserve">will develop and disseminate packages of forage production and technologies to be used under marginal conditions for enhanced productivity of the forage-livestock systems in the West Asia and North Africa region; develop participatory seed production and seed delivery systems of 3-5 genotypes of salt-tolerant forages and some specialty crops adapted to diverse environmental conditions for farmers’ large-scale adoption; and introduce, evaluate and scale up environmentally and </w:t>
      </w:r>
      <w:r w:rsidR="00BA5FA4" w:rsidRPr="00BA5FA4">
        <w:rPr>
          <w:rFonts w:ascii="Arial" w:hAnsi="Arial" w:cs="Verdana"/>
          <w:sz w:val="20"/>
          <w:szCs w:val="20"/>
        </w:rPr>
        <w:t>e</w:t>
      </w:r>
      <w:r w:rsidRPr="00BA5FA4">
        <w:rPr>
          <w:rFonts w:ascii="Arial" w:hAnsi="Arial" w:cs="Verdana"/>
          <w:sz w:val="20"/>
          <w:szCs w:val="20"/>
        </w:rPr>
        <w:t xml:space="preserve">conomically feasible forage-livestock production systems.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INBAR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for Mainstreaming Pro-Poor Livelihoods and Addressing Environmental Degradation with Bamboo in Eastern and Southern Africa will focus on empowering rural men and women to manage natural resources efficiently and sustainably, and provide opportunities for rural off-farm employment and enterprise development.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PROCASUR Learning Routes Training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II will foster the establishment and strengthening of networks for pro-poor knowledge generation and exchange, which in turn will enhance the Fund’s own capacity to establish long-term strategic linkages with its development partners and to multiply the effect of its grant-financed research and capacity-building </w:t>
      </w:r>
      <w:proofErr w:type="spellStart"/>
      <w:r w:rsidR="00BA5FA4">
        <w:rPr>
          <w:rFonts w:ascii="Arial" w:hAnsi="Arial" w:cs="Verdana"/>
          <w:sz w:val="20"/>
          <w:szCs w:val="20"/>
        </w:rPr>
        <w:t>p</w:t>
      </w:r>
      <w:r w:rsidRPr="00BA5FA4">
        <w:rPr>
          <w:rFonts w:ascii="Arial" w:hAnsi="Arial" w:cs="Verdana"/>
          <w:sz w:val="20"/>
          <w:szCs w:val="20"/>
        </w:rPr>
        <w:t>rogrammes</w:t>
      </w:r>
      <w:proofErr w:type="spellEnd"/>
      <w:r w:rsidRPr="00BA5FA4">
        <w:rPr>
          <w:rFonts w:ascii="Arial" w:hAnsi="Arial" w:cs="Verdana"/>
          <w:sz w:val="20"/>
          <w:szCs w:val="20"/>
        </w:rPr>
        <w:t xml:space="preserve">. More generally, the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will build pro-poor capacities </w:t>
      </w:r>
      <w:r w:rsidR="00BA5FA4" w:rsidRPr="00BA5FA4">
        <w:rPr>
          <w:rFonts w:ascii="Arial" w:hAnsi="Arial" w:cs="Verdana"/>
          <w:sz w:val="20"/>
          <w:szCs w:val="20"/>
        </w:rPr>
        <w:t>of partner institutions.</w:t>
      </w:r>
      <w:r w:rsidRPr="00BA5FA4">
        <w:rPr>
          <w:rFonts w:ascii="Arial" w:hAnsi="Arial" w:cs="Verdana"/>
          <w:sz w:val="20"/>
          <w:szCs w:val="20"/>
        </w:rPr>
        <w:t xml:space="preserve"> </w:t>
      </w:r>
    </w:p>
    <w:p w:rsidR="00394D6A" w:rsidRPr="00BA5FA4" w:rsidRDefault="00394D6A" w:rsidP="00BA5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FAO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for the Development of Knowledge</w:t>
      </w:r>
      <w:r w:rsidR="00CE5452">
        <w:rPr>
          <w:rFonts w:ascii="Arial" w:hAnsi="Arial" w:cs="Verdana"/>
          <w:sz w:val="20"/>
          <w:szCs w:val="20"/>
        </w:rPr>
        <w:t>-sharing Skills is part of the i</w:t>
      </w:r>
      <w:r w:rsidRPr="00BA5FA4">
        <w:rPr>
          <w:rFonts w:ascii="Arial" w:hAnsi="Arial" w:cs="Verdana"/>
          <w:sz w:val="20"/>
          <w:szCs w:val="20"/>
        </w:rPr>
        <w:t>mplementation of the IFAD Strategy for Knowledge Management. It will build</w:t>
      </w:r>
      <w:r w:rsidR="00BA5FA4" w:rsidRPr="00BA5FA4">
        <w:rPr>
          <w:rFonts w:ascii="Arial" w:hAnsi="Arial" w:cs="Verdana"/>
          <w:sz w:val="20"/>
          <w:szCs w:val="20"/>
        </w:rPr>
        <w:t xml:space="preserve"> </w:t>
      </w:r>
      <w:r w:rsidRPr="00BA5FA4">
        <w:rPr>
          <w:rFonts w:ascii="Arial" w:hAnsi="Arial" w:cs="Verdana"/>
          <w:sz w:val="20"/>
          <w:szCs w:val="20"/>
        </w:rPr>
        <w:t>capacity to foster the establishment and strengthening of networks for pro-poor knowledge generation and exchange</w:t>
      </w:r>
      <w:r w:rsidR="00BA5FA4" w:rsidRPr="00BA5FA4">
        <w:rPr>
          <w:rFonts w:ascii="Arial" w:hAnsi="Arial" w:cs="Verdana"/>
          <w:sz w:val="20"/>
          <w:szCs w:val="20"/>
        </w:rPr>
        <w:t>.</w:t>
      </w:r>
      <w:r w:rsidRPr="00BA5FA4">
        <w:rPr>
          <w:rFonts w:ascii="Arial" w:hAnsi="Arial" w:cs="Verdana"/>
          <w:sz w:val="20"/>
          <w:szCs w:val="20"/>
        </w:rPr>
        <w:t xml:space="preserve">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The FAO Food Security and Sustainable Livelihoods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in Pacific Island Countries will improve the availability of and access to nutritious food for poor and vulnerable households; provide vulnerable communities with better access to sustainable agricultural services, inputs and markets; and strengthen capacities, policies and strategic actions to address food security challenges. </w:t>
      </w:r>
    </w:p>
    <w:p w:rsidR="00394D6A" w:rsidRPr="00BA5FA4" w:rsidRDefault="00394D6A" w:rsidP="00394D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The FAO Support for Formulating Voluntary Guidelines on Responsible Governance of Tenure of Land and Ot</w:t>
      </w:r>
      <w:r w:rsidR="00BA5FA4" w:rsidRPr="00BA5FA4">
        <w:rPr>
          <w:rFonts w:ascii="Arial" w:hAnsi="Arial" w:cs="Verdana"/>
          <w:sz w:val="20"/>
          <w:szCs w:val="20"/>
        </w:rPr>
        <w:t xml:space="preserve">her Natural Resources </w:t>
      </w:r>
      <w:proofErr w:type="spellStart"/>
      <w:r w:rsidR="00BA5FA4" w:rsidRPr="00BA5FA4">
        <w:rPr>
          <w:rFonts w:ascii="Arial" w:hAnsi="Arial" w:cs="Verdana"/>
          <w:sz w:val="20"/>
          <w:szCs w:val="20"/>
        </w:rPr>
        <w:t>Programme</w:t>
      </w:r>
      <w:proofErr w:type="spellEnd"/>
      <w:r w:rsidRPr="00BA5FA4">
        <w:rPr>
          <w:rFonts w:ascii="Arial" w:hAnsi="Arial" w:cs="Verdana"/>
          <w:sz w:val="20"/>
          <w:szCs w:val="20"/>
        </w:rPr>
        <w:t xml:space="preserve"> will enable poor rural people to have better and sustainable access to natural resources and will support local and national </w:t>
      </w:r>
      <w:r w:rsidR="00BA5FA4">
        <w:rPr>
          <w:rFonts w:ascii="Arial" w:hAnsi="Arial" w:cs="Verdana"/>
          <w:sz w:val="20"/>
          <w:szCs w:val="20"/>
        </w:rPr>
        <w:t>policy and p</w:t>
      </w:r>
      <w:r w:rsidRPr="00BA5FA4">
        <w:rPr>
          <w:rFonts w:ascii="Arial" w:hAnsi="Arial" w:cs="Verdana"/>
          <w:sz w:val="20"/>
          <w:szCs w:val="20"/>
        </w:rPr>
        <w:t xml:space="preserve">rogramming processes. It will also contribute indirectly to other specific aims, namely improved access to financial services, markets and off-farm opportunities. The </w:t>
      </w:r>
      <w:proofErr w:type="spellStart"/>
      <w:r w:rsidRPr="00BA5FA4">
        <w:rPr>
          <w:rFonts w:ascii="Arial" w:hAnsi="Arial" w:cs="Verdana"/>
          <w:sz w:val="20"/>
          <w:szCs w:val="20"/>
        </w:rPr>
        <w:t>programme</w:t>
      </w:r>
      <w:proofErr w:type="spellEnd"/>
      <w:r w:rsidRPr="00BA5FA4">
        <w:rPr>
          <w:rFonts w:ascii="Arial" w:hAnsi="Arial" w:cs="Verdana"/>
          <w:sz w:val="20"/>
          <w:szCs w:val="20"/>
        </w:rPr>
        <w:t xml:space="preserve"> is also consistent with the IFAD Policy on Improving Access to </w:t>
      </w:r>
      <w:proofErr w:type="gramStart"/>
      <w:r w:rsidRPr="00BA5FA4">
        <w:rPr>
          <w:rFonts w:ascii="Arial" w:hAnsi="Arial" w:cs="Verdana"/>
          <w:sz w:val="20"/>
          <w:szCs w:val="20"/>
        </w:rPr>
        <w:t>Land</w:t>
      </w:r>
      <w:proofErr w:type="gramEnd"/>
      <w:r w:rsidRPr="00BA5FA4">
        <w:rPr>
          <w:rFonts w:ascii="Arial" w:hAnsi="Arial" w:cs="Verdana"/>
          <w:sz w:val="20"/>
          <w:szCs w:val="20"/>
        </w:rPr>
        <w:t xml:space="preserve"> and Tenure Security. By strengthening </w:t>
      </w:r>
      <w:proofErr w:type="spellStart"/>
      <w:r w:rsidRPr="00BA5FA4">
        <w:rPr>
          <w:rFonts w:ascii="Arial" w:hAnsi="Arial" w:cs="Verdana"/>
          <w:sz w:val="20"/>
          <w:szCs w:val="20"/>
        </w:rPr>
        <w:t>IFAD’s</w:t>
      </w:r>
      <w:proofErr w:type="spellEnd"/>
      <w:r w:rsidRPr="00BA5FA4">
        <w:rPr>
          <w:rFonts w:ascii="Arial" w:hAnsi="Arial" w:cs="Verdana"/>
          <w:sz w:val="20"/>
          <w:szCs w:val="20"/>
        </w:rPr>
        <w:t xml:space="preserve"> capacity to mainstream land tenure security in its operations, it will enhance field-level impact and strengthen participation of civil society organizations and partnerships with other stakeholders. </w:t>
      </w:r>
    </w:p>
    <w:p w:rsidR="00394D6A" w:rsidRPr="00BA5FA4" w:rsidRDefault="00394D6A" w:rsidP="00BA5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Helvetica"/>
          <w:sz w:val="20"/>
        </w:rPr>
      </w:pPr>
      <w:r w:rsidRPr="00BA5FA4">
        <w:rPr>
          <w:rFonts w:ascii="Arial" w:hAnsi="Arial" w:cs="Verdana"/>
          <w:sz w:val="20"/>
          <w:szCs w:val="20"/>
        </w:rPr>
        <w:t xml:space="preserve"> </w:t>
      </w:r>
    </w:p>
    <w:sectPr w:rsidR="00394D6A" w:rsidRPr="00BA5FA4" w:rsidSect="00394D6A">
      <w:footerReference w:type="default" r:id="rId4"/>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E5452" w:rsidRPr="00CE5452" w:rsidRDefault="00CE5452">
    <w:pPr>
      <w:pStyle w:val="Footer"/>
      <w:rPr>
        <w:rFonts w:ascii="Arial" w:hAnsi="Arial"/>
        <w:color w:val="808080" w:themeColor="background1" w:themeShade="80"/>
        <w:sz w:val="16"/>
      </w:rPr>
    </w:pPr>
    <w:r w:rsidRPr="00CE5452">
      <w:rPr>
        <w:rFonts w:ascii="Arial" w:hAnsi="Arial"/>
        <w:color w:val="808080" w:themeColor="background1" w:themeShade="80"/>
        <w:sz w:val="16"/>
      </w:rPr>
      <w:t>G77 Consultants</w:t>
    </w:r>
  </w:p>
  <w:p w:rsidR="00CE5452" w:rsidRPr="00CE5452" w:rsidRDefault="00CE5452">
    <w:pPr>
      <w:pStyle w:val="Footer"/>
      <w:rPr>
        <w:rFonts w:ascii="Arial" w:hAnsi="Arial"/>
        <w:color w:val="808080" w:themeColor="background1" w:themeShade="80"/>
        <w:sz w:val="16"/>
      </w:rPr>
    </w:pPr>
    <w:proofErr w:type="gramStart"/>
    <w:r w:rsidRPr="00CE5452">
      <w:rPr>
        <w:rFonts w:ascii="Arial" w:hAnsi="Arial"/>
        <w:color w:val="808080" w:themeColor="background1" w:themeShade="80"/>
        <w:sz w:val="16"/>
      </w:rPr>
      <w:t>www.fao.org</w:t>
    </w:r>
    <w:proofErr w:type="gramEnd"/>
    <w:r w:rsidRPr="00CE5452">
      <w:rPr>
        <w:rFonts w:ascii="Arial" w:hAnsi="Arial"/>
        <w:color w:val="808080" w:themeColor="background1" w:themeShade="80"/>
        <w:sz w:val="16"/>
      </w:rPr>
      <w:t>/g77</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94D6A"/>
    <w:rsid w:val="00394D6A"/>
    <w:rsid w:val="00BA5FA4"/>
    <w:rsid w:val="00CE545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85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E5452"/>
    <w:pPr>
      <w:tabs>
        <w:tab w:val="center" w:pos="4320"/>
        <w:tab w:val="right" w:pos="8640"/>
      </w:tabs>
      <w:spacing w:after="0"/>
    </w:pPr>
  </w:style>
  <w:style w:type="character" w:customStyle="1" w:styleId="HeaderChar">
    <w:name w:val="Header Char"/>
    <w:basedOn w:val="DefaultParagraphFont"/>
    <w:link w:val="Header"/>
    <w:uiPriority w:val="99"/>
    <w:semiHidden/>
    <w:rsid w:val="00CE5452"/>
  </w:style>
  <w:style w:type="paragraph" w:styleId="Footer">
    <w:name w:val="footer"/>
    <w:basedOn w:val="Normal"/>
    <w:link w:val="FooterChar"/>
    <w:uiPriority w:val="99"/>
    <w:semiHidden/>
    <w:unhideWhenUsed/>
    <w:rsid w:val="00CE5452"/>
    <w:pPr>
      <w:tabs>
        <w:tab w:val="center" w:pos="4320"/>
        <w:tab w:val="right" w:pos="8640"/>
      </w:tabs>
      <w:spacing w:after="0"/>
    </w:pPr>
  </w:style>
  <w:style w:type="character" w:customStyle="1" w:styleId="FooterChar">
    <w:name w:val="Footer Char"/>
    <w:basedOn w:val="DefaultParagraphFont"/>
    <w:link w:val="Footer"/>
    <w:uiPriority w:val="99"/>
    <w:semiHidden/>
    <w:rsid w:val="00CE545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footer" Target="foot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649</Words>
  <Characters>3700</Characters>
  <Application>Microsoft Macintosh Word</Application>
  <DocSecurity>0</DocSecurity>
  <Lines>30</Lines>
  <Paragraphs>7</Paragraphs>
  <ScaleCrop>false</ScaleCrop>
  <LinksUpToDate>false</LinksUpToDate>
  <CharactersWithSpaces>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Adjmal Dulloo</dc:creator>
  <cp:keywords/>
  <cp:lastModifiedBy>Adjmal Dulloo</cp:lastModifiedBy>
  <cp:revision>1</cp:revision>
  <dcterms:created xsi:type="dcterms:W3CDTF">2009-11-23T16:06:00Z</dcterms:created>
  <dcterms:modified xsi:type="dcterms:W3CDTF">2009-11-23T16:36:00Z</dcterms:modified>
</cp:coreProperties>
</file>