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18" w:rsidRPr="00356AA1" w:rsidRDefault="00487318" w:rsidP="00F73BEE">
      <w:pPr>
        <w:pStyle w:val="Hidden"/>
        <w:rPr>
          <w:lang w:val="es-ES_tradnl"/>
        </w:rPr>
      </w:pPr>
    </w:p>
    <w:p w:rsidR="00C1185A" w:rsidRDefault="00E50D52" w:rsidP="00C1185A">
      <w:pPr>
        <w:pStyle w:val="NoSpacing"/>
        <w:jc w:val="center"/>
        <w:rPr>
          <w:rFonts w:ascii="Garamond" w:hAnsi="Garamond"/>
          <w:b/>
          <w:sz w:val="28"/>
          <w:szCs w:val="28"/>
          <w:lang w:val="es-ES_tradnl"/>
        </w:rPr>
      </w:pPr>
      <w:bookmarkStart w:id="0" w:name="SummaryBoxBookmark"/>
      <w:r w:rsidRPr="00E50D52">
        <w:rPr>
          <w:rFonts w:ascii="Garamond" w:hAnsi="Garamond"/>
          <w:b/>
          <w:sz w:val="28"/>
          <w:szCs w:val="28"/>
          <w:lang w:val="es-ES_tradnl"/>
        </w:rPr>
        <w:t>Segunda Conferencia Internacional sobre Nutrici</w:t>
      </w:r>
      <w:r>
        <w:rPr>
          <w:rFonts w:ascii="Garamond" w:hAnsi="Garamond"/>
          <w:b/>
          <w:sz w:val="28"/>
          <w:szCs w:val="28"/>
          <w:lang w:val="es-ES_tradnl"/>
        </w:rPr>
        <w:t>ón (CIN2)</w:t>
      </w:r>
    </w:p>
    <w:p w:rsidR="00E50D52" w:rsidRPr="00E50D52" w:rsidRDefault="00E50D52" w:rsidP="00C1185A">
      <w:pPr>
        <w:pStyle w:val="NoSpacing"/>
        <w:jc w:val="center"/>
        <w:rPr>
          <w:rFonts w:ascii="Garamond" w:hAnsi="Garamond"/>
          <w:b/>
          <w:sz w:val="28"/>
          <w:szCs w:val="28"/>
          <w:lang w:val="es-ES_tradnl"/>
        </w:rPr>
      </w:pPr>
      <w:r>
        <w:rPr>
          <w:rFonts w:ascii="Garamond" w:hAnsi="Garamond"/>
          <w:b/>
          <w:sz w:val="28"/>
          <w:szCs w:val="28"/>
          <w:lang w:val="es-ES_tradnl"/>
        </w:rPr>
        <w:t>Organizada conjuntamente por la FAO y la OMS</w:t>
      </w:r>
    </w:p>
    <w:p w:rsidR="00C1185A" w:rsidRPr="00E50D52" w:rsidRDefault="00E50D52" w:rsidP="00C1185A">
      <w:pPr>
        <w:pStyle w:val="NoSpacing"/>
        <w:jc w:val="center"/>
        <w:rPr>
          <w:rFonts w:ascii="Garamond" w:hAnsi="Garamond"/>
          <w:sz w:val="28"/>
          <w:szCs w:val="28"/>
          <w:lang w:val="es-ES_tradnl"/>
        </w:rPr>
      </w:pPr>
      <w:r w:rsidRPr="00E50D52">
        <w:rPr>
          <w:rFonts w:ascii="Garamond" w:hAnsi="Garamond"/>
          <w:sz w:val="28"/>
          <w:szCs w:val="28"/>
          <w:lang w:val="es-ES_tradnl"/>
        </w:rPr>
        <w:t>Nota de Síntesis, 1</w:t>
      </w:r>
      <w:r w:rsidRPr="00E50D52">
        <w:rPr>
          <w:rFonts w:ascii="Garamond" w:hAnsi="Garamond"/>
          <w:sz w:val="28"/>
          <w:szCs w:val="28"/>
          <w:vertAlign w:val="superscript"/>
          <w:lang w:val="es-ES_tradnl"/>
        </w:rPr>
        <w:t>o</w:t>
      </w:r>
      <w:r w:rsidRPr="00E50D52">
        <w:rPr>
          <w:rFonts w:ascii="Garamond" w:hAnsi="Garamond"/>
          <w:sz w:val="28"/>
          <w:szCs w:val="28"/>
          <w:lang w:val="es-ES_tradnl"/>
        </w:rPr>
        <w:t xml:space="preserve"> de marzo de 2013</w:t>
      </w:r>
    </w:p>
    <w:p w:rsidR="00487318" w:rsidRPr="00356AA1" w:rsidRDefault="00487318" w:rsidP="00F73BEE">
      <w:pPr>
        <w:rPr>
          <w:lang w:val="es-ES_tradnl"/>
        </w:rPr>
      </w:pPr>
    </w:p>
    <w:bookmarkEnd w:id="0"/>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La segunda Conferencia Internacional sobre Nutrición (CIN-2), una reunión intergubernamental amplia sobre la nutrición organizada conjuntamente por la Organización de las Naciones Unidas para la Agricultura y la Alimentación (FAO) y la Organización Mundial de la Salud (OMS), tendrá lugar, según lo programado, en la Sede de la FAO en Roma del 19 al 21 de noviembre de 2014. Será una conferencia ministerial de alto nivel que procurará proponer un marco normativo flexible para abordar adecuadamente los principales desafíos de la nutrición en los decenios venideros. En ella se intentará también determinar</w:t>
      </w:r>
      <w:r w:rsidR="00356AA1" w:rsidRPr="00C1185A">
        <w:rPr>
          <w:rFonts w:ascii="Garamond" w:hAnsi="Garamond"/>
          <w:sz w:val="24"/>
          <w:szCs w:val="24"/>
          <w:lang w:val="es-ES_tradnl"/>
        </w:rPr>
        <w:t xml:space="preserve"> </w:t>
      </w:r>
      <w:r w:rsidRPr="00C1185A">
        <w:rPr>
          <w:rFonts w:ascii="Garamond" w:hAnsi="Garamond"/>
          <w:sz w:val="24"/>
          <w:szCs w:val="24"/>
          <w:lang w:val="es-ES_tradnl"/>
        </w:rPr>
        <w:t xml:space="preserve">las prioridades para la cooperación internacional en el campo de la nutrición a corto y medio plazo. </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La CIN-2 reunirá a responsables de las políticas de alto nivel pertenecientes a ministerios y organismos nacionales encargados de la agricultura, la sanidad y otros sectores pertinentes con autoridades de los organismos de las Naciones Unidas y otras organizaciones intergubernamentales y de la sociedad civil (incluidas las organizaciones no gubernamentales), investigadores y representantes del sector privado y los consumidores; su objetivo será determinar las prioridades en materia de políticas para que los sistemas alimentarios y sanitarios, otros sistemas nacionales y mundiales conexos y las reformas pertinentes puedan mejora</w:t>
      </w:r>
      <w:r w:rsidR="008A4A59" w:rsidRPr="00C1185A">
        <w:rPr>
          <w:rFonts w:ascii="Garamond" w:hAnsi="Garamond"/>
          <w:sz w:val="24"/>
          <w:szCs w:val="24"/>
          <w:lang w:val="es-ES_tradnl"/>
        </w:rPr>
        <w:t>r los resultados nutricionales.</w:t>
      </w:r>
    </w:p>
    <w:p w:rsidR="00487318" w:rsidRPr="00C1185A" w:rsidRDefault="00487318" w:rsidP="00C1185A">
      <w:pPr>
        <w:pStyle w:val="Heading1"/>
        <w:numPr>
          <w:ilvl w:val="0"/>
          <w:numId w:val="0"/>
        </w:numPr>
        <w:ind w:left="709" w:hanging="708"/>
        <w:jc w:val="left"/>
        <w:rPr>
          <w:rFonts w:ascii="Garamond" w:hAnsi="Garamond" w:cs="Times New Roman"/>
          <w:sz w:val="24"/>
          <w:szCs w:val="24"/>
          <w:lang w:val="es-ES_tradnl"/>
        </w:rPr>
      </w:pPr>
      <w:r w:rsidRPr="00C1185A">
        <w:rPr>
          <w:rFonts w:ascii="Garamond" w:hAnsi="Garamond"/>
          <w:sz w:val="24"/>
          <w:szCs w:val="24"/>
          <w:lang w:val="es-ES_tradnl"/>
        </w:rPr>
        <w:t>La Conferencia Internacional sobre Nutrición (CIN) de 1992</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 xml:space="preserve">La primera </w:t>
      </w:r>
      <w:proofErr w:type="spellStart"/>
      <w:r w:rsidRPr="00C1185A">
        <w:rPr>
          <w:rFonts w:ascii="Garamond" w:hAnsi="Garamond"/>
          <w:sz w:val="24"/>
          <w:szCs w:val="24"/>
          <w:lang w:val="es-ES_tradnl"/>
        </w:rPr>
        <w:t>CIN</w:t>
      </w:r>
      <w:proofErr w:type="spellEnd"/>
      <w:r w:rsidRPr="00C1185A">
        <w:rPr>
          <w:rFonts w:ascii="Garamond" w:hAnsi="Garamond"/>
          <w:sz w:val="24"/>
          <w:szCs w:val="24"/>
          <w:lang w:val="es-ES_tradnl"/>
        </w:rPr>
        <w:t xml:space="preserve">, celebrada en 1992 con el patrocinio conjunto de la FAO y la OMS, aprobó por unanimidad la Declaración Mundial sobre la Nutrición y el Plan de Acción para la Nutrición. Los delegados de 159 países y de la Comunidad Europea se comprometieron a eliminar o reducir considerablemente: la inanición y las hambrunas; el hambre crónica generalizada; la subnutrición, especialmente entre los niños, las mujeres y los ancianos; las carencias de micronutrientes, sobre todo minerales y </w:t>
      </w:r>
      <w:r w:rsidR="00356AA1" w:rsidRPr="00C1185A">
        <w:rPr>
          <w:rFonts w:ascii="Garamond" w:hAnsi="Garamond"/>
          <w:sz w:val="24"/>
          <w:szCs w:val="24"/>
          <w:lang w:val="es-ES_tradnl"/>
        </w:rPr>
        <w:t>vitaminas</w:t>
      </w:r>
      <w:r w:rsidRPr="00C1185A">
        <w:rPr>
          <w:rFonts w:ascii="Garamond" w:hAnsi="Garamond"/>
          <w:sz w:val="24"/>
          <w:szCs w:val="24"/>
          <w:lang w:val="es-ES_tradnl"/>
        </w:rPr>
        <w:t>; las enfermedades transmisibles y no transmisibles relacionadas con la dieta; los impedimentos para una lactancia materna óptima; y el saneamiento inadecuado y la falta de higiene, incluido el uso de agua no potable. Los Estados se comprometieron a preparar y aplicar planes nacionales de acción para la nutrición</w:t>
      </w:r>
      <w:r w:rsidR="00356AA1" w:rsidRPr="00C1185A">
        <w:rPr>
          <w:rFonts w:ascii="Garamond" w:hAnsi="Garamond"/>
          <w:sz w:val="24"/>
          <w:szCs w:val="24"/>
          <w:lang w:val="es-ES_tradnl"/>
        </w:rPr>
        <w:t xml:space="preserve"> </w:t>
      </w:r>
      <w:r w:rsidRPr="00C1185A">
        <w:rPr>
          <w:rFonts w:ascii="Garamond" w:hAnsi="Garamond"/>
          <w:sz w:val="24"/>
          <w:szCs w:val="24"/>
          <w:lang w:val="es-ES_tradnl"/>
        </w:rPr>
        <w:t>(PNAN) que reflejaran las prioridades y estrategias nacionales para aliviar el hambre y la malnutrición.</w:t>
      </w:r>
    </w:p>
    <w:p w:rsidR="00487318" w:rsidRPr="00C1185A" w:rsidRDefault="00487318" w:rsidP="00C1185A">
      <w:pPr>
        <w:pStyle w:val="Heading1"/>
        <w:numPr>
          <w:ilvl w:val="0"/>
          <w:numId w:val="0"/>
        </w:numPr>
        <w:ind w:left="709" w:hanging="708"/>
        <w:jc w:val="left"/>
        <w:rPr>
          <w:rFonts w:ascii="Garamond" w:hAnsi="Garamond"/>
          <w:sz w:val="24"/>
          <w:szCs w:val="24"/>
          <w:lang w:val="es-ES_tradnl"/>
        </w:rPr>
      </w:pPr>
      <w:r w:rsidRPr="00C1185A">
        <w:rPr>
          <w:rFonts w:ascii="Garamond" w:hAnsi="Garamond"/>
          <w:sz w:val="24"/>
          <w:szCs w:val="24"/>
          <w:lang w:val="es-ES_tradnl"/>
        </w:rPr>
        <w:t>Tendencias de la nutrición desde 1992</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 xml:space="preserve">En los dos decenios que siguieron a la CIN de 1992, y pese a las mejoras logradas en muchos países, el avance general en la reducción del hambre y la malnutrición ha sido inaceptablemente lento. La FAO estima que en 2010-12 casi 868 millones de personas (el 12,5 % de la población mundial, o una persona de cada ocho) se hallaban subnutridas, frente a 1 000 millones en 1990-92. Los precios crecientes de los alimentos, la contracción de la economía, la persistente volatilidad de los precios de los alimentos y la mayor frecuencia y gravedad de las catástrofes naturales, incluidos los eventos climáticos extremos, han obstaculizado aun más la obtención de mejoras significativos para las personas subnutridas. La OMS estima que, cada año, casi diez millones de niños mueren </w:t>
      </w:r>
      <w:r w:rsidRPr="00C1185A">
        <w:rPr>
          <w:rFonts w:ascii="Garamond" w:hAnsi="Garamond"/>
          <w:sz w:val="24"/>
          <w:szCs w:val="24"/>
          <w:lang w:val="es-ES_tradnl"/>
        </w:rPr>
        <w:lastRenderedPageBreak/>
        <w:t>antes de cumplir los cinco años, y que un tercio de estas muertes está relacionado con la subnutrición. En los países en desarrollo, uno de cada tres niños menores de cinco años</w:t>
      </w:r>
      <w:r w:rsidR="00356AA1" w:rsidRPr="00C1185A">
        <w:rPr>
          <w:rFonts w:ascii="Garamond" w:hAnsi="Garamond"/>
          <w:sz w:val="24"/>
          <w:szCs w:val="24"/>
          <w:lang w:val="es-ES_tradnl"/>
        </w:rPr>
        <w:t xml:space="preserve"> </w:t>
      </w:r>
      <w:r w:rsidRPr="00C1185A">
        <w:rPr>
          <w:rFonts w:ascii="Garamond" w:hAnsi="Garamond"/>
          <w:sz w:val="24"/>
          <w:szCs w:val="24"/>
          <w:lang w:val="es-ES_tradnl"/>
        </w:rPr>
        <w:t>(171 millones en total) adolece de un retraso del crecimiento debido a la desnutrición crónica, mientras que otros 148 millones de niños presentan insuficiencia ponderal.</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 xml:space="preserve">La carencia de micronutrientes, o </w:t>
      </w:r>
      <w:r w:rsidR="00356AA1" w:rsidRPr="00C1185A">
        <w:rPr>
          <w:rFonts w:ascii="Garamond" w:hAnsi="Garamond"/>
          <w:sz w:val="24"/>
          <w:szCs w:val="24"/>
          <w:lang w:val="es-ES_tradnl"/>
        </w:rPr>
        <w:t>“</w:t>
      </w:r>
      <w:r w:rsidRPr="00C1185A">
        <w:rPr>
          <w:rFonts w:ascii="Garamond" w:hAnsi="Garamond"/>
          <w:sz w:val="24"/>
          <w:szCs w:val="24"/>
          <w:lang w:val="es-ES_tradnl"/>
        </w:rPr>
        <w:t>hambre encubierta</w:t>
      </w:r>
      <w:r w:rsidR="00356AA1" w:rsidRPr="00C1185A">
        <w:rPr>
          <w:rFonts w:ascii="Garamond" w:hAnsi="Garamond"/>
          <w:sz w:val="24"/>
          <w:szCs w:val="24"/>
          <w:lang w:val="es-ES_tradnl"/>
        </w:rPr>
        <w:t>”</w:t>
      </w:r>
      <w:r w:rsidRPr="00C1185A">
        <w:rPr>
          <w:rFonts w:ascii="Garamond" w:hAnsi="Garamond"/>
          <w:sz w:val="24"/>
          <w:szCs w:val="24"/>
          <w:lang w:val="es-ES_tradnl"/>
        </w:rPr>
        <w:t>, afecta aproximadamente a 2 000 millones de personas (más del 30 % de la población mundial), lo que acarrea graves consecuencias para la salud pública. Al mismo tiempo, unos 500 millones de adultos adolecen de obesidad, fenómeno cada vez más difundido en los países de ingresos bajos y medios y cuyas consecuencias van desde un mayor riesgo de muerte prematura hasta graves condiciones de salud, entre ellas la incidencia creciente de enfermedades no transmisibles relacionadas con la dieta. Se considera que esta tendencia se asocia a las modificaciones de la dieta en los últimos años como consecuencia de cambios en el estilo de vida, del aumento de los ingresos y de un consumo cada vez mayor de alimentos de preparación rápida, sumados a la reducción de la actividad física.</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La malnutrición en todas sus formas (subnutrición, carencias de micronutrientes e hipernutrición) constituye una carga intolerable no solo para los sistemas sanitarios nacionales sino para toda la estructura cultural, social y económica de las naciones, así como un impedimento importante para el desarrollo y para la plena realización del potencial humano. Mientras que hacer frente a los efectos de la malnutrición supone un costo elevado tanto desde el punto de vista fiscal como económico y humano, el costo de la prevención es mucho más bajo. Por consiguiente, invertir en la nutrición no es solo un imperativo moral sino también una medida sensata desde una óptica económica, ya que aumenta la productividad y el crecimiento de la economía, reduce los costos de la atención sanitaria y promueve la educación, la capacidad intelectual y el desarrollo social.</w:t>
      </w:r>
    </w:p>
    <w:p w:rsidR="00487318" w:rsidRPr="00C1185A" w:rsidRDefault="00487318" w:rsidP="00C1185A">
      <w:pPr>
        <w:pStyle w:val="Heading1"/>
        <w:numPr>
          <w:ilvl w:val="0"/>
          <w:numId w:val="0"/>
        </w:numPr>
        <w:ind w:left="709" w:hanging="708"/>
        <w:jc w:val="left"/>
        <w:rPr>
          <w:rFonts w:ascii="Garamond" w:hAnsi="Garamond" w:cs="Times New Roman"/>
          <w:sz w:val="24"/>
          <w:szCs w:val="24"/>
          <w:lang w:val="es-ES_tradnl"/>
        </w:rPr>
      </w:pPr>
      <w:r w:rsidRPr="00C1185A">
        <w:rPr>
          <w:rFonts w:ascii="Garamond" w:hAnsi="Garamond"/>
          <w:sz w:val="24"/>
          <w:szCs w:val="24"/>
          <w:lang w:val="es-ES_tradnl"/>
        </w:rPr>
        <w:t>La segunda Conferencia Internacional sobre Nutrición (CIN-2)</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 xml:space="preserve">En la CIN-2 se examinarán los progresos realizados en la mejora de la nutrición desde 1992; se hará una reflexión sobre los problemas nutricionales que subsisten y sobre los nuevos retos y oportunidades para mejorar la nutrición, resultantes de los cambios en la economía mundial y en los sistemas alimentarios así como de los avances de la ciencia y la tecnología; por último, se indicarán opciones en materia de políticas para mejorar la nutrición. Puesto que la nutrición es el producto de una multiplicidad de factores, se necesitan soluciones de carácter amplio. En la CIN-2 se abordarán cuestiones relacionadas con la malnutrición y se estudiará la mejor forma en que los gobiernos y otros actores pueden trabajar juntos para hacer frente a las múltiples cargas de la malnutrición. A fin de mejorar la nutrición mundial, es urgente lograr una mayor coherencia de las políticas y aumentar la armonización, coordinación y cooperación entre los ámbitos alimentario, agrícola, sanitario, así como con otros sectores. Los países requieren, además, herramientas prácticas, directrices y un intercambio de experiencias y lecciones aprendidas sobre la forma de armonizar las políticas sectoriales para obtener mejores resultados en el campo de la nutrición. Por consiguiente la FAO y la OMS, en colaboración con el Consorcio de Centros Internacionales de Investigación Agrícola (CGIAR), el Instituto Internacional de Investigación sobre Políticas Alimentarias (IFPRI), el Equipo de tareas de alto nivel del Secretario General de las Naciones Unidas sobre la crisis mundial de la seguridad alimentaria, el Fondo Internacional de Desarrollo Agrícola (FIDA), la Organización de las Naciones Unidas para la Educación, la Ciencia y la Cultura </w:t>
      </w:r>
      <w:r w:rsidRPr="00C1185A">
        <w:rPr>
          <w:rFonts w:ascii="Garamond" w:hAnsi="Garamond"/>
          <w:sz w:val="24"/>
          <w:szCs w:val="24"/>
          <w:lang w:val="es-ES_tradnl"/>
        </w:rPr>
        <w:lastRenderedPageBreak/>
        <w:t>(UNESCO), el Fondo de las Naciones Unidas para la Infancia</w:t>
      </w:r>
      <w:r w:rsidR="00356AA1" w:rsidRPr="00C1185A">
        <w:rPr>
          <w:rFonts w:ascii="Garamond" w:hAnsi="Garamond"/>
          <w:sz w:val="24"/>
          <w:szCs w:val="24"/>
          <w:lang w:val="es-ES_tradnl"/>
        </w:rPr>
        <w:t xml:space="preserve"> </w:t>
      </w:r>
      <w:r w:rsidRPr="00C1185A">
        <w:rPr>
          <w:rFonts w:ascii="Garamond" w:hAnsi="Garamond"/>
          <w:sz w:val="24"/>
          <w:szCs w:val="24"/>
          <w:lang w:val="es-ES_tradnl"/>
        </w:rPr>
        <w:t>(UNICEF), el Programa Mundial de Alimentos (PMA) y la Organización Mundial del Comercio (OMC), proponen convocar una segunda CIN.</w:t>
      </w:r>
    </w:p>
    <w:p w:rsidR="00487318" w:rsidRPr="00C1185A" w:rsidRDefault="00487318" w:rsidP="00F73BEE">
      <w:pPr>
        <w:rPr>
          <w:rFonts w:ascii="Garamond" w:hAnsi="Garamond"/>
          <w:i/>
          <w:iCs/>
          <w:sz w:val="24"/>
          <w:szCs w:val="24"/>
          <w:lang w:val="es-ES_tradnl"/>
        </w:rPr>
      </w:pPr>
      <w:r w:rsidRPr="00C1185A">
        <w:rPr>
          <w:rFonts w:ascii="Garamond" w:hAnsi="Garamond"/>
          <w:i/>
          <w:sz w:val="24"/>
          <w:szCs w:val="24"/>
          <w:lang w:val="es-ES_tradnl"/>
        </w:rPr>
        <w:t>Objetivos fundamentales</w:t>
      </w:r>
    </w:p>
    <w:p w:rsidR="00487318" w:rsidRPr="00C1185A" w:rsidRDefault="00487318" w:rsidP="00ED1D4A">
      <w:pPr>
        <w:pStyle w:val="SequentialList"/>
        <w:numPr>
          <w:ilvl w:val="1"/>
          <w:numId w:val="11"/>
        </w:numPr>
        <w:contextualSpacing w:val="0"/>
        <w:rPr>
          <w:rFonts w:ascii="Garamond" w:hAnsi="Garamond"/>
          <w:sz w:val="24"/>
          <w:szCs w:val="24"/>
          <w:lang w:val="es-ES_tradnl"/>
        </w:rPr>
      </w:pPr>
      <w:r w:rsidRPr="00C1185A">
        <w:rPr>
          <w:rFonts w:ascii="Garamond" w:hAnsi="Garamond"/>
          <w:sz w:val="24"/>
          <w:szCs w:val="24"/>
          <w:lang w:val="es-ES_tradnl"/>
        </w:rPr>
        <w:t>Examinar los avances logrados desde la CIN de 1992, en particular los progresos que se han conseguido a nivel nacional en el fomento de la nutrición mediante intervenciones nutricionales directas y a través de políticas y programas de mejora de la nutrición.</w:t>
      </w:r>
    </w:p>
    <w:p w:rsidR="00487318" w:rsidRPr="00C1185A" w:rsidRDefault="00487318" w:rsidP="00ED1D4A">
      <w:pPr>
        <w:pStyle w:val="SequentialList"/>
        <w:numPr>
          <w:ilvl w:val="1"/>
          <w:numId w:val="11"/>
        </w:numPr>
        <w:contextualSpacing w:val="0"/>
        <w:rPr>
          <w:rFonts w:ascii="Garamond" w:hAnsi="Garamond"/>
          <w:sz w:val="24"/>
          <w:szCs w:val="24"/>
          <w:lang w:val="es-ES_tradnl"/>
        </w:rPr>
      </w:pPr>
      <w:r w:rsidRPr="00C1185A">
        <w:rPr>
          <w:rFonts w:ascii="Garamond" w:hAnsi="Garamond"/>
          <w:sz w:val="24"/>
          <w:szCs w:val="24"/>
          <w:lang w:val="es-ES_tradnl"/>
        </w:rPr>
        <w:t>Examinar las políticas e instituciones pertinentes relacionadas con la agricultura, la pesca, la salud, el consumo y la protección social con miras a mejorar la nutrición.</w:t>
      </w:r>
    </w:p>
    <w:p w:rsidR="00487318" w:rsidRPr="00C1185A" w:rsidRDefault="00487318" w:rsidP="00ED1D4A">
      <w:pPr>
        <w:pStyle w:val="SequentialList"/>
        <w:numPr>
          <w:ilvl w:val="1"/>
          <w:numId w:val="11"/>
        </w:numPr>
        <w:contextualSpacing w:val="0"/>
        <w:rPr>
          <w:rFonts w:ascii="Garamond" w:hAnsi="Garamond"/>
          <w:sz w:val="24"/>
          <w:szCs w:val="24"/>
          <w:lang w:val="es-ES_tradnl"/>
        </w:rPr>
      </w:pPr>
      <w:r w:rsidRPr="00C1185A">
        <w:rPr>
          <w:rFonts w:ascii="Garamond" w:hAnsi="Garamond"/>
          <w:sz w:val="24"/>
          <w:szCs w:val="24"/>
          <w:lang w:val="es-ES_tradnl"/>
        </w:rPr>
        <w:t>Fortalecer la coherencia y coordinación de las políticas a efectos de mejorar la nutrición y movilizar los recursos necesarios a tal efecto.</w:t>
      </w:r>
    </w:p>
    <w:p w:rsidR="00487318" w:rsidRPr="00C1185A" w:rsidRDefault="00487318" w:rsidP="00ED1D4A">
      <w:pPr>
        <w:pStyle w:val="SequentialList"/>
        <w:numPr>
          <w:ilvl w:val="1"/>
          <w:numId w:val="11"/>
        </w:numPr>
        <w:contextualSpacing w:val="0"/>
        <w:rPr>
          <w:rFonts w:ascii="Garamond" w:hAnsi="Garamond"/>
          <w:sz w:val="24"/>
          <w:szCs w:val="24"/>
          <w:lang w:val="es-ES_tradnl"/>
        </w:rPr>
      </w:pPr>
      <w:r w:rsidRPr="00C1185A">
        <w:rPr>
          <w:rFonts w:ascii="Garamond" w:hAnsi="Garamond"/>
          <w:sz w:val="24"/>
          <w:szCs w:val="24"/>
          <w:lang w:val="es-ES_tradnl"/>
        </w:rPr>
        <w:t>Fortalecer la cooperación internacional, en particular entre gobiernos, a fin de mejorar la nutrición en todo el mundo y especialmente en los países en desarrollo.</w:t>
      </w:r>
    </w:p>
    <w:p w:rsidR="00487318" w:rsidRPr="00C1185A" w:rsidRDefault="00487318" w:rsidP="00F73BEE">
      <w:pPr>
        <w:rPr>
          <w:rFonts w:ascii="Garamond" w:hAnsi="Garamond"/>
          <w:i/>
          <w:iCs/>
          <w:sz w:val="24"/>
          <w:szCs w:val="24"/>
          <w:lang w:val="es-ES_tradnl"/>
        </w:rPr>
      </w:pPr>
      <w:r w:rsidRPr="00C1185A">
        <w:rPr>
          <w:rFonts w:ascii="Garamond" w:hAnsi="Garamond"/>
          <w:i/>
          <w:sz w:val="24"/>
          <w:szCs w:val="24"/>
          <w:lang w:val="es-ES_tradnl"/>
        </w:rPr>
        <w:t xml:space="preserve">Alcance </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La CIN-2:</w:t>
      </w:r>
    </w:p>
    <w:p w:rsidR="00487318" w:rsidRPr="00C1185A" w:rsidRDefault="00487318" w:rsidP="00ED1D4A">
      <w:pPr>
        <w:pStyle w:val="SequentialList"/>
        <w:numPr>
          <w:ilvl w:val="1"/>
          <w:numId w:val="7"/>
        </w:numPr>
        <w:contextualSpacing w:val="0"/>
        <w:rPr>
          <w:rFonts w:ascii="Garamond" w:hAnsi="Garamond"/>
          <w:sz w:val="24"/>
          <w:szCs w:val="24"/>
          <w:lang w:val="es-ES_tradnl"/>
        </w:rPr>
      </w:pPr>
      <w:r w:rsidRPr="00C1185A">
        <w:rPr>
          <w:rFonts w:ascii="Garamond" w:hAnsi="Garamond"/>
          <w:sz w:val="24"/>
          <w:szCs w:val="24"/>
          <w:lang w:val="es-ES_tradnl"/>
        </w:rPr>
        <w:t>adoptará una perspectiva mundial pero centrará su atención en los desafíos nutricionales que tienen ante sí los países en desarrollo;</w:t>
      </w:r>
    </w:p>
    <w:p w:rsidR="00487318" w:rsidRPr="00C1185A" w:rsidRDefault="00487318" w:rsidP="00ED1D4A">
      <w:pPr>
        <w:pStyle w:val="SequentialList"/>
        <w:numPr>
          <w:ilvl w:val="1"/>
          <w:numId w:val="7"/>
        </w:numPr>
        <w:contextualSpacing w:val="0"/>
        <w:rPr>
          <w:rFonts w:ascii="Garamond" w:hAnsi="Garamond"/>
          <w:sz w:val="24"/>
          <w:szCs w:val="24"/>
          <w:lang w:val="es-ES_tradnl"/>
        </w:rPr>
      </w:pPr>
      <w:r w:rsidRPr="00C1185A">
        <w:rPr>
          <w:rFonts w:ascii="Garamond" w:hAnsi="Garamond"/>
          <w:sz w:val="24"/>
          <w:szCs w:val="24"/>
          <w:lang w:val="es-ES_tradnl"/>
        </w:rPr>
        <w:t>abordará la malnutrición en todas sus formas, tomando en cuenta la transición de la nutrición y sus consecuencias;</w:t>
      </w:r>
    </w:p>
    <w:p w:rsidR="00487318" w:rsidRPr="00C1185A" w:rsidRDefault="00487318" w:rsidP="00ED1D4A">
      <w:pPr>
        <w:pStyle w:val="SequentialList"/>
        <w:numPr>
          <w:ilvl w:val="1"/>
          <w:numId w:val="7"/>
        </w:numPr>
        <w:contextualSpacing w:val="0"/>
        <w:rPr>
          <w:rFonts w:ascii="Garamond" w:hAnsi="Garamond"/>
          <w:sz w:val="24"/>
          <w:szCs w:val="24"/>
          <w:lang w:val="es-ES_tradnl"/>
        </w:rPr>
      </w:pPr>
      <w:r w:rsidRPr="00C1185A">
        <w:rPr>
          <w:rFonts w:ascii="Garamond" w:hAnsi="Garamond"/>
          <w:sz w:val="24"/>
          <w:szCs w:val="24"/>
          <w:lang w:val="es-ES_tradnl"/>
        </w:rPr>
        <w:t>procurará mejorar la nutrición a lo largo de todo el ciclo vital, centrando la atención en los hogares más pobres y vulnerables así como en las mujeres y los lactantes y niños pequeños de contextos desfavorecidos, vulnerables y de emergencia.</w:t>
      </w:r>
    </w:p>
    <w:p w:rsidR="00487318" w:rsidRPr="00C1185A" w:rsidRDefault="00487318" w:rsidP="00F73BEE">
      <w:pPr>
        <w:rPr>
          <w:rFonts w:ascii="Garamond" w:hAnsi="Garamond"/>
          <w:i/>
          <w:iCs/>
          <w:sz w:val="24"/>
          <w:szCs w:val="24"/>
          <w:lang w:val="es-ES_tradnl"/>
        </w:rPr>
      </w:pPr>
      <w:r w:rsidRPr="00C1185A">
        <w:rPr>
          <w:rFonts w:ascii="Garamond" w:hAnsi="Garamond"/>
          <w:i/>
          <w:sz w:val="24"/>
          <w:szCs w:val="24"/>
          <w:lang w:val="es-ES_tradnl"/>
        </w:rPr>
        <w:t>Resultados previstos</w:t>
      </w:r>
    </w:p>
    <w:p w:rsidR="00487318" w:rsidRPr="00C1185A" w:rsidRDefault="00487318" w:rsidP="00F73BEE">
      <w:pPr>
        <w:pStyle w:val="SequentialList"/>
        <w:numPr>
          <w:ilvl w:val="1"/>
          <w:numId w:val="6"/>
        </w:numPr>
        <w:contextualSpacing w:val="0"/>
        <w:rPr>
          <w:rFonts w:ascii="Garamond" w:hAnsi="Garamond"/>
          <w:sz w:val="24"/>
          <w:szCs w:val="24"/>
          <w:lang w:val="es-ES_tradnl"/>
        </w:rPr>
      </w:pPr>
      <w:r w:rsidRPr="00C1185A">
        <w:rPr>
          <w:rFonts w:ascii="Garamond" w:hAnsi="Garamond"/>
          <w:sz w:val="24"/>
          <w:szCs w:val="24"/>
          <w:lang w:val="es-ES_tradnl"/>
        </w:rPr>
        <w:t>Un marco para examinar las opciones normativas e institucionales y las directrices existentes, basándose en las experiencias y conocimientos de los países, para responder mejor a desafíos actuales y futuros como los siguientes:</w:t>
      </w:r>
    </w:p>
    <w:p w:rsidR="00487318" w:rsidRPr="00C1185A" w:rsidRDefault="00487318" w:rsidP="00F73BEE">
      <w:pPr>
        <w:pStyle w:val="BulletList"/>
        <w:numPr>
          <w:ilvl w:val="1"/>
          <w:numId w:val="3"/>
        </w:numPr>
        <w:contextualSpacing w:val="0"/>
        <w:rPr>
          <w:rFonts w:ascii="Garamond" w:hAnsi="Garamond"/>
          <w:sz w:val="24"/>
          <w:szCs w:val="24"/>
          <w:lang w:val="es-ES_tradnl"/>
        </w:rPr>
      </w:pPr>
      <w:r w:rsidRPr="00C1185A">
        <w:rPr>
          <w:rFonts w:ascii="Garamond" w:hAnsi="Garamond"/>
          <w:sz w:val="24"/>
          <w:szCs w:val="24"/>
          <w:lang w:val="es-ES_tradnl"/>
        </w:rPr>
        <w:t>un trabajo más eficaz en los ámbitos de la agricultura, la salud, la educación, el empleo, la protección social, el saneamiento y otros sectores clave para garantizar sistemas alimentarios que mejoren la nutrición;</w:t>
      </w:r>
    </w:p>
    <w:p w:rsidR="00487318" w:rsidRPr="00C1185A" w:rsidRDefault="00487318" w:rsidP="00F73BEE">
      <w:pPr>
        <w:pStyle w:val="BulletList"/>
        <w:numPr>
          <w:ilvl w:val="1"/>
          <w:numId w:val="3"/>
        </w:numPr>
        <w:contextualSpacing w:val="0"/>
        <w:rPr>
          <w:rFonts w:ascii="Garamond" w:hAnsi="Garamond"/>
          <w:sz w:val="24"/>
          <w:szCs w:val="24"/>
          <w:lang w:val="es-ES_tradnl"/>
        </w:rPr>
      </w:pPr>
      <w:r w:rsidRPr="00C1185A">
        <w:rPr>
          <w:rFonts w:ascii="Garamond" w:hAnsi="Garamond"/>
          <w:sz w:val="24"/>
          <w:szCs w:val="24"/>
          <w:lang w:val="es-ES_tradnl"/>
        </w:rPr>
        <w:t>la reducción de las múltiples cargas de la malnutrición y una gestión más eficaz de las transiciones alimentarias;</w:t>
      </w:r>
    </w:p>
    <w:p w:rsidR="00487318" w:rsidRPr="00C1185A" w:rsidRDefault="00487318" w:rsidP="00F73BEE">
      <w:pPr>
        <w:pStyle w:val="BulletList"/>
        <w:numPr>
          <w:ilvl w:val="1"/>
          <w:numId w:val="3"/>
        </w:numPr>
        <w:contextualSpacing w:val="0"/>
        <w:rPr>
          <w:rFonts w:ascii="Garamond" w:hAnsi="Garamond"/>
          <w:sz w:val="24"/>
          <w:szCs w:val="24"/>
          <w:lang w:val="es-ES_tradnl"/>
        </w:rPr>
      </w:pPr>
      <w:r w:rsidRPr="00C1185A">
        <w:rPr>
          <w:rFonts w:ascii="Garamond" w:hAnsi="Garamond"/>
          <w:sz w:val="24"/>
          <w:szCs w:val="24"/>
          <w:lang w:val="es-ES_tradnl"/>
        </w:rPr>
        <w:t>la creación y mantenimiento de asociaciones.</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El fortalecimiento de la cooperación internacional y, en particular, intergubernamental en el ámbito de la nutrición, con objetivos generales, metas y mecanismos de rendición de cuentas para los principales grupos interesados participantes.</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lastRenderedPageBreak/>
        <w:t>El compromiso de asignar recursos al fomento de sistemas alimentarios que mejoren en mayor medida la nutrición y reduzcan las múlti</w:t>
      </w:r>
      <w:r w:rsidR="00F73BEE" w:rsidRPr="00C1185A">
        <w:rPr>
          <w:rFonts w:ascii="Garamond" w:hAnsi="Garamond"/>
          <w:sz w:val="24"/>
          <w:szCs w:val="24"/>
          <w:lang w:val="es-ES_tradnl"/>
        </w:rPr>
        <w:t>ples cargas de la malnutrición.</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La inclusión de sistemas alimentarios que mejoren la nutrición en las políticas y planes nacionales pertinentes.</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Recomendaciones específicas a los órganos mundiales de que fortalezcan la gobernanza y los mecanismos institucionales para obtener mejores resultados en el campo de la nutrición, haciendo participar a los grupos interesados en los procesos sucesivos a la CIN-2.</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 xml:space="preserve">La CIN-2 contribuirá a la agenda de las Naciones Unidas para el desarrollo después de 2015 y promoverá una mayor coherencia de las políticas a nivel nacional y subnacional así como asociaciones para el desarrollo a todos </w:t>
      </w:r>
      <w:r w:rsidR="00356AA1" w:rsidRPr="00C1185A">
        <w:rPr>
          <w:rFonts w:ascii="Garamond" w:hAnsi="Garamond"/>
          <w:sz w:val="24"/>
          <w:szCs w:val="24"/>
          <w:lang w:val="es-ES_tradnl"/>
        </w:rPr>
        <w:t>los</w:t>
      </w:r>
      <w:r w:rsidRPr="00C1185A">
        <w:rPr>
          <w:rFonts w:ascii="Garamond" w:hAnsi="Garamond"/>
          <w:sz w:val="24"/>
          <w:szCs w:val="24"/>
          <w:lang w:val="es-ES_tradnl"/>
        </w:rPr>
        <w:t xml:space="preserve"> niveles, incluido el llamamiento del Secretario General de las Naciones Unidas a hacer frente al </w:t>
      </w:r>
      <w:r w:rsidR="00356AA1" w:rsidRPr="00C1185A">
        <w:rPr>
          <w:rFonts w:ascii="Garamond" w:hAnsi="Garamond"/>
          <w:sz w:val="24"/>
          <w:szCs w:val="24"/>
          <w:lang w:val="es-ES_tradnl"/>
        </w:rPr>
        <w:t>“</w:t>
      </w:r>
      <w:r w:rsidRPr="00C1185A">
        <w:rPr>
          <w:rFonts w:ascii="Garamond" w:hAnsi="Garamond"/>
          <w:sz w:val="24"/>
          <w:szCs w:val="24"/>
          <w:lang w:val="es-ES_tradnl"/>
        </w:rPr>
        <w:t>Reto del Hambre Cero</w:t>
      </w:r>
      <w:r w:rsidR="00356AA1" w:rsidRPr="00C1185A">
        <w:rPr>
          <w:rFonts w:ascii="Garamond" w:hAnsi="Garamond"/>
          <w:sz w:val="24"/>
          <w:szCs w:val="24"/>
          <w:lang w:val="es-ES_tradnl"/>
        </w:rPr>
        <w:t>”</w:t>
      </w:r>
      <w:r w:rsidRPr="00C1185A">
        <w:rPr>
          <w:rFonts w:ascii="Garamond" w:hAnsi="Garamond"/>
          <w:sz w:val="24"/>
          <w:szCs w:val="24"/>
          <w:lang w:val="es-ES_tradnl"/>
        </w:rPr>
        <w:t>. Contribuirá asimismo a la interacción con otras iniciativas y procesos internacionales relativos a la nutrición (como los actos del G8 sobre el tema, el Movimiento para el fomento de la nutrición [SUN]</w:t>
      </w:r>
      <w:r w:rsidRPr="00C1185A">
        <w:rPr>
          <w:rStyle w:val="FootnoteReference"/>
          <w:rFonts w:ascii="Garamond" w:hAnsi="Garamond"/>
          <w:sz w:val="24"/>
          <w:szCs w:val="24"/>
          <w:lang w:val="es-ES_tradnl"/>
        </w:rPr>
        <w:footnoteReference w:id="1"/>
      </w:r>
      <w:r w:rsidRPr="00C1185A">
        <w:rPr>
          <w:rFonts w:ascii="Garamond" w:hAnsi="Garamond"/>
          <w:sz w:val="24"/>
          <w:szCs w:val="24"/>
          <w:lang w:val="es-ES_tradnl"/>
        </w:rPr>
        <w:t xml:space="preserve"> y la iniciativa </w:t>
      </w:r>
      <w:r w:rsidR="00356AA1" w:rsidRPr="00C1185A">
        <w:rPr>
          <w:rFonts w:ascii="Garamond" w:hAnsi="Garamond"/>
          <w:sz w:val="24"/>
          <w:szCs w:val="24"/>
          <w:lang w:val="es-ES_tradnl"/>
        </w:rPr>
        <w:t>“</w:t>
      </w:r>
      <w:r w:rsidRPr="00C1185A">
        <w:rPr>
          <w:rFonts w:ascii="Garamond" w:hAnsi="Garamond"/>
          <w:sz w:val="24"/>
          <w:szCs w:val="24"/>
          <w:lang w:val="es-ES_tradnl"/>
        </w:rPr>
        <w:t>Esfuerzos Renovados contra el Hambre Infantil</w:t>
      </w:r>
      <w:r w:rsidR="00356AA1" w:rsidRPr="00C1185A">
        <w:rPr>
          <w:rFonts w:ascii="Garamond" w:hAnsi="Garamond"/>
          <w:sz w:val="24"/>
          <w:szCs w:val="24"/>
          <w:lang w:val="es-ES_tradnl"/>
        </w:rPr>
        <w:t>”</w:t>
      </w:r>
      <w:r w:rsidRPr="00C1185A">
        <w:rPr>
          <w:rFonts w:ascii="Garamond" w:hAnsi="Garamond"/>
          <w:sz w:val="24"/>
          <w:szCs w:val="24"/>
          <w:lang w:val="es-ES_tradnl"/>
        </w:rPr>
        <w:t xml:space="preserve"> (REACH)</w:t>
      </w:r>
      <w:r w:rsidRPr="00C1185A">
        <w:rPr>
          <w:rStyle w:val="FootnoteReference"/>
          <w:rFonts w:ascii="Garamond" w:hAnsi="Garamond"/>
          <w:sz w:val="24"/>
          <w:szCs w:val="24"/>
          <w:lang w:val="es-ES_tradnl"/>
        </w:rPr>
        <w:footnoteReference w:id="2"/>
      </w:r>
      <w:r w:rsidRPr="00C1185A">
        <w:rPr>
          <w:rFonts w:ascii="Garamond" w:hAnsi="Garamond"/>
          <w:sz w:val="24"/>
          <w:szCs w:val="24"/>
          <w:lang w:val="es-ES_tradnl"/>
        </w:rPr>
        <w:t xml:space="preserve">. </w:t>
      </w:r>
    </w:p>
    <w:p w:rsidR="00487318" w:rsidRPr="00C1185A" w:rsidRDefault="00487318" w:rsidP="00A20CA2">
      <w:pPr>
        <w:spacing w:before="240"/>
        <w:rPr>
          <w:rFonts w:ascii="Garamond" w:hAnsi="Garamond"/>
          <w:i/>
          <w:iCs/>
          <w:sz w:val="24"/>
          <w:szCs w:val="24"/>
          <w:lang w:val="es-ES_tradnl"/>
        </w:rPr>
      </w:pPr>
      <w:r w:rsidRPr="00C1185A">
        <w:rPr>
          <w:rFonts w:ascii="Garamond" w:hAnsi="Garamond"/>
          <w:i/>
          <w:sz w:val="24"/>
          <w:szCs w:val="24"/>
          <w:lang w:val="es-ES_tradnl"/>
        </w:rPr>
        <w:t>Actividades preparatorias</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En preparación de la Conferencia se ha celebrado una serie de reuniones regionales y se están elaborando informes nacionales y estudios monográficos sobre la nutrición. Para 2013 se han programado nuevas reuniones de expertos y consultas con las partes interesadas. Estos procesos se integrarán en la CIN-2 y le brindarán fundamento. En particular:</w:t>
      </w:r>
    </w:p>
    <w:p w:rsidR="00487318" w:rsidRPr="00C1185A" w:rsidRDefault="00487318" w:rsidP="00F73BEE">
      <w:pPr>
        <w:pStyle w:val="SequentialList"/>
        <w:numPr>
          <w:ilvl w:val="1"/>
          <w:numId w:val="8"/>
        </w:numPr>
        <w:contextualSpacing w:val="0"/>
        <w:rPr>
          <w:rFonts w:ascii="Garamond" w:hAnsi="Garamond"/>
          <w:sz w:val="24"/>
          <w:szCs w:val="24"/>
          <w:lang w:val="es-ES_tradnl"/>
        </w:rPr>
      </w:pPr>
      <w:r w:rsidRPr="00C1185A">
        <w:rPr>
          <w:rFonts w:ascii="Garamond" w:hAnsi="Garamond"/>
          <w:sz w:val="24"/>
          <w:szCs w:val="24"/>
          <w:lang w:val="es-ES_tradnl"/>
        </w:rPr>
        <w:t>Se han celebrado siete reuniones preparatorias de la CIN-2 en el ámbito regional y subregional (Harare, 3-5 de mayo de 2011; Uagadugú, 4-5 de julio de 2011; Colombo, 10</w:t>
      </w:r>
      <w:r w:rsidRPr="00C1185A">
        <w:rPr>
          <w:rFonts w:ascii="Cambria Math" w:hAnsi="Cambria Math"/>
          <w:sz w:val="24"/>
          <w:szCs w:val="24"/>
          <w:lang w:val="es-ES_tradnl"/>
        </w:rPr>
        <w:t>‐</w:t>
      </w:r>
      <w:r w:rsidRPr="00C1185A">
        <w:rPr>
          <w:rFonts w:ascii="Garamond" w:hAnsi="Garamond"/>
          <w:sz w:val="24"/>
          <w:szCs w:val="24"/>
          <w:lang w:val="es-ES_tradnl"/>
        </w:rPr>
        <w:t>12 de agosto de 2011; Ammán, 2-3 de noviembre de 2011; Lima, 16-18 de noviembre de 2011; Bridgetown, 2-4 de octubre de 2012; Tel Aviv, 13 de marzo de 2013). En estas reuniones se pidió a representantes de los sectores agrícola y sanitario que colaboraran en la preparación de los informes nacionales sobre la nutrición de sus países. Los estudios monográficos a cargo de países interesados (incluidos los de las iniciativas SUN y REACH) ayudarán a determinar las mejores prácticas y lecciones aprendidas para la mejora de la nutrición. Esta colaboración se propone asimismo fortalecer la capacidad de las instituciones locales participantes. Además, las reuniones preparatorias y los estudios monográficos mencionados ayudarán a determinar las lagunas en los conocimientos disponibles.</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 xml:space="preserve">Se hallan en preparación otros documentos de antecedentes, a cargo de expertos en </w:t>
      </w:r>
      <w:r w:rsidR="00356AA1" w:rsidRPr="00C1185A">
        <w:rPr>
          <w:rFonts w:ascii="Garamond" w:hAnsi="Garamond"/>
          <w:sz w:val="24"/>
          <w:szCs w:val="24"/>
          <w:lang w:val="es-ES_tradnl"/>
        </w:rPr>
        <w:t>“</w:t>
      </w:r>
      <w:r w:rsidRPr="00C1185A">
        <w:rPr>
          <w:rFonts w:ascii="Garamond" w:hAnsi="Garamond"/>
          <w:sz w:val="24"/>
          <w:szCs w:val="24"/>
          <w:lang w:val="es-ES_tradnl"/>
        </w:rPr>
        <w:t>sistemas alimentarios y agrícolas que mejoran la nutrición</w:t>
      </w:r>
      <w:r w:rsidR="00356AA1" w:rsidRPr="00C1185A">
        <w:rPr>
          <w:rFonts w:ascii="Garamond" w:hAnsi="Garamond"/>
          <w:sz w:val="24"/>
          <w:szCs w:val="24"/>
          <w:lang w:val="es-ES_tradnl"/>
        </w:rPr>
        <w:t>”</w:t>
      </w:r>
      <w:r w:rsidRPr="00C1185A">
        <w:rPr>
          <w:rFonts w:ascii="Garamond" w:hAnsi="Garamond"/>
          <w:sz w:val="24"/>
          <w:szCs w:val="24"/>
          <w:lang w:val="es-ES_tradnl"/>
        </w:rPr>
        <w:t xml:space="preserve"> y en </w:t>
      </w:r>
      <w:r w:rsidR="00356AA1" w:rsidRPr="00C1185A">
        <w:rPr>
          <w:rFonts w:ascii="Garamond" w:hAnsi="Garamond"/>
          <w:sz w:val="24"/>
          <w:szCs w:val="24"/>
          <w:lang w:val="es-ES_tradnl"/>
        </w:rPr>
        <w:t>“</w:t>
      </w:r>
      <w:r w:rsidRPr="00C1185A">
        <w:rPr>
          <w:rFonts w:ascii="Garamond" w:hAnsi="Garamond"/>
          <w:sz w:val="24"/>
          <w:szCs w:val="24"/>
          <w:lang w:val="es-ES_tradnl"/>
        </w:rPr>
        <w:t>protección social y nutrición</w:t>
      </w:r>
      <w:r w:rsidR="00356AA1" w:rsidRPr="00C1185A">
        <w:rPr>
          <w:rFonts w:ascii="Garamond" w:hAnsi="Garamond"/>
          <w:sz w:val="24"/>
          <w:szCs w:val="24"/>
          <w:lang w:val="es-ES_tradnl"/>
        </w:rPr>
        <w:t>”</w:t>
      </w:r>
      <w:r w:rsidRPr="00C1185A">
        <w:rPr>
          <w:rFonts w:ascii="Garamond" w:hAnsi="Garamond"/>
          <w:sz w:val="24"/>
          <w:szCs w:val="24"/>
          <w:lang w:val="es-ES_tradnl"/>
        </w:rPr>
        <w:t xml:space="preserve">. En 2013 se convocarán reuniones de expertos, en particular la dedicada a buscar la </w:t>
      </w:r>
      <w:r w:rsidR="00356AA1" w:rsidRPr="00C1185A">
        <w:rPr>
          <w:rFonts w:ascii="Garamond" w:hAnsi="Garamond"/>
          <w:sz w:val="24"/>
          <w:szCs w:val="24"/>
          <w:lang w:val="es-ES_tradnl"/>
        </w:rPr>
        <w:t>“</w:t>
      </w:r>
      <w:r w:rsidRPr="00C1185A">
        <w:rPr>
          <w:rFonts w:ascii="Garamond" w:hAnsi="Garamond"/>
          <w:sz w:val="24"/>
          <w:szCs w:val="24"/>
          <w:lang w:val="es-ES_tradnl"/>
        </w:rPr>
        <w:t>Convergencia de opiniones sobre el efecto nutricional de los sistemas alimentarios</w:t>
      </w:r>
      <w:r w:rsidR="00356AA1" w:rsidRPr="00C1185A">
        <w:rPr>
          <w:rFonts w:ascii="Garamond" w:hAnsi="Garamond"/>
          <w:sz w:val="24"/>
          <w:szCs w:val="24"/>
          <w:lang w:val="es-ES_tradnl"/>
        </w:rPr>
        <w:t>”</w:t>
      </w:r>
      <w:r w:rsidRPr="00C1185A">
        <w:rPr>
          <w:rFonts w:ascii="Garamond" w:hAnsi="Garamond"/>
          <w:sz w:val="24"/>
          <w:szCs w:val="24"/>
          <w:lang w:val="es-ES_tradnl"/>
        </w:rPr>
        <w:t xml:space="preserve">. Los documentos de antecedentes </w:t>
      </w:r>
      <w:r w:rsidRPr="00C1185A">
        <w:rPr>
          <w:rFonts w:ascii="Garamond" w:hAnsi="Garamond"/>
          <w:sz w:val="24"/>
          <w:szCs w:val="24"/>
          <w:lang w:val="es-ES_tradnl"/>
        </w:rPr>
        <w:lastRenderedPageBreak/>
        <w:t>servirán de base para el debate técnico en la reunión preparatoria de noviembre de 2013 y el act</w:t>
      </w:r>
      <w:r w:rsidR="006042A7" w:rsidRPr="00C1185A">
        <w:rPr>
          <w:rFonts w:ascii="Garamond" w:hAnsi="Garamond"/>
          <w:sz w:val="24"/>
          <w:szCs w:val="24"/>
          <w:lang w:val="es-ES_tradnl"/>
        </w:rPr>
        <w:t>o de alto nivel de noviembre de 2014.</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Se han previsto para 2013 consultas con los interesados directos, entre organizaciones de la sociedad civil (OSC) y el sector privado. Se invita a los grupos interesados a participar en los preparativos de la CIN-2 para cerciorarse de que se tomen en cuenta sus opiniones y experiencias y de que sea posible determinar en forma conjunta los ámbitos para una mayor colaboración. Estas conversaciones se centrarán en la forma en que las OSC y el sector privado pueden contribuir a mejorar las dietas y elev</w:t>
      </w:r>
      <w:r w:rsidR="00FD0E92" w:rsidRPr="00C1185A">
        <w:rPr>
          <w:rFonts w:ascii="Garamond" w:hAnsi="Garamond"/>
          <w:sz w:val="24"/>
          <w:szCs w:val="24"/>
          <w:lang w:val="es-ES_tradnl"/>
        </w:rPr>
        <w:t>ar los niveles de nutrición. El </w:t>
      </w:r>
      <w:r w:rsidRPr="00C1185A">
        <w:rPr>
          <w:rFonts w:ascii="Garamond" w:hAnsi="Garamond"/>
          <w:sz w:val="24"/>
          <w:szCs w:val="24"/>
          <w:lang w:val="es-ES_tradnl"/>
        </w:rPr>
        <w:t>informe de las consultas con las partes interesadas ayudará a dar fundamento al debate técnico en la reunión preparatoria de noviembre de 2013 y el acto de alto nivel de noviembre de 2014.</w:t>
      </w:r>
    </w:p>
    <w:p w:rsidR="00487318" w:rsidRPr="00C1185A" w:rsidRDefault="00487318" w:rsidP="00F73BEE">
      <w:pPr>
        <w:rPr>
          <w:rFonts w:ascii="Garamond" w:hAnsi="Garamond"/>
          <w:i/>
          <w:iCs/>
          <w:sz w:val="24"/>
          <w:szCs w:val="24"/>
          <w:lang w:val="es-ES_tradnl"/>
        </w:rPr>
      </w:pPr>
      <w:r w:rsidRPr="00C1185A">
        <w:rPr>
          <w:rFonts w:ascii="Garamond" w:hAnsi="Garamond"/>
          <w:i/>
          <w:sz w:val="24"/>
          <w:szCs w:val="24"/>
          <w:lang w:val="es-ES_tradnl"/>
        </w:rPr>
        <w:t>Reunión técnica preparatoria, noviembre de 2013</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 xml:space="preserve">Se ha previsto celebrar la reunión técnica preparatoria del 13 al 15 de noviembre de 2013 en la Sede de la FAO, en Roma. Participarán en ella expertos técnicos de alto nivel de los Estados Miembros que se ocupan de sistemas alimentarios que mejoran la nutrición, expertos de organismos de las Naciones Unidas, de otras organizaciones </w:t>
      </w:r>
      <w:r w:rsidR="00356AA1" w:rsidRPr="00C1185A">
        <w:rPr>
          <w:rFonts w:ascii="Garamond" w:hAnsi="Garamond"/>
          <w:sz w:val="24"/>
          <w:szCs w:val="24"/>
          <w:lang w:val="es-ES_tradnl"/>
        </w:rPr>
        <w:t>intergubernamentales</w:t>
      </w:r>
      <w:r w:rsidRPr="00C1185A">
        <w:rPr>
          <w:rFonts w:ascii="Garamond" w:hAnsi="Garamond"/>
          <w:sz w:val="24"/>
          <w:szCs w:val="24"/>
          <w:lang w:val="es-ES_tradnl"/>
        </w:rPr>
        <w:t xml:space="preserve"> y de la sociedad civil (incluidas las organizaciones no gubernamentales), así como investigadores y entidades del sector privado y los consumidores. El proyecto de programa de la reunión técnica preparatoria consta de una serie de reuniones temáticas que, posiblemente, abarcarán cuestiones tales como:</w:t>
      </w:r>
    </w:p>
    <w:p w:rsidR="00487318" w:rsidRPr="00C1185A" w:rsidRDefault="00487318" w:rsidP="00F73BEE">
      <w:pPr>
        <w:pStyle w:val="SequentialList"/>
        <w:numPr>
          <w:ilvl w:val="1"/>
          <w:numId w:val="9"/>
        </w:numPr>
        <w:contextualSpacing w:val="0"/>
        <w:rPr>
          <w:rFonts w:ascii="Garamond" w:hAnsi="Garamond"/>
          <w:sz w:val="24"/>
          <w:szCs w:val="24"/>
          <w:lang w:val="es-ES_tradnl"/>
        </w:rPr>
      </w:pPr>
      <w:r w:rsidRPr="00C1185A">
        <w:rPr>
          <w:rFonts w:ascii="Garamond" w:hAnsi="Garamond"/>
          <w:sz w:val="24"/>
          <w:szCs w:val="24"/>
          <w:lang w:val="es-ES_tradnl"/>
        </w:rPr>
        <w:t>iniciativas clave institucionales y en materia de políticas para mejorar la nutrición;</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sistemas alimentarios y agrícolas que mejoran la nutrición (relativos al comercio, la inocuidad alimentaria y otros aspectos);</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gestión de la transición alimentaria;</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protección social para la nutrición;</w:t>
      </w:r>
    </w:p>
    <w:p w:rsidR="00487318" w:rsidRPr="00C1185A" w:rsidRDefault="00487318" w:rsidP="00F73BEE">
      <w:pPr>
        <w:pStyle w:val="SequentialList"/>
        <w:numPr>
          <w:ilvl w:val="1"/>
          <w:numId w:val="4"/>
        </w:numPr>
        <w:contextualSpacing w:val="0"/>
        <w:rPr>
          <w:rFonts w:ascii="Garamond" w:hAnsi="Garamond"/>
          <w:sz w:val="24"/>
          <w:szCs w:val="24"/>
          <w:lang w:val="es-ES_tradnl"/>
        </w:rPr>
      </w:pPr>
      <w:r w:rsidRPr="00C1185A">
        <w:rPr>
          <w:rFonts w:ascii="Garamond" w:hAnsi="Garamond"/>
          <w:sz w:val="24"/>
          <w:szCs w:val="24"/>
          <w:lang w:val="es-ES_tradnl"/>
        </w:rPr>
        <w:t>medir la malnutrición: medidas, indicadores, datos y estadísticos pertinentes</w:t>
      </w:r>
      <w:r w:rsidR="00781913" w:rsidRPr="00C1185A">
        <w:rPr>
          <w:rFonts w:ascii="Garamond" w:hAnsi="Garamond"/>
          <w:sz w:val="24"/>
          <w:szCs w:val="24"/>
          <w:lang w:val="es-ES_tradnl"/>
        </w:rPr>
        <w:t xml:space="preserve"> en relación con las políticas.</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Se hallan en preparación diversos eventos, en particular el Año Internacional de la Quinua y el Año Internacional de la Agricultura Familiar. Italia respalda la celebración de una reunión sobre las pérdidas de alimentos y el desperdicio de productos alimenticios. En dichas reuniones se presentarán las cuestiones técnicas y opciones en materia de políticas determinadas en el proceso de preparación de la CIN-2; el resultado de esas reuniones se integrará en la CIN-2 y dará fundamento a la misma. Los tres organismos con Sede en Roma (FAO, FIDA y PMA) colaboran para respaldar estas iniciativas.</w:t>
      </w:r>
    </w:p>
    <w:p w:rsidR="00487318" w:rsidRPr="00C1185A" w:rsidRDefault="00487318" w:rsidP="00F73BEE">
      <w:pPr>
        <w:rPr>
          <w:rFonts w:ascii="Garamond" w:hAnsi="Garamond"/>
          <w:i/>
          <w:iCs/>
          <w:sz w:val="24"/>
          <w:szCs w:val="24"/>
          <w:lang w:val="es-ES_tradnl"/>
        </w:rPr>
      </w:pPr>
      <w:r w:rsidRPr="00C1185A">
        <w:rPr>
          <w:rFonts w:ascii="Garamond" w:hAnsi="Garamond"/>
          <w:i/>
          <w:sz w:val="24"/>
          <w:szCs w:val="24"/>
          <w:lang w:val="es-ES_tradnl"/>
        </w:rPr>
        <w:t>Calendario provisional</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El programa de la Conferencia de alto nivel sobre Nutrición CN-2 de 2014 se articulará en torno a los temas que se determinen en la reunión técnica preparatoria de noviembre de 2013. Se contarán entre sus participantes representantes de alto nivel de los ministerios de agricultura, salud y otros ministerios pertinentes, responsables de las políticas y asesores, investigadores, líderes de organizaciones internacionales, expertos en desarrollo y representantes del sector privado y la sociedad civil</w:t>
      </w:r>
      <w:r w:rsidR="00356AA1" w:rsidRPr="00C1185A">
        <w:rPr>
          <w:rFonts w:ascii="Garamond" w:hAnsi="Garamond"/>
          <w:sz w:val="24"/>
          <w:szCs w:val="24"/>
          <w:lang w:val="es-ES_tradnl"/>
        </w:rPr>
        <w:t xml:space="preserve">. </w:t>
      </w:r>
      <w:r w:rsidRPr="00C1185A">
        <w:rPr>
          <w:rFonts w:ascii="Garamond" w:hAnsi="Garamond"/>
          <w:sz w:val="24"/>
          <w:szCs w:val="24"/>
          <w:lang w:val="es-ES_tradnl"/>
        </w:rPr>
        <w:t xml:space="preserve">En el proceso de preparación se </w:t>
      </w:r>
      <w:r w:rsidRPr="00C1185A">
        <w:rPr>
          <w:rFonts w:ascii="Garamond" w:hAnsi="Garamond"/>
          <w:sz w:val="24"/>
          <w:szCs w:val="24"/>
          <w:lang w:val="es-ES_tradnl"/>
        </w:rPr>
        <w:lastRenderedPageBreak/>
        <w:t>generarán e intercambiarán conocimientos para formular recomendaciones sobre un marco de políticas flexible para abordar los retos relativos a la nutrición y las prioridades inherentes a una mayor cooperación internacional en cuestiones nutricionales.</w:t>
      </w:r>
    </w:p>
    <w:p w:rsidR="00487318" w:rsidRPr="00C1185A" w:rsidRDefault="00487318" w:rsidP="00F73BEE">
      <w:pPr>
        <w:rPr>
          <w:rFonts w:ascii="Garamond" w:hAnsi="Garamond"/>
          <w:i/>
          <w:iCs/>
          <w:sz w:val="24"/>
          <w:szCs w:val="24"/>
          <w:lang w:val="es-ES_tradnl"/>
        </w:rPr>
      </w:pPr>
      <w:r w:rsidRPr="00C1185A">
        <w:rPr>
          <w:rFonts w:ascii="Garamond" w:hAnsi="Garamond"/>
          <w:i/>
          <w:sz w:val="24"/>
          <w:szCs w:val="24"/>
          <w:lang w:val="es-ES_tradnl"/>
        </w:rPr>
        <w:t>La CIN-2 y la EXPO Milán 2015</w:t>
      </w:r>
    </w:p>
    <w:p w:rsidR="00487318" w:rsidRPr="00C1185A" w:rsidRDefault="00487318" w:rsidP="00C1185A">
      <w:pPr>
        <w:pStyle w:val="NewPara"/>
        <w:numPr>
          <w:ilvl w:val="0"/>
          <w:numId w:val="0"/>
        </w:numPr>
        <w:rPr>
          <w:rFonts w:ascii="Garamond" w:hAnsi="Garamond"/>
          <w:sz w:val="24"/>
          <w:szCs w:val="24"/>
          <w:lang w:val="es-ES_tradnl"/>
        </w:rPr>
      </w:pPr>
      <w:r w:rsidRPr="00C1185A">
        <w:rPr>
          <w:rFonts w:ascii="Garamond" w:hAnsi="Garamond"/>
          <w:sz w:val="24"/>
          <w:szCs w:val="24"/>
          <w:lang w:val="es-ES_tradnl"/>
        </w:rPr>
        <w:t>La EXPO Milán 2015 estará dedicada al tema de la alimentación y la nutrición. La CIN-2 constituirá una oportuna ocasión de generar mayor conciencia y asegurarse de que la nutrición siga ocupando un lugar destacado en la agenda internacional, lo que reforzará la coherencia, las sinergias y la armonización entre ambos acontecimientos. En el curso de la CIN-2 se organizará un acto paralelo sobre la EXPO, mientras que la contribución de la FAO a la EXPO 2015 en Milán pondrá de relieve, entre otras cosas, la importancia de los resultados de la CIN-2.</w:t>
      </w:r>
    </w:p>
    <w:p w:rsidR="00386510" w:rsidRPr="00C1185A" w:rsidRDefault="00386510" w:rsidP="00487318">
      <w:pPr>
        <w:rPr>
          <w:rFonts w:ascii="Garamond" w:hAnsi="Garamond"/>
          <w:sz w:val="24"/>
          <w:szCs w:val="24"/>
          <w:lang w:val="es-ES_tradnl"/>
        </w:rPr>
      </w:pPr>
    </w:p>
    <w:sectPr w:rsidR="00386510" w:rsidRPr="00C1185A" w:rsidSect="00A20CA2">
      <w:footerReference w:type="even" r:id="rId7"/>
      <w:headerReference w:type="first" r:id="rId8"/>
      <w:pgSz w:w="11907" w:h="16840" w:code="9"/>
      <w:pgMar w:top="1418" w:right="1559" w:bottom="1418" w:left="1418" w:header="720" w:footer="62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B5" w:rsidRDefault="00ED7FB5" w:rsidP="00487318">
      <w:pPr>
        <w:spacing w:before="0"/>
      </w:pPr>
      <w:r>
        <w:separator/>
      </w:r>
    </w:p>
  </w:endnote>
  <w:endnote w:type="continuationSeparator" w:id="0">
    <w:p w:rsidR="00ED7FB5" w:rsidRDefault="00ED7FB5" w:rsidP="0048731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405520"/>
      <w:docPartObj>
        <w:docPartGallery w:val="Page Numbers (Bottom of Page)"/>
        <w:docPartUnique/>
      </w:docPartObj>
    </w:sdtPr>
    <w:sdtContent>
      <w:p w:rsidR="00E50D52" w:rsidRDefault="00E50D52">
        <w:pPr>
          <w:pStyle w:val="Footer"/>
          <w:jc w:val="center"/>
        </w:pPr>
        <w:fldSimple w:instr=" PAGE   \* MERGEFORMAT ">
          <w:r w:rsidR="00ED1D4A">
            <w:rPr>
              <w:noProof/>
            </w:rPr>
            <w:t>2</w:t>
          </w:r>
        </w:fldSimple>
      </w:p>
    </w:sdtContent>
  </w:sdt>
  <w:p w:rsidR="00E50D52" w:rsidRDefault="00E50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B5" w:rsidRDefault="00ED7FB5" w:rsidP="00487318">
      <w:pPr>
        <w:spacing w:before="0"/>
      </w:pPr>
      <w:r>
        <w:separator/>
      </w:r>
    </w:p>
  </w:footnote>
  <w:footnote w:type="continuationSeparator" w:id="0">
    <w:p w:rsidR="00ED7FB5" w:rsidRDefault="00ED7FB5" w:rsidP="00487318">
      <w:pPr>
        <w:spacing w:before="0"/>
      </w:pPr>
      <w:r>
        <w:continuationSeparator/>
      </w:r>
    </w:p>
  </w:footnote>
  <w:footnote w:id="1">
    <w:p w:rsidR="00F73BEE" w:rsidRPr="00C1185A" w:rsidRDefault="00F73BEE" w:rsidP="00487318">
      <w:pPr>
        <w:pStyle w:val="FootnoteText"/>
        <w:rPr>
          <w:rFonts w:ascii="Garamond" w:hAnsi="Garamond"/>
          <w:lang w:val="es-ES_tradnl"/>
        </w:rPr>
      </w:pPr>
      <w:r w:rsidRPr="00C1185A">
        <w:rPr>
          <w:rStyle w:val="FootnoteReference"/>
          <w:rFonts w:ascii="Garamond" w:hAnsi="Garamond"/>
        </w:rPr>
        <w:footnoteRef/>
      </w:r>
      <w:r w:rsidRPr="00C1185A">
        <w:rPr>
          <w:rFonts w:ascii="Garamond" w:hAnsi="Garamond"/>
        </w:rPr>
        <w:t xml:space="preserve"> Fomento de la nutrición</w:t>
      </w:r>
      <w:r w:rsidR="00E628AD" w:rsidRPr="00C1185A">
        <w:rPr>
          <w:rFonts w:ascii="Garamond" w:hAnsi="Garamond"/>
        </w:rPr>
        <w:t>.</w:t>
      </w:r>
    </w:p>
  </w:footnote>
  <w:footnote w:id="2">
    <w:p w:rsidR="00F73BEE" w:rsidRPr="00C1185A" w:rsidRDefault="00F73BEE" w:rsidP="00487318">
      <w:pPr>
        <w:pStyle w:val="FootnoteText"/>
        <w:rPr>
          <w:rFonts w:ascii="Garamond" w:hAnsi="Garamond"/>
          <w:lang w:val="es-ES_tradnl"/>
        </w:rPr>
      </w:pPr>
      <w:r w:rsidRPr="00C1185A">
        <w:rPr>
          <w:rStyle w:val="FootnoteReference"/>
          <w:rFonts w:ascii="Garamond" w:hAnsi="Garamond"/>
        </w:rPr>
        <w:footnoteRef/>
      </w:r>
      <w:r w:rsidR="00E628AD" w:rsidRPr="00C1185A">
        <w:rPr>
          <w:rFonts w:ascii="Garamond" w:hAnsi="Garamond"/>
        </w:rPr>
        <w:t xml:space="preserve"> Iniciativa “</w:t>
      </w:r>
      <w:r w:rsidRPr="00C1185A">
        <w:rPr>
          <w:rFonts w:ascii="Garamond" w:hAnsi="Garamond"/>
        </w:rPr>
        <w:t>Esfuerzos Renov</w:t>
      </w:r>
      <w:r w:rsidR="00E628AD" w:rsidRPr="00C1185A">
        <w:rPr>
          <w:rFonts w:ascii="Garamond" w:hAnsi="Garamond"/>
        </w:rPr>
        <w:t>ados contra el Hambre Infantil”.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EE" w:rsidRPr="00734C44" w:rsidRDefault="00F73BEE" w:rsidP="00F73BEE">
    <w:pPr>
      <w:pStyle w:val="LanguageSymbol"/>
      <w:framePr w:wrap="around"/>
    </w:pPr>
    <w:bookmarkStart w:id="1" w:name="LanguageSymbolBookmark"/>
    <w:r>
      <w:t xml:space="preserve"> </w:t>
    </w:r>
  </w:p>
  <w:bookmarkEnd w:id="1"/>
  <w:p w:rsidR="00F73BEE" w:rsidRDefault="00F73BEE" w:rsidP="00A800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1B3E4845"/>
    <w:multiLevelType w:val="hybridMultilevel"/>
    <w:tmpl w:val="7F3477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992785"/>
    <w:multiLevelType w:val="multilevel"/>
    <w:tmpl w:val="0D6C4876"/>
    <w:styleLink w:val="WesternSequentialList"/>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3">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B300C"/>
    <w:multiLevelType w:val="multilevel"/>
    <w:tmpl w:val="42E6F80E"/>
    <w:lvl w:ilvl="0">
      <w:start w:val="1"/>
      <w:numFmt w:val="decimal"/>
      <w:lvlText w:val="%1)"/>
      <w:lvlJc w:val="left"/>
      <w:pPr>
        <w:ind w:left="720" w:hanging="363"/>
      </w:pPr>
      <w:rPr>
        <w:rFonts w:hint="default"/>
      </w:rPr>
    </w:lvl>
    <w:lvl w:ilvl="1">
      <w:start w:val="1"/>
      <w:numFmt w:val="bullet"/>
      <w:lvlText w:val=""/>
      <w:lvlJc w:val="left"/>
      <w:pPr>
        <w:ind w:left="1077" w:hanging="357"/>
      </w:pPr>
      <w:rPr>
        <w:rFonts w:ascii="Symbol" w:hAnsi="Symbol"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5">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7712A76"/>
    <w:multiLevelType w:val="multilevel"/>
    <w:tmpl w:val="C68A454E"/>
    <w:lvl w:ilvl="0">
      <w:start w:val="1"/>
      <w:numFmt w:val="decimal"/>
      <w:lvlText w:val="%1)"/>
      <w:lvlJc w:val="left"/>
      <w:pPr>
        <w:ind w:left="720" w:hanging="363"/>
      </w:pPr>
      <w:rPr>
        <w:rFonts w:hint="default"/>
      </w:rPr>
    </w:lvl>
    <w:lvl w:ilvl="1">
      <w:start w:val="1"/>
      <w:numFmt w:val="decimal"/>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487318"/>
    <w:rsid w:val="000019A3"/>
    <w:rsid w:val="00116726"/>
    <w:rsid w:val="00162CCF"/>
    <w:rsid w:val="001D3BD4"/>
    <w:rsid w:val="001F0835"/>
    <w:rsid w:val="00236AAB"/>
    <w:rsid w:val="002966FC"/>
    <w:rsid w:val="002A2F0B"/>
    <w:rsid w:val="00356AA1"/>
    <w:rsid w:val="00386510"/>
    <w:rsid w:val="003C180C"/>
    <w:rsid w:val="003E2A35"/>
    <w:rsid w:val="00420FBE"/>
    <w:rsid w:val="00422C3A"/>
    <w:rsid w:val="00487318"/>
    <w:rsid w:val="006042A7"/>
    <w:rsid w:val="00641B0C"/>
    <w:rsid w:val="00670125"/>
    <w:rsid w:val="006B049B"/>
    <w:rsid w:val="00781913"/>
    <w:rsid w:val="00824D6B"/>
    <w:rsid w:val="00843383"/>
    <w:rsid w:val="00874F97"/>
    <w:rsid w:val="008A4A59"/>
    <w:rsid w:val="00976094"/>
    <w:rsid w:val="00A20CA2"/>
    <w:rsid w:val="00A51A49"/>
    <w:rsid w:val="00A7686D"/>
    <w:rsid w:val="00A8009E"/>
    <w:rsid w:val="00A854D4"/>
    <w:rsid w:val="00AB14E6"/>
    <w:rsid w:val="00B162C8"/>
    <w:rsid w:val="00BA7A2F"/>
    <w:rsid w:val="00C1185A"/>
    <w:rsid w:val="00C531A0"/>
    <w:rsid w:val="00CB0098"/>
    <w:rsid w:val="00D07E6D"/>
    <w:rsid w:val="00DB75A8"/>
    <w:rsid w:val="00DD4527"/>
    <w:rsid w:val="00DE1989"/>
    <w:rsid w:val="00E168A0"/>
    <w:rsid w:val="00E50D52"/>
    <w:rsid w:val="00E628AD"/>
    <w:rsid w:val="00ED1D4A"/>
    <w:rsid w:val="00ED7FB5"/>
    <w:rsid w:val="00F73BEE"/>
    <w:rsid w:val="00FA34D9"/>
    <w:rsid w:val="00FD0E92"/>
    <w:rsid w:val="00FE2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318"/>
    <w:pPr>
      <w:spacing w:before="120" w:after="0" w:line="240" w:lineRule="auto"/>
    </w:pPr>
    <w:rPr>
      <w:rFonts w:ascii="Times New Roman" w:hAnsi="Times New Roman" w:cs="Akhbar MT"/>
      <w:szCs w:val="30"/>
    </w:rPr>
  </w:style>
  <w:style w:type="paragraph" w:styleId="Heading1">
    <w:name w:val="heading 1"/>
    <w:aliases w:val="Part"/>
    <w:basedOn w:val="Normal"/>
    <w:next w:val="Heading2"/>
    <w:link w:val="Heading1Char"/>
    <w:uiPriority w:val="99"/>
    <w:qFormat/>
    <w:rsid w:val="00487318"/>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uiPriority w:val="99"/>
    <w:qFormat/>
    <w:rsid w:val="00487318"/>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4873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rsid w:val="00487318"/>
    <w:rPr>
      <w:rFonts w:ascii="Times New Roman Bold" w:eastAsia="Times New Roman" w:hAnsi="Times New Roman Bold" w:cs="Akhbar MT"/>
      <w:b/>
      <w:bCs/>
      <w:sz w:val="26"/>
      <w:szCs w:val="36"/>
      <w:lang w:val="es-ES"/>
    </w:rPr>
  </w:style>
  <w:style w:type="character" w:customStyle="1" w:styleId="Heading2Char">
    <w:name w:val="Heading 2 Char"/>
    <w:aliases w:val="Chpt Char"/>
    <w:basedOn w:val="DefaultParagraphFont"/>
    <w:link w:val="Heading2"/>
    <w:uiPriority w:val="99"/>
    <w:rsid w:val="00487318"/>
    <w:rPr>
      <w:rFonts w:ascii="Times New Roman Bold" w:eastAsia="Times New Roman" w:hAnsi="Times New Roman Bold" w:cs="Akhbar MT"/>
      <w:b/>
      <w:bCs/>
      <w:sz w:val="24"/>
      <w:szCs w:val="32"/>
      <w:lang w:val="es-ES"/>
    </w:rPr>
  </w:style>
  <w:style w:type="paragraph" w:styleId="Header">
    <w:name w:val="header"/>
    <w:basedOn w:val="Normal"/>
    <w:link w:val="HeaderChar"/>
    <w:uiPriority w:val="99"/>
    <w:unhideWhenUsed/>
    <w:rsid w:val="00487318"/>
    <w:pPr>
      <w:tabs>
        <w:tab w:val="center" w:pos="4536"/>
        <w:tab w:val="right" w:pos="9072"/>
      </w:tabs>
    </w:pPr>
  </w:style>
  <w:style w:type="character" w:customStyle="1" w:styleId="HeaderChar">
    <w:name w:val="Header Char"/>
    <w:basedOn w:val="DefaultParagraphFont"/>
    <w:link w:val="Header"/>
    <w:uiPriority w:val="99"/>
    <w:rsid w:val="00487318"/>
    <w:rPr>
      <w:rFonts w:ascii="Times New Roman" w:hAnsi="Times New Roman" w:cs="Akhbar MT"/>
      <w:szCs w:val="30"/>
      <w:lang w:val="es-ES"/>
    </w:rPr>
  </w:style>
  <w:style w:type="paragraph" w:styleId="Footer">
    <w:name w:val="footer"/>
    <w:basedOn w:val="Normal"/>
    <w:link w:val="FooterChar"/>
    <w:uiPriority w:val="99"/>
    <w:unhideWhenUsed/>
    <w:rsid w:val="00487318"/>
    <w:pPr>
      <w:tabs>
        <w:tab w:val="center" w:pos="4536"/>
        <w:tab w:val="right" w:pos="9072"/>
      </w:tabs>
    </w:pPr>
  </w:style>
  <w:style w:type="character" w:customStyle="1" w:styleId="FooterChar">
    <w:name w:val="Footer Char"/>
    <w:basedOn w:val="DefaultParagraphFont"/>
    <w:link w:val="Footer"/>
    <w:uiPriority w:val="99"/>
    <w:rsid w:val="00487318"/>
    <w:rPr>
      <w:rFonts w:ascii="Times New Roman" w:hAnsi="Times New Roman" w:cs="Akhbar MT"/>
      <w:szCs w:val="30"/>
      <w:lang w:val="es-ES"/>
    </w:rPr>
  </w:style>
  <w:style w:type="paragraph" w:customStyle="1" w:styleId="Note">
    <w:name w:val="Note"/>
    <w:basedOn w:val="Normal"/>
    <w:link w:val="NoteChar"/>
    <w:autoRedefine/>
    <w:qFormat/>
    <w:rsid w:val="00487318"/>
    <w:pPr>
      <w:pBdr>
        <w:top w:val="single" w:sz="4" w:space="1" w:color="auto"/>
      </w:pBdr>
      <w:jc w:val="center"/>
    </w:pPr>
    <w:rPr>
      <w:i/>
      <w:sz w:val="20"/>
      <w:szCs w:val="28"/>
    </w:rPr>
  </w:style>
  <w:style w:type="character" w:customStyle="1" w:styleId="NoteChar">
    <w:name w:val="Note Char"/>
    <w:basedOn w:val="DefaultParagraphFont"/>
    <w:link w:val="Note"/>
    <w:rsid w:val="00487318"/>
    <w:rPr>
      <w:rFonts w:ascii="Times New Roman" w:hAnsi="Times New Roman" w:cs="Akhbar MT"/>
      <w:i/>
      <w:sz w:val="20"/>
      <w:szCs w:val="28"/>
      <w:lang w:val="es-ES"/>
    </w:rPr>
  </w:style>
  <w:style w:type="paragraph" w:customStyle="1" w:styleId="DocTitle">
    <w:name w:val="DocTitle"/>
    <w:basedOn w:val="Normal"/>
    <w:link w:val="DocTitleChar"/>
    <w:qFormat/>
    <w:rsid w:val="00487318"/>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487318"/>
    <w:rPr>
      <w:rFonts w:ascii="Times New Roman" w:hAnsi="Times New Roman" w:cs="Akhbar MT"/>
      <w:bCs/>
      <w:color w:val="7F7F7F" w:themeColor="text1" w:themeTint="80"/>
      <w:sz w:val="56"/>
      <w:szCs w:val="72"/>
      <w:lang w:val="es-ES"/>
    </w:rPr>
  </w:style>
  <w:style w:type="paragraph" w:customStyle="1" w:styleId="NewPara">
    <w:name w:val="NewPara"/>
    <w:basedOn w:val="ListParagraph"/>
    <w:link w:val="NewParaChar"/>
    <w:uiPriority w:val="99"/>
    <w:qFormat/>
    <w:rsid w:val="00487318"/>
    <w:pPr>
      <w:numPr>
        <w:numId w:val="2"/>
      </w:numPr>
      <w:ind w:left="0" w:firstLine="0"/>
      <w:contextualSpacing w:val="0"/>
    </w:pPr>
  </w:style>
  <w:style w:type="character" w:customStyle="1" w:styleId="NewParaChar">
    <w:name w:val="NewPara Char"/>
    <w:basedOn w:val="DefaultParagraphFont"/>
    <w:link w:val="NewPara"/>
    <w:uiPriority w:val="99"/>
    <w:rsid w:val="00487318"/>
    <w:rPr>
      <w:rFonts w:ascii="Times New Roman" w:hAnsi="Times New Roman" w:cs="Akhbar MT"/>
      <w:szCs w:val="30"/>
      <w:lang w:val="es-ES"/>
    </w:rPr>
  </w:style>
  <w:style w:type="paragraph" w:customStyle="1" w:styleId="BulletList">
    <w:name w:val="Bullet List"/>
    <w:basedOn w:val="ListParagraph"/>
    <w:link w:val="BulletListChar"/>
    <w:uiPriority w:val="99"/>
    <w:qFormat/>
    <w:rsid w:val="00487318"/>
    <w:pPr>
      <w:numPr>
        <w:numId w:val="3"/>
      </w:numPr>
      <w:ind w:left="714" w:hanging="357"/>
    </w:pPr>
  </w:style>
  <w:style w:type="character" w:customStyle="1" w:styleId="BulletListChar">
    <w:name w:val="Bullet List Char"/>
    <w:basedOn w:val="DefaultParagraphFont"/>
    <w:link w:val="BulletList"/>
    <w:uiPriority w:val="99"/>
    <w:rsid w:val="00487318"/>
    <w:rPr>
      <w:rFonts w:ascii="Times New Roman" w:hAnsi="Times New Roman" w:cs="Akhbar MT"/>
      <w:szCs w:val="30"/>
      <w:lang w:val="es-ES"/>
    </w:rPr>
  </w:style>
  <w:style w:type="paragraph" w:customStyle="1" w:styleId="SequentialList">
    <w:name w:val="Sequential List"/>
    <w:basedOn w:val="ListParagraph"/>
    <w:link w:val="SequentialListChar"/>
    <w:uiPriority w:val="99"/>
    <w:qFormat/>
    <w:rsid w:val="00487318"/>
    <w:pPr>
      <w:ind w:left="0"/>
    </w:pPr>
  </w:style>
  <w:style w:type="character" w:customStyle="1" w:styleId="SequentialListChar">
    <w:name w:val="Sequential List Char"/>
    <w:basedOn w:val="DefaultParagraphFont"/>
    <w:link w:val="SequentialList"/>
    <w:uiPriority w:val="99"/>
    <w:rsid w:val="00487318"/>
    <w:rPr>
      <w:rFonts w:ascii="Times New Roman" w:hAnsi="Times New Roman" w:cs="Akhbar MT"/>
      <w:szCs w:val="30"/>
      <w:lang w:val="es-ES"/>
    </w:rPr>
  </w:style>
  <w:style w:type="paragraph" w:customStyle="1" w:styleId="Underlined">
    <w:name w:val="Underlined"/>
    <w:basedOn w:val="Normal"/>
    <w:link w:val="UnderlinedChar"/>
    <w:qFormat/>
    <w:rsid w:val="00487318"/>
    <w:pPr>
      <w:pBdr>
        <w:bottom w:val="single" w:sz="12" w:space="1" w:color="auto"/>
      </w:pBdr>
    </w:pPr>
  </w:style>
  <w:style w:type="character" w:customStyle="1" w:styleId="UnderlinedChar">
    <w:name w:val="Underlined Char"/>
    <w:basedOn w:val="DefaultParagraphFont"/>
    <w:link w:val="Underlined"/>
    <w:rsid w:val="00487318"/>
    <w:rPr>
      <w:rFonts w:ascii="Times New Roman" w:hAnsi="Times New Roman" w:cs="Akhbar MT"/>
      <w:szCs w:val="30"/>
      <w:lang w:val="es-ES"/>
    </w:rPr>
  </w:style>
  <w:style w:type="paragraph" w:customStyle="1" w:styleId="MeetingInfo">
    <w:name w:val="MeetingInfo"/>
    <w:basedOn w:val="Normal"/>
    <w:link w:val="MeetingInfoChar"/>
    <w:qFormat/>
    <w:rsid w:val="0048731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487318"/>
    <w:rPr>
      <w:rFonts w:ascii="Times New Roman Bold" w:hAnsi="Times New Roman Bold" w:cs="Akhbar MT"/>
      <w:b/>
      <w:bCs/>
      <w:sz w:val="28"/>
      <w:szCs w:val="36"/>
      <w:lang w:val="es-ES"/>
    </w:rPr>
  </w:style>
  <w:style w:type="paragraph" w:customStyle="1" w:styleId="Hidden">
    <w:name w:val="Hidden"/>
    <w:basedOn w:val="Normal"/>
    <w:link w:val="HiddenChar"/>
    <w:qFormat/>
    <w:rsid w:val="00487318"/>
    <w:pPr>
      <w:spacing w:before="0" w:line="20" w:lineRule="exact"/>
    </w:pPr>
    <w:rPr>
      <w:sz w:val="2"/>
    </w:rPr>
  </w:style>
  <w:style w:type="character" w:customStyle="1" w:styleId="HiddenChar">
    <w:name w:val="Hidden Char"/>
    <w:basedOn w:val="DefaultParagraphFont"/>
    <w:link w:val="Hidden"/>
    <w:rsid w:val="00487318"/>
    <w:rPr>
      <w:rFonts w:ascii="Times New Roman" w:hAnsi="Times New Roman" w:cs="Akhbar MT"/>
      <w:sz w:val="2"/>
      <w:szCs w:val="30"/>
      <w:lang w:val="es-ES"/>
    </w:rPr>
  </w:style>
  <w:style w:type="paragraph" w:customStyle="1" w:styleId="LanguageSymbol">
    <w:name w:val="LanguageSymbol"/>
    <w:basedOn w:val="Normal"/>
    <w:link w:val="LanguageSymbolChar"/>
    <w:qFormat/>
    <w:rsid w:val="00487318"/>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487318"/>
    <w:rPr>
      <w:rFonts w:ascii="Times New Roman" w:hAnsi="Times New Roman" w:cs="Akhbar MT"/>
      <w:b/>
      <w:color w:val="808080"/>
      <w:sz w:val="56"/>
      <w:szCs w:val="56"/>
      <w:lang w:val="es-ES"/>
    </w:rPr>
  </w:style>
  <w:style w:type="numbering" w:customStyle="1" w:styleId="WesternSequentialList">
    <w:name w:val="Western Sequential List"/>
    <w:rsid w:val="00487318"/>
    <w:pPr>
      <w:numPr>
        <w:numId w:val="5"/>
      </w:numPr>
    </w:pPr>
  </w:style>
  <w:style w:type="paragraph" w:styleId="FootnoteText">
    <w:name w:val="footnote text"/>
    <w:basedOn w:val="Normal"/>
    <w:link w:val="FootnoteTextChar"/>
    <w:uiPriority w:val="99"/>
    <w:semiHidden/>
    <w:unhideWhenUsed/>
    <w:rsid w:val="00487318"/>
    <w:pPr>
      <w:spacing w:before="0"/>
    </w:pPr>
    <w:rPr>
      <w:sz w:val="20"/>
      <w:szCs w:val="20"/>
    </w:rPr>
  </w:style>
  <w:style w:type="character" w:customStyle="1" w:styleId="FootnoteTextChar">
    <w:name w:val="Footnote Text Char"/>
    <w:basedOn w:val="DefaultParagraphFont"/>
    <w:link w:val="FootnoteText"/>
    <w:uiPriority w:val="99"/>
    <w:semiHidden/>
    <w:rsid w:val="00487318"/>
    <w:rPr>
      <w:rFonts w:ascii="Times New Roman" w:hAnsi="Times New Roman" w:cs="Akhbar MT"/>
      <w:sz w:val="20"/>
      <w:szCs w:val="20"/>
      <w:lang w:val="es-ES"/>
    </w:rPr>
  </w:style>
  <w:style w:type="character" w:styleId="FootnoteReference">
    <w:name w:val="footnote reference"/>
    <w:basedOn w:val="DefaultParagraphFont"/>
    <w:uiPriority w:val="99"/>
    <w:semiHidden/>
    <w:unhideWhenUsed/>
    <w:rsid w:val="00487318"/>
    <w:rPr>
      <w:vertAlign w:val="superscript"/>
    </w:rPr>
  </w:style>
  <w:style w:type="character" w:customStyle="1" w:styleId="Heading3Char">
    <w:name w:val="Heading 3 Char"/>
    <w:basedOn w:val="DefaultParagraphFont"/>
    <w:link w:val="Heading3"/>
    <w:uiPriority w:val="9"/>
    <w:semiHidden/>
    <w:rsid w:val="00487318"/>
    <w:rPr>
      <w:rFonts w:asciiTheme="majorHAnsi" w:eastAsiaTheme="majorEastAsia" w:hAnsiTheme="majorHAnsi" w:cstheme="majorBidi"/>
      <w:b/>
      <w:bCs/>
      <w:color w:val="4F81BD" w:themeColor="accent1"/>
      <w:szCs w:val="30"/>
      <w:lang w:val="es-ES"/>
    </w:rPr>
  </w:style>
  <w:style w:type="paragraph" w:styleId="ListParagraph">
    <w:name w:val="List Paragraph"/>
    <w:basedOn w:val="Normal"/>
    <w:uiPriority w:val="34"/>
    <w:qFormat/>
    <w:rsid w:val="00487318"/>
    <w:pPr>
      <w:ind w:left="720"/>
      <w:contextualSpacing/>
    </w:pPr>
  </w:style>
  <w:style w:type="paragraph" w:styleId="BalloonText">
    <w:name w:val="Balloon Text"/>
    <w:basedOn w:val="Normal"/>
    <w:link w:val="BalloonTextChar"/>
    <w:uiPriority w:val="99"/>
    <w:semiHidden/>
    <w:unhideWhenUsed/>
    <w:rsid w:val="0048731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318"/>
    <w:rPr>
      <w:rFonts w:ascii="Tahoma" w:hAnsi="Tahoma" w:cs="Tahoma"/>
      <w:sz w:val="16"/>
      <w:szCs w:val="16"/>
      <w:lang w:val="es-ES"/>
    </w:rPr>
  </w:style>
  <w:style w:type="paragraph" w:styleId="NoSpacing">
    <w:name w:val="No Spacing"/>
    <w:uiPriority w:val="1"/>
    <w:qFormat/>
    <w:rsid w:val="00C1185A"/>
    <w:pPr>
      <w:spacing w:after="0" w:line="240" w:lineRule="auto"/>
    </w:pPr>
    <w:rPr>
      <w:rFonts w:ascii="Times New Roman" w:eastAsia="Calibri" w:hAnsi="Times New Roman" w:cs="Times New Roman"/>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Forte (CPAM)</dc:creator>
  <cp:lastModifiedBy>Barbara Vermeil (ESN)</cp:lastModifiedBy>
  <cp:revision>3</cp:revision>
  <dcterms:created xsi:type="dcterms:W3CDTF">2013-05-22T14:09:00Z</dcterms:created>
  <dcterms:modified xsi:type="dcterms:W3CDTF">2013-05-22T14:28:00Z</dcterms:modified>
</cp:coreProperties>
</file>