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219"/>
        <w:gridCol w:w="2268"/>
        <w:gridCol w:w="2818"/>
        <w:gridCol w:w="1400"/>
      </w:tblGrid>
      <w:tr w:rsidR="00CE26B0" w:rsidTr="008F200D">
        <w:trPr>
          <w:trHeight w:val="118"/>
        </w:trPr>
        <w:tc>
          <w:tcPr>
            <w:tcW w:w="4219" w:type="dxa"/>
            <w:vAlign w:val="center"/>
          </w:tcPr>
          <w:p w:rsidR="00CE26B0" w:rsidRDefault="00C04919" w:rsidP="008F200D">
            <w:pPr>
              <w:ind w:right="720"/>
            </w:pPr>
            <w:r w:rsidRPr="008F200D">
              <w:rPr>
                <w:sz w:val="14"/>
                <w:szCs w:val="14"/>
              </w:rPr>
              <w:fldChar w:fldCharType="begin">
                <w:ffData>
                  <w:name w:val="Address"/>
                  <w:enabled w:val="0"/>
                  <w:calcOnExit w:val="0"/>
                  <w:textInput/>
                </w:ffData>
              </w:fldChar>
            </w:r>
            <w:bookmarkStart w:id="0" w:name="Address"/>
            <w:r w:rsidR="00CE26B0" w:rsidRPr="008F200D">
              <w:rPr>
                <w:sz w:val="14"/>
                <w:szCs w:val="14"/>
              </w:rPr>
              <w:instrText xml:space="preserve"> FORMTEXT </w:instrText>
            </w:r>
            <w:r w:rsidRPr="008F200D">
              <w:rPr>
                <w:sz w:val="14"/>
                <w:szCs w:val="14"/>
              </w:rPr>
            </w:r>
            <w:r w:rsidRPr="008F200D">
              <w:rPr>
                <w:sz w:val="14"/>
                <w:szCs w:val="14"/>
              </w:rPr>
              <w:fldChar w:fldCharType="separate"/>
            </w:r>
            <w:r w:rsidR="001D2A0B" w:rsidRPr="008F200D">
              <w:rPr>
                <w:sz w:val="14"/>
                <w:szCs w:val="14"/>
              </w:rPr>
              <w:t>Viale delle Terme di Caracalla, 00153 Rome, Italy</w:t>
            </w:r>
            <w:r w:rsidRPr="008F200D">
              <w:rPr>
                <w:sz w:val="14"/>
                <w:szCs w:val="14"/>
              </w:rPr>
              <w:fldChar w:fldCharType="end"/>
            </w:r>
            <w:bookmarkEnd w:id="0"/>
          </w:p>
        </w:tc>
        <w:tc>
          <w:tcPr>
            <w:tcW w:w="2268" w:type="dxa"/>
            <w:vAlign w:val="center"/>
          </w:tcPr>
          <w:p w:rsidR="00CE26B0" w:rsidRDefault="00CE26B0" w:rsidP="008F200D">
            <w:pPr>
              <w:tabs>
                <w:tab w:val="left" w:pos="2727"/>
              </w:tabs>
              <w:ind w:right="-108"/>
              <w:jc w:val="center"/>
            </w:pPr>
            <w:r w:rsidRPr="008F200D">
              <w:rPr>
                <w:sz w:val="14"/>
                <w:szCs w:val="14"/>
              </w:rPr>
              <w:t xml:space="preserve">Fax: </w:t>
            </w:r>
            <w:r w:rsidR="00C04919" w:rsidRPr="008F200D">
              <w:rPr>
                <w:sz w:val="14"/>
                <w:szCs w:val="14"/>
              </w:rPr>
              <w:fldChar w:fldCharType="begin">
                <w:ffData>
                  <w:name w:val="Facsimile"/>
                  <w:enabled w:val="0"/>
                  <w:calcOnExit w:val="0"/>
                  <w:textInput/>
                </w:ffData>
              </w:fldChar>
            </w:r>
            <w:bookmarkStart w:id="1" w:name="Facsimile"/>
            <w:r w:rsidRPr="008F200D">
              <w:rPr>
                <w:sz w:val="14"/>
                <w:szCs w:val="14"/>
              </w:rPr>
              <w:instrText xml:space="preserve"> FORMTEXT </w:instrText>
            </w:r>
            <w:r w:rsidR="00C04919" w:rsidRPr="008F200D">
              <w:rPr>
                <w:sz w:val="14"/>
                <w:szCs w:val="14"/>
              </w:rPr>
            </w:r>
            <w:r w:rsidR="00C04919" w:rsidRPr="008F200D">
              <w:rPr>
                <w:sz w:val="14"/>
                <w:szCs w:val="14"/>
              </w:rPr>
              <w:fldChar w:fldCharType="separate"/>
            </w:r>
            <w:r w:rsidR="001D2A0B" w:rsidRPr="008F200D">
              <w:rPr>
                <w:sz w:val="14"/>
                <w:szCs w:val="14"/>
              </w:rPr>
              <w:t>+39 0657053152</w:t>
            </w:r>
            <w:r w:rsidR="00C04919" w:rsidRPr="008F200D">
              <w:rPr>
                <w:sz w:val="14"/>
                <w:szCs w:val="14"/>
              </w:rPr>
              <w:fldChar w:fldCharType="end"/>
            </w:r>
            <w:bookmarkEnd w:id="1"/>
          </w:p>
        </w:tc>
        <w:tc>
          <w:tcPr>
            <w:tcW w:w="2818" w:type="dxa"/>
            <w:vAlign w:val="center"/>
          </w:tcPr>
          <w:p w:rsidR="00CE26B0" w:rsidRDefault="00CE26B0" w:rsidP="008F200D">
            <w:pPr>
              <w:ind w:right="-58"/>
              <w:jc w:val="center"/>
            </w:pPr>
            <w:r w:rsidRPr="008F200D">
              <w:rPr>
                <w:sz w:val="14"/>
                <w:szCs w:val="14"/>
              </w:rPr>
              <w:t xml:space="preserve">Tel: </w:t>
            </w:r>
            <w:r w:rsidR="00C04919" w:rsidRPr="008F200D">
              <w:rPr>
                <w:sz w:val="14"/>
                <w:szCs w:val="14"/>
              </w:rPr>
              <w:fldChar w:fldCharType="begin">
                <w:ffData>
                  <w:name w:val="Telephone"/>
                  <w:enabled w:val="0"/>
                  <w:calcOnExit w:val="0"/>
                  <w:textInput/>
                </w:ffData>
              </w:fldChar>
            </w:r>
            <w:bookmarkStart w:id="2" w:name="Telephone"/>
            <w:r w:rsidRPr="008F200D">
              <w:rPr>
                <w:sz w:val="14"/>
                <w:szCs w:val="14"/>
              </w:rPr>
              <w:instrText xml:space="preserve"> FORMTEXT </w:instrText>
            </w:r>
            <w:r w:rsidR="00C04919" w:rsidRPr="008F200D">
              <w:rPr>
                <w:sz w:val="14"/>
                <w:szCs w:val="14"/>
              </w:rPr>
            </w:r>
            <w:r w:rsidR="00C04919" w:rsidRPr="008F200D">
              <w:rPr>
                <w:sz w:val="14"/>
                <w:szCs w:val="14"/>
              </w:rPr>
              <w:fldChar w:fldCharType="separate"/>
            </w:r>
            <w:r w:rsidR="001D2A0B" w:rsidRPr="008F200D">
              <w:rPr>
                <w:sz w:val="14"/>
                <w:szCs w:val="14"/>
              </w:rPr>
              <w:t>+39 0657051</w:t>
            </w:r>
            <w:r w:rsidR="00C04919" w:rsidRPr="008F200D">
              <w:rPr>
                <w:sz w:val="14"/>
                <w:szCs w:val="14"/>
              </w:rPr>
              <w:fldChar w:fldCharType="end"/>
            </w:r>
            <w:bookmarkEnd w:id="2"/>
          </w:p>
        </w:tc>
        <w:tc>
          <w:tcPr>
            <w:tcW w:w="1400" w:type="dxa"/>
            <w:vAlign w:val="center"/>
          </w:tcPr>
          <w:p w:rsidR="00CE26B0" w:rsidRPr="008F200D" w:rsidRDefault="00CE26B0" w:rsidP="008F200D">
            <w:pPr>
              <w:ind w:right="-58"/>
              <w:jc w:val="center"/>
              <w:rPr>
                <w:sz w:val="14"/>
                <w:szCs w:val="14"/>
              </w:rPr>
            </w:pPr>
            <w:r w:rsidRPr="008F200D">
              <w:rPr>
                <w:sz w:val="14"/>
                <w:szCs w:val="14"/>
              </w:rPr>
              <w:t>www.fao.org</w:t>
            </w:r>
          </w:p>
        </w:tc>
      </w:tr>
    </w:tbl>
    <w:p w:rsidR="00924A73" w:rsidRDefault="00924A73">
      <w:pPr>
        <w:tabs>
          <w:tab w:val="left" w:pos="5387"/>
          <w:tab w:val="left" w:pos="6237"/>
        </w:tabs>
        <w:ind w:left="709" w:hanging="709"/>
        <w:rPr>
          <w:sz w:val="14"/>
        </w:rPr>
      </w:pPr>
    </w:p>
    <w:p w:rsidR="007573C0" w:rsidRDefault="007573C0">
      <w:pPr>
        <w:tabs>
          <w:tab w:val="left" w:pos="5387"/>
          <w:tab w:val="left" w:pos="6237"/>
        </w:tabs>
        <w:ind w:left="709" w:hanging="709"/>
        <w:rPr>
          <w:rFonts w:ascii="Arial" w:hAnsi="Arial"/>
          <w:sz w:val="16"/>
        </w:rPr>
      </w:pPr>
      <w:r>
        <w:rPr>
          <w:sz w:val="14"/>
        </w:rPr>
        <w:t>Our Ref.:</w:t>
      </w:r>
      <w:r>
        <w:rPr>
          <w:sz w:val="14"/>
        </w:rPr>
        <w:tab/>
      </w:r>
      <w:r w:rsidR="00C04919">
        <w:fldChar w:fldCharType="begin">
          <w:ffData>
            <w:name w:val="OurRef"/>
            <w:enabled/>
            <w:calcOnExit w:val="0"/>
            <w:textInput>
              <w:maxLength w:val="30"/>
            </w:textInput>
          </w:ffData>
        </w:fldChar>
      </w:r>
      <w:bookmarkStart w:id="3" w:name="OurRef"/>
      <w:r>
        <w:instrText xml:space="preserve"> FORMTEXT </w:instrText>
      </w:r>
      <w:r w:rsidR="00C04919">
        <w:fldChar w:fldCharType="separate"/>
      </w:r>
      <w:r w:rsidR="008836A0">
        <w:rPr>
          <w:noProof/>
        </w:rPr>
        <w:t> </w:t>
      </w:r>
      <w:r w:rsidR="008836A0">
        <w:rPr>
          <w:noProof/>
        </w:rPr>
        <w:t> </w:t>
      </w:r>
      <w:r w:rsidR="008836A0">
        <w:rPr>
          <w:noProof/>
        </w:rPr>
        <w:t> </w:t>
      </w:r>
      <w:r w:rsidR="008836A0">
        <w:rPr>
          <w:noProof/>
        </w:rPr>
        <w:t> </w:t>
      </w:r>
      <w:r w:rsidR="008836A0">
        <w:rPr>
          <w:noProof/>
        </w:rPr>
        <w:t> </w:t>
      </w:r>
      <w:r w:rsidR="00C04919">
        <w:fldChar w:fldCharType="end"/>
      </w:r>
      <w:bookmarkEnd w:id="3"/>
      <w:r>
        <w:rPr>
          <w:rFonts w:ascii="Arial" w:hAnsi="Arial"/>
          <w:sz w:val="16"/>
        </w:rPr>
        <w:tab/>
      </w:r>
      <w:proofErr w:type="gramStart"/>
      <w:r>
        <w:rPr>
          <w:sz w:val="14"/>
        </w:rPr>
        <w:t>Your</w:t>
      </w:r>
      <w:proofErr w:type="gramEnd"/>
      <w:r>
        <w:rPr>
          <w:sz w:val="14"/>
        </w:rPr>
        <w:t xml:space="preserve"> Ref.:</w:t>
      </w:r>
      <w:r>
        <w:rPr>
          <w:sz w:val="14"/>
        </w:rPr>
        <w:tab/>
      </w:r>
      <w:r w:rsidR="00C04919">
        <w:fldChar w:fldCharType="begin">
          <w:ffData>
            <w:name w:val="YourRef"/>
            <w:enabled/>
            <w:calcOnExit w:val="0"/>
            <w:textInput>
              <w:maxLength w:val="30"/>
            </w:textInput>
          </w:ffData>
        </w:fldChar>
      </w:r>
      <w:bookmarkStart w:id="4" w:name="YourRef"/>
      <w:r>
        <w:instrText xml:space="preserve"> FORMTEXT </w:instrText>
      </w:r>
      <w:r w:rsidR="00C04919">
        <w:fldChar w:fldCharType="separate"/>
      </w:r>
      <w:r w:rsidR="008836A0">
        <w:rPr>
          <w:noProof/>
        </w:rPr>
        <w:t> </w:t>
      </w:r>
      <w:r w:rsidR="008836A0">
        <w:rPr>
          <w:noProof/>
        </w:rPr>
        <w:t> </w:t>
      </w:r>
      <w:r w:rsidR="008836A0">
        <w:rPr>
          <w:noProof/>
        </w:rPr>
        <w:t> </w:t>
      </w:r>
      <w:r w:rsidR="008836A0">
        <w:rPr>
          <w:noProof/>
        </w:rPr>
        <w:t> </w:t>
      </w:r>
      <w:r w:rsidR="008836A0">
        <w:rPr>
          <w:noProof/>
        </w:rPr>
        <w:t> </w:t>
      </w:r>
      <w:r w:rsidR="00C04919">
        <w:fldChar w:fldCharType="end"/>
      </w:r>
      <w:bookmarkEnd w:id="4"/>
    </w:p>
    <w:p w:rsidR="007573C0" w:rsidRDefault="007573C0">
      <w:pPr>
        <w:ind w:left="720" w:right="720"/>
        <w:rPr>
          <w:rFonts w:ascii="Arial" w:hAnsi="Arial"/>
        </w:rPr>
        <w:sectPr w:rsidR="007573C0" w:rsidSect="00702EE3">
          <w:headerReference w:type="even" r:id="rId6"/>
          <w:headerReference w:type="default" r:id="rId7"/>
          <w:headerReference w:type="first" r:id="rId8"/>
          <w:footerReference w:type="first" r:id="rId9"/>
          <w:footnotePr>
            <w:numRestart w:val="eachPage"/>
          </w:footnotePr>
          <w:type w:val="continuous"/>
          <w:pgSz w:w="11907" w:h="16840" w:code="9"/>
          <w:pgMar w:top="510" w:right="709" w:bottom="720" w:left="709" w:header="567" w:footer="720" w:gutter="0"/>
          <w:cols w:space="720"/>
          <w:titlePg/>
        </w:sectPr>
      </w:pPr>
    </w:p>
    <w:p w:rsidR="007573C0" w:rsidRDefault="007573C0">
      <w:pPr>
        <w:ind w:left="720" w:right="720"/>
      </w:pPr>
      <w:bookmarkStart w:id="5" w:name="Start"/>
      <w:bookmarkEnd w:id="5"/>
      <w:r>
        <w:lastRenderedPageBreak/>
        <w:tab/>
      </w:r>
      <w:r>
        <w:tab/>
      </w:r>
      <w:r>
        <w:tab/>
      </w:r>
    </w:p>
    <w:p w:rsidR="007573C0" w:rsidRDefault="007573C0">
      <w:pPr>
        <w:ind w:left="720" w:right="720"/>
      </w:pPr>
    </w:p>
    <w:p w:rsidR="007E0AA8" w:rsidRPr="00F7050D" w:rsidRDefault="007E0AA8" w:rsidP="007E0AA8">
      <w:pPr>
        <w:ind w:left="720" w:right="720"/>
        <w:jc w:val="center"/>
        <w:rPr>
          <w:rFonts w:asciiTheme="minorHAnsi" w:hAnsiTheme="minorHAnsi"/>
          <w:b/>
          <w:sz w:val="20"/>
        </w:rPr>
      </w:pPr>
      <w:r w:rsidRPr="00F7050D">
        <w:rPr>
          <w:rFonts w:asciiTheme="minorHAnsi" w:hAnsiTheme="minorHAnsi"/>
          <w:b/>
          <w:sz w:val="20"/>
        </w:rPr>
        <w:t xml:space="preserve">Message from the Food and Agriculture Organization of the United Nations </w:t>
      </w:r>
      <w:r w:rsidRPr="00F7050D">
        <w:rPr>
          <w:rFonts w:asciiTheme="minorHAnsi" w:hAnsiTheme="minorHAnsi"/>
          <w:b/>
          <w:sz w:val="20"/>
        </w:rPr>
        <w:br/>
        <w:t>on the occasion of the 17th International Day of Cooperatives</w:t>
      </w:r>
    </w:p>
    <w:p w:rsidR="007E0AA8" w:rsidRPr="00F7050D" w:rsidRDefault="007E0AA8" w:rsidP="007E0AA8">
      <w:pPr>
        <w:autoSpaceDE w:val="0"/>
        <w:autoSpaceDN w:val="0"/>
        <w:adjustRightInd w:val="0"/>
        <w:rPr>
          <w:rFonts w:asciiTheme="minorHAnsi" w:hAnsiTheme="minorHAnsi" w:cs="Arial"/>
          <w:b/>
          <w:bCs/>
          <w:sz w:val="20"/>
        </w:rPr>
      </w:pPr>
      <w:r w:rsidRPr="00F7050D">
        <w:rPr>
          <w:rFonts w:asciiTheme="minorHAnsi" w:hAnsiTheme="minorHAnsi"/>
          <w:sz w:val="20"/>
        </w:rPr>
        <w:tab/>
      </w:r>
      <w:r w:rsidRPr="00F7050D">
        <w:rPr>
          <w:rFonts w:asciiTheme="minorHAnsi" w:hAnsiTheme="minorHAnsi"/>
          <w:sz w:val="20"/>
        </w:rPr>
        <w:tab/>
      </w:r>
    </w:p>
    <w:p w:rsidR="007E0AA8" w:rsidRPr="00F7050D" w:rsidRDefault="007E0AA8" w:rsidP="007E0AA8">
      <w:pPr>
        <w:ind w:left="720" w:right="720"/>
        <w:jc w:val="center"/>
        <w:rPr>
          <w:rFonts w:asciiTheme="minorHAnsi" w:hAnsiTheme="minorHAnsi"/>
          <w:b/>
          <w:sz w:val="20"/>
        </w:rPr>
      </w:pPr>
      <w:r w:rsidRPr="00F7050D">
        <w:rPr>
          <w:rFonts w:asciiTheme="minorHAnsi" w:hAnsiTheme="minorHAnsi"/>
          <w:b/>
          <w:sz w:val="20"/>
        </w:rPr>
        <w:t>“Youth, the future of cooperative enterprise”</w:t>
      </w:r>
    </w:p>
    <w:p w:rsidR="007E0AA8" w:rsidRPr="00F7050D" w:rsidRDefault="007E0AA8" w:rsidP="007E0AA8">
      <w:pPr>
        <w:ind w:left="720" w:right="720"/>
        <w:jc w:val="center"/>
        <w:rPr>
          <w:rFonts w:asciiTheme="minorHAnsi" w:hAnsiTheme="minorHAnsi"/>
          <w:b/>
          <w:sz w:val="20"/>
        </w:rPr>
      </w:pPr>
    </w:p>
    <w:p w:rsidR="007E0AA8" w:rsidRPr="00F7050D" w:rsidRDefault="007E0AA8" w:rsidP="007E0AA8">
      <w:pPr>
        <w:pStyle w:val="Default"/>
        <w:jc w:val="both"/>
        <w:rPr>
          <w:rFonts w:asciiTheme="minorHAnsi" w:hAnsiTheme="minorHAnsi"/>
          <w:b/>
          <w:sz w:val="22"/>
          <w:szCs w:val="22"/>
        </w:rPr>
      </w:pPr>
      <w:r w:rsidRPr="00F7050D">
        <w:rPr>
          <w:rFonts w:asciiTheme="minorHAnsi" w:hAnsiTheme="minorHAnsi"/>
          <w:b/>
          <w:sz w:val="22"/>
          <w:szCs w:val="22"/>
        </w:rPr>
        <w:t>Youth are an asset for agriculture</w:t>
      </w:r>
    </w:p>
    <w:p w:rsidR="007E0AA8" w:rsidRPr="004C0D5F" w:rsidRDefault="007E0AA8" w:rsidP="007E0AA8">
      <w:pPr>
        <w:pStyle w:val="Default"/>
        <w:jc w:val="both"/>
        <w:rPr>
          <w:sz w:val="22"/>
          <w:szCs w:val="22"/>
        </w:rPr>
      </w:pPr>
    </w:p>
    <w:p w:rsidR="007E0AA8" w:rsidRPr="004C0D5F" w:rsidRDefault="007E0AA8" w:rsidP="007E0AA8">
      <w:pPr>
        <w:jc w:val="both"/>
        <w:rPr>
          <w:rFonts w:ascii="Calibri" w:hAnsi="Calibri"/>
          <w:sz w:val="22"/>
          <w:szCs w:val="22"/>
        </w:rPr>
      </w:pPr>
      <w:r w:rsidRPr="004C0D5F">
        <w:rPr>
          <w:rFonts w:ascii="Calibri" w:hAnsi="Calibri"/>
          <w:sz w:val="22"/>
          <w:szCs w:val="22"/>
        </w:rPr>
        <w:t xml:space="preserve">Youth </w:t>
      </w:r>
      <w:r>
        <w:rPr>
          <w:rFonts w:ascii="Calibri" w:hAnsi="Calibri"/>
          <w:sz w:val="22"/>
          <w:szCs w:val="22"/>
        </w:rPr>
        <w:t xml:space="preserve">form a </w:t>
      </w:r>
      <w:r w:rsidRPr="004C0D5F">
        <w:rPr>
          <w:rFonts w:ascii="Calibri" w:hAnsi="Calibri"/>
          <w:sz w:val="22"/>
          <w:szCs w:val="22"/>
        </w:rPr>
        <w:t>large proportion of the global population</w:t>
      </w:r>
      <w:r>
        <w:rPr>
          <w:rFonts w:ascii="Calibri" w:hAnsi="Calibri"/>
          <w:sz w:val="22"/>
          <w:szCs w:val="22"/>
        </w:rPr>
        <w:t xml:space="preserve">. They </w:t>
      </w:r>
      <w:r w:rsidRPr="004C0D5F">
        <w:rPr>
          <w:rFonts w:ascii="Calibri" w:hAnsi="Calibri"/>
          <w:sz w:val="22"/>
          <w:szCs w:val="22"/>
        </w:rPr>
        <w:t xml:space="preserve">represent a valuable asset and an important potential labour force for countries </w:t>
      </w:r>
      <w:r>
        <w:rPr>
          <w:rFonts w:ascii="Calibri" w:hAnsi="Calibri"/>
          <w:sz w:val="22"/>
          <w:szCs w:val="22"/>
        </w:rPr>
        <w:t>in which</w:t>
      </w:r>
      <w:r w:rsidRPr="004C0D5F">
        <w:rPr>
          <w:rFonts w:ascii="Calibri" w:hAnsi="Calibri"/>
          <w:sz w:val="22"/>
          <w:szCs w:val="22"/>
        </w:rPr>
        <w:t xml:space="preserve"> they constitute the major</w:t>
      </w:r>
      <w:r>
        <w:rPr>
          <w:rFonts w:ascii="Calibri" w:hAnsi="Calibri"/>
          <w:sz w:val="22"/>
          <w:szCs w:val="22"/>
        </w:rPr>
        <w:t>ity</w:t>
      </w:r>
      <w:r w:rsidRPr="004C0D5F">
        <w:rPr>
          <w:rFonts w:ascii="Calibri" w:hAnsi="Calibri"/>
          <w:sz w:val="22"/>
          <w:szCs w:val="22"/>
        </w:rPr>
        <w:t xml:space="preserve"> of the population. </w:t>
      </w:r>
      <w:r>
        <w:rPr>
          <w:rFonts w:ascii="Calibri" w:hAnsi="Calibri"/>
          <w:sz w:val="22"/>
          <w:szCs w:val="22"/>
        </w:rPr>
        <w:t xml:space="preserve">According to UNFPA, </w:t>
      </w:r>
      <w:r w:rsidRPr="00E5281E">
        <w:rPr>
          <w:rFonts w:ascii="Calibri" w:hAnsi="Calibri"/>
          <w:sz w:val="22"/>
          <w:szCs w:val="22"/>
        </w:rPr>
        <w:t>there are 1.2 billion adolescents in the world, of which, nine out of ten live in developing countries and 55% reside in rural areas.</w:t>
      </w:r>
      <w:r w:rsidRPr="004C0D5F">
        <w:rPr>
          <w:rFonts w:ascii="Calibri" w:hAnsi="Calibri"/>
          <w:sz w:val="22"/>
          <w:szCs w:val="22"/>
        </w:rPr>
        <w:t xml:space="preserve">  </w:t>
      </w:r>
      <w:r>
        <w:rPr>
          <w:rFonts w:ascii="Calibri" w:hAnsi="Calibri"/>
          <w:sz w:val="22"/>
          <w:szCs w:val="22"/>
        </w:rPr>
        <w:t>In many regions, y</w:t>
      </w:r>
      <w:r w:rsidRPr="004C0D5F">
        <w:rPr>
          <w:rFonts w:ascii="Calibri" w:hAnsi="Calibri"/>
          <w:sz w:val="22"/>
          <w:szCs w:val="22"/>
        </w:rPr>
        <w:t xml:space="preserve">oung farmers are the future of agriculture and rural </w:t>
      </w:r>
      <w:r>
        <w:rPr>
          <w:rFonts w:ascii="Calibri" w:hAnsi="Calibri"/>
          <w:sz w:val="22"/>
          <w:szCs w:val="22"/>
        </w:rPr>
        <w:t>development</w:t>
      </w:r>
      <w:r w:rsidRPr="004C0D5F">
        <w:rPr>
          <w:rFonts w:ascii="Calibri" w:hAnsi="Calibri"/>
          <w:sz w:val="22"/>
          <w:szCs w:val="22"/>
        </w:rPr>
        <w:t>. They are</w:t>
      </w:r>
      <w:r>
        <w:rPr>
          <w:rFonts w:ascii="Calibri" w:hAnsi="Calibri"/>
          <w:sz w:val="22"/>
          <w:szCs w:val="22"/>
        </w:rPr>
        <w:t xml:space="preserve"> usually </w:t>
      </w:r>
      <w:r w:rsidRPr="004C0D5F">
        <w:rPr>
          <w:rFonts w:ascii="Calibri" w:hAnsi="Calibri"/>
          <w:sz w:val="22"/>
          <w:szCs w:val="22"/>
        </w:rPr>
        <w:t xml:space="preserve">endowed with a sense of innovation, creativity and dynamism. Young </w:t>
      </w:r>
      <w:r>
        <w:rPr>
          <w:rFonts w:ascii="Calibri" w:hAnsi="Calibri"/>
          <w:sz w:val="22"/>
          <w:szCs w:val="22"/>
        </w:rPr>
        <w:t xml:space="preserve">women and men </w:t>
      </w:r>
      <w:r w:rsidRPr="004C0D5F">
        <w:rPr>
          <w:rFonts w:ascii="Calibri" w:hAnsi="Calibri"/>
          <w:sz w:val="22"/>
          <w:szCs w:val="22"/>
        </w:rPr>
        <w:t>farmers are t</w:t>
      </w:r>
      <w:r>
        <w:rPr>
          <w:rFonts w:ascii="Calibri" w:hAnsi="Calibri"/>
          <w:sz w:val="22"/>
          <w:szCs w:val="22"/>
        </w:rPr>
        <w:t>he entrepreneurs of tomorrow and</w:t>
      </w:r>
      <w:r w:rsidRPr="004C0D5F">
        <w:rPr>
          <w:rFonts w:ascii="Calibri" w:hAnsi="Calibri"/>
          <w:sz w:val="22"/>
          <w:szCs w:val="22"/>
        </w:rPr>
        <w:t xml:space="preserve"> can potentially overcome the food security challenge.</w:t>
      </w:r>
    </w:p>
    <w:p w:rsidR="007E0AA8" w:rsidRDefault="007E0AA8" w:rsidP="007E0AA8">
      <w:pPr>
        <w:pStyle w:val="Default"/>
        <w:jc w:val="both"/>
        <w:rPr>
          <w:sz w:val="22"/>
          <w:szCs w:val="22"/>
        </w:rPr>
      </w:pPr>
    </w:p>
    <w:p w:rsidR="007E0AA8" w:rsidRPr="004C0D5F" w:rsidRDefault="007E0AA8" w:rsidP="007E0AA8">
      <w:pPr>
        <w:pStyle w:val="Default"/>
        <w:jc w:val="both"/>
        <w:rPr>
          <w:sz w:val="22"/>
          <w:szCs w:val="22"/>
        </w:rPr>
      </w:pPr>
      <w:r w:rsidRPr="004C0D5F">
        <w:rPr>
          <w:sz w:val="22"/>
          <w:szCs w:val="22"/>
        </w:rPr>
        <w:t xml:space="preserve">And yet, recent riots all over the world demonstrate the dissatisfaction and frustration of younger generations who feel uncertain and desperate about their future. </w:t>
      </w:r>
      <w:r>
        <w:rPr>
          <w:sz w:val="22"/>
          <w:szCs w:val="22"/>
        </w:rPr>
        <w:t>Youth</w:t>
      </w:r>
      <w:r w:rsidRPr="004C0D5F">
        <w:rPr>
          <w:sz w:val="22"/>
          <w:szCs w:val="22"/>
        </w:rPr>
        <w:t xml:space="preserve"> are faced with unacceptable levels of unemployment. </w:t>
      </w:r>
      <w:r w:rsidRPr="000E5180">
        <w:rPr>
          <w:sz w:val="22"/>
          <w:szCs w:val="22"/>
        </w:rPr>
        <w:t>In 2009 in North Africa and the Middle East, youth unemployment reached 24.7% and 22.3% respectively. In addition, an estimated 400 million youth worldwide – or about one third of all youth aged 15 to 24 – suffer from a deficit of decent work opportunities</w:t>
      </w:r>
      <w:r>
        <w:rPr>
          <w:sz w:val="22"/>
          <w:szCs w:val="22"/>
        </w:rPr>
        <w:t>.</w:t>
      </w:r>
      <w:r w:rsidRPr="004C0D5F">
        <w:rPr>
          <w:sz w:val="22"/>
          <w:szCs w:val="22"/>
        </w:rPr>
        <w:t xml:space="preserve"> The vast majority of jobs available to youth are low paid, insecure, and with few benefits or prospects for advancement</w:t>
      </w:r>
      <w:r>
        <w:rPr>
          <w:sz w:val="22"/>
          <w:szCs w:val="22"/>
        </w:rPr>
        <w:t>, particularly in rural areas</w:t>
      </w:r>
      <w:r w:rsidRPr="004C0D5F">
        <w:rPr>
          <w:sz w:val="22"/>
          <w:szCs w:val="22"/>
        </w:rPr>
        <w:t xml:space="preserve">. Around 25 percent of </w:t>
      </w:r>
      <w:r>
        <w:rPr>
          <w:sz w:val="22"/>
          <w:szCs w:val="22"/>
        </w:rPr>
        <w:t>all</w:t>
      </w:r>
      <w:r w:rsidRPr="004C0D5F">
        <w:rPr>
          <w:sz w:val="22"/>
          <w:szCs w:val="22"/>
        </w:rPr>
        <w:t xml:space="preserve"> youth </w:t>
      </w:r>
      <w:r>
        <w:rPr>
          <w:sz w:val="22"/>
          <w:szCs w:val="22"/>
        </w:rPr>
        <w:t>are employed</w:t>
      </w:r>
      <w:r w:rsidRPr="004C0D5F">
        <w:rPr>
          <w:sz w:val="22"/>
          <w:szCs w:val="22"/>
        </w:rPr>
        <w:t>, but live on less than the equivalent of US$ 2 per day</w:t>
      </w:r>
      <w:r>
        <w:rPr>
          <w:sz w:val="22"/>
          <w:szCs w:val="22"/>
        </w:rPr>
        <w:t xml:space="preserve"> </w:t>
      </w:r>
      <w:r w:rsidRPr="00ED7B33">
        <w:rPr>
          <w:sz w:val="22"/>
          <w:szCs w:val="22"/>
        </w:rPr>
        <w:t>(</w:t>
      </w:r>
      <w:r>
        <w:rPr>
          <w:sz w:val="20"/>
          <w:szCs w:val="20"/>
        </w:rPr>
        <w:t>ILO, 2010</w:t>
      </w:r>
      <w:r>
        <w:rPr>
          <w:sz w:val="22"/>
          <w:szCs w:val="22"/>
        </w:rPr>
        <w:t>).</w:t>
      </w:r>
    </w:p>
    <w:p w:rsidR="007E0AA8" w:rsidRPr="004C0D5F" w:rsidRDefault="007E0AA8" w:rsidP="007E0AA8">
      <w:pPr>
        <w:pStyle w:val="Default"/>
        <w:jc w:val="both"/>
        <w:rPr>
          <w:sz w:val="22"/>
          <w:szCs w:val="22"/>
        </w:rPr>
      </w:pPr>
    </w:p>
    <w:p w:rsidR="007E0AA8" w:rsidRPr="004C0D5F" w:rsidRDefault="007E0AA8" w:rsidP="007E0AA8">
      <w:pPr>
        <w:pStyle w:val="Default"/>
        <w:jc w:val="both"/>
        <w:rPr>
          <w:sz w:val="22"/>
          <w:szCs w:val="22"/>
        </w:rPr>
      </w:pPr>
      <w:r>
        <w:rPr>
          <w:sz w:val="22"/>
          <w:szCs w:val="22"/>
        </w:rPr>
        <w:t>Compared to urban populations, rural populations</w:t>
      </w:r>
      <w:r w:rsidRPr="004C0D5F">
        <w:rPr>
          <w:sz w:val="22"/>
          <w:szCs w:val="22"/>
        </w:rPr>
        <w:t xml:space="preserve"> suffer from high</w:t>
      </w:r>
      <w:r>
        <w:rPr>
          <w:sz w:val="22"/>
          <w:szCs w:val="22"/>
        </w:rPr>
        <w:t>er</w:t>
      </w:r>
      <w:r w:rsidRPr="004C0D5F">
        <w:rPr>
          <w:sz w:val="22"/>
          <w:szCs w:val="22"/>
        </w:rPr>
        <w:t xml:space="preserve"> levels of poverty</w:t>
      </w:r>
      <w:r>
        <w:rPr>
          <w:sz w:val="22"/>
          <w:szCs w:val="22"/>
        </w:rPr>
        <w:t>,</w:t>
      </w:r>
      <w:r w:rsidRPr="004C0D5F">
        <w:rPr>
          <w:sz w:val="22"/>
          <w:szCs w:val="22"/>
        </w:rPr>
        <w:t xml:space="preserve"> </w:t>
      </w:r>
      <w:r>
        <w:rPr>
          <w:sz w:val="22"/>
          <w:szCs w:val="22"/>
        </w:rPr>
        <w:t xml:space="preserve">more </w:t>
      </w:r>
      <w:r w:rsidRPr="004C0D5F">
        <w:rPr>
          <w:sz w:val="22"/>
          <w:szCs w:val="22"/>
        </w:rPr>
        <w:t>limited education and training, poor</w:t>
      </w:r>
      <w:r>
        <w:rPr>
          <w:sz w:val="22"/>
          <w:szCs w:val="22"/>
        </w:rPr>
        <w:t>er</w:t>
      </w:r>
      <w:r w:rsidRPr="004C0D5F">
        <w:rPr>
          <w:sz w:val="22"/>
          <w:szCs w:val="22"/>
        </w:rPr>
        <w:t xml:space="preserve"> access to information and </w:t>
      </w:r>
      <w:r>
        <w:rPr>
          <w:sz w:val="22"/>
          <w:szCs w:val="22"/>
        </w:rPr>
        <w:t>technology, as well as</w:t>
      </w:r>
      <w:r w:rsidRPr="004C0D5F">
        <w:rPr>
          <w:sz w:val="22"/>
          <w:szCs w:val="22"/>
        </w:rPr>
        <w:t xml:space="preserve"> </w:t>
      </w:r>
      <w:r>
        <w:rPr>
          <w:sz w:val="22"/>
          <w:szCs w:val="22"/>
        </w:rPr>
        <w:t>more restricted</w:t>
      </w:r>
      <w:r w:rsidRPr="004C0D5F">
        <w:rPr>
          <w:sz w:val="22"/>
          <w:szCs w:val="22"/>
        </w:rPr>
        <w:t xml:space="preserve"> access to </w:t>
      </w:r>
      <w:proofErr w:type="spellStart"/>
      <w:r w:rsidRPr="004C0D5F">
        <w:rPr>
          <w:sz w:val="22"/>
          <w:szCs w:val="22"/>
        </w:rPr>
        <w:t>labo</w:t>
      </w:r>
      <w:r>
        <w:rPr>
          <w:sz w:val="22"/>
          <w:szCs w:val="22"/>
        </w:rPr>
        <w:t>u</w:t>
      </w:r>
      <w:r w:rsidRPr="004C0D5F">
        <w:rPr>
          <w:sz w:val="22"/>
          <w:szCs w:val="22"/>
        </w:rPr>
        <w:t>r</w:t>
      </w:r>
      <w:proofErr w:type="spellEnd"/>
      <w:r w:rsidRPr="004C0D5F">
        <w:rPr>
          <w:sz w:val="22"/>
          <w:szCs w:val="22"/>
        </w:rPr>
        <w:t xml:space="preserve"> markets. </w:t>
      </w:r>
      <w:r>
        <w:rPr>
          <w:sz w:val="22"/>
          <w:szCs w:val="22"/>
        </w:rPr>
        <w:t xml:space="preserve">This situation is particularly acute for young farmers who </w:t>
      </w:r>
      <w:r w:rsidRPr="004C0D5F">
        <w:rPr>
          <w:sz w:val="22"/>
          <w:szCs w:val="22"/>
        </w:rPr>
        <w:t>face a myriad of constraints</w:t>
      </w:r>
      <w:r w:rsidRPr="00D7010C">
        <w:rPr>
          <w:sz w:val="22"/>
          <w:szCs w:val="22"/>
        </w:rPr>
        <w:t xml:space="preserve"> </w:t>
      </w:r>
      <w:r>
        <w:rPr>
          <w:sz w:val="22"/>
          <w:szCs w:val="22"/>
        </w:rPr>
        <w:t xml:space="preserve">that are specific to their condition. These </w:t>
      </w:r>
      <w:r w:rsidRPr="004C0D5F">
        <w:rPr>
          <w:sz w:val="22"/>
          <w:szCs w:val="22"/>
        </w:rPr>
        <w:t xml:space="preserve">mainly </w:t>
      </w:r>
      <w:r>
        <w:rPr>
          <w:sz w:val="22"/>
          <w:szCs w:val="22"/>
        </w:rPr>
        <w:t xml:space="preserve">include limited </w:t>
      </w:r>
      <w:r w:rsidRPr="004C0D5F">
        <w:rPr>
          <w:sz w:val="22"/>
          <w:szCs w:val="22"/>
        </w:rPr>
        <w:t>access to productive assets and markets a</w:t>
      </w:r>
      <w:r>
        <w:rPr>
          <w:sz w:val="22"/>
          <w:szCs w:val="22"/>
        </w:rPr>
        <w:t>s well as high transaction costs, in particular when</w:t>
      </w:r>
      <w:r w:rsidRPr="004C0D5F">
        <w:rPr>
          <w:sz w:val="22"/>
          <w:szCs w:val="22"/>
        </w:rPr>
        <w:t xml:space="preserve"> </w:t>
      </w:r>
      <w:r>
        <w:rPr>
          <w:sz w:val="22"/>
          <w:szCs w:val="22"/>
        </w:rPr>
        <w:t xml:space="preserve">young farmers </w:t>
      </w:r>
      <w:r w:rsidRPr="004C0D5F">
        <w:rPr>
          <w:sz w:val="22"/>
          <w:szCs w:val="22"/>
        </w:rPr>
        <w:t>tak</w:t>
      </w:r>
      <w:r>
        <w:rPr>
          <w:sz w:val="22"/>
          <w:szCs w:val="22"/>
        </w:rPr>
        <w:t>e</w:t>
      </w:r>
      <w:r w:rsidRPr="004C0D5F">
        <w:rPr>
          <w:sz w:val="22"/>
          <w:szCs w:val="22"/>
        </w:rPr>
        <w:t xml:space="preserve"> over </w:t>
      </w:r>
      <w:r>
        <w:rPr>
          <w:sz w:val="22"/>
          <w:szCs w:val="22"/>
        </w:rPr>
        <w:t xml:space="preserve">inherited </w:t>
      </w:r>
      <w:r w:rsidRPr="004C0D5F">
        <w:rPr>
          <w:sz w:val="22"/>
          <w:szCs w:val="22"/>
        </w:rPr>
        <w:t>farms and settl</w:t>
      </w:r>
      <w:r>
        <w:rPr>
          <w:sz w:val="22"/>
          <w:szCs w:val="22"/>
        </w:rPr>
        <w:t>e</w:t>
      </w:r>
      <w:r w:rsidRPr="004C0D5F">
        <w:rPr>
          <w:sz w:val="22"/>
          <w:szCs w:val="22"/>
        </w:rPr>
        <w:t xml:space="preserve"> in farming</w:t>
      </w:r>
      <w:r>
        <w:rPr>
          <w:sz w:val="22"/>
          <w:szCs w:val="22"/>
        </w:rPr>
        <w:t xml:space="preserve"> for the first time. </w:t>
      </w:r>
    </w:p>
    <w:p w:rsidR="007E0AA8" w:rsidRDefault="007E0AA8" w:rsidP="007E0AA8">
      <w:pPr>
        <w:pStyle w:val="Default"/>
        <w:jc w:val="both"/>
        <w:rPr>
          <w:sz w:val="22"/>
          <w:szCs w:val="22"/>
        </w:rPr>
      </w:pPr>
    </w:p>
    <w:p w:rsidR="007E0AA8" w:rsidRPr="004C0D5F" w:rsidRDefault="007E0AA8" w:rsidP="007E0AA8">
      <w:pPr>
        <w:pStyle w:val="Default"/>
        <w:jc w:val="both"/>
        <w:rPr>
          <w:sz w:val="22"/>
          <w:szCs w:val="22"/>
        </w:rPr>
      </w:pPr>
      <w:r w:rsidRPr="004C0D5F">
        <w:rPr>
          <w:sz w:val="22"/>
          <w:szCs w:val="22"/>
        </w:rPr>
        <w:t>In many developing countries,</w:t>
      </w:r>
      <w:r w:rsidRPr="004C0D5F">
        <w:rPr>
          <w:b/>
          <w:sz w:val="22"/>
          <w:szCs w:val="22"/>
        </w:rPr>
        <w:t xml:space="preserve"> </w:t>
      </w:r>
      <w:r w:rsidRPr="004C0D5F">
        <w:rPr>
          <w:sz w:val="22"/>
          <w:szCs w:val="22"/>
        </w:rPr>
        <w:t xml:space="preserve">young farmers </w:t>
      </w:r>
      <w:r>
        <w:rPr>
          <w:sz w:val="22"/>
          <w:szCs w:val="22"/>
        </w:rPr>
        <w:t>are</w:t>
      </w:r>
      <w:r w:rsidRPr="004C0D5F">
        <w:rPr>
          <w:sz w:val="22"/>
          <w:szCs w:val="22"/>
        </w:rPr>
        <w:t xml:space="preserve"> ignored in policies and </w:t>
      </w:r>
      <w:proofErr w:type="spellStart"/>
      <w:r w:rsidRPr="004C0D5F">
        <w:rPr>
          <w:sz w:val="22"/>
          <w:szCs w:val="22"/>
        </w:rPr>
        <w:t>programmes</w:t>
      </w:r>
      <w:proofErr w:type="spellEnd"/>
      <w:r w:rsidRPr="004C0D5F">
        <w:rPr>
          <w:sz w:val="22"/>
          <w:szCs w:val="22"/>
        </w:rPr>
        <w:t xml:space="preserve">. This is partly a result of weak farmers’ organizations and cooperatives which </w:t>
      </w:r>
      <w:r>
        <w:rPr>
          <w:sz w:val="22"/>
          <w:szCs w:val="22"/>
        </w:rPr>
        <w:t>often fail to</w:t>
      </w:r>
      <w:r w:rsidRPr="004C0D5F">
        <w:rPr>
          <w:sz w:val="22"/>
          <w:szCs w:val="22"/>
        </w:rPr>
        <w:t xml:space="preserve"> represent the</w:t>
      </w:r>
      <w:r>
        <w:rPr>
          <w:sz w:val="22"/>
          <w:szCs w:val="22"/>
        </w:rPr>
        <w:t>ir</w:t>
      </w:r>
      <w:r w:rsidRPr="004C0D5F">
        <w:rPr>
          <w:sz w:val="22"/>
          <w:szCs w:val="22"/>
        </w:rPr>
        <w:t xml:space="preserve"> interest</w:t>
      </w:r>
      <w:r>
        <w:rPr>
          <w:sz w:val="22"/>
          <w:szCs w:val="22"/>
        </w:rPr>
        <w:t>s</w:t>
      </w:r>
      <w:r w:rsidRPr="004C0D5F">
        <w:rPr>
          <w:sz w:val="22"/>
          <w:szCs w:val="22"/>
        </w:rPr>
        <w:t>. As a result, rural youth</w:t>
      </w:r>
      <w:r>
        <w:rPr>
          <w:sz w:val="22"/>
          <w:szCs w:val="22"/>
        </w:rPr>
        <w:t>,</w:t>
      </w:r>
      <w:r w:rsidRPr="004C0D5F">
        <w:rPr>
          <w:sz w:val="22"/>
          <w:szCs w:val="22"/>
        </w:rPr>
        <w:t xml:space="preserve"> including young farmers</w:t>
      </w:r>
      <w:r>
        <w:rPr>
          <w:sz w:val="22"/>
          <w:szCs w:val="22"/>
        </w:rPr>
        <w:t>,</w:t>
      </w:r>
      <w:r w:rsidRPr="004C0D5F">
        <w:rPr>
          <w:sz w:val="22"/>
          <w:szCs w:val="22"/>
        </w:rPr>
        <w:t xml:space="preserve"> tend to have lower aspirations than their urban peers. There is </w:t>
      </w:r>
      <w:r>
        <w:rPr>
          <w:sz w:val="22"/>
          <w:szCs w:val="22"/>
        </w:rPr>
        <w:t xml:space="preserve">often </w:t>
      </w:r>
      <w:proofErr w:type="gramStart"/>
      <w:r w:rsidRPr="004C0D5F">
        <w:rPr>
          <w:sz w:val="22"/>
          <w:szCs w:val="22"/>
        </w:rPr>
        <w:t>a</w:t>
      </w:r>
      <w:r>
        <w:rPr>
          <w:sz w:val="22"/>
          <w:szCs w:val="22"/>
        </w:rPr>
        <w:t xml:space="preserve"> </w:t>
      </w:r>
      <w:r w:rsidRPr="004C0D5F">
        <w:rPr>
          <w:sz w:val="22"/>
          <w:szCs w:val="22"/>
        </w:rPr>
        <w:t>disconnect</w:t>
      </w:r>
      <w:proofErr w:type="gramEnd"/>
      <w:r w:rsidRPr="004C0D5F">
        <w:rPr>
          <w:sz w:val="22"/>
          <w:szCs w:val="22"/>
        </w:rPr>
        <w:t xml:space="preserve"> between youth’s potential and their actual access to resources. </w:t>
      </w:r>
    </w:p>
    <w:p w:rsidR="007E0AA8" w:rsidRPr="004C0D5F" w:rsidRDefault="007E0AA8" w:rsidP="007E0AA8">
      <w:pPr>
        <w:pStyle w:val="Default"/>
        <w:jc w:val="both"/>
        <w:rPr>
          <w:sz w:val="22"/>
          <w:szCs w:val="22"/>
        </w:rPr>
      </w:pPr>
    </w:p>
    <w:p w:rsidR="007E0AA8" w:rsidRPr="004C0D5F" w:rsidRDefault="007E0AA8" w:rsidP="007E0AA8">
      <w:pPr>
        <w:pStyle w:val="Default"/>
        <w:jc w:val="both"/>
        <w:rPr>
          <w:b/>
          <w:sz w:val="22"/>
          <w:szCs w:val="22"/>
        </w:rPr>
      </w:pPr>
      <w:r w:rsidRPr="004C0D5F">
        <w:rPr>
          <w:b/>
          <w:sz w:val="22"/>
          <w:szCs w:val="22"/>
        </w:rPr>
        <w:t>Cooperatives can empower youth</w:t>
      </w:r>
    </w:p>
    <w:p w:rsidR="007E0AA8" w:rsidRDefault="007E0AA8" w:rsidP="007E0AA8">
      <w:pPr>
        <w:pStyle w:val="Default"/>
        <w:jc w:val="both"/>
        <w:rPr>
          <w:sz w:val="22"/>
          <w:szCs w:val="22"/>
        </w:rPr>
      </w:pPr>
    </w:p>
    <w:p w:rsidR="007E0AA8" w:rsidRDefault="007E0AA8" w:rsidP="007E0AA8">
      <w:pPr>
        <w:pStyle w:val="Default"/>
        <w:jc w:val="both"/>
        <w:rPr>
          <w:sz w:val="22"/>
          <w:szCs w:val="22"/>
        </w:rPr>
      </w:pPr>
      <w:r w:rsidRPr="004C0D5F">
        <w:rPr>
          <w:sz w:val="22"/>
          <w:szCs w:val="22"/>
        </w:rPr>
        <w:t xml:space="preserve">Young </w:t>
      </w:r>
      <w:r>
        <w:rPr>
          <w:sz w:val="22"/>
          <w:szCs w:val="22"/>
        </w:rPr>
        <w:t xml:space="preserve">women and men </w:t>
      </w:r>
      <w:r w:rsidRPr="004C0D5F">
        <w:rPr>
          <w:sz w:val="22"/>
          <w:szCs w:val="22"/>
        </w:rPr>
        <w:t xml:space="preserve">farmers have the drive and capacity to modernize and innovate. </w:t>
      </w:r>
      <w:r>
        <w:rPr>
          <w:sz w:val="22"/>
          <w:szCs w:val="22"/>
        </w:rPr>
        <w:t xml:space="preserve">For instance they </w:t>
      </w:r>
      <w:r w:rsidRPr="00607B67">
        <w:rPr>
          <w:sz w:val="22"/>
          <w:szCs w:val="22"/>
        </w:rPr>
        <w:t xml:space="preserve">increasingly use ICT’s </w:t>
      </w:r>
      <w:r>
        <w:rPr>
          <w:sz w:val="22"/>
          <w:szCs w:val="22"/>
        </w:rPr>
        <w:t>such as</w:t>
      </w:r>
      <w:r w:rsidRPr="00607B67">
        <w:rPr>
          <w:sz w:val="22"/>
          <w:szCs w:val="22"/>
        </w:rPr>
        <w:t xml:space="preserve"> mobile phones and social media tools, in order to share information</w:t>
      </w:r>
      <w:r>
        <w:rPr>
          <w:sz w:val="22"/>
          <w:szCs w:val="22"/>
        </w:rPr>
        <w:t>.</w:t>
      </w:r>
      <w:r w:rsidRPr="008676A8">
        <w:rPr>
          <w:sz w:val="22"/>
          <w:szCs w:val="22"/>
        </w:rPr>
        <w:t xml:space="preserve"> Evidence shows that </w:t>
      </w:r>
      <w:r>
        <w:rPr>
          <w:sz w:val="22"/>
          <w:szCs w:val="22"/>
        </w:rPr>
        <w:t xml:space="preserve">in some countries, </w:t>
      </w:r>
      <w:r w:rsidRPr="008676A8">
        <w:rPr>
          <w:sz w:val="22"/>
          <w:szCs w:val="22"/>
        </w:rPr>
        <w:t>younger household heads who are engaged</w:t>
      </w:r>
      <w:r>
        <w:rPr>
          <w:sz w:val="22"/>
          <w:szCs w:val="22"/>
        </w:rPr>
        <w:t xml:space="preserve"> </w:t>
      </w:r>
      <w:r w:rsidRPr="008676A8">
        <w:rPr>
          <w:sz w:val="22"/>
          <w:szCs w:val="22"/>
        </w:rPr>
        <w:t>in farming tend to derive a higher income from their agricultural activities than older</w:t>
      </w:r>
      <w:r>
        <w:rPr>
          <w:sz w:val="22"/>
          <w:szCs w:val="22"/>
        </w:rPr>
        <w:t xml:space="preserve"> </w:t>
      </w:r>
      <w:r w:rsidRPr="008676A8">
        <w:rPr>
          <w:sz w:val="22"/>
          <w:szCs w:val="22"/>
        </w:rPr>
        <w:t>household heads. This is probably because the younger generation is more open to new crops</w:t>
      </w:r>
      <w:r>
        <w:rPr>
          <w:sz w:val="22"/>
          <w:szCs w:val="22"/>
        </w:rPr>
        <w:t xml:space="preserve"> </w:t>
      </w:r>
      <w:r w:rsidRPr="008676A8">
        <w:rPr>
          <w:sz w:val="22"/>
          <w:szCs w:val="22"/>
        </w:rPr>
        <w:t xml:space="preserve">and technologies that </w:t>
      </w:r>
      <w:r>
        <w:rPr>
          <w:sz w:val="22"/>
          <w:szCs w:val="22"/>
        </w:rPr>
        <w:t xml:space="preserve">can </w:t>
      </w:r>
      <w:r w:rsidRPr="008676A8">
        <w:rPr>
          <w:sz w:val="22"/>
          <w:szCs w:val="22"/>
        </w:rPr>
        <w:t>produce higher yield</w:t>
      </w:r>
      <w:r>
        <w:rPr>
          <w:sz w:val="22"/>
          <w:szCs w:val="22"/>
        </w:rPr>
        <w:t>s</w:t>
      </w:r>
      <w:r w:rsidRPr="008676A8">
        <w:rPr>
          <w:sz w:val="22"/>
          <w:szCs w:val="22"/>
        </w:rPr>
        <w:t>.</w:t>
      </w:r>
    </w:p>
    <w:p w:rsidR="007E0AA8" w:rsidRPr="000E5180" w:rsidRDefault="007E0AA8" w:rsidP="007E0AA8">
      <w:pPr>
        <w:pStyle w:val="Default"/>
        <w:jc w:val="both"/>
        <w:rPr>
          <w:sz w:val="22"/>
          <w:szCs w:val="22"/>
        </w:rPr>
      </w:pPr>
    </w:p>
    <w:p w:rsidR="007E0AA8" w:rsidRPr="00487109" w:rsidRDefault="007E0AA8" w:rsidP="007E0AA8">
      <w:pPr>
        <w:jc w:val="both"/>
        <w:rPr>
          <w:rFonts w:ascii="Calibri" w:eastAsia="Perpetua" w:hAnsi="Calibri" w:cs="Calibri"/>
          <w:color w:val="000000"/>
          <w:sz w:val="22"/>
          <w:szCs w:val="22"/>
          <w:lang w:val="en-US" w:eastAsia="en-US"/>
        </w:rPr>
      </w:pPr>
      <w:r w:rsidRPr="00487109">
        <w:rPr>
          <w:rFonts w:ascii="Calibri" w:eastAsia="Perpetua" w:hAnsi="Calibri" w:cs="Calibri"/>
          <w:color w:val="000000"/>
          <w:sz w:val="22"/>
          <w:szCs w:val="22"/>
          <w:lang w:val="en-US" w:eastAsia="en-US"/>
        </w:rPr>
        <w:t xml:space="preserve">Producer organizations and cooperatives often represent an effective means of empowering farmers, especially the marginalized categories such as women and youth. By forming their own cooperatives or taking part in mixed-age ones, young farmers can gain access to </w:t>
      </w:r>
      <w:r>
        <w:rPr>
          <w:rFonts w:ascii="Calibri" w:eastAsia="Perpetua" w:hAnsi="Calibri" w:cs="Calibri"/>
          <w:color w:val="000000"/>
          <w:sz w:val="22"/>
          <w:szCs w:val="22"/>
          <w:lang w:val="en-US" w:eastAsia="en-US"/>
        </w:rPr>
        <w:t>a wide array of</w:t>
      </w:r>
      <w:r w:rsidRPr="00487109">
        <w:rPr>
          <w:rFonts w:ascii="Calibri" w:eastAsia="Perpetua" w:hAnsi="Calibri" w:cs="Calibri"/>
          <w:color w:val="000000"/>
          <w:sz w:val="22"/>
          <w:szCs w:val="22"/>
          <w:lang w:val="en-US" w:eastAsia="en-US"/>
        </w:rPr>
        <w:t xml:space="preserve"> services</w:t>
      </w:r>
      <w:r w:rsidRPr="00AC4313">
        <w:rPr>
          <w:rFonts w:ascii="Calibri" w:eastAsia="Perpetua" w:hAnsi="Calibri" w:cs="Calibri"/>
          <w:color w:val="000000"/>
          <w:sz w:val="22"/>
          <w:szCs w:val="22"/>
          <w:lang w:val="en-US" w:eastAsia="en-US"/>
        </w:rPr>
        <w:t xml:space="preserve"> </w:t>
      </w:r>
      <w:r>
        <w:rPr>
          <w:rFonts w:ascii="Calibri" w:eastAsia="Perpetua" w:hAnsi="Calibri" w:cs="Calibri"/>
          <w:color w:val="000000"/>
          <w:sz w:val="22"/>
          <w:szCs w:val="22"/>
          <w:lang w:val="en-US" w:eastAsia="en-US"/>
        </w:rPr>
        <w:t xml:space="preserve">ranging from </w:t>
      </w:r>
      <w:r w:rsidRPr="00487109">
        <w:rPr>
          <w:rFonts w:ascii="Calibri" w:eastAsia="Perpetua" w:hAnsi="Calibri" w:cs="Calibri"/>
          <w:color w:val="000000"/>
          <w:sz w:val="22"/>
          <w:szCs w:val="22"/>
          <w:lang w:val="en-US" w:eastAsia="en-US"/>
        </w:rPr>
        <w:t xml:space="preserve">access to and management </w:t>
      </w:r>
      <w:r>
        <w:rPr>
          <w:rFonts w:ascii="Calibri" w:eastAsia="Perpetua" w:hAnsi="Calibri" w:cs="Calibri"/>
          <w:color w:val="000000"/>
          <w:sz w:val="22"/>
          <w:szCs w:val="22"/>
          <w:lang w:val="en-US" w:eastAsia="en-US"/>
        </w:rPr>
        <w:t xml:space="preserve">of natural resources, </w:t>
      </w:r>
      <w:r w:rsidRPr="00487109">
        <w:rPr>
          <w:rFonts w:ascii="Calibri" w:eastAsia="Perpetua" w:hAnsi="Calibri" w:cs="Calibri"/>
          <w:color w:val="000000"/>
          <w:sz w:val="22"/>
          <w:szCs w:val="22"/>
          <w:lang w:val="en-US" w:eastAsia="en-US"/>
        </w:rPr>
        <w:t>information, technologie</w:t>
      </w:r>
      <w:r>
        <w:rPr>
          <w:rFonts w:ascii="Calibri" w:eastAsia="Perpetua" w:hAnsi="Calibri" w:cs="Calibri"/>
          <w:color w:val="000000"/>
          <w:sz w:val="22"/>
          <w:szCs w:val="22"/>
          <w:lang w:val="en-US" w:eastAsia="en-US"/>
        </w:rPr>
        <w:t xml:space="preserve">s, and </w:t>
      </w:r>
      <w:r w:rsidRPr="00487109">
        <w:rPr>
          <w:rFonts w:ascii="Calibri" w:eastAsia="Perpetua" w:hAnsi="Calibri" w:cs="Calibri"/>
          <w:color w:val="000000"/>
          <w:sz w:val="22"/>
          <w:szCs w:val="22"/>
          <w:lang w:val="en-US" w:eastAsia="en-US"/>
        </w:rPr>
        <w:t>participation in policy making. Through</w:t>
      </w:r>
      <w:r>
        <w:rPr>
          <w:rFonts w:ascii="Calibri" w:eastAsia="Perpetua" w:hAnsi="Calibri" w:cs="Calibri"/>
          <w:color w:val="000000"/>
          <w:sz w:val="22"/>
          <w:szCs w:val="22"/>
          <w:lang w:val="en-US" w:eastAsia="en-US"/>
        </w:rPr>
        <w:t xml:space="preserve"> their organizations, young </w:t>
      </w:r>
      <w:r>
        <w:rPr>
          <w:rFonts w:ascii="Calibri" w:eastAsia="Perpetua" w:hAnsi="Calibri" w:cs="Calibri"/>
          <w:color w:val="000000"/>
          <w:sz w:val="22"/>
          <w:szCs w:val="22"/>
          <w:lang w:val="en-US" w:eastAsia="en-US"/>
        </w:rPr>
        <w:lastRenderedPageBreak/>
        <w:t xml:space="preserve">farmers can </w:t>
      </w:r>
      <w:r w:rsidRPr="00487109">
        <w:rPr>
          <w:rFonts w:ascii="Calibri" w:eastAsia="Perpetua" w:hAnsi="Calibri" w:cs="Calibri"/>
          <w:color w:val="000000"/>
          <w:sz w:val="22"/>
          <w:szCs w:val="22"/>
          <w:lang w:val="en-US" w:eastAsia="en-US"/>
        </w:rPr>
        <w:t xml:space="preserve">improve their livelihoods and thus refrain from migrating to overcrowded urban </w:t>
      </w:r>
      <w:proofErr w:type="spellStart"/>
      <w:r w:rsidRPr="00487109">
        <w:rPr>
          <w:rFonts w:ascii="Calibri" w:eastAsia="Perpetua" w:hAnsi="Calibri" w:cs="Calibri"/>
          <w:color w:val="000000"/>
          <w:sz w:val="22"/>
          <w:szCs w:val="22"/>
          <w:lang w:val="en-US" w:eastAsia="en-US"/>
        </w:rPr>
        <w:t>centr</w:t>
      </w:r>
      <w:r>
        <w:rPr>
          <w:rFonts w:ascii="Calibri" w:eastAsia="Perpetua" w:hAnsi="Calibri" w:cs="Calibri"/>
          <w:color w:val="000000"/>
          <w:sz w:val="22"/>
          <w:szCs w:val="22"/>
          <w:lang w:val="en-US" w:eastAsia="en-US"/>
        </w:rPr>
        <w:t>e</w:t>
      </w:r>
      <w:r w:rsidRPr="00487109">
        <w:rPr>
          <w:rFonts w:ascii="Calibri" w:eastAsia="Perpetua" w:hAnsi="Calibri" w:cs="Calibri"/>
          <w:color w:val="000000"/>
          <w:sz w:val="22"/>
          <w:szCs w:val="22"/>
          <w:lang w:val="en-US" w:eastAsia="en-US"/>
        </w:rPr>
        <w:t>s</w:t>
      </w:r>
      <w:proofErr w:type="spellEnd"/>
      <w:r w:rsidRPr="00487109">
        <w:rPr>
          <w:rFonts w:ascii="Calibri" w:eastAsia="Perpetua" w:hAnsi="Calibri" w:cs="Calibri"/>
          <w:color w:val="000000"/>
          <w:sz w:val="22"/>
          <w:szCs w:val="22"/>
          <w:lang w:val="en-US" w:eastAsia="en-US"/>
        </w:rPr>
        <w:t xml:space="preserve">. They become empowered and active agents of change, </w:t>
      </w:r>
      <w:r>
        <w:rPr>
          <w:rFonts w:ascii="Calibri" w:eastAsia="Perpetua" w:hAnsi="Calibri" w:cs="Calibri"/>
          <w:color w:val="000000"/>
          <w:sz w:val="22"/>
          <w:szCs w:val="22"/>
          <w:lang w:val="en-US" w:eastAsia="en-US"/>
        </w:rPr>
        <w:t xml:space="preserve">and </w:t>
      </w:r>
      <w:r w:rsidRPr="00487109">
        <w:rPr>
          <w:rFonts w:ascii="Calibri" w:eastAsia="Perpetua" w:hAnsi="Calibri" w:cs="Calibri"/>
          <w:color w:val="000000"/>
          <w:sz w:val="22"/>
          <w:szCs w:val="22"/>
          <w:lang w:val="en-US" w:eastAsia="en-US"/>
        </w:rPr>
        <w:t>entrepreneurs and promoters of social transformation in rural areas.</w:t>
      </w:r>
    </w:p>
    <w:p w:rsidR="007E0AA8" w:rsidRPr="004C0D5F" w:rsidRDefault="007E0AA8" w:rsidP="007E0AA8">
      <w:pPr>
        <w:pStyle w:val="Default"/>
        <w:jc w:val="both"/>
        <w:rPr>
          <w:sz w:val="22"/>
          <w:szCs w:val="22"/>
        </w:rPr>
      </w:pPr>
    </w:p>
    <w:p w:rsidR="007E0AA8" w:rsidRDefault="007E0AA8" w:rsidP="007E0AA8">
      <w:pPr>
        <w:pStyle w:val="Default"/>
        <w:jc w:val="both"/>
        <w:rPr>
          <w:b/>
          <w:sz w:val="22"/>
          <w:szCs w:val="22"/>
        </w:rPr>
      </w:pPr>
      <w:r w:rsidRPr="004C0D5F">
        <w:rPr>
          <w:b/>
          <w:sz w:val="22"/>
          <w:szCs w:val="22"/>
        </w:rPr>
        <w:t>Policies and approaches to strengthen youth participation in cooperatives</w:t>
      </w:r>
    </w:p>
    <w:p w:rsidR="007E0AA8" w:rsidRPr="004C0D5F" w:rsidRDefault="007E0AA8" w:rsidP="007E0AA8">
      <w:pPr>
        <w:pStyle w:val="Default"/>
        <w:ind w:left="360"/>
        <w:jc w:val="both"/>
        <w:rPr>
          <w:b/>
          <w:sz w:val="22"/>
          <w:szCs w:val="22"/>
        </w:rPr>
      </w:pPr>
    </w:p>
    <w:p w:rsidR="007E0AA8" w:rsidRDefault="007E0AA8" w:rsidP="007E0AA8">
      <w:pPr>
        <w:pStyle w:val="Default"/>
        <w:jc w:val="both"/>
        <w:rPr>
          <w:sz w:val="22"/>
          <w:szCs w:val="22"/>
        </w:rPr>
      </w:pPr>
      <w:r>
        <w:rPr>
          <w:sz w:val="22"/>
          <w:szCs w:val="22"/>
        </w:rPr>
        <w:t xml:space="preserve">Young women and men farmers represent a real asset for the future of the agricultural sector and rural development in many countries.  To develop the potential of the younger generation of farmers, specific </w:t>
      </w:r>
      <w:proofErr w:type="spellStart"/>
      <w:r>
        <w:rPr>
          <w:sz w:val="22"/>
          <w:szCs w:val="22"/>
        </w:rPr>
        <w:t>programmes</w:t>
      </w:r>
      <w:proofErr w:type="spellEnd"/>
      <w:r>
        <w:rPr>
          <w:sz w:val="22"/>
          <w:szCs w:val="22"/>
        </w:rPr>
        <w:t xml:space="preserve"> and policies targeting young women and men farmers need to be put in place at regional, national and local levels. These measures need to be accompanied by appropriate resource allocation plans. </w:t>
      </w:r>
    </w:p>
    <w:p w:rsidR="007E0AA8" w:rsidRDefault="007E0AA8" w:rsidP="007E0AA8">
      <w:pPr>
        <w:pStyle w:val="Default"/>
        <w:jc w:val="both"/>
        <w:rPr>
          <w:sz w:val="22"/>
          <w:szCs w:val="22"/>
        </w:rPr>
      </w:pPr>
    </w:p>
    <w:p w:rsidR="007E0AA8" w:rsidRDefault="007E0AA8" w:rsidP="007E0AA8">
      <w:pPr>
        <w:pStyle w:val="Default"/>
        <w:jc w:val="both"/>
        <w:rPr>
          <w:sz w:val="22"/>
          <w:szCs w:val="22"/>
        </w:rPr>
      </w:pPr>
      <w:r>
        <w:rPr>
          <w:sz w:val="22"/>
          <w:szCs w:val="22"/>
        </w:rPr>
        <w:t>In coordination with relevant stakeholders including young women and men farmers, Governments can help to create enabling environments that strengthen the capacities of existing independent</w:t>
      </w:r>
      <w:r w:rsidRPr="004C0D5F">
        <w:rPr>
          <w:sz w:val="22"/>
          <w:szCs w:val="22"/>
        </w:rPr>
        <w:t xml:space="preserve"> young farmers’ organizations</w:t>
      </w:r>
      <w:r>
        <w:rPr>
          <w:sz w:val="22"/>
          <w:szCs w:val="22"/>
        </w:rPr>
        <w:t xml:space="preserve"> and facilitate the creation of new ones where they do not exist. </w:t>
      </w:r>
    </w:p>
    <w:p w:rsidR="007E0AA8" w:rsidRDefault="007E0AA8" w:rsidP="007E0AA8">
      <w:pPr>
        <w:pStyle w:val="Default"/>
        <w:jc w:val="both"/>
        <w:rPr>
          <w:sz w:val="22"/>
          <w:szCs w:val="22"/>
        </w:rPr>
      </w:pPr>
    </w:p>
    <w:p w:rsidR="007E0AA8" w:rsidRDefault="007E0AA8" w:rsidP="007E0AA8">
      <w:pPr>
        <w:pStyle w:val="Default"/>
        <w:jc w:val="both"/>
        <w:rPr>
          <w:sz w:val="22"/>
          <w:szCs w:val="22"/>
        </w:rPr>
      </w:pPr>
      <w:r>
        <w:rPr>
          <w:sz w:val="22"/>
          <w:szCs w:val="22"/>
        </w:rPr>
        <w:t xml:space="preserve">To ensure that their needs are addressed, mixed-age cooperatives need to raise the awareness of their members and put in place the right governance structures, such as young farmer committees and boards, to </w:t>
      </w:r>
      <w:r w:rsidRPr="004C0D5F">
        <w:rPr>
          <w:sz w:val="22"/>
          <w:szCs w:val="22"/>
        </w:rPr>
        <w:t>encourage the effective</w:t>
      </w:r>
      <w:r>
        <w:rPr>
          <w:sz w:val="22"/>
          <w:szCs w:val="22"/>
        </w:rPr>
        <w:t xml:space="preserve"> </w:t>
      </w:r>
      <w:r w:rsidRPr="004C0D5F">
        <w:rPr>
          <w:sz w:val="22"/>
          <w:szCs w:val="22"/>
        </w:rPr>
        <w:t>participation</w:t>
      </w:r>
      <w:r>
        <w:rPr>
          <w:sz w:val="22"/>
          <w:szCs w:val="22"/>
        </w:rPr>
        <w:t xml:space="preserve"> of young women and men farmers in their activities and decision making processes.  </w:t>
      </w:r>
    </w:p>
    <w:p w:rsidR="007E0AA8" w:rsidRDefault="007E0AA8" w:rsidP="007E0AA8">
      <w:pPr>
        <w:pStyle w:val="Default"/>
        <w:jc w:val="both"/>
        <w:rPr>
          <w:sz w:val="22"/>
          <w:szCs w:val="22"/>
        </w:rPr>
      </w:pPr>
    </w:p>
    <w:p w:rsidR="007E0AA8" w:rsidRPr="004C0D5F" w:rsidRDefault="007E0AA8" w:rsidP="007E0AA8">
      <w:pPr>
        <w:pStyle w:val="Default"/>
        <w:jc w:val="both"/>
        <w:rPr>
          <w:sz w:val="22"/>
          <w:szCs w:val="22"/>
        </w:rPr>
      </w:pPr>
      <w:r>
        <w:rPr>
          <w:sz w:val="22"/>
          <w:szCs w:val="22"/>
        </w:rPr>
        <w:t xml:space="preserve">It is only under these conditions that young farmers will become the leaders and entrepreneurs of tomorrow, capable of harnessing the full contribution that the rural and agricultural sectors have to make to national and global economies.   </w:t>
      </w:r>
    </w:p>
    <w:p w:rsidR="007E0AA8" w:rsidRDefault="007E0AA8" w:rsidP="007E0AA8">
      <w:pPr>
        <w:pStyle w:val="Default"/>
        <w:jc w:val="both"/>
        <w:rPr>
          <w:sz w:val="22"/>
          <w:szCs w:val="22"/>
        </w:rPr>
      </w:pPr>
    </w:p>
    <w:p w:rsidR="007E0AA8" w:rsidRDefault="007E0AA8" w:rsidP="007E0AA8">
      <w:pPr>
        <w:pStyle w:val="Default"/>
        <w:jc w:val="both"/>
        <w:rPr>
          <w:sz w:val="22"/>
          <w:szCs w:val="22"/>
        </w:rPr>
      </w:pPr>
    </w:p>
    <w:p w:rsidR="007E0AA8" w:rsidRDefault="007E0AA8" w:rsidP="007E0AA8">
      <w:pPr>
        <w:pStyle w:val="Default"/>
        <w:jc w:val="both"/>
        <w:rPr>
          <w:sz w:val="22"/>
          <w:szCs w:val="22"/>
        </w:rPr>
      </w:pPr>
    </w:p>
    <w:p w:rsidR="007E0AA8" w:rsidRPr="004C0D5F" w:rsidRDefault="007E0AA8" w:rsidP="007E0AA8">
      <w:pPr>
        <w:pStyle w:val="Default"/>
        <w:jc w:val="both"/>
        <w:rPr>
          <w:sz w:val="22"/>
          <w:szCs w:val="22"/>
        </w:rPr>
      </w:pPr>
      <w:r w:rsidRPr="004C0D5F">
        <w:rPr>
          <w:sz w:val="22"/>
          <w:szCs w:val="22"/>
        </w:rPr>
        <w:t xml:space="preserve"> </w:t>
      </w:r>
    </w:p>
    <w:p w:rsidR="007E0AA8" w:rsidRPr="004C0D5F" w:rsidRDefault="007E0AA8" w:rsidP="007E0AA8">
      <w:pPr>
        <w:widowControl w:val="0"/>
        <w:autoSpaceDE w:val="0"/>
        <w:autoSpaceDN w:val="0"/>
        <w:adjustRightInd w:val="0"/>
        <w:jc w:val="both"/>
        <w:rPr>
          <w:rFonts w:ascii="Calibri" w:hAnsi="Calibri" w:cs="Tahoma"/>
          <w:sz w:val="22"/>
          <w:szCs w:val="22"/>
        </w:rPr>
      </w:pPr>
    </w:p>
    <w:p w:rsidR="007E0AA8" w:rsidRPr="004C0D5F" w:rsidRDefault="007E0AA8" w:rsidP="007E0AA8">
      <w:pPr>
        <w:autoSpaceDE w:val="0"/>
        <w:autoSpaceDN w:val="0"/>
        <w:adjustRightInd w:val="0"/>
        <w:jc w:val="both"/>
        <w:rPr>
          <w:sz w:val="22"/>
          <w:szCs w:val="22"/>
          <w:lang w:val="en-US"/>
        </w:rPr>
      </w:pPr>
    </w:p>
    <w:p w:rsidR="007E0AA8" w:rsidRDefault="007E0AA8" w:rsidP="007E0AA8"/>
    <w:p w:rsidR="007E0AA8" w:rsidRDefault="007E0AA8">
      <w:pPr>
        <w:ind w:left="720" w:right="720"/>
      </w:pPr>
    </w:p>
    <w:sectPr w:rsidR="007E0AA8" w:rsidSect="00C04919">
      <w:footnotePr>
        <w:numRestart w:val="eachPage"/>
      </w:footnotePr>
      <w:type w:val="continuous"/>
      <w:pgSz w:w="11907" w:h="16840" w:code="9"/>
      <w:pgMar w:top="1440" w:right="720" w:bottom="1440" w:left="851" w:header="720" w:footer="72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32D" w:rsidRDefault="009B332D">
      <w:r>
        <w:separator/>
      </w:r>
    </w:p>
  </w:endnote>
  <w:endnote w:type="continuationSeparator" w:id="0">
    <w:p w:rsidR="009B332D" w:rsidRDefault="009B33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Perpetu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FA" w:rsidRDefault="00967CFA">
    <w:pPr>
      <w:pStyle w:val="Footer"/>
      <w:tabs>
        <w:tab w:val="left" w:pos="1701"/>
      </w:tabs>
      <w:ind w:left="1134"/>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32D" w:rsidRDefault="009B332D">
      <w:r>
        <w:separator/>
      </w:r>
    </w:p>
  </w:footnote>
  <w:footnote w:type="continuationSeparator" w:id="0">
    <w:p w:rsidR="009B332D" w:rsidRDefault="009B33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FA" w:rsidRDefault="00C04919">
    <w:pPr>
      <w:pStyle w:val="Header"/>
      <w:framePr w:wrap="around" w:vAnchor="text" w:hAnchor="margin" w:xAlign="center" w:y="1"/>
      <w:rPr>
        <w:rStyle w:val="PageNumber"/>
      </w:rPr>
    </w:pPr>
    <w:r>
      <w:rPr>
        <w:rStyle w:val="PageNumber"/>
      </w:rPr>
      <w:fldChar w:fldCharType="begin"/>
    </w:r>
    <w:r w:rsidR="00967CFA">
      <w:rPr>
        <w:rStyle w:val="PageNumber"/>
      </w:rPr>
      <w:instrText xml:space="preserve">PAGE  </w:instrText>
    </w:r>
    <w:r>
      <w:rPr>
        <w:rStyle w:val="PageNumber"/>
      </w:rPr>
      <w:fldChar w:fldCharType="end"/>
    </w:r>
  </w:p>
  <w:p w:rsidR="00967CFA" w:rsidRDefault="00967C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FA" w:rsidRDefault="00967CFA">
    <w:pPr>
      <w:pStyle w:val="Header"/>
      <w:framePr w:w="433" w:wrap="around" w:vAnchor="text" w:hAnchor="page" w:x="5761" w:y="9"/>
      <w:rPr>
        <w:rStyle w:val="PageNumber"/>
      </w:rPr>
    </w:pPr>
    <w:r>
      <w:rPr>
        <w:rStyle w:val="PageNumber"/>
      </w:rPr>
      <w:t xml:space="preserve">- </w:t>
    </w:r>
    <w:r w:rsidR="00C04919">
      <w:rPr>
        <w:rStyle w:val="PageNumber"/>
      </w:rPr>
      <w:fldChar w:fldCharType="begin"/>
    </w:r>
    <w:r>
      <w:rPr>
        <w:rStyle w:val="PageNumber"/>
      </w:rPr>
      <w:instrText xml:space="preserve">PAGE  </w:instrText>
    </w:r>
    <w:r w:rsidR="00C04919">
      <w:rPr>
        <w:rStyle w:val="PageNumber"/>
      </w:rPr>
      <w:fldChar w:fldCharType="separate"/>
    </w:r>
    <w:r w:rsidR="00F7050D">
      <w:rPr>
        <w:rStyle w:val="PageNumber"/>
        <w:noProof/>
      </w:rPr>
      <w:t>2</w:t>
    </w:r>
    <w:r w:rsidR="00C04919">
      <w:rPr>
        <w:rStyle w:val="PageNumber"/>
      </w:rPr>
      <w:fldChar w:fldCharType="end"/>
    </w:r>
    <w:r>
      <w:rPr>
        <w:rStyle w:val="PageNumber"/>
      </w:rPr>
      <w:t xml:space="preserve"> -</w:t>
    </w:r>
  </w:p>
  <w:p w:rsidR="00967CFA" w:rsidRDefault="00967C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6A0" w:rsidRDefault="0035098A" w:rsidP="008836A0">
    <w:pPr>
      <w:pStyle w:val="Header"/>
      <w:tabs>
        <w:tab w:val="left" w:pos="5245"/>
        <w:tab w:val="left" w:pos="5954"/>
      </w:tabs>
      <w:rPr>
        <w:lang w:val="en-US"/>
      </w:rPr>
    </w:pPr>
    <w:r>
      <w:rPr>
        <w:noProof/>
        <w:lang w:val="en-US" w:eastAsia="en-US"/>
      </w:rPr>
      <w:drawing>
        <wp:inline distT="0" distB="0" distL="0" distR="0">
          <wp:extent cx="6671945" cy="1028065"/>
          <wp:effectExtent l="19050" t="0" r="0" b="0"/>
          <wp:docPr id="1" name="Picture 1" descr="FAOletterhead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Oletterheadv2"/>
                  <pic:cNvPicPr>
                    <a:picLocks noChangeAspect="1" noChangeArrowheads="1"/>
                  </pic:cNvPicPr>
                </pic:nvPicPr>
                <pic:blipFill>
                  <a:blip r:embed="rId1"/>
                  <a:srcRect b="63171"/>
                  <a:stretch>
                    <a:fillRect/>
                  </a:stretch>
                </pic:blipFill>
                <pic:spPr bwMode="auto">
                  <a:xfrm>
                    <a:off x="0" y="0"/>
                    <a:ext cx="6671945" cy="1028065"/>
                  </a:xfrm>
                  <a:prstGeom prst="rect">
                    <a:avLst/>
                  </a:prstGeom>
                  <a:noFill/>
                  <a:ln w="9525">
                    <a:noFill/>
                    <a:miter lim="800000"/>
                    <a:headEnd/>
                    <a:tailEnd/>
                  </a:ln>
                </pic:spPr>
              </pic:pic>
            </a:graphicData>
          </a:graphic>
        </wp:inline>
      </w:drawing>
    </w:r>
  </w:p>
  <w:p w:rsidR="008836A0" w:rsidRDefault="008836A0" w:rsidP="008836A0">
    <w:pPr>
      <w:tabs>
        <w:tab w:val="left" w:pos="5245"/>
        <w:tab w:val="left" w:pos="5954"/>
        <w:tab w:val="left" w:pos="10348"/>
      </w:tabs>
      <w:rPr>
        <w:sz w:val="8"/>
      </w:rPr>
    </w:pPr>
    <w:r>
      <w:rPr>
        <w:sz w:val="8"/>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attachedTemplate r:id="rId1"/>
  <w:stylePaneFormatFilter w:val="3F01"/>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6146"/>
  </w:hdrShapeDefaults>
  <w:footnotePr>
    <w:numRestart w:val="eachPage"/>
    <w:footnote w:id="-1"/>
    <w:footnote w:id="0"/>
  </w:footnotePr>
  <w:endnotePr>
    <w:endnote w:id="-1"/>
    <w:endnote w:id="0"/>
  </w:endnotePr>
  <w:compat/>
  <w:docVars>
    <w:docVar w:name="bCarbonCopy" w:val="0"/>
    <w:docVar w:name="bInitials" w:val="0"/>
    <w:docVar w:name="bRegCode" w:val="0"/>
    <w:docVar w:name="iCCCount" w:val=" 1"/>
  </w:docVars>
  <w:rsids>
    <w:rsidRoot w:val="008F200D"/>
    <w:rsid w:val="00007DF2"/>
    <w:rsid w:val="00010549"/>
    <w:rsid w:val="00010F42"/>
    <w:rsid w:val="00012093"/>
    <w:rsid w:val="00042FAE"/>
    <w:rsid w:val="000612B9"/>
    <w:rsid w:val="00096173"/>
    <w:rsid w:val="0009666F"/>
    <w:rsid w:val="000D046D"/>
    <w:rsid w:val="000D157C"/>
    <w:rsid w:val="000E7945"/>
    <w:rsid w:val="00130A35"/>
    <w:rsid w:val="00135052"/>
    <w:rsid w:val="0015142A"/>
    <w:rsid w:val="00176D35"/>
    <w:rsid w:val="00181561"/>
    <w:rsid w:val="00192FBF"/>
    <w:rsid w:val="001D2A0B"/>
    <w:rsid w:val="0025174E"/>
    <w:rsid w:val="00270943"/>
    <w:rsid w:val="00286ADB"/>
    <w:rsid w:val="002A1753"/>
    <w:rsid w:val="002C4893"/>
    <w:rsid w:val="002E3906"/>
    <w:rsid w:val="00335FB3"/>
    <w:rsid w:val="0035098A"/>
    <w:rsid w:val="00380763"/>
    <w:rsid w:val="003850F6"/>
    <w:rsid w:val="00391224"/>
    <w:rsid w:val="003E2E32"/>
    <w:rsid w:val="003F21D0"/>
    <w:rsid w:val="003F2E94"/>
    <w:rsid w:val="003F609C"/>
    <w:rsid w:val="00456FFF"/>
    <w:rsid w:val="00466E6E"/>
    <w:rsid w:val="0048388C"/>
    <w:rsid w:val="004A343D"/>
    <w:rsid w:val="004B5D9C"/>
    <w:rsid w:val="004C3CA6"/>
    <w:rsid w:val="004D1DE8"/>
    <w:rsid w:val="00510364"/>
    <w:rsid w:val="0052795B"/>
    <w:rsid w:val="005324B9"/>
    <w:rsid w:val="00543562"/>
    <w:rsid w:val="005D553E"/>
    <w:rsid w:val="005F4AFB"/>
    <w:rsid w:val="00644496"/>
    <w:rsid w:val="00656B16"/>
    <w:rsid w:val="00664F59"/>
    <w:rsid w:val="00665A19"/>
    <w:rsid w:val="00672654"/>
    <w:rsid w:val="00691C8A"/>
    <w:rsid w:val="006A447E"/>
    <w:rsid w:val="007012DB"/>
    <w:rsid w:val="00702EE3"/>
    <w:rsid w:val="0072105A"/>
    <w:rsid w:val="00730AE6"/>
    <w:rsid w:val="00741623"/>
    <w:rsid w:val="007573C0"/>
    <w:rsid w:val="007825C2"/>
    <w:rsid w:val="00786B1A"/>
    <w:rsid w:val="007872A1"/>
    <w:rsid w:val="007A5C7C"/>
    <w:rsid w:val="007B31DC"/>
    <w:rsid w:val="007E0AA8"/>
    <w:rsid w:val="0080496A"/>
    <w:rsid w:val="00836339"/>
    <w:rsid w:val="00846E59"/>
    <w:rsid w:val="00864791"/>
    <w:rsid w:val="008704D3"/>
    <w:rsid w:val="008836A0"/>
    <w:rsid w:val="008C6155"/>
    <w:rsid w:val="008F200D"/>
    <w:rsid w:val="00924A73"/>
    <w:rsid w:val="00930E9B"/>
    <w:rsid w:val="0093270E"/>
    <w:rsid w:val="00964AFA"/>
    <w:rsid w:val="00967CFA"/>
    <w:rsid w:val="00971B90"/>
    <w:rsid w:val="009B332D"/>
    <w:rsid w:val="009D04F3"/>
    <w:rsid w:val="009D7405"/>
    <w:rsid w:val="00A2547A"/>
    <w:rsid w:val="00A33034"/>
    <w:rsid w:val="00A33A41"/>
    <w:rsid w:val="00A55803"/>
    <w:rsid w:val="00A64BAD"/>
    <w:rsid w:val="00A87E1F"/>
    <w:rsid w:val="00AD6E49"/>
    <w:rsid w:val="00AE7088"/>
    <w:rsid w:val="00AF3A36"/>
    <w:rsid w:val="00B1068A"/>
    <w:rsid w:val="00B449C6"/>
    <w:rsid w:val="00B560F8"/>
    <w:rsid w:val="00B66B04"/>
    <w:rsid w:val="00B8206B"/>
    <w:rsid w:val="00B8724E"/>
    <w:rsid w:val="00BC58A4"/>
    <w:rsid w:val="00BD438D"/>
    <w:rsid w:val="00C04919"/>
    <w:rsid w:val="00C05A41"/>
    <w:rsid w:val="00C27216"/>
    <w:rsid w:val="00C30F4D"/>
    <w:rsid w:val="00C36712"/>
    <w:rsid w:val="00C7446B"/>
    <w:rsid w:val="00CB52C0"/>
    <w:rsid w:val="00CC7398"/>
    <w:rsid w:val="00CE26B0"/>
    <w:rsid w:val="00D02FEF"/>
    <w:rsid w:val="00D426E3"/>
    <w:rsid w:val="00D63ABA"/>
    <w:rsid w:val="00D64E84"/>
    <w:rsid w:val="00D71F44"/>
    <w:rsid w:val="00D82616"/>
    <w:rsid w:val="00DA50A5"/>
    <w:rsid w:val="00DB312F"/>
    <w:rsid w:val="00DB78AB"/>
    <w:rsid w:val="00DD427C"/>
    <w:rsid w:val="00DE4807"/>
    <w:rsid w:val="00DE4D6E"/>
    <w:rsid w:val="00DE6EEE"/>
    <w:rsid w:val="00DF11F9"/>
    <w:rsid w:val="00E119FA"/>
    <w:rsid w:val="00E33588"/>
    <w:rsid w:val="00E77EB6"/>
    <w:rsid w:val="00E94217"/>
    <w:rsid w:val="00EB0147"/>
    <w:rsid w:val="00EB66E2"/>
    <w:rsid w:val="00ED3071"/>
    <w:rsid w:val="00EE5B82"/>
    <w:rsid w:val="00EF1291"/>
    <w:rsid w:val="00F20455"/>
    <w:rsid w:val="00F26719"/>
    <w:rsid w:val="00F27AA8"/>
    <w:rsid w:val="00F31054"/>
    <w:rsid w:val="00F336DE"/>
    <w:rsid w:val="00F51884"/>
    <w:rsid w:val="00F628B2"/>
    <w:rsid w:val="00F6740F"/>
    <w:rsid w:val="00F7050D"/>
    <w:rsid w:val="00F957EA"/>
    <w:rsid w:val="00FC5624"/>
    <w:rsid w:val="00FE6635"/>
    <w:rsid w:val="00FE69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19"/>
    <w:rPr>
      <w:sz w:val="24"/>
      <w:lang w:val="en-GB" w:eastAsia="en-GB"/>
    </w:rPr>
  </w:style>
  <w:style w:type="paragraph" w:styleId="Heading2">
    <w:name w:val="heading 2"/>
    <w:basedOn w:val="Normal"/>
    <w:next w:val="Normal"/>
    <w:qFormat/>
    <w:rsid w:val="00C04919"/>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4919"/>
    <w:pPr>
      <w:tabs>
        <w:tab w:val="center" w:pos="4320"/>
        <w:tab w:val="right" w:pos="8640"/>
      </w:tabs>
    </w:pPr>
  </w:style>
  <w:style w:type="character" w:styleId="PageNumber">
    <w:name w:val="page number"/>
    <w:basedOn w:val="DefaultParagraphFont"/>
    <w:rsid w:val="00C04919"/>
  </w:style>
  <w:style w:type="paragraph" w:styleId="Footer">
    <w:name w:val="footer"/>
    <w:basedOn w:val="Normal"/>
    <w:rsid w:val="00C04919"/>
    <w:pPr>
      <w:tabs>
        <w:tab w:val="center" w:pos="4320"/>
        <w:tab w:val="right" w:pos="8640"/>
      </w:tabs>
    </w:pPr>
  </w:style>
  <w:style w:type="paragraph" w:styleId="FootnoteText">
    <w:name w:val="footnote text"/>
    <w:basedOn w:val="Normal"/>
    <w:semiHidden/>
    <w:rsid w:val="00C04919"/>
    <w:pPr>
      <w:ind w:left="720" w:right="720"/>
    </w:pPr>
    <w:rPr>
      <w:sz w:val="20"/>
    </w:rPr>
  </w:style>
  <w:style w:type="character" w:styleId="FootnoteReference">
    <w:name w:val="footnote reference"/>
    <w:basedOn w:val="DefaultParagraphFont"/>
    <w:semiHidden/>
    <w:rsid w:val="00C04919"/>
    <w:rPr>
      <w:vertAlign w:val="superscript"/>
    </w:rPr>
  </w:style>
  <w:style w:type="table" w:styleId="TableGrid">
    <w:name w:val="Table Grid"/>
    <w:basedOn w:val="TableNormal"/>
    <w:rsid w:val="004A3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0AA8"/>
    <w:rPr>
      <w:rFonts w:ascii="Tahoma" w:hAnsi="Tahoma" w:cs="Tahoma"/>
      <w:sz w:val="16"/>
      <w:szCs w:val="16"/>
    </w:rPr>
  </w:style>
  <w:style w:type="character" w:customStyle="1" w:styleId="BalloonTextChar">
    <w:name w:val="Balloon Text Char"/>
    <w:basedOn w:val="DefaultParagraphFont"/>
    <w:link w:val="BalloonText"/>
    <w:uiPriority w:val="99"/>
    <w:semiHidden/>
    <w:rsid w:val="007E0AA8"/>
    <w:rPr>
      <w:rFonts w:ascii="Tahoma" w:hAnsi="Tahoma" w:cs="Tahoma"/>
      <w:sz w:val="16"/>
      <w:szCs w:val="16"/>
      <w:lang w:val="en-GB" w:eastAsia="en-GB"/>
    </w:rPr>
  </w:style>
  <w:style w:type="paragraph" w:customStyle="1" w:styleId="Default">
    <w:name w:val="Default"/>
    <w:rsid w:val="007E0AA8"/>
    <w:pPr>
      <w:autoSpaceDE w:val="0"/>
      <w:autoSpaceDN w:val="0"/>
      <w:adjustRightInd w:val="0"/>
    </w:pPr>
    <w:rPr>
      <w:rFonts w:ascii="Calibri" w:eastAsia="Perpetua"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corp\template\Letterh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Letterhd.dot</Template>
  <TotalTime>1</TotalTime>
  <Pages>2</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Letterhead</vt:lpstr>
    </vt:vector>
  </TitlesOfParts>
  <Company>FAO of The UN</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jamian</dc:creator>
  <cp:keywords/>
  <cp:lastModifiedBy>hirsch</cp:lastModifiedBy>
  <cp:revision>2</cp:revision>
  <cp:lastPrinted>2009-08-04T13:25:00Z</cp:lastPrinted>
  <dcterms:created xsi:type="dcterms:W3CDTF">2011-07-01T14:42:00Z</dcterms:created>
  <dcterms:modified xsi:type="dcterms:W3CDTF">2011-07-01T14:42:00Z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KC</vt:lpwstr>
  </property>
  <property fmtid="{D5CDD505-2E9C-101B-9397-08002B2CF9AE}" pid="3" name="Division">
    <vt:lpwstr>KCT</vt:lpwstr>
  </property>
  <property fmtid="{D5CDD505-2E9C-101B-9397-08002B2CF9AE}" pid="4" name="Owner">
    <vt:lpwstr>KCT Forms Support</vt:lpwstr>
  </property>
</Properties>
</file>