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AAE" w:rsidRPr="002527CC" w:rsidRDefault="00287D89" w:rsidP="00FD5B27">
      <w:pPr>
        <w:rPr>
          <w:lang w:val="fr-FR" w:eastAsia="en-GB"/>
        </w:rPr>
      </w:pPr>
      <w:r w:rsidRPr="00287D89">
        <w:rPr>
          <w:lang w:val="fr-FR" w:eastAsia="en-GB"/>
        </w:rPr>
        <w:pict>
          <v:group id="_x0000_s1099" style="position:absolute;left:0;text-align:left;margin-left:-1in;margin-top:-52.5pt;width:569.75pt;height:128.5pt;z-index:251660288" coordorigin="-30,525" coordsize="11395,2570">
            <v:rect id="_x0000_s1100" style="position:absolute;left:3725;top:2300;width:7640;height:720;mso-position-horizontal-relative:page;mso-position-vertical-relative:page" coordsize="21600,21600" filled="f" stroked="f" strokeweight="1pt">
              <v:fill o:detectmouseclick="t"/>
              <v:path arrowok="t" o:connectlocs="10800,10800"/>
              <v:textbox style="mso-next-textbox:#_x0000_s1100" inset="0,0,0,0">
                <w:txbxContent>
                  <w:p w:rsidR="005A35C2" w:rsidRPr="00AD1EA0" w:rsidRDefault="005A35C2" w:rsidP="00FD5B27">
                    <w:pPr>
                      <w:pStyle w:val="Headercoverpage"/>
                      <w:rPr>
                        <w:rFonts w:ascii="Times New Roman" w:hAnsi="Times New Roman"/>
                        <w:color w:val="auto"/>
                        <w:sz w:val="20"/>
                        <w:lang w:eastAsia="en-GB"/>
                      </w:rPr>
                    </w:pPr>
                    <w:r>
                      <w:t xml:space="preserve">Bureau de </w:t>
                    </w:r>
                    <w:r w:rsidRPr="00BF4AA9">
                      <w:t>l’Evaluation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101" type="#_x0000_t75" style="position:absolute;left:1130;top:525;width:1134;height:1134;visibility:visible;mso-position-horizontal-relative:page;mso-position-vertical-relative:page">
              <v:imagedata r:id="rId8" o:title=""/>
            </v:shape>
            <v:shapetype id="_x0000_t202" coordsize="21600,21600" o:spt="202" path="m,l,21600r21600,l21600,xe">
              <v:stroke joinstyle="miter"/>
              <v:path gradientshapeok="t" o:connecttype="rect"/>
            </v:shapetype>
            <v:shape id="_x0000_s1102" type="#_x0000_t202" style="position:absolute;left:-30;top:1835;width:3395;height:1260" filled="f" stroked="f">
              <v:textbox style="mso-next-textbox:#_x0000_s1102">
                <w:txbxContent>
                  <w:p w:rsidR="005A35C2" w:rsidRPr="003B5001" w:rsidRDefault="005A35C2" w:rsidP="00FD5B27">
                    <w:pPr>
                      <w:pStyle w:val="HeadercoverFAO"/>
                    </w:pPr>
                    <w:r w:rsidRPr="00BF4AA9">
                      <w:t xml:space="preserve">Organisation </w:t>
                    </w:r>
                    <w:r>
                      <w:t xml:space="preserve">des Nations Unies pour </w:t>
                    </w:r>
                    <w:r w:rsidRPr="00BF4AA9">
                      <w:t>l</w:t>
                    </w:r>
                    <w:r>
                      <w:t>’alimentation et l’agriculture</w:t>
                    </w:r>
                  </w:p>
                </w:txbxContent>
              </v:textbox>
            </v:shape>
          </v:group>
        </w:pict>
      </w:r>
      <w:r w:rsidRPr="00287D89">
        <w:rPr>
          <w:lang w:val="fr-FR" w:eastAsia="en-GB"/>
        </w:rPr>
        <w:pict>
          <v:rect id="_x0000_s1103" style="position:absolute;left:0;text-align:left;margin-left:0;margin-top:-1.5pt;width:169pt;height:849.75pt;z-index:-251655168;mso-position-horizontal-relative:page;mso-position-vertical-relative:page" coordsize="21600,21600" fillcolor="#538ebd" stroked="f" strokeweight="1pt">
            <v:fill color2="fill darken(153)" o:detectmouseclick="t" angle="-45" focusposition=".5,.5" focussize="" colors="0 #538ebd;31807f #4076a1;1 #2d5f86" type="gradient"/>
            <v:path arrowok="t" o:connectlocs="10800,10800"/>
            <v:textbox style="mso-next-textbox:#_x0000_s1103" inset="8pt,8pt,8pt,8pt">
              <w:txbxContent>
                <w:p w:rsidR="005A35C2" w:rsidRDefault="005A35C2">
                  <w:pPr>
                    <w:pStyle w:val="Documenttitle"/>
                    <w:rPr>
                      <w:rFonts w:ascii="Times New Roman" w:eastAsia="Times New Roman" w:hAnsi="Times New Roman"/>
                      <w:color w:val="auto"/>
                      <w:sz w:val="20"/>
                      <w:lang w:val="en-GB" w:eastAsia="en-GB"/>
                    </w:rPr>
                  </w:pPr>
                </w:p>
              </w:txbxContent>
            </v:textbox>
            <w10:wrap anchorx="page" anchory="page"/>
          </v:rect>
        </w:pict>
      </w:r>
      <w:r w:rsidRPr="00287D89">
        <w:rPr>
          <w:lang w:val="fr-FR" w:eastAsia="en-GB"/>
        </w:rPr>
        <w:pict>
          <v:line id="_x0000_s1104" style="position:absolute;left:0;text-align:left;z-index:-251654144;mso-position-horizontal-relative:page;mso-position-vertical-relative:page" from="0,141pt" to="595.35pt,141pt" coordsize="21600,21600" strokecolor="#18486d" strokeweight="1pt">
            <v:fill o:detectmouseclick="t"/>
            <v:stroke joinstyle="miter"/>
            <v:path o:connectlocs="10800,10800"/>
            <v:textbox style="mso-next-textbox:#_x0000_s1104" inset="0,0,0,0">
              <w:txbxContent>
                <w:p w:rsidR="005A35C2" w:rsidRPr="00066788" w:rsidRDefault="005A35C2" w:rsidP="00FD5B27">
                  <w:pPr>
                    <w:jc w:val="center"/>
                    <w:rPr>
                      <w:rFonts w:ascii="Trebuchet MS" w:hAnsi="Trebuchet MS" w:cs="Arial"/>
                      <w:color w:val="FFFFFF"/>
                      <w:sz w:val="22"/>
                      <w:szCs w:val="22"/>
                    </w:rPr>
                  </w:pPr>
                  <w:r w:rsidRPr="00066788">
                    <w:rPr>
                      <w:rFonts w:ascii="Trebuchet MS" w:hAnsi="Trebuchet MS" w:cs="Arial"/>
                      <w:color w:val="FFFFFF"/>
                      <w:sz w:val="22"/>
                      <w:szCs w:val="22"/>
                    </w:rPr>
                    <w:t xml:space="preserve">Food and Agriculture </w:t>
                  </w:r>
                  <w:r w:rsidRPr="00066788">
                    <w:rPr>
                      <w:rFonts w:ascii="Trebuchet MS" w:hAnsi="Trebuchet MS" w:cs="Arial"/>
                      <w:color w:val="FFFFFF"/>
                      <w:sz w:val="22"/>
                      <w:szCs w:val="22"/>
                    </w:rPr>
                    <w:br/>
                    <w:t xml:space="preserve">Organization of the </w:t>
                  </w:r>
                  <w:r w:rsidRPr="00066788">
                    <w:rPr>
                      <w:rFonts w:ascii="Trebuchet MS" w:hAnsi="Trebuchet MS" w:cs="Arial"/>
                      <w:color w:val="FFFFFF"/>
                      <w:sz w:val="22"/>
                      <w:szCs w:val="22"/>
                    </w:rPr>
                    <w:br/>
                    <w:t>United Nations</w:t>
                  </w:r>
                </w:p>
              </w:txbxContent>
            </v:textbox>
            <w10:wrap anchorx="page" anchory="page"/>
          </v:line>
        </w:pict>
      </w:r>
      <w:r w:rsidRPr="00287D89">
        <w:rPr>
          <w:lang w:val="fr-FR" w:eastAsia="en-GB"/>
        </w:rPr>
        <w:pict>
          <v:line id="_x0000_s1105" style="position:absolute;left:0;text-align:left;z-index:-251653120;mso-position-horizontal-relative:page;mso-position-vertical-relative:page" from="0,142pt" to="595.35pt,142pt" coordsize="21600,21600" strokecolor="#eef7ff" strokeweight="1pt">
            <v:fill o:detectmouseclick="t"/>
            <v:stroke joinstyle="miter"/>
            <v:path o:connectlocs="10800,10800"/>
            <v:textbox style="mso-next-textbox:#_x0000_s1105" inset="0,0,0,0">
              <w:txbxContent>
                <w:p w:rsidR="005A35C2" w:rsidRDefault="005A35C2">
                  <w:pPr>
                    <w:pStyle w:val="Documenttitle"/>
                    <w:tabs>
                      <w:tab w:val="left" w:pos="7795"/>
                      <w:tab w:val="left" w:pos="8504"/>
                      <w:tab w:val="left" w:pos="9213"/>
                      <w:tab w:val="left" w:pos="9921"/>
                      <w:tab w:val="left" w:pos="10630"/>
                      <w:tab w:val="left" w:pos="11339"/>
                    </w:tabs>
                    <w:rPr>
                      <w:rFonts w:ascii="Times New Roman" w:eastAsia="Times New Roman" w:hAnsi="Times New Roman"/>
                      <w:color w:val="auto"/>
                      <w:sz w:val="20"/>
                      <w:lang w:val="en-GB" w:eastAsia="en-GB"/>
                    </w:rPr>
                  </w:pPr>
                </w:p>
              </w:txbxContent>
            </v:textbox>
            <w10:wrap anchorx="page" anchory="page"/>
          </v:line>
        </w:pict>
      </w:r>
    </w:p>
    <w:p w:rsidR="003C5AAE" w:rsidRPr="002527CC" w:rsidRDefault="003C5AAE" w:rsidP="00FD5B27">
      <w:pPr>
        <w:rPr>
          <w:lang w:val="fr-FR" w:eastAsia="en-GB"/>
        </w:rPr>
      </w:pPr>
    </w:p>
    <w:p w:rsidR="003C5AAE" w:rsidRPr="002527CC" w:rsidRDefault="003C5AAE" w:rsidP="00FD5B27">
      <w:pPr>
        <w:rPr>
          <w:lang w:val="fr-FR" w:eastAsia="en-GB"/>
        </w:rPr>
      </w:pPr>
    </w:p>
    <w:p w:rsidR="003C5AAE" w:rsidRPr="002527CC" w:rsidRDefault="003C5AAE" w:rsidP="00FD5B27">
      <w:pPr>
        <w:rPr>
          <w:lang w:val="fr-FR" w:eastAsia="en-GB"/>
        </w:rPr>
      </w:pPr>
    </w:p>
    <w:p w:rsidR="003C5AAE" w:rsidRPr="002527CC" w:rsidRDefault="003C5AAE" w:rsidP="00FD5B27">
      <w:pPr>
        <w:rPr>
          <w:lang w:val="fr-FR" w:eastAsia="en-GB"/>
        </w:rPr>
      </w:pPr>
    </w:p>
    <w:p w:rsidR="003C5AAE" w:rsidRPr="002527CC" w:rsidRDefault="003C5AAE" w:rsidP="00FD5B27">
      <w:pPr>
        <w:rPr>
          <w:lang w:val="fr-FR" w:eastAsia="en-GB"/>
        </w:rPr>
      </w:pPr>
    </w:p>
    <w:p w:rsidR="003C5AAE" w:rsidRPr="002527CC" w:rsidRDefault="00287D89" w:rsidP="00FD5B27">
      <w:pPr>
        <w:rPr>
          <w:lang w:val="fr-FR" w:eastAsia="en-GB"/>
        </w:rPr>
      </w:pPr>
      <w:r w:rsidRPr="00287D89">
        <w:rPr>
          <w:lang w:val="fr-FR" w:eastAsia="en-GB"/>
        </w:rPr>
        <w:pict>
          <v:rect id="_x0000_s1106" style="position:absolute;left:0;text-align:left;margin-left:12.25pt;margin-top:766.5pt;width:142pt;height:36pt;z-index:-251652096;mso-position-horizontal-relative:page;mso-position-vertical-relative:page" coordsize="21600,21600" filled="f" stroked="f" strokeweight="1pt">
            <v:fill o:detectmouseclick="t"/>
            <v:path arrowok="t" o:connectlocs="10800,10800"/>
            <v:textbox style="mso-next-textbox:#_x0000_s1106" inset="0,0,0,0">
              <w:txbxContent>
                <w:p w:rsidR="005A35C2" w:rsidRPr="003C5AAE" w:rsidRDefault="000C61C6" w:rsidP="00FD5B27">
                  <w:pPr>
                    <w:pStyle w:val="HeadercoverFAO"/>
                    <w:rPr>
                      <w:rFonts w:ascii="Times New Roman" w:hAnsi="Times New Roman"/>
                      <w:color w:val="auto"/>
                      <w:sz w:val="20"/>
                    </w:rPr>
                  </w:pPr>
                  <w:r>
                    <w:t>Aout</w:t>
                  </w:r>
                  <w:r w:rsidR="005A35C2" w:rsidRPr="003C5AAE">
                    <w:t xml:space="preserve"> 2013</w:t>
                  </w:r>
                </w:p>
              </w:txbxContent>
            </v:textbox>
            <w10:wrap anchorx="page" anchory="page"/>
          </v:rect>
        </w:pict>
      </w:r>
    </w:p>
    <w:p w:rsidR="003C5AAE" w:rsidRPr="002527CC" w:rsidRDefault="003C5AAE" w:rsidP="00FD5B27">
      <w:pPr>
        <w:rPr>
          <w:lang w:val="fr-FR" w:eastAsia="en-GB"/>
        </w:rPr>
      </w:pPr>
    </w:p>
    <w:p w:rsidR="003C5AAE" w:rsidRPr="002527CC" w:rsidRDefault="003C5AAE" w:rsidP="00FD5B27">
      <w:pPr>
        <w:rPr>
          <w:lang w:val="fr-FR" w:eastAsia="en-GB"/>
        </w:rPr>
      </w:pPr>
    </w:p>
    <w:p w:rsidR="003C5AAE" w:rsidRPr="002527CC" w:rsidRDefault="003C5AAE" w:rsidP="00FD5B27">
      <w:pPr>
        <w:rPr>
          <w:lang w:val="fr-FR" w:eastAsia="en-GB"/>
        </w:rPr>
      </w:pPr>
    </w:p>
    <w:p w:rsidR="003C5AAE" w:rsidRPr="002527CC" w:rsidRDefault="003C5AAE" w:rsidP="00FD5B27">
      <w:pPr>
        <w:rPr>
          <w:lang w:val="fr-FR" w:eastAsia="en-GB"/>
        </w:rPr>
      </w:pPr>
    </w:p>
    <w:p w:rsidR="003C5AAE" w:rsidRPr="002527CC" w:rsidRDefault="003C5AAE" w:rsidP="00FD5B27">
      <w:pPr>
        <w:rPr>
          <w:lang w:val="fr-FR" w:eastAsia="en-GB"/>
        </w:rPr>
      </w:pPr>
    </w:p>
    <w:p w:rsidR="003C5AAE" w:rsidRPr="002527CC" w:rsidRDefault="003C5AAE" w:rsidP="00FD5B27">
      <w:pPr>
        <w:rPr>
          <w:lang w:val="fr-FR" w:eastAsia="en-GB"/>
        </w:rPr>
      </w:pPr>
    </w:p>
    <w:p w:rsidR="003C5AAE" w:rsidRPr="002527CC" w:rsidRDefault="00287D89" w:rsidP="00FD5B27">
      <w:pPr>
        <w:rPr>
          <w:lang w:val="fr-FR" w:eastAsia="en-GB"/>
        </w:rPr>
      </w:pPr>
      <w:r w:rsidRPr="00287D89">
        <w:rPr>
          <w:lang w:val="fr-FR" w:eastAsia="en-GB"/>
        </w:rPr>
        <w:pict>
          <v:rect id="_x0000_s1108" style="position:absolute;left:0;text-align:left;margin-left:184.75pt;margin-top:256.5pt;width:382pt;height:115.5pt;z-index:-251650048;mso-position-horizontal-relative:page;mso-position-vertical-relative:page" coordsize="21600,21600" filled="f" stroked="f" strokeweight="1pt">
            <v:fill o:detectmouseclick="t"/>
            <v:path arrowok="t" o:connectlocs="10800,10800"/>
            <v:textbox style="mso-next-textbox:#_x0000_s1108" inset="0,0,0,0">
              <w:txbxContent>
                <w:p w:rsidR="005A35C2" w:rsidRPr="00D072F0" w:rsidRDefault="005A35C2" w:rsidP="00FD5B27">
                  <w:pPr>
                    <w:pStyle w:val="Documenttitle"/>
                    <w:rPr>
                      <w:rFonts w:ascii="Candara Bold" w:hAnsi="Candara Bold"/>
                      <w:sz w:val="36"/>
                    </w:rPr>
                  </w:pPr>
                  <w:r>
                    <w:rPr>
                      <w:rFonts w:ascii="Candara Bold" w:hAnsi="Candara Bold"/>
                      <w:color w:val="365F91"/>
                      <w:sz w:val="36"/>
                    </w:rPr>
                    <w:t>Termes</w:t>
                  </w:r>
                  <w:r w:rsidRPr="00FD5B27">
                    <w:rPr>
                      <w:rFonts w:ascii="Candara Bold" w:hAnsi="Candara Bold"/>
                      <w:color w:val="365F91"/>
                      <w:sz w:val="36"/>
                    </w:rPr>
                    <w:t xml:space="preserve"> de Référence</w:t>
                  </w:r>
                  <w:r w:rsidR="006F0704">
                    <w:rPr>
                      <w:rFonts w:ascii="Candara Bold" w:hAnsi="Candara Bold"/>
                      <w:color w:val="365F91"/>
                      <w:sz w:val="36"/>
                    </w:rPr>
                    <w:t xml:space="preserve">, </w:t>
                  </w:r>
                  <w:r w:rsidR="00F64B33">
                    <w:rPr>
                      <w:rFonts w:ascii="Candara Bold" w:hAnsi="Candara Bold"/>
                      <w:color w:val="365F91"/>
                      <w:sz w:val="36"/>
                    </w:rPr>
                    <w:t>Annexe</w:t>
                  </w:r>
                  <w:r w:rsidR="006F0704">
                    <w:rPr>
                      <w:rFonts w:ascii="Candara Bold" w:hAnsi="Candara Bold"/>
                      <w:color w:val="365F91"/>
                      <w:sz w:val="36"/>
                    </w:rPr>
                    <w:t xml:space="preserve"> </w:t>
                  </w:r>
                  <w:r w:rsidR="006F0704" w:rsidRPr="006F0704">
                    <w:rPr>
                      <w:rFonts w:ascii="Candara Bold" w:hAnsi="Candara Bold"/>
                      <w:color w:val="365F91"/>
                      <w:sz w:val="36"/>
                    </w:rPr>
                    <w:t xml:space="preserve">Objectifs mondiaux </w:t>
                  </w:r>
                  <w:r w:rsidR="006F0704">
                    <w:rPr>
                      <w:rFonts w:ascii="Candara Bold" w:hAnsi="Candara Bold"/>
                      <w:color w:val="365F91"/>
                      <w:sz w:val="36"/>
                    </w:rPr>
                    <w:t xml:space="preserve">et stratégiques, Résultats et </w:t>
                  </w:r>
                  <w:r w:rsidR="006F0704" w:rsidRPr="006F0704">
                    <w:rPr>
                      <w:rFonts w:ascii="Candara Bold" w:hAnsi="Candara Bold"/>
                      <w:color w:val="365F91"/>
                      <w:sz w:val="36"/>
                    </w:rPr>
                    <w:t xml:space="preserve">Fonctions essentielles </w:t>
                  </w:r>
                  <w:r w:rsidR="00F64B33">
                    <w:rPr>
                      <w:rFonts w:ascii="Candara Bold" w:hAnsi="Candara Bold"/>
                      <w:color w:val="365F91"/>
                      <w:sz w:val="36"/>
                    </w:rPr>
                    <w:t>2010-2019</w:t>
                  </w:r>
                  <w:r w:rsidR="006F0704">
                    <w:rPr>
                      <w:rFonts w:ascii="Candara Bold" w:hAnsi="Candara Bold"/>
                      <w:color w:val="365F91"/>
                      <w:sz w:val="36"/>
                    </w:rPr>
                    <w:t xml:space="preserve"> et 2014-2017</w:t>
                  </w:r>
                </w:p>
              </w:txbxContent>
            </v:textbox>
            <w10:wrap anchorx="page" anchory="page"/>
          </v:rect>
        </w:pict>
      </w:r>
    </w:p>
    <w:p w:rsidR="003C5AAE" w:rsidRPr="002527CC" w:rsidRDefault="003C5AAE" w:rsidP="00FD5B27">
      <w:pPr>
        <w:rPr>
          <w:lang w:val="fr-FR" w:eastAsia="en-GB"/>
        </w:rPr>
      </w:pPr>
    </w:p>
    <w:p w:rsidR="003C5AAE" w:rsidRPr="002527CC" w:rsidRDefault="003C5AAE" w:rsidP="00FD5B27">
      <w:pPr>
        <w:rPr>
          <w:lang w:val="fr-FR" w:eastAsia="en-GB"/>
        </w:rPr>
      </w:pPr>
    </w:p>
    <w:p w:rsidR="003C5AAE" w:rsidRPr="002527CC" w:rsidRDefault="003C5AAE" w:rsidP="00FD5B27">
      <w:pPr>
        <w:rPr>
          <w:lang w:val="fr-FR" w:eastAsia="en-GB"/>
        </w:rPr>
      </w:pPr>
    </w:p>
    <w:p w:rsidR="003C5AAE" w:rsidRPr="002527CC" w:rsidRDefault="003C5AAE" w:rsidP="00FD5B27">
      <w:pPr>
        <w:rPr>
          <w:lang w:val="fr-FR" w:eastAsia="en-GB"/>
        </w:rPr>
      </w:pPr>
    </w:p>
    <w:p w:rsidR="003C5AAE" w:rsidRPr="002527CC" w:rsidRDefault="003C5AAE" w:rsidP="00FD5B27">
      <w:pPr>
        <w:rPr>
          <w:lang w:val="fr-FR" w:eastAsia="en-GB"/>
        </w:rPr>
      </w:pPr>
    </w:p>
    <w:p w:rsidR="003C5AAE" w:rsidRPr="002527CC" w:rsidRDefault="003C5AAE" w:rsidP="00FD5B27">
      <w:pPr>
        <w:rPr>
          <w:lang w:val="fr-FR" w:eastAsia="en-GB"/>
        </w:rPr>
      </w:pPr>
    </w:p>
    <w:p w:rsidR="003C5AAE" w:rsidRPr="002527CC" w:rsidRDefault="003C5AAE" w:rsidP="00FD5B27">
      <w:pPr>
        <w:rPr>
          <w:lang w:val="fr-FR" w:eastAsia="en-GB"/>
        </w:rPr>
      </w:pPr>
    </w:p>
    <w:p w:rsidR="003C5AAE" w:rsidRPr="002527CC" w:rsidRDefault="003C5AAE" w:rsidP="00FD5B27">
      <w:pPr>
        <w:rPr>
          <w:lang w:val="fr-FR" w:eastAsia="en-GB"/>
        </w:rPr>
      </w:pPr>
    </w:p>
    <w:p w:rsidR="003C5AAE" w:rsidRPr="002527CC" w:rsidRDefault="003C5AAE" w:rsidP="00FD5B27">
      <w:pPr>
        <w:rPr>
          <w:lang w:val="fr-FR" w:eastAsia="en-GB"/>
        </w:rPr>
      </w:pPr>
    </w:p>
    <w:p w:rsidR="003C5AAE" w:rsidRPr="002527CC" w:rsidRDefault="00287D89" w:rsidP="00FD5B27">
      <w:pPr>
        <w:rPr>
          <w:lang w:val="fr-FR" w:eastAsia="en-GB"/>
        </w:rPr>
      </w:pPr>
      <w:r w:rsidRPr="00287D89">
        <w:rPr>
          <w:lang w:val="fr-FR"/>
        </w:rPr>
        <w:pict>
          <v:rect id="_x0000_s1107" style="position:absolute;left:0;text-align:left;margin-left:184.1pt;margin-top:401.25pt;width:382pt;height:45pt;z-index:-251651072;mso-position-horizontal-relative:page;mso-position-vertical-relative:page" coordsize="21600,21600" filled="f" stroked="f" strokeweight="1pt">
            <v:fill o:detectmouseclick="t"/>
            <v:path arrowok="t" o:connectlocs="10800,10800"/>
            <v:textbox style="mso-next-textbox:#_x0000_s1107" inset="0,0,0,0">
              <w:txbxContent>
                <w:p w:rsidR="005A35C2" w:rsidRPr="003C5AAE" w:rsidRDefault="00287D89" w:rsidP="003C5AAE">
                  <w:pPr>
                    <w:pStyle w:val="Documentsubtitle"/>
                    <w:rPr>
                      <w:rFonts w:ascii="Candara Bold" w:hAnsi="Candara Bold"/>
                      <w:sz w:val="36"/>
                    </w:rPr>
                  </w:pPr>
                  <w:hyperlink r:id="rId9" w:tgtFrame="_new" w:history="1">
                    <w:r w:rsidR="005A35C2">
                      <w:t>Outil</w:t>
                    </w:r>
                  </w:hyperlink>
                  <w:r w:rsidR="005A35C2">
                    <w:t xml:space="preserve"> de OED</w:t>
                  </w:r>
                </w:p>
              </w:txbxContent>
            </v:textbox>
            <w10:wrap anchorx="page" anchory="page"/>
          </v:rect>
        </w:pict>
      </w:r>
    </w:p>
    <w:p w:rsidR="003C5AAE" w:rsidRPr="002527CC" w:rsidRDefault="003C5AAE" w:rsidP="00FD5B27">
      <w:pPr>
        <w:rPr>
          <w:lang w:val="fr-FR" w:eastAsia="en-GB"/>
        </w:rPr>
      </w:pPr>
    </w:p>
    <w:p w:rsidR="003C5AAE" w:rsidRPr="002527CC" w:rsidRDefault="003C5AAE" w:rsidP="00FD5B27">
      <w:pPr>
        <w:rPr>
          <w:lang w:val="fr-FR" w:eastAsia="en-GB"/>
        </w:rPr>
      </w:pPr>
    </w:p>
    <w:p w:rsidR="003C5AAE" w:rsidRPr="002527CC" w:rsidRDefault="003C5AAE" w:rsidP="00FD5B27">
      <w:pPr>
        <w:rPr>
          <w:lang w:val="fr-FR" w:eastAsia="en-GB"/>
        </w:rPr>
      </w:pPr>
    </w:p>
    <w:p w:rsidR="003C5AAE" w:rsidRPr="002527CC" w:rsidRDefault="003C5AAE" w:rsidP="00FD5B27">
      <w:pPr>
        <w:rPr>
          <w:lang w:val="fr-FR" w:eastAsia="en-GB"/>
        </w:rPr>
      </w:pPr>
    </w:p>
    <w:p w:rsidR="003C5AAE" w:rsidRPr="002527CC" w:rsidRDefault="003C5AAE" w:rsidP="00FD5B27">
      <w:pPr>
        <w:rPr>
          <w:lang w:val="fr-FR" w:eastAsia="en-GB"/>
        </w:rPr>
      </w:pPr>
    </w:p>
    <w:p w:rsidR="003C5AAE" w:rsidRPr="002527CC" w:rsidRDefault="003C5AAE" w:rsidP="00FD5B27">
      <w:pPr>
        <w:rPr>
          <w:lang w:val="fr-FR" w:eastAsia="en-GB"/>
        </w:rPr>
      </w:pPr>
    </w:p>
    <w:p w:rsidR="003C5AAE" w:rsidRPr="002527CC" w:rsidRDefault="003C5AAE" w:rsidP="00FD5B27">
      <w:pPr>
        <w:rPr>
          <w:lang w:val="fr-FR" w:eastAsia="en-GB"/>
        </w:rPr>
      </w:pPr>
    </w:p>
    <w:p w:rsidR="003C5AAE" w:rsidRPr="002527CC" w:rsidRDefault="003C5AAE" w:rsidP="00FD5B27">
      <w:pPr>
        <w:rPr>
          <w:lang w:val="fr-FR" w:eastAsia="en-GB"/>
        </w:rPr>
      </w:pPr>
    </w:p>
    <w:p w:rsidR="003C5AAE" w:rsidRPr="002527CC" w:rsidRDefault="003C5AAE" w:rsidP="00FD5B27">
      <w:pPr>
        <w:rPr>
          <w:lang w:val="fr-FR" w:eastAsia="en-GB"/>
        </w:rPr>
      </w:pPr>
    </w:p>
    <w:p w:rsidR="003C5AAE" w:rsidRPr="002527CC" w:rsidRDefault="003C5AAE" w:rsidP="00FD5B27">
      <w:pPr>
        <w:rPr>
          <w:lang w:val="fr-FR" w:eastAsia="en-GB"/>
        </w:rPr>
      </w:pPr>
    </w:p>
    <w:p w:rsidR="003C5AAE" w:rsidRPr="002527CC" w:rsidRDefault="003C5AAE" w:rsidP="00FD5B27">
      <w:pPr>
        <w:rPr>
          <w:lang w:val="fr-FR" w:eastAsia="en-GB"/>
        </w:rPr>
      </w:pPr>
    </w:p>
    <w:p w:rsidR="003C5AAE" w:rsidRPr="002527CC" w:rsidRDefault="003C5AAE" w:rsidP="00FD5B27">
      <w:pPr>
        <w:rPr>
          <w:lang w:val="fr-FR" w:eastAsia="en-GB"/>
        </w:rPr>
      </w:pPr>
    </w:p>
    <w:p w:rsidR="003C5AAE" w:rsidRPr="002527CC" w:rsidRDefault="003C5AAE" w:rsidP="00FD5B27">
      <w:pPr>
        <w:rPr>
          <w:lang w:val="fr-FR" w:eastAsia="en-GB"/>
        </w:rPr>
      </w:pPr>
    </w:p>
    <w:p w:rsidR="003C5AAE" w:rsidRPr="002527CC" w:rsidRDefault="003C5AAE" w:rsidP="00FD5B27">
      <w:pPr>
        <w:rPr>
          <w:lang w:val="fr-FR" w:eastAsia="en-GB"/>
        </w:rPr>
      </w:pPr>
    </w:p>
    <w:p w:rsidR="003C5AAE" w:rsidRPr="002527CC" w:rsidRDefault="00287D89" w:rsidP="00FD5B27">
      <w:pPr>
        <w:rPr>
          <w:lang w:val="fr-FR"/>
        </w:rPr>
      </w:pPr>
      <w:r w:rsidRPr="002527CC">
        <w:rPr>
          <w:lang w:val="fr-FR" w:eastAsia="en-GB"/>
        </w:rPr>
        <w:fldChar w:fldCharType="begin"/>
      </w:r>
      <w:r w:rsidR="003C5AAE" w:rsidRPr="002527CC">
        <w:rPr>
          <w:lang w:val="fr-FR" w:eastAsia="en-GB"/>
        </w:rPr>
        <w:instrText xml:space="preserve"> TITLE   \* MERGEFORMAT </w:instrText>
      </w:r>
      <w:r w:rsidRPr="002527CC">
        <w:rPr>
          <w:lang w:val="fr-FR" w:eastAsia="en-GB"/>
        </w:rPr>
        <w:fldChar w:fldCharType="end"/>
      </w:r>
      <w:r w:rsidRPr="002527CC">
        <w:rPr>
          <w:lang w:val="fr-FR" w:eastAsia="en-GB"/>
        </w:rPr>
        <w:fldChar w:fldCharType="begin"/>
      </w:r>
      <w:r w:rsidR="003C5AAE" w:rsidRPr="002527CC">
        <w:rPr>
          <w:lang w:val="fr-FR" w:eastAsia="en-GB"/>
        </w:rPr>
        <w:instrText xml:space="preserve"> TITLE   \* MERGEFORMAT </w:instrText>
      </w:r>
      <w:r w:rsidRPr="002527CC">
        <w:rPr>
          <w:lang w:val="fr-FR" w:eastAsia="en-GB"/>
        </w:rPr>
        <w:fldChar w:fldCharType="end"/>
      </w:r>
      <w:r w:rsidRPr="002527CC">
        <w:rPr>
          <w:lang w:val="fr-FR" w:eastAsia="en-GB"/>
        </w:rPr>
        <w:fldChar w:fldCharType="begin"/>
      </w:r>
      <w:r w:rsidR="003C5AAE" w:rsidRPr="002527CC">
        <w:rPr>
          <w:lang w:val="fr-FR" w:eastAsia="en-GB"/>
        </w:rPr>
        <w:instrText xml:space="preserve"> TITLE   \* MERGEFORMAT </w:instrText>
      </w:r>
      <w:r w:rsidRPr="002527CC">
        <w:rPr>
          <w:lang w:val="fr-FR" w:eastAsia="en-GB"/>
        </w:rPr>
        <w:fldChar w:fldCharType="end"/>
      </w:r>
      <w:r w:rsidR="003C5AAE" w:rsidRPr="002527CC">
        <w:rPr>
          <w:lang w:val="fr-FR" w:eastAsia="en-GB"/>
        </w:rPr>
        <w:br w:type="page"/>
      </w:r>
    </w:p>
    <w:p w:rsidR="003C5AAE" w:rsidRPr="002527CC" w:rsidRDefault="003C5AAE" w:rsidP="00FD5B27">
      <w:pPr>
        <w:pStyle w:val="Cambria14bold0"/>
      </w:pPr>
      <w:r>
        <w:lastRenderedPageBreak/>
        <w:t>Organis</w:t>
      </w:r>
      <w:r w:rsidRPr="002527CC">
        <w:t xml:space="preserve">ation </w:t>
      </w:r>
      <w:r>
        <w:t>des Nations Unies pour l’alimentation et l’agriculture</w:t>
      </w:r>
    </w:p>
    <w:p w:rsidR="003C5AAE" w:rsidRPr="002527CC" w:rsidRDefault="003C5AAE" w:rsidP="00FD5B27">
      <w:pPr>
        <w:pStyle w:val="Cambria14bold0"/>
      </w:pPr>
    </w:p>
    <w:p w:rsidR="003C5AAE" w:rsidRPr="002527CC" w:rsidRDefault="003C5AAE" w:rsidP="00FD5B27">
      <w:pPr>
        <w:pStyle w:val="Cambria14normal"/>
        <w:rPr>
          <w:lang w:val="fr-FR"/>
        </w:rPr>
      </w:pPr>
      <w:r w:rsidRPr="002527CC">
        <w:rPr>
          <w:lang w:val="fr-FR"/>
        </w:rPr>
        <w:t>Bureau de l’Evaluation (OED)</w:t>
      </w:r>
    </w:p>
    <w:p w:rsidR="003C5AAE" w:rsidRPr="003C5AAE" w:rsidRDefault="003C5AAE" w:rsidP="00FD5B27">
      <w:pPr>
        <w:pStyle w:val="Cambrianormal"/>
        <w:rPr>
          <w:lang w:val="fr-FR"/>
        </w:rPr>
      </w:pPr>
    </w:p>
    <w:p w:rsidR="003C5AAE" w:rsidRPr="003C5AAE" w:rsidRDefault="003C5AAE" w:rsidP="00FD5B27">
      <w:pPr>
        <w:pStyle w:val="Cambrianormal"/>
        <w:rPr>
          <w:lang w:val="fr-FR"/>
        </w:rPr>
      </w:pPr>
      <w:r w:rsidRPr="003C5AAE">
        <w:rPr>
          <w:lang w:val="fr-FR"/>
        </w:rPr>
        <w:t>Ce rapport est disponible en version numérique sur: http://www.fao.org/evaluation</w:t>
      </w:r>
    </w:p>
    <w:p w:rsidR="003C5AAE" w:rsidRPr="003C5AAE" w:rsidRDefault="003C5AAE" w:rsidP="00FD5B27">
      <w:pPr>
        <w:pStyle w:val="Coverpagebackdisclaimer"/>
        <w:rPr>
          <w:lang w:val="fr-FR"/>
        </w:rPr>
      </w:pPr>
    </w:p>
    <w:p w:rsidR="003C5AAE" w:rsidRPr="003C5AAE" w:rsidRDefault="003C5AAE" w:rsidP="00FD5B27">
      <w:pPr>
        <w:pStyle w:val="Coverpagebackdisclaimer"/>
        <w:rPr>
          <w:lang w:val="fr-FR"/>
        </w:rPr>
      </w:pPr>
      <w:r w:rsidRPr="003C5AAE">
        <w:rPr>
          <w:lang w:val="fr-FR"/>
        </w:rPr>
        <w:t>Les appellations employées dans ce produit d’information et la présentation des données qui y figurent n’impliquent de la part de l’Organisation des Nations Unies pour l’alimentation et l’agriculture (FAO) aucune prise de position quant au statut juridique ou au stade de développement des pays, territoires, villes ou zones ou de leurs autorités, ni quant au tracé de leurs frontières ou limites. La mention de sociétés déterminées ou de produits de fabricants, qu’ils soient ou non brevetés, n’entraîne, de la part de la FAO, aucune approbation ou recommandation desdits produits de préférence à d’autres de nature analogue qui ne sont pas cités.</w:t>
      </w:r>
    </w:p>
    <w:p w:rsidR="003C5AAE" w:rsidRPr="003C5AAE" w:rsidRDefault="003C5AAE" w:rsidP="00FD5B27">
      <w:pPr>
        <w:pStyle w:val="Coverpagebackdisclaimer"/>
        <w:rPr>
          <w:lang w:val="fr-FR"/>
        </w:rPr>
      </w:pPr>
    </w:p>
    <w:p w:rsidR="003C5AAE" w:rsidRPr="001050E5" w:rsidRDefault="003C5AAE" w:rsidP="00FD5B27">
      <w:pPr>
        <w:pStyle w:val="Coverpagebackdisclaimer"/>
        <w:rPr>
          <w:lang w:val="fr-FR"/>
        </w:rPr>
      </w:pPr>
      <w:r w:rsidRPr="001050E5">
        <w:rPr>
          <w:lang w:val="fr-FR"/>
        </w:rPr>
        <w:t xml:space="preserve">Les opinions exprimées dans ce produit d’information sont celles du/des auteur(s) </w:t>
      </w:r>
    </w:p>
    <w:p w:rsidR="003C5AAE" w:rsidRPr="001050E5" w:rsidRDefault="003C5AAE" w:rsidP="00FD5B27">
      <w:pPr>
        <w:pStyle w:val="Coverpagebackdisclaimer"/>
        <w:rPr>
          <w:lang w:val="fr-FR"/>
        </w:rPr>
      </w:pPr>
      <w:r w:rsidRPr="001050E5">
        <w:rPr>
          <w:lang w:val="fr-FR"/>
        </w:rPr>
        <w:t>et ne reflètent pas nécessairement les vues ou les politiques de la FAO.</w:t>
      </w:r>
    </w:p>
    <w:p w:rsidR="003C5AAE" w:rsidRPr="001050E5" w:rsidRDefault="003C5AAE" w:rsidP="00FD5B27">
      <w:pPr>
        <w:pStyle w:val="Coverpagebackdisclaimer"/>
        <w:rPr>
          <w:lang w:val="fr-FR"/>
        </w:rPr>
      </w:pPr>
    </w:p>
    <w:p w:rsidR="003C5AAE" w:rsidRPr="001050E5" w:rsidRDefault="003C5AAE" w:rsidP="00FD5B27">
      <w:pPr>
        <w:pStyle w:val="Coverpagebackdisclaimer"/>
        <w:rPr>
          <w:lang w:val="fr-FR"/>
        </w:rPr>
      </w:pPr>
      <w:r w:rsidRPr="001050E5">
        <w:rPr>
          <w:lang w:val="fr-FR"/>
        </w:rPr>
        <w:t>© FAO 2013</w:t>
      </w:r>
    </w:p>
    <w:p w:rsidR="003C5AAE" w:rsidRPr="001050E5" w:rsidRDefault="003C5AAE" w:rsidP="00FD5B27">
      <w:pPr>
        <w:pStyle w:val="Coverpagebackdisclaimer"/>
        <w:rPr>
          <w:lang w:val="fr-FR"/>
        </w:rPr>
      </w:pPr>
    </w:p>
    <w:p w:rsidR="003C5AAE" w:rsidRPr="001050E5" w:rsidRDefault="003C5AAE" w:rsidP="00FD5B27">
      <w:pPr>
        <w:pStyle w:val="Coverpagebackdisclaimer"/>
        <w:rPr>
          <w:lang w:val="fr-FR"/>
        </w:rPr>
      </w:pPr>
      <w:r w:rsidRPr="001050E5">
        <w:rPr>
          <w:lang w:val="fr-FR"/>
        </w:rPr>
        <w:t xml:space="preserve">La FAO encourage l’utilisation, la reproduction et la diffusion des informations figurant dans ce produit d’information. Sauf indication contraire, le contenu peut être copié, téléchargé et imprimé aux fins d’étude privée, de recherches ou d’enseignement, ainsi que pour utilisation dans des produits ou services non commerciaux, sous réserve que la FAO soit correctement mentionnée comme source et comme titulaire du droit d’auteur et à condition qu’il ne soit sous-entendu en aucune manière que la FAO approuverait les opinions, produits ou services des utilisateurs. </w:t>
      </w:r>
    </w:p>
    <w:p w:rsidR="003C5AAE" w:rsidRPr="001050E5" w:rsidRDefault="003C5AAE" w:rsidP="00FD5B27">
      <w:pPr>
        <w:pStyle w:val="Coverpagebackdisclaimer"/>
        <w:rPr>
          <w:lang w:val="fr-FR"/>
        </w:rPr>
      </w:pPr>
    </w:p>
    <w:p w:rsidR="003C5AAE" w:rsidRPr="001050E5" w:rsidRDefault="003C5AAE" w:rsidP="00FD5B27">
      <w:pPr>
        <w:pStyle w:val="Coverpagebackdisclaimer"/>
        <w:rPr>
          <w:lang w:val="fr-FR"/>
        </w:rPr>
      </w:pPr>
      <w:r w:rsidRPr="001050E5">
        <w:rPr>
          <w:lang w:val="fr-FR"/>
        </w:rPr>
        <w:t>Toute demande relative aux droits de traduction ou d’adaptation, à la revente ou à d’autres droits d’utilisation commerciale doit être présentée au moyen du formulaire en ligne disponible à www.fao.org/contact-us/licence-request ou adressée par courriel à copyright@fao.org.</w:t>
      </w:r>
    </w:p>
    <w:p w:rsidR="003C5AAE" w:rsidRPr="003C5AAE" w:rsidRDefault="003C5AAE" w:rsidP="00FD5B27">
      <w:pPr>
        <w:pStyle w:val="Cambrianormal"/>
        <w:rPr>
          <w:lang w:val="fr-FR"/>
        </w:rPr>
      </w:pPr>
    </w:p>
    <w:p w:rsidR="003C5AAE" w:rsidRPr="003C5AAE" w:rsidRDefault="003C5AAE" w:rsidP="00FD5B27">
      <w:pPr>
        <w:pStyle w:val="Cambrianormal"/>
        <w:rPr>
          <w:lang w:val="fr-FR"/>
        </w:rPr>
      </w:pPr>
      <w:r w:rsidRPr="003C5AAE">
        <w:rPr>
          <w:lang w:val="fr-FR"/>
        </w:rPr>
        <w:t xml:space="preserve">Pour plus ample information sur ce rapport, contacter: </w:t>
      </w:r>
    </w:p>
    <w:p w:rsidR="003C5AAE" w:rsidRPr="004F6C09" w:rsidRDefault="003C5AAE" w:rsidP="00FD5B27">
      <w:pPr>
        <w:pStyle w:val="Cambrianormal"/>
        <w:rPr>
          <w:lang w:val="fr-FR"/>
        </w:rPr>
      </w:pPr>
    </w:p>
    <w:p w:rsidR="003C5AAE" w:rsidRPr="00F8139B" w:rsidRDefault="003C5AAE" w:rsidP="00FD5B27">
      <w:pPr>
        <w:pStyle w:val="Cambrianormal"/>
        <w:rPr>
          <w:lang w:val="it-IT"/>
        </w:rPr>
      </w:pPr>
      <w:r w:rsidRPr="00631BA0">
        <w:rPr>
          <w:lang w:val="it-IT"/>
        </w:rPr>
        <w:t>Directeur</w:t>
      </w:r>
      <w:r w:rsidRPr="00F8139B">
        <w:rPr>
          <w:lang w:val="it-IT"/>
        </w:rPr>
        <w:t>, OED</w:t>
      </w:r>
    </w:p>
    <w:p w:rsidR="003C5AAE" w:rsidRPr="00F8139B" w:rsidRDefault="003C5AAE" w:rsidP="00FD5B27">
      <w:pPr>
        <w:pStyle w:val="Cambrianormal"/>
        <w:rPr>
          <w:lang w:val="it-IT"/>
        </w:rPr>
      </w:pPr>
      <w:r w:rsidRPr="00F8139B">
        <w:rPr>
          <w:lang w:val="it-IT"/>
        </w:rPr>
        <w:t>Viale delle Terme di Caracalla 1, 00153</w:t>
      </w:r>
    </w:p>
    <w:p w:rsidR="003C5AAE" w:rsidRPr="003C5AAE" w:rsidRDefault="003C5AAE" w:rsidP="00FD5B27">
      <w:pPr>
        <w:pStyle w:val="Cambrianormal"/>
        <w:rPr>
          <w:lang w:val="fr-FR"/>
        </w:rPr>
      </w:pPr>
      <w:r w:rsidRPr="003C5AAE">
        <w:rPr>
          <w:lang w:val="fr-FR"/>
        </w:rPr>
        <w:t>Rome, Italie</w:t>
      </w:r>
    </w:p>
    <w:p w:rsidR="003C5AAE" w:rsidRPr="003C5AAE" w:rsidRDefault="003C5AAE" w:rsidP="00FD5B27">
      <w:pPr>
        <w:pStyle w:val="Cambrianormal"/>
        <w:rPr>
          <w:lang w:val="fr-FR"/>
        </w:rPr>
      </w:pPr>
      <w:r w:rsidRPr="003C5AAE">
        <w:rPr>
          <w:lang w:val="fr-FR"/>
        </w:rPr>
        <w:t>Courriel: evaluation@fao.org</w:t>
      </w:r>
    </w:p>
    <w:p w:rsidR="003C5AAE" w:rsidRPr="002527CC" w:rsidRDefault="003C5AAE" w:rsidP="00FD5B27">
      <w:pPr>
        <w:rPr>
          <w:lang w:val="fr-FR"/>
        </w:rPr>
      </w:pPr>
    </w:p>
    <w:p w:rsidR="003C5AAE" w:rsidRPr="002527CC" w:rsidRDefault="003C5AAE" w:rsidP="00FD5B27">
      <w:pPr>
        <w:rPr>
          <w:lang w:val="fr-FR"/>
        </w:rPr>
      </w:pPr>
    </w:p>
    <w:p w:rsidR="003C5AAE" w:rsidRPr="002527CC" w:rsidRDefault="003C5AAE" w:rsidP="00FD5B27">
      <w:pPr>
        <w:rPr>
          <w:lang w:val="fr-FR"/>
        </w:rPr>
      </w:pPr>
    </w:p>
    <w:p w:rsidR="003C5AAE" w:rsidRPr="002527CC" w:rsidRDefault="003C5AAE" w:rsidP="00DD2593">
      <w:pPr>
        <w:rPr>
          <w:lang w:val="fr-FR"/>
        </w:rPr>
      </w:pPr>
    </w:p>
    <w:p w:rsidR="003C5AAE" w:rsidRPr="002527CC" w:rsidRDefault="003C5AAE" w:rsidP="00DD2593">
      <w:pPr>
        <w:rPr>
          <w:lang w:val="fr-FR"/>
        </w:rPr>
      </w:pPr>
    </w:p>
    <w:p w:rsidR="003C5AAE" w:rsidRPr="002527CC" w:rsidRDefault="003C5AAE" w:rsidP="00DD2593">
      <w:pPr>
        <w:rPr>
          <w:lang w:val="fr-FR"/>
        </w:rPr>
      </w:pPr>
    </w:p>
    <w:p w:rsidR="003C5AAE" w:rsidRPr="002527CC" w:rsidRDefault="003C5AAE" w:rsidP="00DD2593">
      <w:pPr>
        <w:rPr>
          <w:lang w:val="fr-FR"/>
        </w:rPr>
      </w:pPr>
    </w:p>
    <w:p w:rsidR="003C5AAE" w:rsidRPr="002527CC" w:rsidRDefault="003C5AAE" w:rsidP="00DD2593">
      <w:pPr>
        <w:rPr>
          <w:lang w:val="fr-FR"/>
        </w:rPr>
      </w:pPr>
    </w:p>
    <w:p w:rsidR="003C5AAE" w:rsidRDefault="003C5AAE" w:rsidP="00DD2593">
      <w:pPr>
        <w:rPr>
          <w:lang w:val="fr-FR"/>
        </w:rPr>
      </w:pPr>
    </w:p>
    <w:p w:rsidR="003C5AAE" w:rsidRDefault="003C5AAE" w:rsidP="00DD2593">
      <w:pPr>
        <w:rPr>
          <w:lang w:val="fr-FR"/>
        </w:rPr>
      </w:pPr>
    </w:p>
    <w:p w:rsidR="003C5AAE" w:rsidRPr="002527CC" w:rsidRDefault="003C5AAE" w:rsidP="00DD2593">
      <w:pPr>
        <w:rPr>
          <w:lang w:val="fr-FR"/>
        </w:rPr>
      </w:pPr>
    </w:p>
    <w:p w:rsidR="00C3689F" w:rsidRDefault="00C3689F" w:rsidP="00176FC7">
      <w:pPr>
        <w:rPr>
          <w:lang w:val="fr-FR"/>
        </w:rPr>
      </w:pPr>
    </w:p>
    <w:p w:rsidR="003C5AAE" w:rsidRPr="002527CC" w:rsidRDefault="003C5AAE" w:rsidP="00176FC7">
      <w:pPr>
        <w:rPr>
          <w:lang w:val="fr-FR"/>
        </w:rPr>
      </w:pPr>
    </w:p>
    <w:p w:rsidR="009640B0" w:rsidRPr="00696678" w:rsidRDefault="009640B0" w:rsidP="00176FC7">
      <w:pPr>
        <w:rPr>
          <w:lang w:val="fr-FR"/>
        </w:rPr>
        <w:sectPr w:rsidR="009640B0" w:rsidRPr="00696678" w:rsidSect="00E85D6E">
          <w:type w:val="continuous"/>
          <w:pgSz w:w="11906" w:h="16838" w:code="9"/>
          <w:pgMar w:top="1440" w:right="1440" w:bottom="1440" w:left="1440" w:header="624" w:footer="737" w:gutter="0"/>
          <w:pgNumType w:fmt="lowerRoman" w:start="3"/>
          <w:cols w:space="708"/>
          <w:docGrid w:linePitch="360"/>
        </w:sectPr>
      </w:pPr>
    </w:p>
    <w:p w:rsidR="006561B7" w:rsidRPr="006561B7" w:rsidRDefault="006561B7" w:rsidP="006561B7">
      <w:pPr>
        <w:rPr>
          <w:lang w:val="fr-FR"/>
        </w:rPr>
      </w:pPr>
    </w:p>
    <w:p w:rsidR="006561B7" w:rsidRPr="00730CBE" w:rsidRDefault="006561B7" w:rsidP="006561B7">
      <w:pPr>
        <w:pStyle w:val="Encadrnumerot"/>
      </w:pPr>
      <w:r w:rsidRPr="00730CBE">
        <w:t>Objectifs mondiaux des membres de la FAO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9"/>
        <w:gridCol w:w="4593"/>
      </w:tblGrid>
      <w:tr w:rsidR="006F0704" w:rsidRPr="006F0704" w:rsidTr="006F0704">
        <w:tc>
          <w:tcPr>
            <w:tcW w:w="4649" w:type="dxa"/>
          </w:tcPr>
          <w:p w:rsidR="006F0704" w:rsidRPr="006561B7" w:rsidRDefault="006F0704" w:rsidP="006F0704">
            <w:pPr>
              <w:pStyle w:val="Tableheadingcolumn"/>
              <w:rPr>
                <w:sz w:val="22"/>
                <w:szCs w:val="22"/>
              </w:rPr>
            </w:pPr>
            <w:r w:rsidRPr="00730CBE">
              <w:t>Objectifs mondiaux</w:t>
            </w:r>
            <w:r>
              <w:t xml:space="preserve"> 2010-1013</w:t>
            </w:r>
          </w:p>
        </w:tc>
        <w:tc>
          <w:tcPr>
            <w:tcW w:w="4593" w:type="dxa"/>
          </w:tcPr>
          <w:p w:rsidR="006F0704" w:rsidRPr="006561B7" w:rsidRDefault="006F0704" w:rsidP="006F0704">
            <w:pPr>
              <w:pStyle w:val="Tableheadingcolumn"/>
            </w:pPr>
            <w:r w:rsidRPr="00730CBE">
              <w:t>Objectifs mondiaux</w:t>
            </w:r>
            <w:r>
              <w:t xml:space="preserve"> 2014-1017</w:t>
            </w:r>
          </w:p>
        </w:tc>
      </w:tr>
      <w:tr w:rsidR="006F0704" w:rsidRPr="006F0704" w:rsidTr="006F0704">
        <w:tc>
          <w:tcPr>
            <w:tcW w:w="4649" w:type="dxa"/>
          </w:tcPr>
          <w:p w:rsidR="006F0704" w:rsidRPr="006561B7" w:rsidRDefault="006F0704" w:rsidP="006F0704">
            <w:pPr>
              <w:pStyle w:val="Tableboxleft"/>
              <w:rPr>
                <w:lang w:val="fr-FR"/>
              </w:rPr>
            </w:pPr>
            <w:r w:rsidRPr="006561B7">
              <w:rPr>
                <w:lang w:val="fr-FR"/>
              </w:rPr>
              <w:t>a) réduire le nombre absolu de personnes souffrant de la faim et bâtir progressivement un monde offrant à tous la possibilité de disposer à tout moment d’une nourriture suffisante, saine et nutritive leur permettant de satisfaire leurs besoins et préférences alimentaires pour mener une vie saine et active</w:t>
            </w:r>
            <w:r>
              <w:rPr>
                <w:lang w:val="fr-FR"/>
              </w:rPr>
              <w:t>.</w:t>
            </w:r>
          </w:p>
        </w:tc>
        <w:tc>
          <w:tcPr>
            <w:tcW w:w="4593" w:type="dxa"/>
          </w:tcPr>
          <w:p w:rsidR="006F0704" w:rsidRPr="006561B7" w:rsidRDefault="006F0704" w:rsidP="006F0704">
            <w:pPr>
              <w:pStyle w:val="Tableboxleft"/>
              <w:rPr>
                <w:lang w:val="fr-FR"/>
              </w:rPr>
            </w:pPr>
            <w:r>
              <w:rPr>
                <w:lang w:val="fr-FR"/>
              </w:rPr>
              <w:t xml:space="preserve">a) </w:t>
            </w:r>
            <w:r w:rsidRPr="006F0704">
              <w:rPr>
                <w:lang w:val="fr-FR"/>
              </w:rPr>
              <w:t>éliminer la faim, l’insécurité alimentaire et la malnutrition et bâtir progressivement un monde offrant à tous</w:t>
            </w:r>
            <w:r>
              <w:rPr>
                <w:lang w:val="fr-FR"/>
              </w:rPr>
              <w:t xml:space="preserve"> </w:t>
            </w:r>
            <w:r w:rsidRPr="006F0704">
              <w:rPr>
                <w:lang w:val="fr-FR"/>
              </w:rPr>
              <w:t>la possibilité de disposer à tout moment d’une nourriture suffisante, saine et nutritive leur permettant de</w:t>
            </w:r>
            <w:r>
              <w:rPr>
                <w:lang w:val="fr-FR"/>
              </w:rPr>
              <w:t xml:space="preserve"> </w:t>
            </w:r>
            <w:r w:rsidRPr="006F0704">
              <w:rPr>
                <w:lang w:val="fr-FR"/>
              </w:rPr>
              <w:t>satisfaire leurs besoins et préférences alimentaires et de mener ainsi une vie saine et active</w:t>
            </w:r>
            <w:r>
              <w:rPr>
                <w:lang w:val="fr-FR"/>
              </w:rPr>
              <w:t>.</w:t>
            </w:r>
          </w:p>
        </w:tc>
      </w:tr>
      <w:tr w:rsidR="006F0704" w:rsidRPr="006F0704" w:rsidTr="006F0704">
        <w:tc>
          <w:tcPr>
            <w:tcW w:w="4649" w:type="dxa"/>
          </w:tcPr>
          <w:p w:rsidR="006F0704" w:rsidRPr="006561B7" w:rsidRDefault="006F0704" w:rsidP="00F705B7">
            <w:pPr>
              <w:pStyle w:val="Tableboxleft"/>
              <w:rPr>
                <w:lang w:val="fr-FR"/>
              </w:rPr>
            </w:pPr>
            <w:r w:rsidRPr="006561B7">
              <w:rPr>
                <w:lang w:val="fr-FR"/>
              </w:rPr>
              <w:t>b) éliminer la pauvreté et favoriser le progrès social et économique pour tous en augmentant la production alimentaire, en favorisant le développement rural et en pérennisant les moyens d’existence</w:t>
            </w:r>
            <w:r>
              <w:rPr>
                <w:lang w:val="fr-FR"/>
              </w:rPr>
              <w:t>.</w:t>
            </w:r>
          </w:p>
        </w:tc>
        <w:tc>
          <w:tcPr>
            <w:tcW w:w="4593" w:type="dxa"/>
          </w:tcPr>
          <w:p w:rsidR="006F0704" w:rsidRPr="006F0704" w:rsidRDefault="006F0704" w:rsidP="006F0704">
            <w:pPr>
              <w:pStyle w:val="Tableboxleft"/>
              <w:rPr>
                <w:lang w:val="fr-FR"/>
              </w:rPr>
            </w:pPr>
            <w:r>
              <w:rPr>
                <w:lang w:val="fr-FR"/>
              </w:rPr>
              <w:t xml:space="preserve">b) </w:t>
            </w:r>
            <w:r w:rsidRPr="006F0704">
              <w:rPr>
                <w:lang w:val="fr-FR"/>
              </w:rPr>
              <w:t>éliminer la pauvreté et favoriser le progrès social et économique pour tous en augmentant la production</w:t>
            </w:r>
          </w:p>
          <w:p w:rsidR="006F0704" w:rsidRPr="006561B7" w:rsidRDefault="006F0704" w:rsidP="006F0704">
            <w:pPr>
              <w:pStyle w:val="Tableboxleft"/>
              <w:rPr>
                <w:lang w:val="fr-FR"/>
              </w:rPr>
            </w:pPr>
            <w:r w:rsidRPr="006F0704">
              <w:rPr>
                <w:lang w:val="fr-FR"/>
              </w:rPr>
              <w:t>alimentaire, en favorisant le développement rural et en promouvant des moyens d’existence durables</w:t>
            </w:r>
            <w:r>
              <w:rPr>
                <w:lang w:val="fr-FR"/>
              </w:rPr>
              <w:t>.</w:t>
            </w:r>
          </w:p>
        </w:tc>
      </w:tr>
      <w:tr w:rsidR="006F0704" w:rsidRPr="006F0704" w:rsidTr="006F0704">
        <w:tc>
          <w:tcPr>
            <w:tcW w:w="4649" w:type="dxa"/>
          </w:tcPr>
          <w:p w:rsidR="006F0704" w:rsidRPr="006561B7" w:rsidRDefault="006F0704" w:rsidP="00F705B7">
            <w:pPr>
              <w:pStyle w:val="Tableboxleft"/>
              <w:rPr>
                <w:lang w:val="fr-FR"/>
              </w:rPr>
            </w:pPr>
            <w:r w:rsidRPr="006561B7">
              <w:rPr>
                <w:lang w:val="fr-FR"/>
              </w:rPr>
              <w:t>c) gérer et utiliser de manière durable les ressources naturelles, y compris la terre, l’eau, l’air, le climat et les ressources génétiques, au profit des générations présentes et futures.</w:t>
            </w:r>
          </w:p>
        </w:tc>
        <w:tc>
          <w:tcPr>
            <w:tcW w:w="4593" w:type="dxa"/>
          </w:tcPr>
          <w:p w:rsidR="006F0704" w:rsidRPr="006F0704" w:rsidRDefault="006F0704" w:rsidP="006F0704">
            <w:pPr>
              <w:autoSpaceDE w:val="0"/>
              <w:autoSpaceDN w:val="0"/>
              <w:adjustRightInd w:val="0"/>
              <w:jc w:val="left"/>
              <w:rPr>
                <w:lang w:val="fr-FR"/>
              </w:rPr>
            </w:pPr>
            <w:r>
              <w:rPr>
                <w:sz w:val="20"/>
                <w:szCs w:val="20"/>
                <w:lang w:val="fr-FR"/>
              </w:rPr>
              <w:t xml:space="preserve">c) </w:t>
            </w:r>
            <w:r w:rsidRPr="006F0704">
              <w:rPr>
                <w:sz w:val="20"/>
                <w:szCs w:val="20"/>
                <w:lang w:val="fr-FR"/>
              </w:rPr>
              <w:t>gérer et utiliser de manière durable les ressources naturelles, y compris la terre, l’eau, l’air, le climat et les</w:t>
            </w:r>
            <w:r>
              <w:rPr>
                <w:sz w:val="20"/>
                <w:szCs w:val="20"/>
                <w:lang w:val="fr-FR"/>
              </w:rPr>
              <w:t xml:space="preserve"> </w:t>
            </w:r>
            <w:r w:rsidRPr="006F0704">
              <w:rPr>
                <w:sz w:val="20"/>
                <w:szCs w:val="20"/>
                <w:lang w:val="fr-FR"/>
              </w:rPr>
              <w:t>ressources génétiques, pour le bien des générations présentes et futures.</w:t>
            </w:r>
          </w:p>
        </w:tc>
      </w:tr>
    </w:tbl>
    <w:p w:rsidR="006561B7" w:rsidRDefault="006561B7" w:rsidP="006561B7">
      <w:pPr>
        <w:rPr>
          <w:lang w:val="fr-FR"/>
        </w:rPr>
      </w:pPr>
    </w:p>
    <w:p w:rsidR="008D0DBC" w:rsidRPr="006F0704" w:rsidRDefault="008D0DBC" w:rsidP="008D0DBC">
      <w:pPr>
        <w:rPr>
          <w:lang w:val="fr-FR"/>
        </w:rPr>
      </w:pPr>
      <w:bookmarkStart w:id="0" w:name="RANGE_A1_C62"/>
    </w:p>
    <w:p w:rsidR="006561B7" w:rsidRPr="00730CBE" w:rsidRDefault="006561B7" w:rsidP="006561B7">
      <w:pPr>
        <w:pStyle w:val="Encadrnumerot"/>
      </w:pPr>
      <w:r w:rsidRPr="00730CBE">
        <w:t xml:space="preserve">Objectifs stratégiques de la FAO et résultats de l’Organisation </w:t>
      </w:r>
      <w:bookmarkEnd w:id="0"/>
      <w:r w:rsidR="006F0704">
        <w:t>2010-2013</w:t>
      </w:r>
    </w:p>
    <w:tbl>
      <w:tblPr>
        <w:tblW w:w="9513" w:type="dxa"/>
        <w:tblInd w:w="93" w:type="dxa"/>
        <w:tblLook w:val="0000"/>
      </w:tblPr>
      <w:tblGrid>
        <w:gridCol w:w="724"/>
        <w:gridCol w:w="7589"/>
        <w:gridCol w:w="1200"/>
      </w:tblGrid>
      <w:tr w:rsidR="006561B7" w:rsidRPr="00730CBE" w:rsidTr="00F705B7">
        <w:trPr>
          <w:trHeight w:val="522"/>
        </w:trPr>
        <w:tc>
          <w:tcPr>
            <w:tcW w:w="724" w:type="dxa"/>
            <w:tcBorders>
              <w:top w:val="single" w:sz="4" w:space="0" w:color="auto"/>
              <w:left w:val="single" w:sz="4" w:space="0" w:color="auto"/>
              <w:bottom w:val="single" w:sz="6" w:space="0" w:color="auto"/>
              <w:right w:val="single" w:sz="6" w:space="0" w:color="auto"/>
            </w:tcBorders>
          </w:tcPr>
          <w:p w:rsidR="006561B7" w:rsidRPr="00E33071" w:rsidRDefault="006561B7" w:rsidP="00F705B7">
            <w:pPr>
              <w:pStyle w:val="Tableheadingcolumn"/>
            </w:pPr>
            <w:r w:rsidRPr="00E33071">
              <w:t>Code</w:t>
            </w:r>
          </w:p>
        </w:tc>
        <w:tc>
          <w:tcPr>
            <w:tcW w:w="7589" w:type="dxa"/>
            <w:tcBorders>
              <w:top w:val="single" w:sz="4" w:space="0" w:color="auto"/>
              <w:left w:val="single" w:sz="6" w:space="0" w:color="auto"/>
              <w:bottom w:val="single" w:sz="6" w:space="0" w:color="auto"/>
              <w:right w:val="single" w:sz="6" w:space="0" w:color="auto"/>
            </w:tcBorders>
          </w:tcPr>
          <w:p w:rsidR="006561B7" w:rsidRPr="00E33071" w:rsidRDefault="006561B7" w:rsidP="00F705B7">
            <w:pPr>
              <w:pStyle w:val="Tableheadingcolumn"/>
            </w:pPr>
            <w:r w:rsidRPr="00E33071">
              <w:t>Titre</w:t>
            </w:r>
          </w:p>
        </w:tc>
        <w:tc>
          <w:tcPr>
            <w:tcW w:w="1200" w:type="dxa"/>
            <w:tcBorders>
              <w:top w:val="single" w:sz="4" w:space="0" w:color="auto"/>
              <w:left w:val="single" w:sz="6" w:space="0" w:color="auto"/>
              <w:bottom w:val="single" w:sz="6" w:space="0" w:color="auto"/>
              <w:right w:val="single" w:sz="4" w:space="0" w:color="auto"/>
            </w:tcBorders>
          </w:tcPr>
          <w:p w:rsidR="006561B7" w:rsidRPr="00E33071" w:rsidRDefault="006561B7" w:rsidP="00F705B7">
            <w:pPr>
              <w:pStyle w:val="Tableheadingcolumn"/>
            </w:pPr>
            <w:r w:rsidRPr="00E33071">
              <w:t>Unité chef de file</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A</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Intensification durable de la production agricole.</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AG</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A01</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Politiques et stratégies pour l’intensification durable et la diversification de la production agricole aux niveaux national et régional.</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AGP</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A02</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Les risques liés aux infestations de ravageurs et aux flambées de maladies transfrontières des plantes sont réduits de façon durable aux niveaux national, régional et mondial.</w:t>
            </w:r>
          </w:p>
          <w:p w:rsidR="006561B7" w:rsidRPr="006561B7" w:rsidRDefault="006561B7" w:rsidP="00F705B7">
            <w:pPr>
              <w:pStyle w:val="Tableboxleft"/>
              <w:rPr>
                <w:lang w:val="fr-FR"/>
              </w:rPr>
            </w:pP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AGP</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A03</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Les risques dérivant des pesticides sont réduits de manière durable aux niveaux national, régional et mondial.</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AGP</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A04</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 xml:space="preserve">Politiques efficaces et capacités renforcées pour une meilleure gestion des ressources </w:t>
            </w:r>
            <w:proofErr w:type="spellStart"/>
            <w:r w:rsidRPr="006561B7">
              <w:rPr>
                <w:lang w:val="fr-FR"/>
              </w:rPr>
              <w:t>phytogénétiques</w:t>
            </w:r>
            <w:proofErr w:type="spellEnd"/>
            <w:r w:rsidRPr="006561B7">
              <w:rPr>
                <w:lang w:val="fr-FR"/>
              </w:rPr>
              <w:t xml:space="preserve"> pour l’alimentation et l’agriculture (RPGAA), y compris les systèmes semenciers aux niveaux national et régional.</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AGP</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B</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Accroissement de la production animale durable</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AG</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B01</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Le secteur de l’élevage contribue de manière efficace et efficiente à la sécurité alimentaire, à la lutte contre la pauvreté et au développement économique.</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AGA</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B02</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Diminution des épizooties et des risques associés pour la santé publique.</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AGA</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B03</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Meilleure gestion des ressources naturelles, y compris les ressources génétiques animales,  pour la production animale.</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AGA</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B04</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Politiques et pratiques pour guider le secteur de l’élevage s’appuient sur des informations actualisées et fiables.</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AGA</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C</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Gestion et exploitation durables des ressources halieutiques et aquacoles</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FI</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C01</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Les États Membres et d’autres parties prenantes ont amélioré la formulation des politiques et normes facilitant l’application du Code de conduite pour une pêche responsable et d’autres instruments internationaux, ainsi que la réaction aux nouveaux défis.</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FI</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C02</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La gouvernance des pêches et de l’aquaculture est améliorée grâce à la mise en place ou au renforcement d’institutions nationales et régionales, y compris des organes régionaux des pêches.</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FIE</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C03</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 xml:space="preserve">Une gestion plus efficace des pêches de capture marines et continentales de la part des États Membres et d’autres parties prenantes a contribué à améliorer l’état des ressources </w:t>
            </w:r>
            <w:r w:rsidRPr="006561B7">
              <w:rPr>
                <w:lang w:val="fr-FR"/>
              </w:rPr>
              <w:lastRenderedPageBreak/>
              <w:t>halieutiques et des écosystèmes et à assurer leur utilisation durable.</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lastRenderedPageBreak/>
              <w:t>FIM</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lastRenderedPageBreak/>
              <w:t>C04</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Les États Membres et d’autres parties prenantes ont enregistré une hausse de la production de poisson et produits de la pêche du fait du développement et de l’intensification durables de l’aquaculture.</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FIM</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C05</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Les opérations de pêche, notamment l’utilisation des navires et engins de pêche, sont devenues moins dangereuses, plus efficaces sur le plan technique et socio-économique et plus respectueuses de l’environnement et des règles à tous les niveaux.</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FII</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C06</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Les États Membres et d’autres parties prenantes peuvent témoigner d’une utilisation post-capture et d’un commerce plus responsables des produits de la pêche et de l’aquaculture, notamment de conditions d’accès aux marchés plus prévisibles et harmonisées.</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FII</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D</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Amélioration de la sécurité sanitaire et de la qualité des aliments à tous les stades de la filière alimentaire</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AG</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D01</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Normes nouvelles et révisées convenues à l’échelle internationale et recommandations pour une sécurité sanitaire et une qualité des aliments qui servent de référence pour l’harmonisation internationale.</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AGN</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D02</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Cadres institutionnels, politiques et juridiques pour la gestion de la qualité et de la sécurité sanitaire des aliments qui soutiennent une approche basée sur l’ensemble de la filière alimentaire.</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AGN</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D03</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Les autorités nationales/régionales conçoivent et mettent en œuvre de manière efficace les programmes de gestion et de contrôle de la sécurité sanitaire et de la qualité des aliments en conformité avec les normes internationales.</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AGN</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D04</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Les pays établissent des programmes efficaces pour promouvoir un meilleur respect par les producteurs et les entreprises alimentaires des recommandations internationales sur les bonnes pratiques en matière de sécurité sanitaire et de qualité des aliments à tous les stades de la filière alimentaire et la conformité aux exigences du marché.</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AGN</w:t>
            </w:r>
          </w:p>
        </w:tc>
      </w:tr>
      <w:tr w:rsidR="006561B7" w:rsidRPr="00730CBE" w:rsidTr="00F705B7">
        <w:trPr>
          <w:trHeight w:val="41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E</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Gestion durable des forêts et des arbres</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FO</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E01</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Les politiques et les pratiques en matière de forêts et de foresterie s’appuient sur des informations fiables et à jour.</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FOM</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E02</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Les politiques et pratiques affectant les forêts et la foresterie sont renforcées grâce à la coopération et au dialogue au niveau international.</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FOE</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E03</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Les institutions régissant les forêts sont renforcées et la prise de décision est améliorée, y compris la participation des parties prenantes à l’élaboration des politiques et de la législation en matière de forêts, favorisant ainsi un environnement propice à l'investissement dans le secteur forestier. La foresterie est mieux intégrée dans les plans et les processus de développement nationaux, qui tiennent compte de l'interface entre les forêts et d'autres utilisations des terres.</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FOE</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E04</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La gestion durable des forêts et des arbres est plus répandue, favorisant ainsi une diminution sensible du déboisement et de la dégradation des forêts, et une meilleure contribution des forêts et des arbres à l'amélioration des moyens d’existence et à l’adaptation aux changements climatiques et à l’atténuation de leurs effets.</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FOM</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E05</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Les valeurs sociales et économiques des forêts et des arbres et leur contribution aux moyens d’existence sont renforcées, tandis que les marchés des produits et des services forestiers contribuent à faire de la foresterie une option d’utilisation des terres plus viable sur le plan économique.</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FOE</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E06</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Les valeurs environnementales des forêts, des arbres en dehors des forêts et de la foresterie sont mieux exploitées, et les stratégies de conservation de la biodiversité et des ressources génétiques forestières, d’adaptation au changement climatique et d’atténuation de ses effets, de remise en état des terres dégradées et de gestion des ressources en eau et en faune et en flore sauvages sont efficacement mises en œuvre.</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FOM</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F</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Gestion durable des terres, des eaux et des ressources génétiques et meilleures réponses aux défis mondiaux liés à l’environnement ayant une incidence sur l’alimentation et l’agriculture</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NR</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F01</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Les pays assurent la promotion et le développement de la gestion durable des terres.</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NRL</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lastRenderedPageBreak/>
              <w:t>F02</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Les pays affrontent la pénurie d’eau dans l’agriculture et renforcent leur capacité à améliorer la productivité de l’eau dans les systèmes agricoles au niveau national et dans les bassins fluviaux, y compris les systèmes hydriques transfrontaliers.</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NRL</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F03</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Les politiques et les programmes sont renforcés aux niveaux national, régional et international pour assurer la préservation et l’utilisation durable de la diversité biologique pour l’alimentation et l’agriculture et le partage équitable des avantages découlant de l’utilisation des ressources génétiques.</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NRD</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F04</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Un cadre international est élaboré et les capacités nationales sont renforcées pour assurer une gouvernance responsable de l’accès à la terre et du caractère équitable de la sécurité du régime foncier et protéger les liens de la terre avec les autres ressources naturelles.</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NRC</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F05</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Les pays ont renforcé leurs capacités à faire face aux nouveaux défis environnementaux, comme le changement climatique et les bioénergies.</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NRC</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F06</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L’accès aux connaissances sur la gestion des ressources naturelles, ainsi que leur partage, ont été facilités.</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OEK</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G</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Environnement porteur pour les marchés afin d’améliorer les moyens d’existence et le développement rural</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ES</w:t>
            </w:r>
          </w:p>
        </w:tc>
      </w:tr>
      <w:tr w:rsidR="006561B7" w:rsidRPr="006F0704"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G01</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Des analyses, politiques et services appropriés permettent aux petits producteurs de renforcer leur compétitivité, de se diversifier, d’accroître la valeur ajoutée et de répondre aux exigences des marchés.</w:t>
            </w:r>
          </w:p>
        </w:tc>
        <w:tc>
          <w:tcPr>
            <w:tcW w:w="1200" w:type="dxa"/>
            <w:tcBorders>
              <w:top w:val="single" w:sz="6" w:space="0" w:color="auto"/>
              <w:left w:val="single" w:sz="6" w:space="0" w:color="auto"/>
              <w:bottom w:val="single" w:sz="6" w:space="0" w:color="auto"/>
              <w:right w:val="single" w:sz="4" w:space="0" w:color="auto"/>
            </w:tcBorders>
          </w:tcPr>
          <w:p w:rsidR="006561B7" w:rsidRPr="006561B7" w:rsidRDefault="006561B7" w:rsidP="00F705B7">
            <w:pPr>
              <w:pStyle w:val="Tableboxleft"/>
              <w:rPr>
                <w:lang w:val="fr-FR"/>
              </w:rPr>
            </w:pP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G02</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La création d’emplois ruraux et la diversification des revenus sont intégrées dans les politiques, les programmes et les partenariats pour le développement agricole et rural.</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ESW</w:t>
            </w:r>
          </w:p>
        </w:tc>
      </w:tr>
      <w:tr w:rsidR="006561B7" w:rsidRPr="006F0704"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G03</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Les politiques, réglementations et institutions nationales et régionales renforcent les impacts de développement et de réduction de la pauvreté de l’agro-industrie et des entreprises agricoles.</w:t>
            </w:r>
          </w:p>
        </w:tc>
        <w:tc>
          <w:tcPr>
            <w:tcW w:w="1200" w:type="dxa"/>
            <w:tcBorders>
              <w:top w:val="single" w:sz="6" w:space="0" w:color="auto"/>
              <w:left w:val="single" w:sz="6" w:space="0" w:color="auto"/>
              <w:bottom w:val="single" w:sz="6" w:space="0" w:color="auto"/>
              <w:right w:val="single" w:sz="4" w:space="0" w:color="auto"/>
            </w:tcBorders>
          </w:tcPr>
          <w:p w:rsidR="006561B7" w:rsidRPr="006561B7" w:rsidRDefault="006561B7" w:rsidP="00F705B7">
            <w:pPr>
              <w:pStyle w:val="Tableboxleft"/>
              <w:rPr>
                <w:lang w:val="fr-FR"/>
              </w:rPr>
            </w:pP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G04</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Les pays ont une connaissance et des capacités accrues de l’analyse de l’évolution des marchés agricoles, des politiques et des réglementations commerciales au niveau international pour identifier les débouchés commerciaux et formuler des politiques et des stratégies commerciales appropriées et efficaces.</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EST</w:t>
            </w:r>
          </w:p>
        </w:tc>
      </w:tr>
      <w:tr w:rsidR="006561B7" w:rsidRPr="00730CBE" w:rsidTr="00F705B7">
        <w:trPr>
          <w:trHeight w:val="344"/>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H</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Amélioration de la sécurité alimentaire et de la nutrition</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ES</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H01</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Les pays et les autres parties prenantes ont renforcé leurs capacités de formuler et mettre en œuvre des politiques et des programmes cohérents qui traitent les causes profondes de la faim, de l’insécurité alimentaire et de la malnutrition.</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ESA</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H02</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Les États Membres et les autres parties prenantes renforcent la gouvernance en matière de sécurité alimentaire moyennant une approche sur trois fronts et l’application des Directives volontaires à l’appui de la concrétisation progressive du droit à une alimentation adéquate dans le contexte de la sécurité alimentaire nationale.</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ESA</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H03</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Renforcement des capacités des États Membres et des autres parties prenantes de traiter les problèmes spécifiques de nutrition dans le domaine de l’alimentation et de l’agriculture.</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AGN</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H04</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Renforcement des capacités des États Membres et des autres parties prenantes de produire, gérer et analyser des données, notamment statistiques, et d’accéder à ces données, en vue d’améliorer la sécurité alimentaire et la nutrition.</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ESS</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H05</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Meilleur accès des États Membres et des autres parties prenantes aux produits et services d’analyse et d’information de la FAO sur la sécurité alimentaire, l’agriculture et la nutrition et renforcement de leurs capacités d’échange de connaissances.</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ESA</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I</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Amélioration de la préparation et de la réaction aux menaces et aux situations d’urgence ayant une incidence sur l’alimentation et l’agriculture</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TC</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I01</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La vulnérabilité des pays aux crises, menaces et situations d’urgence est réduite grâce à une meilleure préparation et à l’intégration de la prévention et de l’atténuation des risques dans les politiques, programmes et interventions.</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TCE</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I02</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Les pays et les partenaires réagissent plus efficacement aux crises et aux situations d’urgence grâce à des interventions liées à l’alimentation et à l’agriculture.</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TCE</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I03</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Les pays et les partenaires disposent de liens et d’une transition améliorés entre les stades de la situation d’urgence, du relèvement et du développement.</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TCE</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K</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Équité hommes-femmes pour l’accès aux ressources, aux biens, aux services et à la prise de décisions dans les zones rurales</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ES</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lastRenderedPageBreak/>
              <w:t>K01</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La parité hommes-femmes en milieu rural est incorporée dans les politiques et programmes conjoints des Nations Unies pour la sécurité alimentaire, l’agriculture et le développement rural.</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ESW</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K02</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Les gouvernements mettent en place des capacités renforcées pour intégrer les questions de parités hommes-femmes et d’égalité sociale dans les programmes, projets et politiques d’agriculture, de sécurité alimentaire et de développement rural à l’aide de statistiques ventilées en fonction du sexe et d’autres informations et ressources pertinentes.</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ESW</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K03</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Les gouvernements formulent des politiques agricoles et de développement rural qui tiennent compte de la parité hommes-femmes, n’excluent personne et sont participatives.</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ESW</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K04</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La direction de la FAO et le personnel ont fait la preuve de leur engagement et de leur aptitude à tenir compte des questions de parité hommes-femmes dans leurs activités.</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ESW</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L</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b/>
                <w:bCs/>
                <w:lang w:val="fr-FR"/>
              </w:rPr>
            </w:pPr>
            <w:r w:rsidRPr="006561B7">
              <w:rPr>
                <w:lang w:val="fr-FR"/>
              </w:rPr>
              <w:t>Accroissement et amélioration de l’efficacité des investissements publics et privés dans l’agriculture et le développement rural</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TC</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L01</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Plus grande intégration de stratégies et politiques d’investissement dans l’alimentation, l’agriculture et le développement rural durables dans les plans et cadres de développement aux niveaux national et régional.</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TCI</w:t>
            </w:r>
          </w:p>
        </w:tc>
      </w:tr>
      <w:tr w:rsidR="006561B7" w:rsidRPr="00730CBE" w:rsidTr="00F705B7">
        <w:trPr>
          <w:trHeight w:val="522"/>
        </w:trPr>
        <w:tc>
          <w:tcPr>
            <w:tcW w:w="724" w:type="dxa"/>
            <w:tcBorders>
              <w:top w:val="single" w:sz="6" w:space="0" w:color="auto"/>
              <w:left w:val="single" w:sz="4" w:space="0" w:color="auto"/>
              <w:bottom w:val="single" w:sz="6" w:space="0" w:color="auto"/>
              <w:right w:val="single" w:sz="6" w:space="0" w:color="auto"/>
            </w:tcBorders>
          </w:tcPr>
          <w:p w:rsidR="006561B7" w:rsidRPr="00730CBE" w:rsidRDefault="006561B7" w:rsidP="00F705B7">
            <w:pPr>
              <w:pStyle w:val="Tableheadingrow"/>
            </w:pPr>
            <w:r w:rsidRPr="00730CBE">
              <w:t>L02</w:t>
            </w:r>
          </w:p>
        </w:tc>
        <w:tc>
          <w:tcPr>
            <w:tcW w:w="7589" w:type="dxa"/>
            <w:tcBorders>
              <w:top w:val="single" w:sz="6" w:space="0" w:color="auto"/>
              <w:left w:val="single" w:sz="6" w:space="0" w:color="auto"/>
              <w:bottom w:val="single" w:sz="6" w:space="0" w:color="auto"/>
              <w:right w:val="single" w:sz="6" w:space="0" w:color="auto"/>
            </w:tcBorders>
          </w:tcPr>
          <w:p w:rsidR="006561B7" w:rsidRPr="006561B7" w:rsidRDefault="006561B7" w:rsidP="00F705B7">
            <w:pPr>
              <w:pStyle w:val="Tableboxleft"/>
              <w:rPr>
                <w:lang w:val="fr-FR"/>
              </w:rPr>
            </w:pPr>
            <w:r w:rsidRPr="006561B7">
              <w:rPr>
                <w:lang w:val="fr-FR"/>
              </w:rPr>
              <w:t>Capacité améliorée des organisations des secteurs public et privé à planifier et mettre en œuvre des opérations d’investissement dans l’alimentation, l’agriculture et le développement rural durables et à en renforcer la durabilité.</w:t>
            </w:r>
          </w:p>
        </w:tc>
        <w:tc>
          <w:tcPr>
            <w:tcW w:w="1200" w:type="dxa"/>
            <w:tcBorders>
              <w:top w:val="single" w:sz="6" w:space="0" w:color="auto"/>
              <w:left w:val="single" w:sz="6" w:space="0" w:color="auto"/>
              <w:bottom w:val="single" w:sz="6" w:space="0" w:color="auto"/>
              <w:right w:val="single" w:sz="4" w:space="0" w:color="auto"/>
            </w:tcBorders>
          </w:tcPr>
          <w:p w:rsidR="006561B7" w:rsidRPr="00730CBE" w:rsidRDefault="006561B7" w:rsidP="00F705B7">
            <w:pPr>
              <w:pStyle w:val="Tableboxleft"/>
            </w:pPr>
            <w:r w:rsidRPr="00730CBE">
              <w:t>TCI</w:t>
            </w:r>
          </w:p>
        </w:tc>
      </w:tr>
      <w:tr w:rsidR="006561B7" w:rsidRPr="00730CBE" w:rsidTr="00F705B7">
        <w:trPr>
          <w:trHeight w:val="522"/>
        </w:trPr>
        <w:tc>
          <w:tcPr>
            <w:tcW w:w="724" w:type="dxa"/>
            <w:tcBorders>
              <w:top w:val="single" w:sz="6" w:space="0" w:color="auto"/>
              <w:left w:val="single" w:sz="4" w:space="0" w:color="auto"/>
              <w:bottom w:val="single" w:sz="4" w:space="0" w:color="auto"/>
              <w:right w:val="single" w:sz="6" w:space="0" w:color="auto"/>
            </w:tcBorders>
          </w:tcPr>
          <w:p w:rsidR="006561B7" w:rsidRPr="00730CBE" w:rsidRDefault="006561B7" w:rsidP="00F705B7">
            <w:pPr>
              <w:pStyle w:val="Tableheadingrow"/>
            </w:pPr>
            <w:r w:rsidRPr="00730CBE">
              <w:t>L03</w:t>
            </w:r>
          </w:p>
        </w:tc>
        <w:tc>
          <w:tcPr>
            <w:tcW w:w="7589" w:type="dxa"/>
            <w:tcBorders>
              <w:top w:val="single" w:sz="6" w:space="0" w:color="auto"/>
              <w:left w:val="single" w:sz="6" w:space="0" w:color="auto"/>
              <w:bottom w:val="single" w:sz="4" w:space="0" w:color="auto"/>
              <w:right w:val="single" w:sz="6" w:space="0" w:color="auto"/>
            </w:tcBorders>
          </w:tcPr>
          <w:p w:rsidR="006561B7" w:rsidRPr="006561B7" w:rsidRDefault="006561B7" w:rsidP="00F705B7">
            <w:pPr>
              <w:pStyle w:val="Tableboxleft"/>
              <w:rPr>
                <w:lang w:val="fr-FR"/>
              </w:rPr>
            </w:pPr>
            <w:r w:rsidRPr="006561B7">
              <w:rPr>
                <w:lang w:val="fr-FR"/>
              </w:rPr>
              <w:t>Des programmes d’investissement des secteurs public et privé de qualité, conformes aux priorités et besoins nationaux sont élaborés et financés.</w:t>
            </w:r>
          </w:p>
        </w:tc>
        <w:tc>
          <w:tcPr>
            <w:tcW w:w="1200" w:type="dxa"/>
            <w:tcBorders>
              <w:top w:val="single" w:sz="6" w:space="0" w:color="auto"/>
              <w:left w:val="single" w:sz="6" w:space="0" w:color="auto"/>
              <w:bottom w:val="single" w:sz="4" w:space="0" w:color="auto"/>
              <w:right w:val="single" w:sz="4" w:space="0" w:color="auto"/>
            </w:tcBorders>
          </w:tcPr>
          <w:p w:rsidR="006561B7" w:rsidRPr="00730CBE" w:rsidRDefault="006561B7" w:rsidP="00F705B7">
            <w:pPr>
              <w:pStyle w:val="Tableboxleft"/>
            </w:pPr>
            <w:r w:rsidRPr="00730CBE">
              <w:t>TCI</w:t>
            </w:r>
          </w:p>
        </w:tc>
      </w:tr>
    </w:tbl>
    <w:p w:rsidR="006561B7" w:rsidRDefault="006561B7" w:rsidP="006561B7"/>
    <w:p w:rsidR="006F0704" w:rsidRDefault="006F0704" w:rsidP="006561B7"/>
    <w:p w:rsidR="006F0704" w:rsidRPr="00564DF5" w:rsidRDefault="00FB6D75" w:rsidP="006F0704">
      <w:pPr>
        <w:pStyle w:val="Encadrnumerot"/>
      </w:pPr>
      <w:r>
        <w:t>Objectif</w:t>
      </w:r>
      <w:r w:rsidR="006F0704" w:rsidRPr="00564DF5">
        <w:t xml:space="preserve">s </w:t>
      </w:r>
      <w:r w:rsidR="006F0704">
        <w:t xml:space="preserve">stratégiques </w:t>
      </w:r>
      <w:r w:rsidR="006F0704" w:rsidRPr="00564DF5">
        <w:t>201</w:t>
      </w:r>
      <w:r w:rsidR="006F0704">
        <w:t>4-17</w:t>
      </w:r>
    </w:p>
    <w:tbl>
      <w:tblPr>
        <w:tblW w:w="0" w:type="auto"/>
        <w:tblInd w:w="93" w:type="dxa"/>
        <w:tblLook w:val="0000"/>
      </w:tblPr>
      <w:tblGrid>
        <w:gridCol w:w="1517"/>
        <w:gridCol w:w="6313"/>
      </w:tblGrid>
      <w:tr w:rsidR="006F0704" w:rsidRPr="00FB6D75" w:rsidTr="00DD4E54">
        <w:trPr>
          <w:trHeight w:val="522"/>
        </w:trPr>
        <w:tc>
          <w:tcPr>
            <w:tcW w:w="1291" w:type="dxa"/>
            <w:tcBorders>
              <w:top w:val="single" w:sz="6" w:space="0" w:color="auto"/>
              <w:left w:val="single" w:sz="4" w:space="0" w:color="auto"/>
              <w:bottom w:val="single" w:sz="6" w:space="0" w:color="auto"/>
              <w:right w:val="single" w:sz="6" w:space="0" w:color="auto"/>
            </w:tcBorders>
          </w:tcPr>
          <w:p w:rsidR="006F0704" w:rsidRPr="00FB6D75" w:rsidRDefault="006F0704" w:rsidP="00DD4E54">
            <w:pPr>
              <w:pStyle w:val="Tableheadingrow"/>
            </w:pPr>
            <w:r w:rsidRPr="00FB6D75">
              <w:t>1</w:t>
            </w:r>
          </w:p>
        </w:tc>
        <w:tc>
          <w:tcPr>
            <w:tcW w:w="6313" w:type="dxa"/>
            <w:tcBorders>
              <w:top w:val="single" w:sz="6" w:space="0" w:color="auto"/>
              <w:left w:val="single" w:sz="6" w:space="0" w:color="auto"/>
              <w:bottom w:val="single" w:sz="6" w:space="0" w:color="auto"/>
              <w:right w:val="single" w:sz="6" w:space="0" w:color="auto"/>
            </w:tcBorders>
          </w:tcPr>
          <w:p w:rsidR="006F0704" w:rsidRPr="00FB6D75" w:rsidRDefault="00FB6D75" w:rsidP="00DD4E54">
            <w:pPr>
              <w:pStyle w:val="Tableboxleft"/>
              <w:rPr>
                <w:lang w:val="fr-FR" w:eastAsia="en-GB"/>
              </w:rPr>
            </w:pPr>
            <w:r w:rsidRPr="00FB6D75">
              <w:rPr>
                <w:lang w:val="fr-FR"/>
              </w:rPr>
              <w:t>Contribuer à l'élimination de la faim, de l’insécurité alimentaire et de la malnutrition</w:t>
            </w:r>
          </w:p>
        </w:tc>
      </w:tr>
      <w:tr w:rsidR="006F0704" w:rsidRPr="00FB6D75" w:rsidTr="00DD4E54">
        <w:trPr>
          <w:trHeight w:val="522"/>
        </w:trPr>
        <w:tc>
          <w:tcPr>
            <w:tcW w:w="1291" w:type="dxa"/>
            <w:tcBorders>
              <w:top w:val="single" w:sz="6" w:space="0" w:color="auto"/>
              <w:left w:val="single" w:sz="4" w:space="0" w:color="auto"/>
              <w:bottom w:val="single" w:sz="6" w:space="0" w:color="auto"/>
              <w:right w:val="single" w:sz="6" w:space="0" w:color="auto"/>
            </w:tcBorders>
          </w:tcPr>
          <w:p w:rsidR="006F0704" w:rsidRPr="00FB6D75" w:rsidRDefault="006F0704" w:rsidP="00DD4E54">
            <w:pPr>
              <w:pStyle w:val="Tableheadingrow"/>
            </w:pPr>
            <w:r w:rsidRPr="00FB6D75">
              <w:t>2</w:t>
            </w:r>
          </w:p>
        </w:tc>
        <w:tc>
          <w:tcPr>
            <w:tcW w:w="6313" w:type="dxa"/>
            <w:tcBorders>
              <w:top w:val="single" w:sz="6" w:space="0" w:color="auto"/>
              <w:left w:val="single" w:sz="6" w:space="0" w:color="auto"/>
              <w:bottom w:val="single" w:sz="6" w:space="0" w:color="auto"/>
              <w:right w:val="single" w:sz="6" w:space="0" w:color="auto"/>
            </w:tcBorders>
          </w:tcPr>
          <w:p w:rsidR="006F0704" w:rsidRPr="00FB6D75" w:rsidRDefault="00FB6D75" w:rsidP="00FB6D75">
            <w:pPr>
              <w:pStyle w:val="Tableboxleft"/>
              <w:rPr>
                <w:lang w:val="fr-FR" w:eastAsia="en-GB"/>
              </w:rPr>
            </w:pPr>
            <w:r w:rsidRPr="00FB6D75">
              <w:rPr>
                <w:lang w:val="fr-FR"/>
              </w:rPr>
              <w:t>Intensifier et améliorer de manière durable l’apport de biens et de services issus de l’agriculture, de la</w:t>
            </w:r>
            <w:r w:rsidRPr="00FB6D75">
              <w:rPr>
                <w:lang w:val="fr-FR"/>
              </w:rPr>
              <w:t xml:space="preserve"> </w:t>
            </w:r>
            <w:r w:rsidRPr="00FB6D75">
              <w:rPr>
                <w:lang w:val="fr-FR"/>
              </w:rPr>
              <w:t>foresterie et des pêches</w:t>
            </w:r>
          </w:p>
        </w:tc>
      </w:tr>
      <w:tr w:rsidR="006F0704" w:rsidRPr="00FB6D75" w:rsidTr="00DD4E54">
        <w:trPr>
          <w:trHeight w:val="522"/>
        </w:trPr>
        <w:tc>
          <w:tcPr>
            <w:tcW w:w="1291" w:type="dxa"/>
            <w:tcBorders>
              <w:top w:val="single" w:sz="6" w:space="0" w:color="auto"/>
              <w:left w:val="single" w:sz="4" w:space="0" w:color="auto"/>
              <w:bottom w:val="single" w:sz="6" w:space="0" w:color="auto"/>
              <w:right w:val="single" w:sz="6" w:space="0" w:color="auto"/>
            </w:tcBorders>
          </w:tcPr>
          <w:p w:rsidR="006F0704" w:rsidRPr="00FB6D75" w:rsidRDefault="006F0704" w:rsidP="00DD4E54">
            <w:pPr>
              <w:pStyle w:val="Tableheadingrow"/>
            </w:pPr>
            <w:r w:rsidRPr="00FB6D75">
              <w:t>3</w:t>
            </w:r>
          </w:p>
        </w:tc>
        <w:tc>
          <w:tcPr>
            <w:tcW w:w="6313" w:type="dxa"/>
            <w:tcBorders>
              <w:top w:val="single" w:sz="6" w:space="0" w:color="auto"/>
              <w:left w:val="single" w:sz="6" w:space="0" w:color="auto"/>
              <w:bottom w:val="single" w:sz="6" w:space="0" w:color="auto"/>
              <w:right w:val="single" w:sz="6" w:space="0" w:color="auto"/>
            </w:tcBorders>
          </w:tcPr>
          <w:p w:rsidR="006F0704" w:rsidRPr="00FB6D75" w:rsidRDefault="00FB6D75" w:rsidP="00DD4E54">
            <w:pPr>
              <w:pStyle w:val="Tableboxleft"/>
              <w:rPr>
                <w:lang w:val="fr-FR" w:eastAsia="en-GB"/>
              </w:rPr>
            </w:pPr>
            <w:r w:rsidRPr="00FB6D75">
              <w:rPr>
                <w:lang w:val="fr-FR"/>
              </w:rPr>
              <w:t>Réduire la pauvreté rurale</w:t>
            </w:r>
          </w:p>
        </w:tc>
      </w:tr>
      <w:tr w:rsidR="006F0704" w:rsidRPr="00FB6D75" w:rsidTr="00DD4E54">
        <w:trPr>
          <w:trHeight w:val="522"/>
        </w:trPr>
        <w:tc>
          <w:tcPr>
            <w:tcW w:w="1291" w:type="dxa"/>
            <w:tcBorders>
              <w:top w:val="single" w:sz="6" w:space="0" w:color="auto"/>
              <w:left w:val="single" w:sz="4" w:space="0" w:color="auto"/>
              <w:bottom w:val="single" w:sz="6" w:space="0" w:color="auto"/>
              <w:right w:val="single" w:sz="6" w:space="0" w:color="auto"/>
            </w:tcBorders>
          </w:tcPr>
          <w:p w:rsidR="006F0704" w:rsidRPr="00FB6D75" w:rsidRDefault="006F0704" w:rsidP="00DD4E54">
            <w:pPr>
              <w:pStyle w:val="Tableheadingrow"/>
            </w:pPr>
            <w:r w:rsidRPr="00FB6D75">
              <w:t>4</w:t>
            </w:r>
          </w:p>
        </w:tc>
        <w:tc>
          <w:tcPr>
            <w:tcW w:w="6313" w:type="dxa"/>
            <w:tcBorders>
              <w:top w:val="single" w:sz="6" w:space="0" w:color="auto"/>
              <w:left w:val="single" w:sz="6" w:space="0" w:color="auto"/>
              <w:bottom w:val="single" w:sz="6" w:space="0" w:color="auto"/>
              <w:right w:val="single" w:sz="6" w:space="0" w:color="auto"/>
            </w:tcBorders>
          </w:tcPr>
          <w:p w:rsidR="006F0704" w:rsidRPr="00FB6D75" w:rsidRDefault="00FB6D75" w:rsidP="00FB6D75">
            <w:pPr>
              <w:autoSpaceDE w:val="0"/>
              <w:autoSpaceDN w:val="0"/>
              <w:adjustRightInd w:val="0"/>
              <w:jc w:val="left"/>
              <w:rPr>
                <w:lang w:val="fr-FR" w:eastAsia="en-GB"/>
              </w:rPr>
            </w:pPr>
            <w:r w:rsidRPr="00FB6D75">
              <w:rPr>
                <w:sz w:val="20"/>
                <w:szCs w:val="20"/>
                <w:lang w:val="fr-FR"/>
              </w:rPr>
              <w:t>Veiller à la mise en place de systèmes agricoles et alimentaires plus ouverts et plus efficaces aux niveaux local, national et international</w:t>
            </w:r>
          </w:p>
        </w:tc>
      </w:tr>
      <w:tr w:rsidR="006F0704" w:rsidRPr="00FB6D75" w:rsidTr="00DD4E54">
        <w:trPr>
          <w:trHeight w:val="522"/>
        </w:trPr>
        <w:tc>
          <w:tcPr>
            <w:tcW w:w="1291" w:type="dxa"/>
            <w:tcBorders>
              <w:top w:val="single" w:sz="6" w:space="0" w:color="auto"/>
              <w:left w:val="single" w:sz="4" w:space="0" w:color="auto"/>
              <w:bottom w:val="single" w:sz="6" w:space="0" w:color="auto"/>
              <w:right w:val="single" w:sz="6" w:space="0" w:color="auto"/>
            </w:tcBorders>
          </w:tcPr>
          <w:p w:rsidR="006F0704" w:rsidRPr="00FB6D75" w:rsidRDefault="006F0704" w:rsidP="00DD4E54">
            <w:pPr>
              <w:pStyle w:val="Tableheadingrow"/>
            </w:pPr>
            <w:r w:rsidRPr="00FB6D75">
              <w:t>5</w:t>
            </w:r>
          </w:p>
        </w:tc>
        <w:tc>
          <w:tcPr>
            <w:tcW w:w="6313" w:type="dxa"/>
            <w:tcBorders>
              <w:top w:val="single" w:sz="6" w:space="0" w:color="auto"/>
              <w:left w:val="single" w:sz="6" w:space="0" w:color="auto"/>
              <w:bottom w:val="single" w:sz="6" w:space="0" w:color="auto"/>
              <w:right w:val="single" w:sz="6" w:space="0" w:color="auto"/>
            </w:tcBorders>
          </w:tcPr>
          <w:p w:rsidR="006F0704" w:rsidRPr="00FB6D75" w:rsidRDefault="00FB6D75" w:rsidP="00DD4E54">
            <w:pPr>
              <w:pStyle w:val="Tableboxleft"/>
              <w:rPr>
                <w:lang w:val="fr-FR" w:eastAsia="en-GB"/>
              </w:rPr>
            </w:pPr>
            <w:r w:rsidRPr="00FB6D75">
              <w:rPr>
                <w:lang w:val="fr-FR"/>
              </w:rPr>
              <w:t>Améliorer la résilience des moyens d’existence face à des menaces ou en situation de crise</w:t>
            </w:r>
          </w:p>
        </w:tc>
      </w:tr>
      <w:tr w:rsidR="006F0704" w:rsidRPr="00FB6D75" w:rsidTr="00DD4E54">
        <w:trPr>
          <w:trHeight w:val="522"/>
        </w:trPr>
        <w:tc>
          <w:tcPr>
            <w:tcW w:w="1291" w:type="dxa"/>
            <w:tcBorders>
              <w:top w:val="single" w:sz="6" w:space="0" w:color="auto"/>
              <w:left w:val="single" w:sz="4" w:space="0" w:color="auto"/>
              <w:bottom w:val="single" w:sz="4" w:space="0" w:color="auto"/>
              <w:right w:val="single" w:sz="6" w:space="0" w:color="auto"/>
            </w:tcBorders>
          </w:tcPr>
          <w:p w:rsidR="006F0704" w:rsidRPr="00FB6D75" w:rsidRDefault="006F0704" w:rsidP="00FB6D75">
            <w:pPr>
              <w:pStyle w:val="Tableheadingrow"/>
            </w:pPr>
            <w:r w:rsidRPr="00FB6D75">
              <w:t>Objecti</w:t>
            </w:r>
            <w:r w:rsidR="00FB6D75" w:rsidRPr="00FB6D75">
              <w:t>f</w:t>
            </w:r>
            <w:r w:rsidRPr="00FB6D75">
              <w:t xml:space="preserve"> </w:t>
            </w:r>
            <w:r w:rsidR="00FB6D75" w:rsidRPr="00FB6D75">
              <w:t>Supplémentaire</w:t>
            </w:r>
          </w:p>
        </w:tc>
        <w:tc>
          <w:tcPr>
            <w:tcW w:w="6313" w:type="dxa"/>
            <w:tcBorders>
              <w:top w:val="single" w:sz="6" w:space="0" w:color="auto"/>
              <w:left w:val="single" w:sz="6" w:space="0" w:color="auto"/>
              <w:bottom w:val="single" w:sz="4" w:space="0" w:color="auto"/>
              <w:right w:val="single" w:sz="6" w:space="0" w:color="auto"/>
            </w:tcBorders>
          </w:tcPr>
          <w:p w:rsidR="006F0704" w:rsidRPr="00FB6D75" w:rsidRDefault="00FB6D75" w:rsidP="00DD4E54">
            <w:pPr>
              <w:pStyle w:val="Tableboxleft"/>
              <w:rPr>
                <w:lang w:val="fr-FR" w:eastAsia="en-GB"/>
              </w:rPr>
            </w:pPr>
            <w:r w:rsidRPr="00FB6D75">
              <w:rPr>
                <w:lang w:val="fr-FR"/>
              </w:rPr>
              <w:t>Qualité, connaissances et services techniques</w:t>
            </w:r>
          </w:p>
        </w:tc>
      </w:tr>
    </w:tbl>
    <w:p w:rsidR="006F0704" w:rsidRPr="00FB6D75" w:rsidRDefault="006F0704" w:rsidP="006F0704">
      <w:pPr>
        <w:rPr>
          <w:lang w:val="fr-FR"/>
        </w:rPr>
      </w:pPr>
    </w:p>
    <w:p w:rsidR="006561B7" w:rsidRDefault="006561B7" w:rsidP="006561B7">
      <w:pPr>
        <w:rPr>
          <w:lang w:val="fr-FR"/>
        </w:rPr>
      </w:pPr>
    </w:p>
    <w:p w:rsidR="002803C3" w:rsidRPr="00564DF5" w:rsidRDefault="002803C3" w:rsidP="002803C3">
      <w:pPr>
        <w:pStyle w:val="Encadrnumerot"/>
      </w:pPr>
      <w:r w:rsidRPr="00564DF5">
        <w:t>Objecti</w:t>
      </w:r>
      <w:r>
        <w:t>fs fonctionnels</w:t>
      </w:r>
      <w:r w:rsidRPr="00564DF5">
        <w:t xml:space="preserve"> 201</w:t>
      </w:r>
      <w:r>
        <w:t>4-17</w:t>
      </w:r>
    </w:p>
    <w:tbl>
      <w:tblPr>
        <w:tblW w:w="0" w:type="auto"/>
        <w:tblInd w:w="93" w:type="dxa"/>
        <w:tblLook w:val="0000"/>
      </w:tblPr>
      <w:tblGrid>
        <w:gridCol w:w="6313"/>
      </w:tblGrid>
      <w:tr w:rsidR="002803C3" w:rsidRPr="002803C3" w:rsidTr="00DD4E54">
        <w:trPr>
          <w:trHeight w:val="522"/>
        </w:trPr>
        <w:tc>
          <w:tcPr>
            <w:tcW w:w="6313" w:type="dxa"/>
            <w:tcBorders>
              <w:top w:val="single" w:sz="6" w:space="0" w:color="auto"/>
              <w:left w:val="single" w:sz="6" w:space="0" w:color="auto"/>
              <w:bottom w:val="single" w:sz="6" w:space="0" w:color="auto"/>
              <w:right w:val="single" w:sz="6" w:space="0" w:color="auto"/>
            </w:tcBorders>
          </w:tcPr>
          <w:p w:rsidR="002803C3" w:rsidRPr="002803C3" w:rsidRDefault="002803C3" w:rsidP="00DD4E54">
            <w:pPr>
              <w:autoSpaceDE w:val="0"/>
              <w:autoSpaceDN w:val="0"/>
              <w:adjustRightInd w:val="0"/>
              <w:jc w:val="left"/>
              <w:rPr>
                <w:lang w:val="fr-FR" w:eastAsia="en-GB"/>
              </w:rPr>
            </w:pPr>
            <w:r w:rsidRPr="002803C3">
              <w:rPr>
                <w:sz w:val="20"/>
                <w:szCs w:val="20"/>
                <w:lang w:val="fr-FR"/>
              </w:rPr>
              <w:t>8. Activités de diffusion</w:t>
            </w:r>
          </w:p>
        </w:tc>
      </w:tr>
      <w:tr w:rsidR="002803C3" w:rsidRPr="002803C3" w:rsidTr="00DD4E54">
        <w:trPr>
          <w:trHeight w:val="522"/>
        </w:trPr>
        <w:tc>
          <w:tcPr>
            <w:tcW w:w="6313" w:type="dxa"/>
            <w:tcBorders>
              <w:top w:val="single" w:sz="6" w:space="0" w:color="auto"/>
              <w:left w:val="single" w:sz="6" w:space="0" w:color="auto"/>
              <w:bottom w:val="single" w:sz="6" w:space="0" w:color="auto"/>
              <w:right w:val="single" w:sz="6" w:space="0" w:color="auto"/>
            </w:tcBorders>
          </w:tcPr>
          <w:p w:rsidR="002803C3" w:rsidRPr="002803C3" w:rsidRDefault="002803C3" w:rsidP="00DD4E54">
            <w:pPr>
              <w:autoSpaceDE w:val="0"/>
              <w:autoSpaceDN w:val="0"/>
              <w:adjustRightInd w:val="0"/>
              <w:jc w:val="left"/>
              <w:rPr>
                <w:lang w:val="fr-FR" w:eastAsia="en-GB"/>
              </w:rPr>
            </w:pPr>
            <w:r w:rsidRPr="002803C3">
              <w:rPr>
                <w:sz w:val="20"/>
                <w:szCs w:val="20"/>
                <w:lang w:val="fr-FR"/>
              </w:rPr>
              <w:t>9. Technologies de l’information</w:t>
            </w:r>
          </w:p>
        </w:tc>
      </w:tr>
      <w:tr w:rsidR="002803C3" w:rsidRPr="002803C3" w:rsidTr="00DD4E54">
        <w:trPr>
          <w:trHeight w:val="522"/>
        </w:trPr>
        <w:tc>
          <w:tcPr>
            <w:tcW w:w="6313" w:type="dxa"/>
            <w:tcBorders>
              <w:top w:val="single" w:sz="6" w:space="0" w:color="auto"/>
              <w:left w:val="single" w:sz="6" w:space="0" w:color="auto"/>
              <w:bottom w:val="single" w:sz="6" w:space="0" w:color="auto"/>
              <w:right w:val="single" w:sz="6" w:space="0" w:color="auto"/>
            </w:tcBorders>
          </w:tcPr>
          <w:p w:rsidR="002803C3" w:rsidRPr="002803C3" w:rsidRDefault="002803C3" w:rsidP="00DD4E54">
            <w:pPr>
              <w:autoSpaceDE w:val="0"/>
              <w:autoSpaceDN w:val="0"/>
              <w:adjustRightInd w:val="0"/>
              <w:jc w:val="left"/>
              <w:rPr>
                <w:lang w:val="fr-FR" w:eastAsia="en-GB"/>
              </w:rPr>
            </w:pPr>
            <w:r w:rsidRPr="002803C3">
              <w:rPr>
                <w:sz w:val="20"/>
                <w:szCs w:val="20"/>
                <w:lang w:val="fr-FR"/>
              </w:rPr>
              <w:t>10. Gouvernance, contrôle et direction de la FAO</w:t>
            </w:r>
          </w:p>
        </w:tc>
      </w:tr>
      <w:tr w:rsidR="002803C3" w:rsidRPr="002803C3" w:rsidTr="00DD4E54">
        <w:trPr>
          <w:trHeight w:val="522"/>
        </w:trPr>
        <w:tc>
          <w:tcPr>
            <w:tcW w:w="6313" w:type="dxa"/>
            <w:tcBorders>
              <w:top w:val="single" w:sz="6" w:space="0" w:color="auto"/>
              <w:left w:val="single" w:sz="6" w:space="0" w:color="auto"/>
              <w:bottom w:val="single" w:sz="6" w:space="0" w:color="auto"/>
              <w:right w:val="single" w:sz="6" w:space="0" w:color="auto"/>
            </w:tcBorders>
          </w:tcPr>
          <w:p w:rsidR="002803C3" w:rsidRPr="002803C3" w:rsidRDefault="002803C3" w:rsidP="00DD4E54">
            <w:pPr>
              <w:pStyle w:val="Tableboxleft"/>
              <w:rPr>
                <w:lang w:val="fr-FR" w:eastAsia="en-GB"/>
              </w:rPr>
            </w:pPr>
            <w:r w:rsidRPr="002803C3">
              <w:rPr>
                <w:lang w:val="fr-FR"/>
              </w:rPr>
              <w:t>11. Administration efficiente et efficace</w:t>
            </w:r>
          </w:p>
        </w:tc>
      </w:tr>
    </w:tbl>
    <w:p w:rsidR="002803C3" w:rsidRPr="002803C3" w:rsidRDefault="002803C3" w:rsidP="002803C3">
      <w:pPr>
        <w:rPr>
          <w:lang w:val="fr-FR"/>
        </w:rPr>
      </w:pPr>
    </w:p>
    <w:p w:rsidR="002803C3" w:rsidRPr="002803C3" w:rsidRDefault="002803C3" w:rsidP="006561B7">
      <w:pPr>
        <w:rPr>
          <w:lang w:val="fr-FR"/>
        </w:rPr>
      </w:pPr>
    </w:p>
    <w:p w:rsidR="006561B7" w:rsidRPr="002803C3" w:rsidRDefault="006561B7" w:rsidP="006561B7">
      <w:pPr>
        <w:pStyle w:val="Encadrnumerot"/>
      </w:pPr>
      <w:r w:rsidRPr="002803C3">
        <w:t xml:space="preserve">Fonctions essentielles de la FAO </w:t>
      </w:r>
    </w:p>
    <w:tbl>
      <w:tblPr>
        <w:tblW w:w="9229" w:type="dxa"/>
        <w:tblInd w:w="93" w:type="dxa"/>
        <w:tblLayout w:type="fixed"/>
        <w:tblLook w:val="0000"/>
      </w:tblPr>
      <w:tblGrid>
        <w:gridCol w:w="328"/>
        <w:gridCol w:w="3798"/>
        <w:gridCol w:w="567"/>
        <w:gridCol w:w="4536"/>
      </w:tblGrid>
      <w:tr w:rsidR="002803C3" w:rsidRPr="002803C3" w:rsidTr="00DD4E54">
        <w:trPr>
          <w:trHeight w:val="450"/>
        </w:trPr>
        <w:tc>
          <w:tcPr>
            <w:tcW w:w="4126" w:type="dxa"/>
            <w:gridSpan w:val="2"/>
            <w:tcBorders>
              <w:top w:val="single" w:sz="6" w:space="0" w:color="auto"/>
              <w:left w:val="single" w:sz="4" w:space="0" w:color="auto"/>
              <w:bottom w:val="single" w:sz="6" w:space="0" w:color="auto"/>
              <w:right w:val="single" w:sz="6" w:space="0" w:color="auto"/>
            </w:tcBorders>
          </w:tcPr>
          <w:p w:rsidR="002803C3" w:rsidRPr="002803C3" w:rsidRDefault="002803C3" w:rsidP="00DD4E54">
            <w:pPr>
              <w:pStyle w:val="Tableheadingcolumncentred"/>
              <w:rPr>
                <w:lang w:val="fr-FR"/>
              </w:rPr>
            </w:pPr>
            <w:r w:rsidRPr="002803C3">
              <w:rPr>
                <w:lang w:val="fr-FR"/>
              </w:rPr>
              <w:t>Fonctions essentielles 2010-13</w:t>
            </w:r>
          </w:p>
        </w:tc>
        <w:tc>
          <w:tcPr>
            <w:tcW w:w="5103" w:type="dxa"/>
            <w:gridSpan w:val="2"/>
            <w:tcBorders>
              <w:top w:val="single" w:sz="6" w:space="0" w:color="auto"/>
              <w:left w:val="single" w:sz="6" w:space="0" w:color="auto"/>
              <w:bottom w:val="single" w:sz="6" w:space="0" w:color="auto"/>
              <w:right w:val="single" w:sz="6" w:space="0" w:color="auto"/>
            </w:tcBorders>
          </w:tcPr>
          <w:p w:rsidR="002803C3" w:rsidRPr="002803C3" w:rsidRDefault="002803C3" w:rsidP="00DD4E54">
            <w:pPr>
              <w:pStyle w:val="Tableheadingcolumncentred"/>
              <w:rPr>
                <w:lang w:val="fr-FR"/>
              </w:rPr>
            </w:pPr>
            <w:r w:rsidRPr="002803C3">
              <w:rPr>
                <w:lang w:val="fr-FR"/>
              </w:rPr>
              <w:t>Fonctions essentielles 2014-17</w:t>
            </w:r>
          </w:p>
        </w:tc>
      </w:tr>
      <w:tr w:rsidR="002803C3" w:rsidRPr="002803C3" w:rsidTr="00DD4E54">
        <w:trPr>
          <w:trHeight w:val="450"/>
        </w:trPr>
        <w:tc>
          <w:tcPr>
            <w:tcW w:w="328" w:type="dxa"/>
            <w:tcBorders>
              <w:top w:val="single" w:sz="6" w:space="0" w:color="auto"/>
              <w:left w:val="single" w:sz="4" w:space="0" w:color="auto"/>
              <w:bottom w:val="single" w:sz="6" w:space="0" w:color="auto"/>
              <w:right w:val="single" w:sz="6" w:space="0" w:color="auto"/>
            </w:tcBorders>
          </w:tcPr>
          <w:p w:rsidR="002803C3" w:rsidRPr="002803C3" w:rsidRDefault="002803C3" w:rsidP="00DD4E54">
            <w:pPr>
              <w:pStyle w:val="Tableheadingrow"/>
            </w:pPr>
            <w:r w:rsidRPr="002803C3">
              <w:lastRenderedPageBreak/>
              <w:t>a</w:t>
            </w:r>
          </w:p>
        </w:tc>
        <w:tc>
          <w:tcPr>
            <w:tcW w:w="3798" w:type="dxa"/>
            <w:tcBorders>
              <w:top w:val="single" w:sz="6" w:space="0" w:color="auto"/>
              <w:left w:val="single" w:sz="6" w:space="0" w:color="auto"/>
              <w:bottom w:val="single" w:sz="6" w:space="0" w:color="auto"/>
              <w:right w:val="single" w:sz="6" w:space="0" w:color="auto"/>
            </w:tcBorders>
          </w:tcPr>
          <w:p w:rsidR="002803C3" w:rsidRPr="002803C3" w:rsidRDefault="002803C3" w:rsidP="00DD4E54">
            <w:pPr>
              <w:pStyle w:val="Tableboxleft"/>
              <w:rPr>
                <w:lang w:val="fr-FR"/>
              </w:rPr>
            </w:pPr>
            <w:r w:rsidRPr="002803C3">
              <w:rPr>
                <w:lang w:val="fr-FR"/>
              </w:rPr>
              <w:t>Suivre et évaluer les tendances et perspectives à moyen et à long terme</w:t>
            </w:r>
          </w:p>
        </w:tc>
        <w:tc>
          <w:tcPr>
            <w:tcW w:w="567" w:type="dxa"/>
            <w:tcBorders>
              <w:top w:val="single" w:sz="6" w:space="0" w:color="auto"/>
              <w:left w:val="single" w:sz="6" w:space="0" w:color="auto"/>
              <w:bottom w:val="single" w:sz="6" w:space="0" w:color="auto"/>
              <w:right w:val="single" w:sz="6" w:space="0" w:color="auto"/>
            </w:tcBorders>
          </w:tcPr>
          <w:p w:rsidR="002803C3" w:rsidRPr="002803C3" w:rsidRDefault="002803C3" w:rsidP="00DD4E54">
            <w:pPr>
              <w:pStyle w:val="Tableboxleft"/>
              <w:rPr>
                <w:lang w:val="fr-FR"/>
              </w:rPr>
            </w:pPr>
          </w:p>
        </w:tc>
        <w:tc>
          <w:tcPr>
            <w:tcW w:w="4536" w:type="dxa"/>
            <w:tcBorders>
              <w:top w:val="single" w:sz="6" w:space="0" w:color="auto"/>
              <w:left w:val="single" w:sz="6" w:space="0" w:color="auto"/>
              <w:bottom w:val="single" w:sz="6" w:space="0" w:color="auto"/>
              <w:right w:val="single" w:sz="6" w:space="0" w:color="auto"/>
            </w:tcBorders>
          </w:tcPr>
          <w:p w:rsidR="002803C3" w:rsidRPr="002803C3" w:rsidRDefault="002803C3" w:rsidP="00DD4E54">
            <w:pPr>
              <w:pStyle w:val="Tableboxleft"/>
              <w:rPr>
                <w:lang w:val="fr-FR"/>
              </w:rPr>
            </w:pPr>
          </w:p>
        </w:tc>
      </w:tr>
      <w:tr w:rsidR="002803C3" w:rsidRPr="002803C3" w:rsidTr="00DD4E54">
        <w:trPr>
          <w:trHeight w:val="415"/>
        </w:trPr>
        <w:tc>
          <w:tcPr>
            <w:tcW w:w="328" w:type="dxa"/>
            <w:tcBorders>
              <w:top w:val="single" w:sz="6" w:space="0" w:color="auto"/>
              <w:left w:val="single" w:sz="4" w:space="0" w:color="auto"/>
              <w:bottom w:val="single" w:sz="6" w:space="0" w:color="auto"/>
              <w:right w:val="single" w:sz="6" w:space="0" w:color="auto"/>
            </w:tcBorders>
          </w:tcPr>
          <w:p w:rsidR="002803C3" w:rsidRPr="002803C3" w:rsidRDefault="002803C3" w:rsidP="00DD4E54">
            <w:pPr>
              <w:pStyle w:val="Tableheadingrow"/>
            </w:pPr>
            <w:r w:rsidRPr="002803C3">
              <w:t>b</w:t>
            </w:r>
          </w:p>
        </w:tc>
        <w:tc>
          <w:tcPr>
            <w:tcW w:w="3798" w:type="dxa"/>
            <w:tcBorders>
              <w:top w:val="single" w:sz="6" w:space="0" w:color="auto"/>
              <w:left w:val="single" w:sz="6" w:space="0" w:color="auto"/>
              <w:bottom w:val="single" w:sz="6" w:space="0" w:color="auto"/>
              <w:right w:val="single" w:sz="6" w:space="0" w:color="auto"/>
            </w:tcBorders>
          </w:tcPr>
          <w:p w:rsidR="002803C3" w:rsidRPr="002803C3" w:rsidRDefault="002803C3" w:rsidP="00DD4E54">
            <w:pPr>
              <w:pStyle w:val="Tableboxleft"/>
              <w:rPr>
                <w:lang w:val="fr-FR"/>
              </w:rPr>
            </w:pPr>
            <w:r w:rsidRPr="002803C3">
              <w:rPr>
                <w:lang w:val="fr-FR"/>
              </w:rPr>
              <w:t>Collecte et fourniture d’informations, de connaissances et de statistiques</w:t>
            </w:r>
          </w:p>
        </w:tc>
        <w:tc>
          <w:tcPr>
            <w:tcW w:w="567" w:type="dxa"/>
            <w:tcBorders>
              <w:top w:val="single" w:sz="6" w:space="0" w:color="auto"/>
              <w:left w:val="single" w:sz="6" w:space="0" w:color="auto"/>
              <w:bottom w:val="single" w:sz="6" w:space="0" w:color="auto"/>
              <w:right w:val="single" w:sz="6" w:space="0" w:color="auto"/>
            </w:tcBorders>
          </w:tcPr>
          <w:p w:rsidR="002803C3" w:rsidRPr="002803C3" w:rsidRDefault="002803C3" w:rsidP="00DD4E54">
            <w:pPr>
              <w:pStyle w:val="Tableboxleft"/>
              <w:rPr>
                <w:lang w:val="fr-FR"/>
              </w:rPr>
            </w:pPr>
            <w:r w:rsidRPr="002803C3">
              <w:rPr>
                <w:lang w:val="fr-FR"/>
              </w:rPr>
              <w:t>2</w:t>
            </w:r>
          </w:p>
        </w:tc>
        <w:tc>
          <w:tcPr>
            <w:tcW w:w="4536" w:type="dxa"/>
            <w:tcBorders>
              <w:top w:val="single" w:sz="6" w:space="0" w:color="auto"/>
              <w:left w:val="single" w:sz="6" w:space="0" w:color="auto"/>
              <w:bottom w:val="single" w:sz="6" w:space="0" w:color="auto"/>
              <w:right w:val="single" w:sz="6" w:space="0" w:color="auto"/>
            </w:tcBorders>
          </w:tcPr>
          <w:p w:rsidR="002803C3" w:rsidRPr="002803C3" w:rsidRDefault="002803C3" w:rsidP="002803C3">
            <w:pPr>
              <w:pStyle w:val="Tableboxleft"/>
              <w:rPr>
                <w:lang w:val="fr-FR"/>
              </w:rPr>
            </w:pPr>
            <w:r w:rsidRPr="002803C3">
              <w:rPr>
                <w:lang w:val="fr-FR"/>
              </w:rPr>
              <w:t>Rassembler, analyser et contrôler les données et l’information dans les domaines relevant du mandat de la</w:t>
            </w:r>
            <w:r w:rsidRPr="002803C3">
              <w:rPr>
                <w:lang w:val="fr-FR"/>
              </w:rPr>
              <w:t xml:space="preserve"> </w:t>
            </w:r>
            <w:r w:rsidRPr="002803C3">
              <w:rPr>
                <w:lang w:val="fr-FR"/>
              </w:rPr>
              <w:t>FAO et en améliorer l’accès</w:t>
            </w:r>
          </w:p>
        </w:tc>
      </w:tr>
      <w:tr w:rsidR="002803C3" w:rsidRPr="002803C3" w:rsidTr="00DD4E54">
        <w:trPr>
          <w:trHeight w:val="420"/>
        </w:trPr>
        <w:tc>
          <w:tcPr>
            <w:tcW w:w="328" w:type="dxa"/>
            <w:tcBorders>
              <w:top w:val="single" w:sz="6" w:space="0" w:color="auto"/>
              <w:left w:val="single" w:sz="4" w:space="0" w:color="auto"/>
              <w:bottom w:val="single" w:sz="6" w:space="0" w:color="auto"/>
              <w:right w:val="single" w:sz="6" w:space="0" w:color="auto"/>
            </w:tcBorders>
          </w:tcPr>
          <w:p w:rsidR="002803C3" w:rsidRPr="002803C3" w:rsidRDefault="002803C3" w:rsidP="00DD4E54">
            <w:pPr>
              <w:pStyle w:val="Tableheadingrow"/>
            </w:pPr>
            <w:r w:rsidRPr="002803C3">
              <w:t>c</w:t>
            </w:r>
          </w:p>
        </w:tc>
        <w:tc>
          <w:tcPr>
            <w:tcW w:w="3798" w:type="dxa"/>
            <w:tcBorders>
              <w:top w:val="single" w:sz="6" w:space="0" w:color="auto"/>
              <w:left w:val="single" w:sz="6" w:space="0" w:color="auto"/>
              <w:bottom w:val="single" w:sz="6" w:space="0" w:color="auto"/>
              <w:right w:val="single" w:sz="6" w:space="0" w:color="auto"/>
            </w:tcBorders>
          </w:tcPr>
          <w:p w:rsidR="002803C3" w:rsidRPr="002803C3" w:rsidRDefault="002803C3" w:rsidP="00DD4E54">
            <w:pPr>
              <w:pStyle w:val="Tableboxleft"/>
              <w:rPr>
                <w:lang w:val="fr-FR"/>
              </w:rPr>
            </w:pPr>
            <w:r w:rsidRPr="002803C3">
              <w:rPr>
                <w:lang w:val="fr-FR"/>
              </w:rPr>
              <w:t>Élaboration de normes et d’instruments internationaux</w:t>
            </w:r>
          </w:p>
        </w:tc>
        <w:tc>
          <w:tcPr>
            <w:tcW w:w="567" w:type="dxa"/>
            <w:tcBorders>
              <w:top w:val="single" w:sz="6" w:space="0" w:color="auto"/>
              <w:left w:val="single" w:sz="6" w:space="0" w:color="auto"/>
              <w:bottom w:val="single" w:sz="6" w:space="0" w:color="auto"/>
              <w:right w:val="single" w:sz="6" w:space="0" w:color="auto"/>
            </w:tcBorders>
          </w:tcPr>
          <w:p w:rsidR="002803C3" w:rsidRPr="002803C3" w:rsidRDefault="002803C3" w:rsidP="00DD4E54">
            <w:pPr>
              <w:pStyle w:val="Tableboxleft"/>
              <w:rPr>
                <w:lang w:val="fr-FR"/>
              </w:rPr>
            </w:pPr>
            <w:r w:rsidRPr="002803C3">
              <w:rPr>
                <w:lang w:val="fr-FR"/>
              </w:rPr>
              <w:t>1</w:t>
            </w:r>
          </w:p>
        </w:tc>
        <w:tc>
          <w:tcPr>
            <w:tcW w:w="4536" w:type="dxa"/>
            <w:tcBorders>
              <w:top w:val="single" w:sz="6" w:space="0" w:color="auto"/>
              <w:left w:val="single" w:sz="6" w:space="0" w:color="auto"/>
              <w:bottom w:val="single" w:sz="6" w:space="0" w:color="auto"/>
              <w:right w:val="single" w:sz="6" w:space="0" w:color="auto"/>
            </w:tcBorders>
          </w:tcPr>
          <w:p w:rsidR="002803C3" w:rsidRPr="002803C3" w:rsidRDefault="002803C3" w:rsidP="002803C3">
            <w:pPr>
              <w:pStyle w:val="Tableboxleft"/>
              <w:rPr>
                <w:lang w:val="fr-FR"/>
              </w:rPr>
            </w:pPr>
            <w:r w:rsidRPr="002803C3">
              <w:rPr>
                <w:lang w:val="fr-FR"/>
              </w:rPr>
              <w:t xml:space="preserve">Apporter un appui aux pays dans l’élaboration et la mise en </w:t>
            </w:r>
            <w:proofErr w:type="spellStart"/>
            <w:r w:rsidRPr="002803C3">
              <w:rPr>
                <w:lang w:val="fr-FR"/>
              </w:rPr>
              <w:t>oeuvre</w:t>
            </w:r>
            <w:proofErr w:type="spellEnd"/>
            <w:r w:rsidRPr="002803C3">
              <w:rPr>
                <w:lang w:val="fr-FR"/>
              </w:rPr>
              <w:t xml:space="preserve"> d’instruments normatifs, tels que accords</w:t>
            </w:r>
            <w:r w:rsidRPr="002803C3">
              <w:rPr>
                <w:lang w:val="fr-FR"/>
              </w:rPr>
              <w:t xml:space="preserve"> </w:t>
            </w:r>
            <w:r w:rsidRPr="002803C3">
              <w:rPr>
                <w:lang w:val="fr-FR"/>
              </w:rPr>
              <w:t>internationaux, codes de conduite et normes techniques</w:t>
            </w:r>
          </w:p>
        </w:tc>
      </w:tr>
      <w:tr w:rsidR="002803C3" w:rsidRPr="002803C3" w:rsidTr="00DD4E54">
        <w:trPr>
          <w:trHeight w:val="398"/>
        </w:trPr>
        <w:tc>
          <w:tcPr>
            <w:tcW w:w="328" w:type="dxa"/>
            <w:tcBorders>
              <w:top w:val="single" w:sz="6" w:space="0" w:color="auto"/>
              <w:left w:val="single" w:sz="4" w:space="0" w:color="auto"/>
              <w:bottom w:val="single" w:sz="6" w:space="0" w:color="auto"/>
              <w:right w:val="single" w:sz="6" w:space="0" w:color="auto"/>
            </w:tcBorders>
          </w:tcPr>
          <w:p w:rsidR="002803C3" w:rsidRPr="002803C3" w:rsidRDefault="002803C3" w:rsidP="00DD4E54">
            <w:pPr>
              <w:pStyle w:val="Tableheadingrow"/>
            </w:pPr>
            <w:r w:rsidRPr="002803C3">
              <w:t>d</w:t>
            </w:r>
          </w:p>
        </w:tc>
        <w:tc>
          <w:tcPr>
            <w:tcW w:w="3798" w:type="dxa"/>
            <w:tcBorders>
              <w:top w:val="single" w:sz="6" w:space="0" w:color="auto"/>
              <w:left w:val="single" w:sz="6" w:space="0" w:color="auto"/>
              <w:bottom w:val="single" w:sz="6" w:space="0" w:color="auto"/>
              <w:right w:val="single" w:sz="6" w:space="0" w:color="auto"/>
            </w:tcBorders>
          </w:tcPr>
          <w:p w:rsidR="002803C3" w:rsidRPr="002803C3" w:rsidRDefault="002803C3" w:rsidP="00DD4E54">
            <w:pPr>
              <w:pStyle w:val="Tableboxleft"/>
              <w:rPr>
                <w:lang w:val="fr-FR"/>
              </w:rPr>
            </w:pPr>
            <w:r w:rsidRPr="002803C3">
              <w:rPr>
                <w:lang w:val="fr-FR"/>
              </w:rPr>
              <w:t>Options et avis en matière de politiques et de stratégies</w:t>
            </w:r>
          </w:p>
        </w:tc>
        <w:tc>
          <w:tcPr>
            <w:tcW w:w="567" w:type="dxa"/>
            <w:tcBorders>
              <w:top w:val="single" w:sz="6" w:space="0" w:color="auto"/>
              <w:left w:val="single" w:sz="6" w:space="0" w:color="auto"/>
              <w:bottom w:val="single" w:sz="6" w:space="0" w:color="auto"/>
              <w:right w:val="single" w:sz="6" w:space="0" w:color="auto"/>
            </w:tcBorders>
          </w:tcPr>
          <w:p w:rsidR="002803C3" w:rsidRPr="002803C3" w:rsidRDefault="002803C3" w:rsidP="00DD4E54">
            <w:pPr>
              <w:pStyle w:val="Tableboxleft"/>
              <w:rPr>
                <w:lang w:val="fr-FR"/>
              </w:rPr>
            </w:pPr>
            <w:r w:rsidRPr="002803C3">
              <w:rPr>
                <w:lang w:val="fr-FR"/>
              </w:rPr>
              <w:t>3</w:t>
            </w:r>
          </w:p>
        </w:tc>
        <w:tc>
          <w:tcPr>
            <w:tcW w:w="4536" w:type="dxa"/>
            <w:tcBorders>
              <w:top w:val="single" w:sz="6" w:space="0" w:color="auto"/>
              <w:left w:val="single" w:sz="6" w:space="0" w:color="auto"/>
              <w:bottom w:val="single" w:sz="6" w:space="0" w:color="auto"/>
              <w:right w:val="single" w:sz="6" w:space="0" w:color="auto"/>
            </w:tcBorders>
          </w:tcPr>
          <w:p w:rsidR="002803C3" w:rsidRPr="002803C3" w:rsidRDefault="002803C3" w:rsidP="002803C3">
            <w:pPr>
              <w:pStyle w:val="Tableboxleft"/>
              <w:rPr>
                <w:lang w:val="fr-FR"/>
              </w:rPr>
            </w:pPr>
            <w:r w:rsidRPr="002803C3">
              <w:rPr>
                <w:lang w:val="fr-FR"/>
              </w:rPr>
              <w:t>Favoriser, promouvoir et faciliter le dialogue sur les politiques aux niveaux mondial et régional et au niveau</w:t>
            </w:r>
            <w:r w:rsidRPr="002803C3">
              <w:rPr>
                <w:lang w:val="fr-FR"/>
              </w:rPr>
              <w:t xml:space="preserve"> </w:t>
            </w:r>
            <w:r w:rsidRPr="002803C3">
              <w:rPr>
                <w:lang w:val="fr-FR"/>
              </w:rPr>
              <w:t>des pays</w:t>
            </w:r>
          </w:p>
        </w:tc>
      </w:tr>
      <w:tr w:rsidR="002803C3" w:rsidRPr="002803C3" w:rsidTr="00DD4E54">
        <w:trPr>
          <w:trHeight w:val="404"/>
        </w:trPr>
        <w:tc>
          <w:tcPr>
            <w:tcW w:w="328" w:type="dxa"/>
            <w:tcBorders>
              <w:top w:val="single" w:sz="6" w:space="0" w:color="auto"/>
              <w:left w:val="single" w:sz="4" w:space="0" w:color="auto"/>
              <w:bottom w:val="single" w:sz="6" w:space="0" w:color="auto"/>
              <w:right w:val="single" w:sz="6" w:space="0" w:color="auto"/>
            </w:tcBorders>
          </w:tcPr>
          <w:p w:rsidR="002803C3" w:rsidRPr="002803C3" w:rsidRDefault="002803C3" w:rsidP="00DD4E54">
            <w:pPr>
              <w:pStyle w:val="Tableheadingrow"/>
            </w:pPr>
          </w:p>
        </w:tc>
        <w:tc>
          <w:tcPr>
            <w:tcW w:w="3798" w:type="dxa"/>
            <w:tcBorders>
              <w:top w:val="single" w:sz="6" w:space="0" w:color="auto"/>
              <w:left w:val="single" w:sz="6" w:space="0" w:color="auto"/>
              <w:bottom w:val="single" w:sz="6" w:space="0" w:color="auto"/>
              <w:right w:val="single" w:sz="6" w:space="0" w:color="auto"/>
            </w:tcBorders>
          </w:tcPr>
          <w:p w:rsidR="002803C3" w:rsidRPr="002803C3" w:rsidRDefault="002803C3" w:rsidP="00DD4E54">
            <w:pPr>
              <w:pStyle w:val="Tableboxleft"/>
              <w:rPr>
                <w:lang w:val="fr-FR"/>
              </w:rPr>
            </w:pPr>
          </w:p>
        </w:tc>
        <w:tc>
          <w:tcPr>
            <w:tcW w:w="567" w:type="dxa"/>
            <w:tcBorders>
              <w:top w:val="single" w:sz="6" w:space="0" w:color="auto"/>
              <w:left w:val="single" w:sz="6" w:space="0" w:color="auto"/>
              <w:bottom w:val="single" w:sz="6" w:space="0" w:color="auto"/>
              <w:right w:val="single" w:sz="6" w:space="0" w:color="auto"/>
            </w:tcBorders>
          </w:tcPr>
          <w:p w:rsidR="002803C3" w:rsidRPr="002803C3" w:rsidRDefault="002803C3" w:rsidP="00DD4E54">
            <w:pPr>
              <w:pStyle w:val="Tableboxleft"/>
              <w:rPr>
                <w:lang w:val="fr-FR"/>
              </w:rPr>
            </w:pPr>
            <w:r w:rsidRPr="002803C3">
              <w:rPr>
                <w:lang w:val="fr-FR"/>
              </w:rPr>
              <w:t>4</w:t>
            </w:r>
          </w:p>
        </w:tc>
        <w:tc>
          <w:tcPr>
            <w:tcW w:w="4536" w:type="dxa"/>
            <w:tcBorders>
              <w:top w:val="single" w:sz="6" w:space="0" w:color="auto"/>
              <w:left w:val="single" w:sz="6" w:space="0" w:color="auto"/>
              <w:bottom w:val="single" w:sz="6" w:space="0" w:color="auto"/>
              <w:right w:val="single" w:sz="6" w:space="0" w:color="auto"/>
            </w:tcBorders>
          </w:tcPr>
          <w:p w:rsidR="002803C3" w:rsidRPr="002803C3" w:rsidRDefault="002803C3" w:rsidP="002803C3">
            <w:pPr>
              <w:pStyle w:val="Tableboxleft"/>
              <w:rPr>
                <w:lang w:val="fr-FR"/>
              </w:rPr>
            </w:pPr>
            <w:r w:rsidRPr="002803C3">
              <w:rPr>
                <w:lang w:val="fr-FR"/>
              </w:rPr>
              <w:t>Apporter conseils et appui en vue du renforcement des capacités au niveau régional et au niveau des pays</w:t>
            </w:r>
            <w:r w:rsidRPr="002803C3">
              <w:rPr>
                <w:lang w:val="fr-FR"/>
              </w:rPr>
              <w:t xml:space="preserve"> </w:t>
            </w:r>
            <w:r w:rsidRPr="002803C3">
              <w:rPr>
                <w:lang w:val="fr-FR"/>
              </w:rPr>
              <w:t>pour préparer, exécuter, contrôler et évaluer des politiques, des investissements et des programmes fondés sur</w:t>
            </w:r>
            <w:r w:rsidRPr="002803C3">
              <w:rPr>
                <w:lang w:val="fr-FR"/>
              </w:rPr>
              <w:t xml:space="preserve"> </w:t>
            </w:r>
            <w:r w:rsidRPr="002803C3">
              <w:rPr>
                <w:lang w:val="fr-FR"/>
              </w:rPr>
              <w:t>des données factuelles</w:t>
            </w:r>
          </w:p>
        </w:tc>
      </w:tr>
      <w:tr w:rsidR="002803C3" w:rsidRPr="002803C3" w:rsidTr="00DD4E54">
        <w:trPr>
          <w:trHeight w:val="404"/>
        </w:trPr>
        <w:tc>
          <w:tcPr>
            <w:tcW w:w="328" w:type="dxa"/>
            <w:tcBorders>
              <w:top w:val="single" w:sz="6" w:space="0" w:color="auto"/>
              <w:left w:val="single" w:sz="4" w:space="0" w:color="auto"/>
              <w:bottom w:val="single" w:sz="6" w:space="0" w:color="auto"/>
              <w:right w:val="single" w:sz="6" w:space="0" w:color="auto"/>
            </w:tcBorders>
          </w:tcPr>
          <w:p w:rsidR="002803C3" w:rsidRPr="002803C3" w:rsidRDefault="002803C3" w:rsidP="00DD4E54">
            <w:pPr>
              <w:pStyle w:val="Tableheadingrow"/>
            </w:pPr>
            <w:r w:rsidRPr="002803C3">
              <w:t>e</w:t>
            </w:r>
          </w:p>
        </w:tc>
        <w:tc>
          <w:tcPr>
            <w:tcW w:w="3798" w:type="dxa"/>
            <w:tcBorders>
              <w:top w:val="single" w:sz="6" w:space="0" w:color="auto"/>
              <w:left w:val="single" w:sz="6" w:space="0" w:color="auto"/>
              <w:bottom w:val="single" w:sz="6" w:space="0" w:color="auto"/>
              <w:right w:val="single" w:sz="6" w:space="0" w:color="auto"/>
            </w:tcBorders>
          </w:tcPr>
          <w:p w:rsidR="002803C3" w:rsidRPr="002803C3" w:rsidRDefault="002803C3" w:rsidP="00DD4E54">
            <w:pPr>
              <w:pStyle w:val="Tableboxleft"/>
              <w:rPr>
                <w:lang w:val="fr-FR"/>
              </w:rPr>
            </w:pPr>
            <w:r w:rsidRPr="002803C3">
              <w:rPr>
                <w:lang w:val="fr-FR"/>
              </w:rPr>
              <w:t>Appui technique au transfert de technologies et au renforcement des capacités</w:t>
            </w:r>
          </w:p>
        </w:tc>
        <w:tc>
          <w:tcPr>
            <w:tcW w:w="567" w:type="dxa"/>
            <w:tcBorders>
              <w:top w:val="single" w:sz="6" w:space="0" w:color="auto"/>
              <w:left w:val="single" w:sz="6" w:space="0" w:color="auto"/>
              <w:bottom w:val="single" w:sz="6" w:space="0" w:color="auto"/>
              <w:right w:val="single" w:sz="6" w:space="0" w:color="auto"/>
            </w:tcBorders>
          </w:tcPr>
          <w:p w:rsidR="002803C3" w:rsidRPr="002803C3" w:rsidRDefault="002803C3" w:rsidP="00DD4E54">
            <w:pPr>
              <w:pStyle w:val="Tableboxleft"/>
              <w:rPr>
                <w:lang w:val="fr-FR"/>
              </w:rPr>
            </w:pPr>
            <w:r w:rsidRPr="002803C3">
              <w:rPr>
                <w:lang w:val="fr-FR"/>
              </w:rPr>
              <w:t>5</w:t>
            </w:r>
          </w:p>
        </w:tc>
        <w:tc>
          <w:tcPr>
            <w:tcW w:w="4536" w:type="dxa"/>
            <w:tcBorders>
              <w:top w:val="single" w:sz="6" w:space="0" w:color="auto"/>
              <w:left w:val="single" w:sz="6" w:space="0" w:color="auto"/>
              <w:bottom w:val="single" w:sz="6" w:space="0" w:color="auto"/>
              <w:right w:val="single" w:sz="6" w:space="0" w:color="auto"/>
            </w:tcBorders>
          </w:tcPr>
          <w:p w:rsidR="002803C3" w:rsidRPr="002803C3" w:rsidRDefault="002803C3" w:rsidP="002803C3">
            <w:pPr>
              <w:pStyle w:val="Tableboxleft"/>
              <w:rPr>
                <w:lang w:val="fr-FR"/>
              </w:rPr>
            </w:pPr>
            <w:r w:rsidRPr="002803C3">
              <w:rPr>
                <w:lang w:val="fr-FR"/>
              </w:rPr>
              <w:t>Donner des avis et fournir un appui concernant les activités qui permettent de rassembler et de diffuser les</w:t>
            </w:r>
            <w:r w:rsidRPr="002803C3">
              <w:rPr>
                <w:lang w:val="fr-FR"/>
              </w:rPr>
              <w:t xml:space="preserve"> </w:t>
            </w:r>
            <w:r w:rsidRPr="002803C3">
              <w:rPr>
                <w:lang w:val="fr-FR"/>
              </w:rPr>
              <w:t>connaissances, les technologies et les bonnes pratiques relevant du mandat de la FAO et d’en améliorer</w:t>
            </w:r>
            <w:r w:rsidRPr="002803C3">
              <w:rPr>
                <w:lang w:val="fr-FR"/>
              </w:rPr>
              <w:t xml:space="preserve"> </w:t>
            </w:r>
            <w:r w:rsidRPr="002803C3">
              <w:rPr>
                <w:lang w:val="fr-FR"/>
              </w:rPr>
              <w:t>l’assimilation</w:t>
            </w:r>
          </w:p>
        </w:tc>
      </w:tr>
      <w:tr w:rsidR="002803C3" w:rsidRPr="002803C3" w:rsidTr="00DD4E54">
        <w:trPr>
          <w:trHeight w:val="411"/>
        </w:trPr>
        <w:tc>
          <w:tcPr>
            <w:tcW w:w="328" w:type="dxa"/>
            <w:tcBorders>
              <w:top w:val="single" w:sz="6" w:space="0" w:color="auto"/>
              <w:left w:val="single" w:sz="4" w:space="0" w:color="auto"/>
              <w:bottom w:val="single" w:sz="6" w:space="0" w:color="auto"/>
              <w:right w:val="single" w:sz="6" w:space="0" w:color="auto"/>
            </w:tcBorders>
          </w:tcPr>
          <w:p w:rsidR="002803C3" w:rsidRPr="002803C3" w:rsidRDefault="002803C3" w:rsidP="00DD4E54">
            <w:pPr>
              <w:pStyle w:val="Tableheadingrow"/>
            </w:pPr>
            <w:r w:rsidRPr="002803C3">
              <w:t>f</w:t>
            </w:r>
          </w:p>
        </w:tc>
        <w:tc>
          <w:tcPr>
            <w:tcW w:w="3798" w:type="dxa"/>
            <w:tcBorders>
              <w:top w:val="single" w:sz="6" w:space="0" w:color="auto"/>
              <w:left w:val="single" w:sz="6" w:space="0" w:color="auto"/>
              <w:bottom w:val="single" w:sz="6" w:space="0" w:color="auto"/>
              <w:right w:val="single" w:sz="6" w:space="0" w:color="auto"/>
            </w:tcBorders>
          </w:tcPr>
          <w:p w:rsidR="002803C3" w:rsidRPr="002803C3" w:rsidRDefault="002803C3" w:rsidP="00DD4E54">
            <w:pPr>
              <w:pStyle w:val="Tableboxleft"/>
              <w:rPr>
                <w:lang w:val="fr-FR"/>
              </w:rPr>
            </w:pPr>
            <w:r w:rsidRPr="002803C3">
              <w:rPr>
                <w:lang w:val="fr-FR"/>
              </w:rPr>
              <w:t>Plaidoyer et communication</w:t>
            </w:r>
          </w:p>
        </w:tc>
        <w:tc>
          <w:tcPr>
            <w:tcW w:w="567" w:type="dxa"/>
            <w:tcBorders>
              <w:top w:val="single" w:sz="6" w:space="0" w:color="auto"/>
              <w:left w:val="single" w:sz="6" w:space="0" w:color="auto"/>
              <w:bottom w:val="single" w:sz="6" w:space="0" w:color="auto"/>
              <w:right w:val="single" w:sz="6" w:space="0" w:color="auto"/>
            </w:tcBorders>
          </w:tcPr>
          <w:p w:rsidR="002803C3" w:rsidRPr="002803C3" w:rsidRDefault="002803C3" w:rsidP="00DD4E54">
            <w:pPr>
              <w:pStyle w:val="Tableboxleft"/>
              <w:rPr>
                <w:lang w:val="fr-FR"/>
              </w:rPr>
            </w:pPr>
            <w:r w:rsidRPr="002803C3">
              <w:rPr>
                <w:lang w:val="fr-FR"/>
              </w:rPr>
              <w:t>7</w:t>
            </w:r>
          </w:p>
        </w:tc>
        <w:tc>
          <w:tcPr>
            <w:tcW w:w="4536" w:type="dxa"/>
            <w:tcBorders>
              <w:top w:val="single" w:sz="6" w:space="0" w:color="auto"/>
              <w:left w:val="single" w:sz="6" w:space="0" w:color="auto"/>
              <w:bottom w:val="single" w:sz="6" w:space="0" w:color="auto"/>
              <w:right w:val="single" w:sz="6" w:space="0" w:color="auto"/>
            </w:tcBorders>
          </w:tcPr>
          <w:p w:rsidR="002803C3" w:rsidRPr="002803C3" w:rsidRDefault="002803C3" w:rsidP="002803C3">
            <w:pPr>
              <w:pStyle w:val="Tableboxleft"/>
              <w:rPr>
                <w:lang w:val="fr-FR"/>
              </w:rPr>
            </w:pPr>
            <w:r w:rsidRPr="002803C3">
              <w:rPr>
                <w:lang w:val="fr-FR"/>
              </w:rPr>
              <w:t>Mener des actions de sensibilisation et de communication aux niveaux national, régional et mondial dans les</w:t>
            </w:r>
            <w:r w:rsidRPr="002803C3">
              <w:rPr>
                <w:lang w:val="fr-FR"/>
              </w:rPr>
              <w:t xml:space="preserve"> </w:t>
            </w:r>
            <w:r w:rsidRPr="002803C3">
              <w:rPr>
                <w:lang w:val="fr-FR"/>
              </w:rPr>
              <w:t>domaines relevant du mandat de la FAO</w:t>
            </w:r>
          </w:p>
        </w:tc>
      </w:tr>
      <w:tr w:rsidR="002803C3" w:rsidRPr="002803C3" w:rsidTr="00DD4E54">
        <w:trPr>
          <w:trHeight w:val="416"/>
        </w:trPr>
        <w:tc>
          <w:tcPr>
            <w:tcW w:w="328" w:type="dxa"/>
            <w:tcBorders>
              <w:top w:val="single" w:sz="6" w:space="0" w:color="auto"/>
              <w:left w:val="single" w:sz="4" w:space="0" w:color="auto"/>
              <w:bottom w:val="single" w:sz="6" w:space="0" w:color="auto"/>
              <w:right w:val="single" w:sz="6" w:space="0" w:color="auto"/>
            </w:tcBorders>
          </w:tcPr>
          <w:p w:rsidR="002803C3" w:rsidRPr="002803C3" w:rsidRDefault="002803C3" w:rsidP="00DD4E54">
            <w:pPr>
              <w:pStyle w:val="Tableheadingrow"/>
            </w:pPr>
            <w:r w:rsidRPr="002803C3">
              <w:t>g</w:t>
            </w:r>
          </w:p>
        </w:tc>
        <w:tc>
          <w:tcPr>
            <w:tcW w:w="3798" w:type="dxa"/>
            <w:tcBorders>
              <w:top w:val="single" w:sz="6" w:space="0" w:color="auto"/>
              <w:left w:val="single" w:sz="6" w:space="0" w:color="auto"/>
              <w:bottom w:val="single" w:sz="6" w:space="0" w:color="auto"/>
              <w:right w:val="single" w:sz="6" w:space="0" w:color="auto"/>
            </w:tcBorders>
          </w:tcPr>
          <w:p w:rsidR="002803C3" w:rsidRPr="002803C3" w:rsidRDefault="002803C3" w:rsidP="00DD4E54">
            <w:pPr>
              <w:pStyle w:val="Tableboxleft"/>
              <w:rPr>
                <w:lang w:val="fr-FR"/>
              </w:rPr>
            </w:pPr>
            <w:proofErr w:type="spellStart"/>
            <w:r w:rsidRPr="002803C3">
              <w:rPr>
                <w:lang w:val="fr-FR"/>
              </w:rPr>
              <w:t>Inter-disciplinarité</w:t>
            </w:r>
            <w:proofErr w:type="spellEnd"/>
            <w:r w:rsidRPr="002803C3">
              <w:rPr>
                <w:lang w:val="fr-FR"/>
              </w:rPr>
              <w:t xml:space="preserve"> et innovation</w:t>
            </w:r>
          </w:p>
        </w:tc>
        <w:tc>
          <w:tcPr>
            <w:tcW w:w="567" w:type="dxa"/>
            <w:tcBorders>
              <w:top w:val="single" w:sz="6" w:space="0" w:color="auto"/>
              <w:left w:val="single" w:sz="6" w:space="0" w:color="auto"/>
              <w:bottom w:val="single" w:sz="6" w:space="0" w:color="auto"/>
              <w:right w:val="single" w:sz="6" w:space="0" w:color="auto"/>
            </w:tcBorders>
          </w:tcPr>
          <w:p w:rsidR="002803C3" w:rsidRPr="002803C3" w:rsidRDefault="002803C3" w:rsidP="00DD4E54">
            <w:pPr>
              <w:pStyle w:val="Tableboxleft"/>
              <w:rPr>
                <w:lang w:val="fr-FR"/>
              </w:rPr>
            </w:pPr>
          </w:p>
        </w:tc>
        <w:tc>
          <w:tcPr>
            <w:tcW w:w="4536" w:type="dxa"/>
            <w:tcBorders>
              <w:top w:val="single" w:sz="6" w:space="0" w:color="auto"/>
              <w:left w:val="single" w:sz="6" w:space="0" w:color="auto"/>
              <w:bottom w:val="single" w:sz="6" w:space="0" w:color="auto"/>
              <w:right w:val="single" w:sz="6" w:space="0" w:color="auto"/>
            </w:tcBorders>
          </w:tcPr>
          <w:p w:rsidR="002803C3" w:rsidRPr="002803C3" w:rsidRDefault="002803C3" w:rsidP="00DD4E54">
            <w:pPr>
              <w:pStyle w:val="Tableboxleft"/>
              <w:rPr>
                <w:lang w:val="fr-FR"/>
              </w:rPr>
            </w:pPr>
          </w:p>
        </w:tc>
      </w:tr>
      <w:tr w:rsidR="002803C3" w:rsidRPr="002803C3" w:rsidTr="00DD4E54">
        <w:trPr>
          <w:trHeight w:val="408"/>
        </w:trPr>
        <w:tc>
          <w:tcPr>
            <w:tcW w:w="328" w:type="dxa"/>
            <w:tcBorders>
              <w:top w:val="single" w:sz="6" w:space="0" w:color="auto"/>
              <w:left w:val="single" w:sz="4" w:space="0" w:color="auto"/>
              <w:bottom w:val="single" w:sz="4" w:space="0" w:color="auto"/>
              <w:right w:val="single" w:sz="6" w:space="0" w:color="auto"/>
            </w:tcBorders>
          </w:tcPr>
          <w:p w:rsidR="002803C3" w:rsidRPr="002803C3" w:rsidRDefault="002803C3" w:rsidP="00DD4E54">
            <w:pPr>
              <w:pStyle w:val="Tableheadingrow"/>
            </w:pPr>
            <w:r w:rsidRPr="002803C3">
              <w:t>h</w:t>
            </w:r>
          </w:p>
        </w:tc>
        <w:tc>
          <w:tcPr>
            <w:tcW w:w="3798" w:type="dxa"/>
            <w:tcBorders>
              <w:top w:val="single" w:sz="6" w:space="0" w:color="auto"/>
              <w:left w:val="single" w:sz="6" w:space="0" w:color="auto"/>
              <w:bottom w:val="single" w:sz="4" w:space="0" w:color="auto"/>
              <w:right w:val="single" w:sz="6" w:space="0" w:color="auto"/>
            </w:tcBorders>
          </w:tcPr>
          <w:p w:rsidR="002803C3" w:rsidRPr="002803C3" w:rsidRDefault="002803C3" w:rsidP="00DD4E54">
            <w:pPr>
              <w:pStyle w:val="Tableboxleft"/>
              <w:rPr>
                <w:lang w:val="fr-FR"/>
              </w:rPr>
            </w:pPr>
            <w:r w:rsidRPr="002803C3">
              <w:rPr>
                <w:lang w:val="fr-FR"/>
              </w:rPr>
              <w:t>Partenariats et alliances</w:t>
            </w:r>
          </w:p>
        </w:tc>
        <w:tc>
          <w:tcPr>
            <w:tcW w:w="567" w:type="dxa"/>
            <w:tcBorders>
              <w:top w:val="single" w:sz="6" w:space="0" w:color="auto"/>
              <w:left w:val="single" w:sz="6" w:space="0" w:color="auto"/>
              <w:bottom w:val="single" w:sz="4" w:space="0" w:color="auto"/>
              <w:right w:val="single" w:sz="6" w:space="0" w:color="auto"/>
            </w:tcBorders>
          </w:tcPr>
          <w:p w:rsidR="002803C3" w:rsidRPr="002803C3" w:rsidRDefault="002803C3" w:rsidP="00DD4E54">
            <w:pPr>
              <w:pStyle w:val="Tableboxleft"/>
              <w:rPr>
                <w:lang w:val="fr-FR"/>
              </w:rPr>
            </w:pPr>
            <w:r w:rsidRPr="002803C3">
              <w:rPr>
                <w:lang w:val="fr-FR"/>
              </w:rPr>
              <w:t>6</w:t>
            </w:r>
          </w:p>
        </w:tc>
        <w:tc>
          <w:tcPr>
            <w:tcW w:w="4536" w:type="dxa"/>
            <w:tcBorders>
              <w:top w:val="single" w:sz="6" w:space="0" w:color="auto"/>
              <w:left w:val="single" w:sz="6" w:space="0" w:color="auto"/>
              <w:bottom w:val="single" w:sz="4" w:space="0" w:color="auto"/>
              <w:right w:val="single" w:sz="6" w:space="0" w:color="auto"/>
            </w:tcBorders>
          </w:tcPr>
          <w:p w:rsidR="002803C3" w:rsidRPr="002803C3" w:rsidRDefault="002803C3" w:rsidP="002803C3">
            <w:pPr>
              <w:pStyle w:val="Tableboxleft"/>
              <w:rPr>
                <w:lang w:val="fr-FR"/>
              </w:rPr>
            </w:pPr>
            <w:r w:rsidRPr="002803C3">
              <w:rPr>
                <w:lang w:val="fr-FR"/>
              </w:rPr>
              <w:t>Faciliter la création de partenariats entre les gouvernements, les partenaires de développement, la société</w:t>
            </w:r>
            <w:r w:rsidRPr="002803C3">
              <w:rPr>
                <w:lang w:val="fr-FR"/>
              </w:rPr>
              <w:t xml:space="preserve"> </w:t>
            </w:r>
            <w:r w:rsidRPr="002803C3">
              <w:rPr>
                <w:lang w:val="fr-FR"/>
              </w:rPr>
              <w:t>civile et le secteur privé, en faveur de la sécurité alimentaire et de la nutrition, de l’agriculture et du</w:t>
            </w:r>
            <w:r w:rsidRPr="002803C3">
              <w:rPr>
                <w:lang w:val="fr-FR"/>
              </w:rPr>
              <w:t xml:space="preserve"> </w:t>
            </w:r>
            <w:r w:rsidRPr="002803C3">
              <w:rPr>
                <w:lang w:val="fr-FR"/>
              </w:rPr>
              <w:t>développement rural</w:t>
            </w:r>
          </w:p>
        </w:tc>
      </w:tr>
    </w:tbl>
    <w:p w:rsidR="002803C3" w:rsidRPr="002803C3" w:rsidRDefault="002803C3" w:rsidP="002803C3">
      <w:pPr>
        <w:rPr>
          <w:lang w:val="fr-FR"/>
        </w:rPr>
      </w:pPr>
    </w:p>
    <w:p w:rsidR="002803C3" w:rsidRPr="002803C3" w:rsidRDefault="002803C3" w:rsidP="002803C3">
      <w:pPr>
        <w:rPr>
          <w:lang w:val="fr-FR"/>
        </w:rPr>
      </w:pPr>
    </w:p>
    <w:p w:rsidR="002803C3" w:rsidRPr="002803C3" w:rsidRDefault="002803C3" w:rsidP="002803C3">
      <w:pPr>
        <w:pStyle w:val="Encadrnumerot"/>
      </w:pPr>
      <w:r w:rsidRPr="002803C3">
        <w:t>Thèmes transversaux2014-17</w:t>
      </w:r>
    </w:p>
    <w:tbl>
      <w:tblPr>
        <w:tblW w:w="0" w:type="auto"/>
        <w:tblInd w:w="93" w:type="dxa"/>
        <w:tblLook w:val="0000"/>
      </w:tblPr>
      <w:tblGrid>
        <w:gridCol w:w="6313"/>
      </w:tblGrid>
      <w:tr w:rsidR="002803C3" w:rsidRPr="002803C3" w:rsidTr="00DD4E54">
        <w:trPr>
          <w:trHeight w:val="522"/>
        </w:trPr>
        <w:tc>
          <w:tcPr>
            <w:tcW w:w="6313" w:type="dxa"/>
            <w:tcBorders>
              <w:top w:val="single" w:sz="6" w:space="0" w:color="auto"/>
              <w:left w:val="single" w:sz="6" w:space="0" w:color="auto"/>
              <w:bottom w:val="single" w:sz="6" w:space="0" w:color="auto"/>
              <w:right w:val="single" w:sz="6" w:space="0" w:color="auto"/>
            </w:tcBorders>
          </w:tcPr>
          <w:p w:rsidR="002803C3" w:rsidRPr="002803C3" w:rsidRDefault="002803C3" w:rsidP="00DD4E54">
            <w:pPr>
              <w:autoSpaceDE w:val="0"/>
              <w:autoSpaceDN w:val="0"/>
              <w:adjustRightInd w:val="0"/>
              <w:jc w:val="left"/>
              <w:rPr>
                <w:lang w:val="fr-FR" w:eastAsia="en-GB"/>
              </w:rPr>
            </w:pPr>
            <w:r w:rsidRPr="002803C3">
              <w:rPr>
                <w:sz w:val="20"/>
                <w:szCs w:val="20"/>
                <w:lang w:val="fr-FR"/>
              </w:rPr>
              <w:t>Parité hommes-femmes</w:t>
            </w:r>
          </w:p>
        </w:tc>
      </w:tr>
      <w:tr w:rsidR="002803C3" w:rsidRPr="002803C3" w:rsidTr="00DD4E54">
        <w:trPr>
          <w:trHeight w:val="522"/>
        </w:trPr>
        <w:tc>
          <w:tcPr>
            <w:tcW w:w="6313" w:type="dxa"/>
            <w:tcBorders>
              <w:top w:val="single" w:sz="6" w:space="0" w:color="auto"/>
              <w:left w:val="single" w:sz="6" w:space="0" w:color="auto"/>
              <w:bottom w:val="single" w:sz="6" w:space="0" w:color="auto"/>
              <w:right w:val="single" w:sz="6" w:space="0" w:color="auto"/>
            </w:tcBorders>
          </w:tcPr>
          <w:p w:rsidR="002803C3" w:rsidRPr="002803C3" w:rsidRDefault="002803C3" w:rsidP="00DD4E54">
            <w:pPr>
              <w:autoSpaceDE w:val="0"/>
              <w:autoSpaceDN w:val="0"/>
              <w:adjustRightInd w:val="0"/>
              <w:jc w:val="left"/>
              <w:rPr>
                <w:lang w:val="fr-FR" w:eastAsia="en-GB"/>
              </w:rPr>
            </w:pPr>
            <w:r w:rsidRPr="002803C3">
              <w:rPr>
                <w:sz w:val="20"/>
                <w:szCs w:val="20"/>
                <w:lang w:val="fr-FR"/>
              </w:rPr>
              <w:t>Gouvernance</w:t>
            </w:r>
          </w:p>
        </w:tc>
      </w:tr>
    </w:tbl>
    <w:p w:rsidR="009427DB" w:rsidRPr="002803C3" w:rsidRDefault="009427DB" w:rsidP="00CB1B6E">
      <w:pPr>
        <w:rPr>
          <w:lang w:val="fr-FR"/>
        </w:rPr>
      </w:pPr>
    </w:p>
    <w:p w:rsidR="00FD5B27" w:rsidRPr="002803C3" w:rsidRDefault="00FD5B27" w:rsidP="00CB1B6E">
      <w:pPr>
        <w:rPr>
          <w:lang w:val="fr-FR"/>
        </w:rPr>
      </w:pPr>
    </w:p>
    <w:sectPr w:rsidR="00FD5B27" w:rsidRPr="002803C3" w:rsidSect="00631BA0">
      <w:headerReference w:type="default" r:id="rId10"/>
      <w:footerReference w:type="default" r:id="rId11"/>
      <w:pgSz w:w="11906" w:h="16838" w:code="9"/>
      <w:pgMar w:top="1440" w:right="1440" w:bottom="1440" w:left="1440" w:header="624" w:footer="737"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9FE" w:rsidRDefault="000829FE" w:rsidP="007A6ED7">
      <w:r>
        <w:separator/>
      </w:r>
    </w:p>
  </w:endnote>
  <w:endnote w:type="continuationSeparator" w:id="0">
    <w:p w:rsidR="000829FE" w:rsidRDefault="000829FE" w:rsidP="007A6E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ndara Bold">
    <w:panose1 w:val="020E0702030303020204"/>
    <w:charset w:val="00"/>
    <w:family w:val="roman"/>
    <w:notTrueType/>
    <w:pitch w:val="default"/>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763"/>
      <w:docPartObj>
        <w:docPartGallery w:val="Page Numbers (Bottom of Page)"/>
        <w:docPartUnique/>
      </w:docPartObj>
    </w:sdtPr>
    <w:sdtContent>
      <w:p w:rsidR="00EF70C8" w:rsidRDefault="00287D89" w:rsidP="00EF70C8">
        <w:pPr>
          <w:pStyle w:val="Footer"/>
        </w:pPr>
        <w:fldSimple w:instr=" PAGE   \* MERGEFORMAT ">
          <w:r w:rsidR="002803C3">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9FE" w:rsidRDefault="000829FE" w:rsidP="007A6ED7">
      <w:r>
        <w:separator/>
      </w:r>
    </w:p>
  </w:footnote>
  <w:footnote w:type="continuationSeparator" w:id="0">
    <w:p w:rsidR="000829FE" w:rsidRPr="000A7D8A" w:rsidRDefault="000829FE" w:rsidP="00DC621A">
      <w:pPr>
        <w:pStyle w:val="Footer"/>
      </w:pPr>
    </w:p>
  </w:footnote>
  <w:footnote w:type="continuationNotice" w:id="1">
    <w:p w:rsidR="000829FE" w:rsidRDefault="000829F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0C8" w:rsidRPr="00EF70C8" w:rsidRDefault="00EF70C8">
    <w:pPr>
      <w:pStyle w:val="Header"/>
    </w:pPr>
    <w:r w:rsidRPr="00EF70C8">
      <w:t xml:space="preserve">OED, </w:t>
    </w:r>
    <w:r w:rsidR="006F0704">
      <w:t>Annexe Objectifs, résultats et fonctions essentielles de la FAO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760BBDC"/>
    <w:lvl w:ilvl="0">
      <w:start w:val="1"/>
      <w:numFmt w:val="decimal"/>
      <w:lvlText w:val="%1."/>
      <w:lvlJc w:val="left"/>
      <w:pPr>
        <w:tabs>
          <w:tab w:val="num" w:pos="1492"/>
        </w:tabs>
        <w:ind w:left="1492" w:hanging="360"/>
      </w:pPr>
    </w:lvl>
  </w:abstractNum>
  <w:abstractNum w:abstractNumId="1">
    <w:nsid w:val="FFFFFF7D"/>
    <w:multiLevelType w:val="singleLevel"/>
    <w:tmpl w:val="E6F28E02"/>
    <w:lvl w:ilvl="0">
      <w:start w:val="1"/>
      <w:numFmt w:val="decimal"/>
      <w:lvlText w:val="%1."/>
      <w:lvlJc w:val="left"/>
      <w:pPr>
        <w:tabs>
          <w:tab w:val="num" w:pos="1209"/>
        </w:tabs>
        <w:ind w:left="1209" w:hanging="360"/>
      </w:pPr>
    </w:lvl>
  </w:abstractNum>
  <w:abstractNum w:abstractNumId="2">
    <w:nsid w:val="FFFFFF7E"/>
    <w:multiLevelType w:val="singleLevel"/>
    <w:tmpl w:val="2026AC84"/>
    <w:lvl w:ilvl="0">
      <w:start w:val="1"/>
      <w:numFmt w:val="decimal"/>
      <w:lvlText w:val="%1."/>
      <w:lvlJc w:val="left"/>
      <w:pPr>
        <w:tabs>
          <w:tab w:val="num" w:pos="926"/>
        </w:tabs>
        <w:ind w:left="926" w:hanging="360"/>
      </w:pPr>
    </w:lvl>
  </w:abstractNum>
  <w:abstractNum w:abstractNumId="3">
    <w:nsid w:val="FFFFFF7F"/>
    <w:multiLevelType w:val="singleLevel"/>
    <w:tmpl w:val="6FEAFD40"/>
    <w:lvl w:ilvl="0">
      <w:start w:val="1"/>
      <w:numFmt w:val="decimal"/>
      <w:lvlText w:val="%1."/>
      <w:lvlJc w:val="left"/>
      <w:pPr>
        <w:tabs>
          <w:tab w:val="num" w:pos="643"/>
        </w:tabs>
        <w:ind w:left="643" w:hanging="360"/>
      </w:pPr>
    </w:lvl>
  </w:abstractNum>
  <w:abstractNum w:abstractNumId="4">
    <w:nsid w:val="FFFFFF80"/>
    <w:multiLevelType w:val="singleLevel"/>
    <w:tmpl w:val="69C2D2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BC50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360F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76F8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B03F14"/>
    <w:lvl w:ilvl="0">
      <w:start w:val="1"/>
      <w:numFmt w:val="decimal"/>
      <w:lvlText w:val="%1."/>
      <w:lvlJc w:val="left"/>
      <w:pPr>
        <w:tabs>
          <w:tab w:val="num" w:pos="360"/>
        </w:tabs>
        <w:ind w:left="360" w:hanging="360"/>
      </w:pPr>
    </w:lvl>
  </w:abstractNum>
  <w:abstractNum w:abstractNumId="9">
    <w:nsid w:val="FFFFFF89"/>
    <w:multiLevelType w:val="singleLevel"/>
    <w:tmpl w:val="5C3843CC"/>
    <w:lvl w:ilvl="0">
      <w:start w:val="1"/>
      <w:numFmt w:val="bullet"/>
      <w:lvlText w:val=""/>
      <w:lvlJc w:val="left"/>
      <w:pPr>
        <w:tabs>
          <w:tab w:val="num" w:pos="360"/>
        </w:tabs>
        <w:ind w:left="360" w:hanging="360"/>
      </w:pPr>
      <w:rPr>
        <w:rFonts w:ascii="Symbol" w:hAnsi="Symbol" w:hint="default"/>
      </w:rPr>
    </w:lvl>
  </w:abstractNum>
  <w:abstractNum w:abstractNumId="10">
    <w:nsid w:val="0B70056F"/>
    <w:multiLevelType w:val="hybridMultilevel"/>
    <w:tmpl w:val="57BE9E1A"/>
    <w:lvl w:ilvl="0" w:tplc="F5568676">
      <w:start w:val="1"/>
      <w:numFmt w:val="decimal"/>
      <w:pStyle w:val="RecommandationExecSumm"/>
      <w:lvlText w:val="Recommandation %1:"/>
      <w:lvlJc w:val="left"/>
      <w:pPr>
        <w:ind w:left="360" w:hanging="360"/>
      </w:pPr>
      <w:rPr>
        <w:rFonts w:ascii="Times New Roman Bold" w:hAnsi="Times New Roman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AA73E6"/>
    <w:multiLevelType w:val="hybridMultilevel"/>
    <w:tmpl w:val="968CE5E8"/>
    <w:lvl w:ilvl="0" w:tplc="76981E20">
      <w:start w:val="1"/>
      <w:numFmt w:val="decimal"/>
      <w:pStyle w:val="ParagraphOED"/>
      <w:lvlText w:val="%1."/>
      <w:lvlJc w:val="left"/>
      <w:pPr>
        <w:ind w:left="360" w:hanging="360"/>
      </w:pPr>
      <w:rPr>
        <w:rFonts w:ascii="Times New Roman" w:hAnsi="Times New Roman" w:hint="default"/>
        <w:b w:val="0"/>
        <w:i w:val="0"/>
        <w:caps w:val="0"/>
        <w:strike w:val="0"/>
        <w:dstrike w:val="0"/>
        <w:outline w:val="0"/>
        <w:shadow w:val="0"/>
        <w:emboss w:val="0"/>
        <w:imprint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5B3AA5"/>
    <w:multiLevelType w:val="hybridMultilevel"/>
    <w:tmpl w:val="DF266BEC"/>
    <w:lvl w:ilvl="0" w:tplc="6A20D86A">
      <w:start w:val="1"/>
      <w:numFmt w:val="lowerLetter"/>
      <w:pStyle w:val="Indentletter"/>
      <w:lvlText w:val="%1."/>
      <w:lvlJc w:val="right"/>
      <w:pPr>
        <w:ind w:left="1004" w:hanging="360"/>
      </w:pPr>
      <w:rPr>
        <w:rFonts w:cs="Times New Roman" w:hint="default"/>
        <w:b w:val="0"/>
        <w:i w:val="0"/>
        <w:caps w:val="0"/>
        <w:strike w:val="0"/>
        <w:dstrike w:val="0"/>
        <w:outline w:val="0"/>
        <w:shadow w:val="0"/>
        <w:emboss w:val="0"/>
        <w:imprint w:val="0"/>
        <w:vanish w:val="0"/>
        <w:color w:val="auto"/>
        <w:sz w:val="22"/>
        <w:vertAlign w:val="baseline"/>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178A3374"/>
    <w:multiLevelType w:val="hybridMultilevel"/>
    <w:tmpl w:val="D3444D54"/>
    <w:lvl w:ilvl="0" w:tplc="FF923FB8">
      <w:start w:val="1"/>
      <w:numFmt w:val="decimal"/>
      <w:pStyle w:val="Heading4"/>
      <w:lvlText w:val="Annexe %1."/>
      <w:lvlJc w:val="left"/>
      <w:pPr>
        <w:ind w:left="36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396473"/>
    <w:multiLevelType w:val="hybridMultilevel"/>
    <w:tmpl w:val="92F4FDE6"/>
    <w:lvl w:ilvl="0" w:tplc="F7B68B44">
      <w:start w:val="1"/>
      <w:numFmt w:val="decimal"/>
      <w:pStyle w:val="TitleAnnextablecontents"/>
      <w:lvlText w:val="Annex %1."/>
      <w:lvlJc w:val="left"/>
      <w:pPr>
        <w:ind w:left="720" w:hanging="360"/>
      </w:pPr>
      <w:rPr>
        <w:rFonts w:ascii="Times New Roman Bold" w:hAnsi="Times New Roman Bold" w:hint="default"/>
        <w:b/>
        <w:i w:val="0"/>
        <w:sz w:val="22"/>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5">
    <w:nsid w:val="2C6F47D8"/>
    <w:multiLevelType w:val="hybridMultilevel"/>
    <w:tmpl w:val="5D8E8194"/>
    <w:lvl w:ilvl="0" w:tplc="838ACC92">
      <w:start w:val="1"/>
      <w:numFmt w:val="decimal"/>
      <w:pStyle w:val="Encadrnumerot"/>
      <w:lvlText w:val="Encadré %1."/>
      <w:lvlJc w:val="left"/>
      <w:pPr>
        <w:ind w:left="720" w:hanging="360"/>
      </w:pPr>
      <w:rPr>
        <w:rFonts w:ascii="Times New Roman Bold" w:hAnsi="Times New Roman Bold" w:cs="Times New Roman Bold" w:hint="default"/>
        <w:b/>
        <w:bCs/>
        <w:i w:val="0"/>
        <w:iCs w:val="0"/>
        <w:caps w:val="0"/>
        <w:strike w:val="0"/>
        <w:dstrike w:val="0"/>
        <w:outline w:val="0"/>
        <w:shadow w:val="0"/>
        <w:emboss w:val="0"/>
        <w:imprint w:val="0"/>
        <w:vanish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2B18A7"/>
    <w:multiLevelType w:val="multilevel"/>
    <w:tmpl w:val="53E4CF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35763497"/>
    <w:multiLevelType w:val="hybridMultilevel"/>
    <w:tmpl w:val="DE027186"/>
    <w:lvl w:ilvl="0" w:tplc="16588C6E">
      <w:start w:val="1"/>
      <w:numFmt w:val="bullet"/>
      <w:pStyle w:val="Indentbullet"/>
      <w:lvlText w:val=""/>
      <w:lvlJc w:val="left"/>
      <w:pPr>
        <w:ind w:left="644"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3E3B51"/>
    <w:multiLevelType w:val="hybridMultilevel"/>
    <w:tmpl w:val="392CCD18"/>
    <w:lvl w:ilvl="0" w:tplc="D1B0DBDA">
      <w:start w:val="1"/>
      <w:numFmt w:val="lowerRoman"/>
      <w:pStyle w:val="Indentromannumber"/>
      <w:lvlText w:val="%1."/>
      <w:lvlJc w:val="right"/>
      <w:pPr>
        <w:ind w:left="1287" w:hanging="360"/>
      </w:pPr>
      <w:rPr>
        <w:rFonts w:ascii="Times New Roman" w:hAnsi="Times New Roman" w:cs="Times New Roman" w:hint="default"/>
        <w:b w:val="0"/>
        <w:i w:val="0"/>
        <w:caps w:val="0"/>
        <w:strike w:val="0"/>
        <w:dstrike w:val="0"/>
        <w:outline w:val="0"/>
        <w:shadow w:val="0"/>
        <w:emboss w:val="0"/>
        <w:imprint w:val="0"/>
        <w:vanish w:val="0"/>
        <w:color w:val="auto"/>
        <w:sz w:val="22"/>
        <w:vertAlign w:val="baseline"/>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3BC77D07"/>
    <w:multiLevelType w:val="hybridMultilevel"/>
    <w:tmpl w:val="B20E4608"/>
    <w:lvl w:ilvl="0" w:tplc="33C44386">
      <w:start w:val="1"/>
      <w:numFmt w:val="decimal"/>
      <w:pStyle w:val="Figurenumber"/>
      <w:lvlText w:val="Figure %1."/>
      <w:lvlJc w:val="left"/>
      <w:pPr>
        <w:ind w:left="720" w:hanging="360"/>
      </w:pPr>
      <w:rPr>
        <w:rFonts w:ascii="Times New Roman Bold" w:hAnsi="Times New Roman Bold"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014812"/>
    <w:multiLevelType w:val="hybridMultilevel"/>
    <w:tmpl w:val="88CA4720"/>
    <w:lvl w:ilvl="0" w:tplc="E5EE8DF2">
      <w:start w:val="1"/>
      <w:numFmt w:val="bullet"/>
      <w:pStyle w:val="Indentsub"/>
      <w:lvlText w:val=""/>
      <w:lvlJc w:val="left"/>
      <w:pPr>
        <w:ind w:left="360" w:hanging="360"/>
      </w:pPr>
      <w:rPr>
        <w:rFonts w:ascii="Wingdings" w:hAnsi="Wingding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3D7C94"/>
    <w:multiLevelType w:val="multilevel"/>
    <w:tmpl w:val="71A8D1EE"/>
    <w:lvl w:ilvl="0">
      <w:start w:val="1"/>
      <w:numFmt w:val="decimal"/>
      <w:pStyle w:val="Titleannex"/>
      <w:lvlText w:val="Annex %1."/>
      <w:lvlJc w:val="left"/>
      <w:pPr>
        <w:ind w:left="360" w:hanging="360"/>
      </w:pPr>
      <w:rPr>
        <w:rFonts w:ascii="Times New Roman Bold" w:hAnsi="Times New Roman Bold" w:hint="default"/>
        <w:b/>
        <w:i w:val="0"/>
        <w:sz w:val="24"/>
      </w:rPr>
    </w:lvl>
    <w:lvl w:ilvl="1">
      <w:start w:val="1"/>
      <w:numFmt w:val="decimal"/>
      <w:lvlText w:val="%2."/>
      <w:lvlJc w:val="left"/>
      <w:pPr>
        <w:tabs>
          <w:tab w:val="num" w:pos="851"/>
        </w:tabs>
        <w:ind w:left="851" w:hanging="851"/>
      </w:pPr>
      <w:rPr>
        <w:rFonts w:ascii="Times New Roman Bold" w:hAnsi="Times New Roman Bold" w:hint="default"/>
        <w:b/>
        <w:i w:val="0"/>
        <w:caps w:val="0"/>
        <w:strike w:val="0"/>
        <w:dstrike w:val="0"/>
        <w:outline w:val="0"/>
        <w:shadow w:val="0"/>
        <w:emboss w:val="0"/>
        <w:imprint w:val="0"/>
        <w:vanish w:val="0"/>
        <w:color w:val="auto"/>
        <w:sz w:val="22"/>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551676E7"/>
    <w:multiLevelType w:val="hybridMultilevel"/>
    <w:tmpl w:val="D5FA7706"/>
    <w:lvl w:ilvl="0" w:tplc="C48605DA">
      <w:start w:val="1"/>
      <w:numFmt w:val="lowerRoman"/>
      <w:pStyle w:val="Headingboldnotnumbered"/>
      <w:lvlText w:val="%1."/>
      <w:lvlJc w:val="right"/>
      <w:pPr>
        <w:tabs>
          <w:tab w:val="num" w:pos="851"/>
        </w:tabs>
        <w:ind w:left="851"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653700C"/>
    <w:multiLevelType w:val="hybridMultilevel"/>
    <w:tmpl w:val="C0A86824"/>
    <w:lvl w:ilvl="0" w:tplc="9864B33E">
      <w:start w:val="1"/>
      <w:numFmt w:val="decimal"/>
      <w:pStyle w:val="BoxAnnex"/>
      <w:lvlText w:val="Box %1."/>
      <w:lvlJc w:val="left"/>
      <w:pPr>
        <w:tabs>
          <w:tab w:val="num" w:pos="1418"/>
        </w:tabs>
        <w:ind w:left="1418" w:hanging="1134"/>
      </w:pPr>
      <w:rPr>
        <w:rFonts w:ascii="Times New Roman Bold" w:hAnsi="Times New Roman Bold" w:cs="Times New Roman" w:hint="default"/>
        <w:b/>
        <w:i w:val="0"/>
        <w:sz w:val="22"/>
      </w:rPr>
    </w:lvl>
    <w:lvl w:ilvl="1" w:tplc="D414BE74" w:tentative="1">
      <w:start w:val="1"/>
      <w:numFmt w:val="lowerLetter"/>
      <w:lvlText w:val="%2."/>
      <w:lvlJc w:val="left"/>
      <w:pPr>
        <w:tabs>
          <w:tab w:val="num" w:pos="6280"/>
        </w:tabs>
        <w:ind w:left="6280" w:hanging="360"/>
      </w:pPr>
      <w:rPr>
        <w:rFonts w:cs="Times New Roman"/>
      </w:rPr>
    </w:lvl>
    <w:lvl w:ilvl="2" w:tplc="F9166952" w:tentative="1">
      <w:start w:val="1"/>
      <w:numFmt w:val="lowerRoman"/>
      <w:lvlText w:val="%3."/>
      <w:lvlJc w:val="right"/>
      <w:pPr>
        <w:tabs>
          <w:tab w:val="num" w:pos="7000"/>
        </w:tabs>
        <w:ind w:left="7000" w:hanging="180"/>
      </w:pPr>
      <w:rPr>
        <w:rFonts w:cs="Times New Roman"/>
      </w:rPr>
    </w:lvl>
    <w:lvl w:ilvl="3" w:tplc="F508B93C" w:tentative="1">
      <w:start w:val="1"/>
      <w:numFmt w:val="decimal"/>
      <w:lvlText w:val="%4."/>
      <w:lvlJc w:val="left"/>
      <w:pPr>
        <w:tabs>
          <w:tab w:val="num" w:pos="7720"/>
        </w:tabs>
        <w:ind w:left="7720" w:hanging="360"/>
      </w:pPr>
      <w:rPr>
        <w:rFonts w:cs="Times New Roman"/>
      </w:rPr>
    </w:lvl>
    <w:lvl w:ilvl="4" w:tplc="BB0683E8" w:tentative="1">
      <w:start w:val="1"/>
      <w:numFmt w:val="lowerLetter"/>
      <w:lvlText w:val="%5."/>
      <w:lvlJc w:val="left"/>
      <w:pPr>
        <w:tabs>
          <w:tab w:val="num" w:pos="8440"/>
        </w:tabs>
        <w:ind w:left="8440" w:hanging="360"/>
      </w:pPr>
      <w:rPr>
        <w:rFonts w:cs="Times New Roman"/>
      </w:rPr>
    </w:lvl>
    <w:lvl w:ilvl="5" w:tplc="F03CE91A" w:tentative="1">
      <w:start w:val="1"/>
      <w:numFmt w:val="lowerRoman"/>
      <w:lvlText w:val="%6."/>
      <w:lvlJc w:val="right"/>
      <w:pPr>
        <w:tabs>
          <w:tab w:val="num" w:pos="9160"/>
        </w:tabs>
        <w:ind w:left="9160" w:hanging="180"/>
      </w:pPr>
      <w:rPr>
        <w:rFonts w:cs="Times New Roman"/>
      </w:rPr>
    </w:lvl>
    <w:lvl w:ilvl="6" w:tplc="11A68BC4" w:tentative="1">
      <w:start w:val="1"/>
      <w:numFmt w:val="decimal"/>
      <w:lvlText w:val="%7."/>
      <w:lvlJc w:val="left"/>
      <w:pPr>
        <w:tabs>
          <w:tab w:val="num" w:pos="9880"/>
        </w:tabs>
        <w:ind w:left="9880" w:hanging="360"/>
      </w:pPr>
      <w:rPr>
        <w:rFonts w:cs="Times New Roman"/>
      </w:rPr>
    </w:lvl>
    <w:lvl w:ilvl="7" w:tplc="5B7E6788" w:tentative="1">
      <w:start w:val="1"/>
      <w:numFmt w:val="lowerLetter"/>
      <w:lvlText w:val="%8."/>
      <w:lvlJc w:val="left"/>
      <w:pPr>
        <w:tabs>
          <w:tab w:val="num" w:pos="10600"/>
        </w:tabs>
        <w:ind w:left="10600" w:hanging="360"/>
      </w:pPr>
      <w:rPr>
        <w:rFonts w:cs="Times New Roman"/>
      </w:rPr>
    </w:lvl>
    <w:lvl w:ilvl="8" w:tplc="29F069A2" w:tentative="1">
      <w:start w:val="1"/>
      <w:numFmt w:val="lowerRoman"/>
      <w:lvlText w:val="%9."/>
      <w:lvlJc w:val="right"/>
      <w:pPr>
        <w:tabs>
          <w:tab w:val="num" w:pos="11320"/>
        </w:tabs>
        <w:ind w:left="11320" w:hanging="180"/>
      </w:pPr>
      <w:rPr>
        <w:rFonts w:cs="Times New Roman"/>
      </w:rPr>
    </w:lvl>
  </w:abstractNum>
  <w:abstractNum w:abstractNumId="24">
    <w:nsid w:val="5ACA2E7B"/>
    <w:multiLevelType w:val="hybridMultilevel"/>
    <w:tmpl w:val="F4169B4A"/>
    <w:lvl w:ilvl="0" w:tplc="DF462548">
      <w:start w:val="1"/>
      <w:numFmt w:val="upperRoman"/>
      <w:pStyle w:val="IndentRomancapital"/>
      <w:lvlText w:val="%1."/>
      <w:lvlJc w:val="right"/>
      <w:pPr>
        <w:ind w:left="927" w:hanging="360"/>
      </w:pPr>
      <w:rPr>
        <w:rFonts w:ascii="Times New Roman Bold" w:hAnsi="Times New Roman Bold" w:cs="Times New Roman Bold" w:hint="default"/>
        <w:b/>
        <w:bCs/>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01B79"/>
    <w:multiLevelType w:val="hybridMultilevel"/>
    <w:tmpl w:val="9E4A0EF6"/>
    <w:lvl w:ilvl="0" w:tplc="52C23C18">
      <w:start w:val="1"/>
      <w:numFmt w:val="decimal"/>
      <w:pStyle w:val="ParagraphOED0"/>
      <w:lvlText w:val="%1."/>
      <w:lvlJc w:val="left"/>
      <w:pPr>
        <w:ind w:left="360" w:hanging="360"/>
      </w:pPr>
      <w:rPr>
        <w:rFonts w:ascii="Times New Roman" w:hAnsi="Times New Roman" w:cs="Times New Roman" w:hint="default"/>
        <w:b w:val="0"/>
        <w:bCs w:val="0"/>
        <w:i w:val="0"/>
        <w:iCs w:val="0"/>
        <w:sz w:val="22"/>
        <w:szCs w:val="22"/>
      </w:rPr>
    </w:lvl>
    <w:lvl w:ilvl="1" w:tplc="368E775C" w:tentative="1">
      <w:start w:val="1"/>
      <w:numFmt w:val="lowerLetter"/>
      <w:lvlText w:val="%2."/>
      <w:lvlJc w:val="left"/>
      <w:pPr>
        <w:ind w:left="2007" w:hanging="360"/>
      </w:pPr>
    </w:lvl>
    <w:lvl w:ilvl="2" w:tplc="710670D6" w:tentative="1">
      <w:start w:val="1"/>
      <w:numFmt w:val="lowerRoman"/>
      <w:lvlText w:val="%3."/>
      <w:lvlJc w:val="right"/>
      <w:pPr>
        <w:ind w:left="2727" w:hanging="180"/>
      </w:pPr>
    </w:lvl>
    <w:lvl w:ilvl="3" w:tplc="417A5060" w:tentative="1">
      <w:start w:val="1"/>
      <w:numFmt w:val="decimal"/>
      <w:lvlText w:val="%4."/>
      <w:lvlJc w:val="left"/>
      <w:pPr>
        <w:ind w:left="3447" w:hanging="360"/>
      </w:pPr>
    </w:lvl>
    <w:lvl w:ilvl="4" w:tplc="0268BA08" w:tentative="1">
      <w:start w:val="1"/>
      <w:numFmt w:val="lowerLetter"/>
      <w:lvlText w:val="%5."/>
      <w:lvlJc w:val="left"/>
      <w:pPr>
        <w:ind w:left="4167" w:hanging="360"/>
      </w:pPr>
    </w:lvl>
    <w:lvl w:ilvl="5" w:tplc="4586856C" w:tentative="1">
      <w:start w:val="1"/>
      <w:numFmt w:val="lowerRoman"/>
      <w:lvlText w:val="%6."/>
      <w:lvlJc w:val="right"/>
      <w:pPr>
        <w:ind w:left="4887" w:hanging="180"/>
      </w:pPr>
    </w:lvl>
    <w:lvl w:ilvl="6" w:tplc="FD7C371E" w:tentative="1">
      <w:start w:val="1"/>
      <w:numFmt w:val="decimal"/>
      <w:lvlText w:val="%7."/>
      <w:lvlJc w:val="left"/>
      <w:pPr>
        <w:ind w:left="5607" w:hanging="360"/>
      </w:pPr>
    </w:lvl>
    <w:lvl w:ilvl="7" w:tplc="F536BF8A" w:tentative="1">
      <w:start w:val="1"/>
      <w:numFmt w:val="lowerLetter"/>
      <w:lvlText w:val="%8."/>
      <w:lvlJc w:val="left"/>
      <w:pPr>
        <w:ind w:left="6327" w:hanging="360"/>
      </w:pPr>
    </w:lvl>
    <w:lvl w:ilvl="8" w:tplc="92984FCC" w:tentative="1">
      <w:start w:val="1"/>
      <w:numFmt w:val="lowerRoman"/>
      <w:lvlText w:val="%9."/>
      <w:lvlJc w:val="right"/>
      <w:pPr>
        <w:ind w:left="7047" w:hanging="180"/>
      </w:pPr>
    </w:lvl>
  </w:abstractNum>
  <w:abstractNum w:abstractNumId="26">
    <w:nsid w:val="60D343E0"/>
    <w:multiLevelType w:val="hybridMultilevel"/>
    <w:tmpl w:val="9700593E"/>
    <w:lvl w:ilvl="0" w:tplc="355A499C">
      <w:start w:val="1"/>
      <w:numFmt w:val="decimal"/>
      <w:pStyle w:val="ParagraphOEDExecSumm"/>
      <w:lvlText w:val="ES%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0E0810"/>
    <w:multiLevelType w:val="hybridMultilevel"/>
    <w:tmpl w:val="1C543FE6"/>
    <w:lvl w:ilvl="0" w:tplc="0F267014">
      <w:start w:val="1"/>
      <w:numFmt w:val="decimal"/>
      <w:pStyle w:val="Recommandationnumbered"/>
      <w:lvlText w:val="Recommandation %1:"/>
      <w:lvlJc w:val="left"/>
      <w:pPr>
        <w:ind w:left="360" w:hanging="360"/>
      </w:pPr>
      <w:rPr>
        <w:rFonts w:ascii="Times New Roman Bold" w:hAnsi="Times New Roman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FF4942"/>
    <w:multiLevelType w:val="hybridMultilevel"/>
    <w:tmpl w:val="E7A8997A"/>
    <w:lvl w:ilvl="0" w:tplc="74ECF4DE">
      <w:start w:val="1"/>
      <w:numFmt w:val="decimal"/>
      <w:pStyle w:val="Titleannexe"/>
      <w:lvlText w:val="Annexe %1."/>
      <w:lvlJc w:val="left"/>
      <w:pPr>
        <w:ind w:left="720" w:hanging="360"/>
      </w:pPr>
      <w:rPr>
        <w:rFonts w:ascii="Times New Roman Bold" w:hAnsi="Times New Roman Bold" w:hint="default"/>
        <w:b/>
        <w:bCs/>
        <w:i w:val="0"/>
        <w:iCs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5C7F2D"/>
    <w:multiLevelType w:val="hybridMultilevel"/>
    <w:tmpl w:val="F202BF50"/>
    <w:lvl w:ilvl="0" w:tplc="67243B36">
      <w:start w:val="1"/>
      <w:numFmt w:val="decimal"/>
      <w:pStyle w:val="Tablenumber"/>
      <w:lvlText w:val="Table %1."/>
      <w:lvlJc w:val="left"/>
      <w:pPr>
        <w:ind w:left="720" w:hanging="360"/>
      </w:pPr>
      <w:rPr>
        <w:rFonts w:ascii="Times New Roman Bold" w:hAnsi="Times New Roman Bold"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CB3576"/>
    <w:multiLevelType w:val="hybridMultilevel"/>
    <w:tmpl w:val="3D14B8BC"/>
    <w:lvl w:ilvl="0" w:tplc="E16EFDDA">
      <w:start w:val="1"/>
      <w:numFmt w:val="decimal"/>
      <w:pStyle w:val="Title"/>
      <w:lvlText w:val="%1.1"/>
      <w:lvlJc w:val="left"/>
      <w:pPr>
        <w:ind w:left="720" w:hanging="360"/>
      </w:pPr>
      <w:rPr>
        <w:rFonts w:ascii="Times New Roman Bold" w:hAnsi="Times New Roman Bold"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757D09"/>
    <w:multiLevelType w:val="hybridMultilevel"/>
    <w:tmpl w:val="A3F22D6A"/>
    <w:lvl w:ilvl="0" w:tplc="80CED38C">
      <w:start w:val="1"/>
      <w:numFmt w:val="decimal"/>
      <w:pStyle w:val="Encadrnumber"/>
      <w:lvlText w:val="Encadré %1."/>
      <w:lvlJc w:val="left"/>
      <w:pPr>
        <w:ind w:left="360" w:hanging="360"/>
      </w:pPr>
      <w:rPr>
        <w:rFonts w:ascii="Times New Roman Bold" w:hAnsi="Times New Roman Bold" w:hint="default"/>
        <w:b/>
        <w:i w:val="0"/>
        <w:color w:val="auto"/>
        <w:sz w:val="22"/>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30"/>
  </w:num>
  <w:num w:numId="2">
    <w:abstractNumId w:val="16"/>
  </w:num>
  <w:num w:numId="3">
    <w:abstractNumId w:val="26"/>
  </w:num>
  <w:num w:numId="4">
    <w:abstractNumId w:val="11"/>
  </w:num>
  <w:num w:numId="5">
    <w:abstractNumId w:val="17"/>
  </w:num>
  <w:num w:numId="6">
    <w:abstractNumId w:val="13"/>
  </w:num>
  <w:num w:numId="7">
    <w:abstractNumId w:val="12"/>
  </w:num>
  <w:num w:numId="8">
    <w:abstractNumId w:val="18"/>
  </w:num>
  <w:num w:numId="9">
    <w:abstractNumId w:val="10"/>
  </w:num>
  <w:num w:numId="10">
    <w:abstractNumId w:val="27"/>
  </w:num>
  <w:num w:numId="11">
    <w:abstractNumId w:val="29"/>
  </w:num>
  <w:num w:numId="12">
    <w:abstractNumId w:val="31"/>
  </w:num>
  <w:num w:numId="13">
    <w:abstractNumId w:val="19"/>
  </w:num>
  <w:num w:numId="14">
    <w:abstractNumId w:val="24"/>
  </w:num>
  <w:num w:numId="15">
    <w:abstractNumId w:val="20"/>
  </w:num>
  <w:num w:numId="16">
    <w:abstractNumId w:val="25"/>
  </w:num>
  <w:num w:numId="17">
    <w:abstractNumId w:val="14"/>
  </w:num>
  <w:num w:numId="18">
    <w:abstractNumId w:val="22"/>
  </w:num>
  <w:num w:numId="19">
    <w:abstractNumId w:val="15"/>
  </w:num>
  <w:num w:numId="20">
    <w:abstractNumId w:val="2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1"/>
  </w:num>
  <w:num w:numId="32">
    <w:abstractNumId w:val="2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4"/>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58370"/>
  </w:hdrShapeDefaults>
  <w:footnotePr>
    <w:footnote w:id="-1"/>
    <w:footnote w:id="0"/>
    <w:footnote w:id="1"/>
  </w:footnotePr>
  <w:endnotePr>
    <w:endnote w:id="-1"/>
    <w:endnote w:id="0"/>
  </w:endnotePr>
  <w:compat/>
  <w:rsids>
    <w:rsidRoot w:val="00DB1289"/>
    <w:rsid w:val="000001BB"/>
    <w:rsid w:val="00006E16"/>
    <w:rsid w:val="00012D2C"/>
    <w:rsid w:val="00014660"/>
    <w:rsid w:val="000259AB"/>
    <w:rsid w:val="00031DD0"/>
    <w:rsid w:val="00032EC5"/>
    <w:rsid w:val="00033528"/>
    <w:rsid w:val="0003528C"/>
    <w:rsid w:val="00043219"/>
    <w:rsid w:val="00044200"/>
    <w:rsid w:val="000630D0"/>
    <w:rsid w:val="000654D5"/>
    <w:rsid w:val="000659BC"/>
    <w:rsid w:val="000829FE"/>
    <w:rsid w:val="00086095"/>
    <w:rsid w:val="00090F50"/>
    <w:rsid w:val="0009126D"/>
    <w:rsid w:val="000A00E8"/>
    <w:rsid w:val="000A2F81"/>
    <w:rsid w:val="000A7D8A"/>
    <w:rsid w:val="000B5386"/>
    <w:rsid w:val="000C5D4B"/>
    <w:rsid w:val="000C61C6"/>
    <w:rsid w:val="000D21A5"/>
    <w:rsid w:val="000E1491"/>
    <w:rsid w:val="000E311C"/>
    <w:rsid w:val="000E685D"/>
    <w:rsid w:val="000F1157"/>
    <w:rsid w:val="000F406E"/>
    <w:rsid w:val="00102BA6"/>
    <w:rsid w:val="00112A11"/>
    <w:rsid w:val="0011626E"/>
    <w:rsid w:val="00126296"/>
    <w:rsid w:val="0012715F"/>
    <w:rsid w:val="00131EFD"/>
    <w:rsid w:val="00134D98"/>
    <w:rsid w:val="00137339"/>
    <w:rsid w:val="00142950"/>
    <w:rsid w:val="00142EEF"/>
    <w:rsid w:val="001454FA"/>
    <w:rsid w:val="001475B6"/>
    <w:rsid w:val="0014766F"/>
    <w:rsid w:val="00152933"/>
    <w:rsid w:val="001637C8"/>
    <w:rsid w:val="00176FC7"/>
    <w:rsid w:val="00182F3B"/>
    <w:rsid w:val="00183603"/>
    <w:rsid w:val="00191764"/>
    <w:rsid w:val="001962C7"/>
    <w:rsid w:val="001C0F10"/>
    <w:rsid w:val="001C2DDB"/>
    <w:rsid w:val="001D001A"/>
    <w:rsid w:val="001D14CE"/>
    <w:rsid w:val="001D348F"/>
    <w:rsid w:val="001E6659"/>
    <w:rsid w:val="001E66F4"/>
    <w:rsid w:val="001F234B"/>
    <w:rsid w:val="00205B3A"/>
    <w:rsid w:val="0020672A"/>
    <w:rsid w:val="00222FD5"/>
    <w:rsid w:val="0022398E"/>
    <w:rsid w:val="00224F84"/>
    <w:rsid w:val="002741AD"/>
    <w:rsid w:val="002803C3"/>
    <w:rsid w:val="00287D89"/>
    <w:rsid w:val="00291941"/>
    <w:rsid w:val="0029249E"/>
    <w:rsid w:val="00292B89"/>
    <w:rsid w:val="002A0E60"/>
    <w:rsid w:val="002A4CCF"/>
    <w:rsid w:val="002D433F"/>
    <w:rsid w:val="002E0C2F"/>
    <w:rsid w:val="002E2CC5"/>
    <w:rsid w:val="003015D3"/>
    <w:rsid w:val="00305F92"/>
    <w:rsid w:val="00311406"/>
    <w:rsid w:val="00314AFE"/>
    <w:rsid w:val="00314CA4"/>
    <w:rsid w:val="00321686"/>
    <w:rsid w:val="00322B56"/>
    <w:rsid w:val="003238B8"/>
    <w:rsid w:val="0032526E"/>
    <w:rsid w:val="00325B56"/>
    <w:rsid w:val="003307A4"/>
    <w:rsid w:val="00346EC3"/>
    <w:rsid w:val="00347569"/>
    <w:rsid w:val="00350B69"/>
    <w:rsid w:val="003652DD"/>
    <w:rsid w:val="003678F3"/>
    <w:rsid w:val="003719AC"/>
    <w:rsid w:val="00372DF7"/>
    <w:rsid w:val="003758CE"/>
    <w:rsid w:val="00381955"/>
    <w:rsid w:val="003908DD"/>
    <w:rsid w:val="00391AA3"/>
    <w:rsid w:val="003970EA"/>
    <w:rsid w:val="003B47E3"/>
    <w:rsid w:val="003C207F"/>
    <w:rsid w:val="003C2364"/>
    <w:rsid w:val="003C5AAE"/>
    <w:rsid w:val="003C6499"/>
    <w:rsid w:val="003D07E1"/>
    <w:rsid w:val="003D5129"/>
    <w:rsid w:val="003E2F28"/>
    <w:rsid w:val="003E5EEC"/>
    <w:rsid w:val="003F4302"/>
    <w:rsid w:val="00421010"/>
    <w:rsid w:val="0042585C"/>
    <w:rsid w:val="00430540"/>
    <w:rsid w:val="004416CE"/>
    <w:rsid w:val="00443E6E"/>
    <w:rsid w:val="00443F8E"/>
    <w:rsid w:val="00452D9C"/>
    <w:rsid w:val="00455F8F"/>
    <w:rsid w:val="00457F53"/>
    <w:rsid w:val="00467048"/>
    <w:rsid w:val="00467E38"/>
    <w:rsid w:val="004707CD"/>
    <w:rsid w:val="00484BDC"/>
    <w:rsid w:val="0048789D"/>
    <w:rsid w:val="00496655"/>
    <w:rsid w:val="004A17B7"/>
    <w:rsid w:val="004A28C7"/>
    <w:rsid w:val="004A3F8A"/>
    <w:rsid w:val="004A3FD4"/>
    <w:rsid w:val="004B6275"/>
    <w:rsid w:val="004C2824"/>
    <w:rsid w:val="004D1D51"/>
    <w:rsid w:val="004D73B2"/>
    <w:rsid w:val="004E3A90"/>
    <w:rsid w:val="004E69F2"/>
    <w:rsid w:val="004F084D"/>
    <w:rsid w:val="004F5368"/>
    <w:rsid w:val="004F6612"/>
    <w:rsid w:val="004F6C09"/>
    <w:rsid w:val="005034CF"/>
    <w:rsid w:val="0051050C"/>
    <w:rsid w:val="005110B0"/>
    <w:rsid w:val="005204E1"/>
    <w:rsid w:val="00524304"/>
    <w:rsid w:val="005329CD"/>
    <w:rsid w:val="005332DE"/>
    <w:rsid w:val="00533E17"/>
    <w:rsid w:val="005419CF"/>
    <w:rsid w:val="005464A0"/>
    <w:rsid w:val="00552466"/>
    <w:rsid w:val="00553BD6"/>
    <w:rsid w:val="005622A4"/>
    <w:rsid w:val="00566DDD"/>
    <w:rsid w:val="00577C88"/>
    <w:rsid w:val="0058375E"/>
    <w:rsid w:val="00584214"/>
    <w:rsid w:val="0058602B"/>
    <w:rsid w:val="00592CBD"/>
    <w:rsid w:val="00596A40"/>
    <w:rsid w:val="005974B2"/>
    <w:rsid w:val="005A0281"/>
    <w:rsid w:val="005A23DF"/>
    <w:rsid w:val="005A35C2"/>
    <w:rsid w:val="005A4466"/>
    <w:rsid w:val="005C0664"/>
    <w:rsid w:val="005D1077"/>
    <w:rsid w:val="005D231F"/>
    <w:rsid w:val="005D40E2"/>
    <w:rsid w:val="005D4BA3"/>
    <w:rsid w:val="005E1004"/>
    <w:rsid w:val="005E179F"/>
    <w:rsid w:val="00603F55"/>
    <w:rsid w:val="006047F5"/>
    <w:rsid w:val="0060657B"/>
    <w:rsid w:val="006119F6"/>
    <w:rsid w:val="00612743"/>
    <w:rsid w:val="00613A20"/>
    <w:rsid w:val="00616156"/>
    <w:rsid w:val="00625FE6"/>
    <w:rsid w:val="00627255"/>
    <w:rsid w:val="00631271"/>
    <w:rsid w:val="00631BA0"/>
    <w:rsid w:val="00631FF8"/>
    <w:rsid w:val="00645F68"/>
    <w:rsid w:val="00650DD4"/>
    <w:rsid w:val="00653710"/>
    <w:rsid w:val="006561B7"/>
    <w:rsid w:val="00657074"/>
    <w:rsid w:val="006607BF"/>
    <w:rsid w:val="00665EED"/>
    <w:rsid w:val="00666B81"/>
    <w:rsid w:val="00670C33"/>
    <w:rsid w:val="00671975"/>
    <w:rsid w:val="00672349"/>
    <w:rsid w:val="00677E92"/>
    <w:rsid w:val="00692C12"/>
    <w:rsid w:val="00696678"/>
    <w:rsid w:val="006A0F83"/>
    <w:rsid w:val="006A28A6"/>
    <w:rsid w:val="006C52ED"/>
    <w:rsid w:val="006C71B6"/>
    <w:rsid w:val="006E4B9B"/>
    <w:rsid w:val="006E5D66"/>
    <w:rsid w:val="006E7DE8"/>
    <w:rsid w:val="006F0704"/>
    <w:rsid w:val="006F2A59"/>
    <w:rsid w:val="006F3780"/>
    <w:rsid w:val="006F7BD7"/>
    <w:rsid w:val="00705DC3"/>
    <w:rsid w:val="0070622C"/>
    <w:rsid w:val="007118B3"/>
    <w:rsid w:val="00715812"/>
    <w:rsid w:val="00720917"/>
    <w:rsid w:val="00731957"/>
    <w:rsid w:val="0073731C"/>
    <w:rsid w:val="0074509F"/>
    <w:rsid w:val="00746047"/>
    <w:rsid w:val="00757891"/>
    <w:rsid w:val="007624F3"/>
    <w:rsid w:val="00762896"/>
    <w:rsid w:val="007661E6"/>
    <w:rsid w:val="0077082E"/>
    <w:rsid w:val="0077369E"/>
    <w:rsid w:val="00773E51"/>
    <w:rsid w:val="007A6656"/>
    <w:rsid w:val="007A6ED7"/>
    <w:rsid w:val="007B3980"/>
    <w:rsid w:val="007C0D59"/>
    <w:rsid w:val="007C107F"/>
    <w:rsid w:val="007D3C44"/>
    <w:rsid w:val="007D47FC"/>
    <w:rsid w:val="007D4AFB"/>
    <w:rsid w:val="007D518C"/>
    <w:rsid w:val="007E35B4"/>
    <w:rsid w:val="007E3A6D"/>
    <w:rsid w:val="007F77C3"/>
    <w:rsid w:val="00801973"/>
    <w:rsid w:val="00803E2A"/>
    <w:rsid w:val="00804CCC"/>
    <w:rsid w:val="00804D52"/>
    <w:rsid w:val="008156FD"/>
    <w:rsid w:val="00822845"/>
    <w:rsid w:val="0082631D"/>
    <w:rsid w:val="008265E9"/>
    <w:rsid w:val="00827270"/>
    <w:rsid w:val="00834870"/>
    <w:rsid w:val="0084187F"/>
    <w:rsid w:val="00842F83"/>
    <w:rsid w:val="00854B88"/>
    <w:rsid w:val="008556A6"/>
    <w:rsid w:val="008621D5"/>
    <w:rsid w:val="00874924"/>
    <w:rsid w:val="00874A6E"/>
    <w:rsid w:val="008826A0"/>
    <w:rsid w:val="0088451A"/>
    <w:rsid w:val="00884A40"/>
    <w:rsid w:val="008A0B10"/>
    <w:rsid w:val="008A44AF"/>
    <w:rsid w:val="008A494F"/>
    <w:rsid w:val="008B3E2D"/>
    <w:rsid w:val="008D0B37"/>
    <w:rsid w:val="008D0DBC"/>
    <w:rsid w:val="008D1FAD"/>
    <w:rsid w:val="008E6FE3"/>
    <w:rsid w:val="008F5565"/>
    <w:rsid w:val="008F58BE"/>
    <w:rsid w:val="00906C68"/>
    <w:rsid w:val="00912C86"/>
    <w:rsid w:val="00913A5B"/>
    <w:rsid w:val="009256A3"/>
    <w:rsid w:val="009316D0"/>
    <w:rsid w:val="00934107"/>
    <w:rsid w:val="00934FFA"/>
    <w:rsid w:val="00936D1A"/>
    <w:rsid w:val="00937478"/>
    <w:rsid w:val="009427DB"/>
    <w:rsid w:val="0094639A"/>
    <w:rsid w:val="009640B0"/>
    <w:rsid w:val="00965081"/>
    <w:rsid w:val="00966ECC"/>
    <w:rsid w:val="009704F9"/>
    <w:rsid w:val="00970B44"/>
    <w:rsid w:val="00977BF6"/>
    <w:rsid w:val="0098037F"/>
    <w:rsid w:val="00985AAB"/>
    <w:rsid w:val="00985E5D"/>
    <w:rsid w:val="009906F9"/>
    <w:rsid w:val="00992651"/>
    <w:rsid w:val="00994989"/>
    <w:rsid w:val="00994A49"/>
    <w:rsid w:val="009957A7"/>
    <w:rsid w:val="00996A28"/>
    <w:rsid w:val="00996F8E"/>
    <w:rsid w:val="009A131B"/>
    <w:rsid w:val="009B01EB"/>
    <w:rsid w:val="009D1542"/>
    <w:rsid w:val="009D241C"/>
    <w:rsid w:val="009D5A0E"/>
    <w:rsid w:val="009E05F0"/>
    <w:rsid w:val="009E4047"/>
    <w:rsid w:val="009F500E"/>
    <w:rsid w:val="009F7530"/>
    <w:rsid w:val="009F7770"/>
    <w:rsid w:val="00A01953"/>
    <w:rsid w:val="00A01A38"/>
    <w:rsid w:val="00A03A0C"/>
    <w:rsid w:val="00A049D3"/>
    <w:rsid w:val="00A04D63"/>
    <w:rsid w:val="00A11F37"/>
    <w:rsid w:val="00A14A9A"/>
    <w:rsid w:val="00A1569F"/>
    <w:rsid w:val="00A2092D"/>
    <w:rsid w:val="00A22EA9"/>
    <w:rsid w:val="00A250BF"/>
    <w:rsid w:val="00A25605"/>
    <w:rsid w:val="00A30099"/>
    <w:rsid w:val="00A3266F"/>
    <w:rsid w:val="00A32F48"/>
    <w:rsid w:val="00A53B8A"/>
    <w:rsid w:val="00A55F9F"/>
    <w:rsid w:val="00A56789"/>
    <w:rsid w:val="00A609DA"/>
    <w:rsid w:val="00A63AA5"/>
    <w:rsid w:val="00A66640"/>
    <w:rsid w:val="00A76E13"/>
    <w:rsid w:val="00A8315B"/>
    <w:rsid w:val="00A84A8F"/>
    <w:rsid w:val="00A85CCB"/>
    <w:rsid w:val="00A94F6B"/>
    <w:rsid w:val="00AA1409"/>
    <w:rsid w:val="00AA23A3"/>
    <w:rsid w:val="00AA3CFC"/>
    <w:rsid w:val="00AB04ED"/>
    <w:rsid w:val="00AB1655"/>
    <w:rsid w:val="00AB35BD"/>
    <w:rsid w:val="00AD0431"/>
    <w:rsid w:val="00AE0AC3"/>
    <w:rsid w:val="00AE1862"/>
    <w:rsid w:val="00AE1CC4"/>
    <w:rsid w:val="00AE7250"/>
    <w:rsid w:val="00AF1B87"/>
    <w:rsid w:val="00AF4F37"/>
    <w:rsid w:val="00B040AB"/>
    <w:rsid w:val="00B142BD"/>
    <w:rsid w:val="00B16D03"/>
    <w:rsid w:val="00B209F3"/>
    <w:rsid w:val="00B272B1"/>
    <w:rsid w:val="00B318E5"/>
    <w:rsid w:val="00B42A33"/>
    <w:rsid w:val="00B51FB4"/>
    <w:rsid w:val="00B53C91"/>
    <w:rsid w:val="00B54567"/>
    <w:rsid w:val="00B60592"/>
    <w:rsid w:val="00B629C2"/>
    <w:rsid w:val="00B62DCA"/>
    <w:rsid w:val="00B927EF"/>
    <w:rsid w:val="00B943E1"/>
    <w:rsid w:val="00BA0200"/>
    <w:rsid w:val="00BA1A8E"/>
    <w:rsid w:val="00BA708C"/>
    <w:rsid w:val="00BC2341"/>
    <w:rsid w:val="00BC3878"/>
    <w:rsid w:val="00BC5B85"/>
    <w:rsid w:val="00BD0329"/>
    <w:rsid w:val="00BD56EC"/>
    <w:rsid w:val="00BD7A8F"/>
    <w:rsid w:val="00BE0D23"/>
    <w:rsid w:val="00BE4B7F"/>
    <w:rsid w:val="00BE7399"/>
    <w:rsid w:val="00BF410C"/>
    <w:rsid w:val="00C00B0B"/>
    <w:rsid w:val="00C02BB4"/>
    <w:rsid w:val="00C02FBE"/>
    <w:rsid w:val="00C255B0"/>
    <w:rsid w:val="00C3689F"/>
    <w:rsid w:val="00C46B7E"/>
    <w:rsid w:val="00C50DE4"/>
    <w:rsid w:val="00C55A9E"/>
    <w:rsid w:val="00C60E38"/>
    <w:rsid w:val="00C6343D"/>
    <w:rsid w:val="00C65C03"/>
    <w:rsid w:val="00C70AC7"/>
    <w:rsid w:val="00C8245F"/>
    <w:rsid w:val="00C84F0F"/>
    <w:rsid w:val="00C91329"/>
    <w:rsid w:val="00C91545"/>
    <w:rsid w:val="00C918FB"/>
    <w:rsid w:val="00C97966"/>
    <w:rsid w:val="00CA195C"/>
    <w:rsid w:val="00CB0C8A"/>
    <w:rsid w:val="00CB1863"/>
    <w:rsid w:val="00CB1B6E"/>
    <w:rsid w:val="00CB65AC"/>
    <w:rsid w:val="00CC1EB6"/>
    <w:rsid w:val="00CC36C5"/>
    <w:rsid w:val="00CC4855"/>
    <w:rsid w:val="00CC5788"/>
    <w:rsid w:val="00CC67F3"/>
    <w:rsid w:val="00CD241E"/>
    <w:rsid w:val="00CE056F"/>
    <w:rsid w:val="00CE0AAC"/>
    <w:rsid w:val="00CE57C2"/>
    <w:rsid w:val="00CF06E6"/>
    <w:rsid w:val="00CF16B6"/>
    <w:rsid w:val="00D15C89"/>
    <w:rsid w:val="00D17A69"/>
    <w:rsid w:val="00D17DD0"/>
    <w:rsid w:val="00D2060D"/>
    <w:rsid w:val="00D2435E"/>
    <w:rsid w:val="00D31D5D"/>
    <w:rsid w:val="00D37D33"/>
    <w:rsid w:val="00D37E00"/>
    <w:rsid w:val="00D40000"/>
    <w:rsid w:val="00D41A89"/>
    <w:rsid w:val="00D42607"/>
    <w:rsid w:val="00D435D8"/>
    <w:rsid w:val="00D46260"/>
    <w:rsid w:val="00D52A34"/>
    <w:rsid w:val="00D55DF6"/>
    <w:rsid w:val="00D56FD8"/>
    <w:rsid w:val="00D6755D"/>
    <w:rsid w:val="00D73DA0"/>
    <w:rsid w:val="00D75527"/>
    <w:rsid w:val="00D75E85"/>
    <w:rsid w:val="00D90688"/>
    <w:rsid w:val="00D92F55"/>
    <w:rsid w:val="00DA0219"/>
    <w:rsid w:val="00DB1289"/>
    <w:rsid w:val="00DB41C3"/>
    <w:rsid w:val="00DC621A"/>
    <w:rsid w:val="00DD2593"/>
    <w:rsid w:val="00DD57E0"/>
    <w:rsid w:val="00DF3161"/>
    <w:rsid w:val="00E008A4"/>
    <w:rsid w:val="00E01BBB"/>
    <w:rsid w:val="00E07579"/>
    <w:rsid w:val="00E12650"/>
    <w:rsid w:val="00E15B55"/>
    <w:rsid w:val="00E1698F"/>
    <w:rsid w:val="00E20CE3"/>
    <w:rsid w:val="00E272C7"/>
    <w:rsid w:val="00E32A33"/>
    <w:rsid w:val="00E3340A"/>
    <w:rsid w:val="00E559F9"/>
    <w:rsid w:val="00E71570"/>
    <w:rsid w:val="00E723D2"/>
    <w:rsid w:val="00E77ACE"/>
    <w:rsid w:val="00E8169D"/>
    <w:rsid w:val="00E85D6E"/>
    <w:rsid w:val="00E919F6"/>
    <w:rsid w:val="00E9611B"/>
    <w:rsid w:val="00E97EC6"/>
    <w:rsid w:val="00EA502C"/>
    <w:rsid w:val="00EA5840"/>
    <w:rsid w:val="00EB39A1"/>
    <w:rsid w:val="00EB6519"/>
    <w:rsid w:val="00EB7D40"/>
    <w:rsid w:val="00EB7DBD"/>
    <w:rsid w:val="00ED26B1"/>
    <w:rsid w:val="00ED41AA"/>
    <w:rsid w:val="00EE2B84"/>
    <w:rsid w:val="00EE6192"/>
    <w:rsid w:val="00EE6D74"/>
    <w:rsid w:val="00EF1BC2"/>
    <w:rsid w:val="00EF435F"/>
    <w:rsid w:val="00EF70C8"/>
    <w:rsid w:val="00F01C2D"/>
    <w:rsid w:val="00F02259"/>
    <w:rsid w:val="00F041C3"/>
    <w:rsid w:val="00F04B29"/>
    <w:rsid w:val="00F06FF1"/>
    <w:rsid w:val="00F141E3"/>
    <w:rsid w:val="00F3124A"/>
    <w:rsid w:val="00F31324"/>
    <w:rsid w:val="00F376B8"/>
    <w:rsid w:val="00F37D2A"/>
    <w:rsid w:val="00F42860"/>
    <w:rsid w:val="00F51EBF"/>
    <w:rsid w:val="00F57584"/>
    <w:rsid w:val="00F643C6"/>
    <w:rsid w:val="00F64B33"/>
    <w:rsid w:val="00F67979"/>
    <w:rsid w:val="00F70DE2"/>
    <w:rsid w:val="00F72808"/>
    <w:rsid w:val="00F76077"/>
    <w:rsid w:val="00F85145"/>
    <w:rsid w:val="00F93E90"/>
    <w:rsid w:val="00FA7F4C"/>
    <w:rsid w:val="00FB374A"/>
    <w:rsid w:val="00FB6D75"/>
    <w:rsid w:val="00FB7E14"/>
    <w:rsid w:val="00FC0299"/>
    <w:rsid w:val="00FC1B3E"/>
    <w:rsid w:val="00FC3F95"/>
    <w:rsid w:val="00FC4517"/>
    <w:rsid w:val="00FD2FAB"/>
    <w:rsid w:val="00FD5B27"/>
    <w:rsid w:val="00FD7841"/>
    <w:rsid w:val="00FE1A39"/>
    <w:rsid w:val="00FF2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B6"/>
    <w:pPr>
      <w:jc w:val="both"/>
    </w:pPr>
    <w:rPr>
      <w:sz w:val="24"/>
      <w:szCs w:val="24"/>
      <w:lang w:val="en-GB"/>
    </w:rPr>
  </w:style>
  <w:style w:type="paragraph" w:styleId="Heading1">
    <w:name w:val="heading 1"/>
    <w:basedOn w:val="Normal"/>
    <w:next w:val="Normal"/>
    <w:link w:val="Heading1Char"/>
    <w:autoRedefine/>
    <w:uiPriority w:val="9"/>
    <w:qFormat/>
    <w:rsid w:val="00EE6D74"/>
    <w:pPr>
      <w:keepNext/>
      <w:numPr>
        <w:numId w:val="2"/>
      </w:numPr>
      <w:tabs>
        <w:tab w:val="left" w:pos="851"/>
      </w:tabs>
      <w:spacing w:before="120" w:after="120"/>
      <w:ind w:left="0" w:firstLine="0"/>
      <w:outlineLvl w:val="0"/>
    </w:pPr>
    <w:rPr>
      <w:b/>
      <w:bCs/>
      <w:kern w:val="32"/>
      <w:szCs w:val="32"/>
    </w:rPr>
  </w:style>
  <w:style w:type="paragraph" w:styleId="Heading2">
    <w:name w:val="heading 2"/>
    <w:basedOn w:val="Normal"/>
    <w:next w:val="Normal"/>
    <w:link w:val="Heading2Char"/>
    <w:autoRedefine/>
    <w:uiPriority w:val="9"/>
    <w:unhideWhenUsed/>
    <w:qFormat/>
    <w:rsid w:val="00EE6D74"/>
    <w:pPr>
      <w:keepNext/>
      <w:numPr>
        <w:ilvl w:val="1"/>
        <w:numId w:val="2"/>
      </w:numPr>
      <w:tabs>
        <w:tab w:val="left" w:pos="851"/>
      </w:tabs>
      <w:spacing w:before="120" w:after="120"/>
      <w:ind w:left="851" w:hanging="851"/>
      <w:outlineLvl w:val="1"/>
    </w:pPr>
    <w:rPr>
      <w:b/>
      <w:bCs/>
      <w:i/>
      <w:iCs/>
      <w:szCs w:val="28"/>
    </w:rPr>
  </w:style>
  <w:style w:type="paragraph" w:styleId="Heading3">
    <w:name w:val="heading 3"/>
    <w:basedOn w:val="Normal"/>
    <w:next w:val="Normal"/>
    <w:link w:val="Heading3Char"/>
    <w:autoRedefine/>
    <w:uiPriority w:val="9"/>
    <w:unhideWhenUsed/>
    <w:qFormat/>
    <w:rsid w:val="00EE6D74"/>
    <w:pPr>
      <w:keepNext/>
      <w:numPr>
        <w:ilvl w:val="2"/>
        <w:numId w:val="2"/>
      </w:numPr>
      <w:tabs>
        <w:tab w:val="left" w:pos="851"/>
      </w:tabs>
      <w:spacing w:before="120" w:after="120"/>
      <w:ind w:left="851" w:hanging="851"/>
      <w:outlineLvl w:val="2"/>
    </w:pPr>
    <w:rPr>
      <w:bCs/>
      <w:i/>
      <w:szCs w:val="26"/>
      <w:u w:val="single"/>
    </w:rPr>
  </w:style>
  <w:style w:type="paragraph" w:styleId="Heading4">
    <w:name w:val="heading 4"/>
    <w:aliases w:val="Annexe title numbered"/>
    <w:basedOn w:val="Normal"/>
    <w:next w:val="Normal"/>
    <w:link w:val="Heading4Char"/>
    <w:autoRedefine/>
    <w:uiPriority w:val="9"/>
    <w:unhideWhenUsed/>
    <w:qFormat/>
    <w:rsid w:val="00696678"/>
    <w:pPr>
      <w:keepNext/>
      <w:numPr>
        <w:numId w:val="6"/>
      </w:numPr>
      <w:tabs>
        <w:tab w:val="left" w:pos="1418"/>
      </w:tabs>
      <w:spacing w:before="120" w:after="120"/>
      <w:ind w:left="1418" w:hanging="1418"/>
      <w:outlineLvl w:val="3"/>
    </w:pPr>
    <w:rPr>
      <w:b/>
      <w:bCs/>
      <w:szCs w:val="28"/>
    </w:rPr>
  </w:style>
  <w:style w:type="paragraph" w:styleId="Heading5">
    <w:name w:val="heading 5"/>
    <w:basedOn w:val="Headingnotnumbered"/>
    <w:next w:val="Normal"/>
    <w:link w:val="Heading5Char"/>
    <w:uiPriority w:val="9"/>
    <w:unhideWhenUsed/>
    <w:qFormat/>
    <w:rsid w:val="00EE6D74"/>
    <w:pPr>
      <w:spacing w:before="120" w:after="120"/>
      <w:outlineLvl w:val="4"/>
    </w:pPr>
  </w:style>
  <w:style w:type="paragraph" w:styleId="Heading6">
    <w:name w:val="heading 6"/>
    <w:basedOn w:val="Normal"/>
    <w:next w:val="Normal"/>
    <w:link w:val="Heading6Char"/>
    <w:uiPriority w:val="9"/>
    <w:semiHidden/>
    <w:unhideWhenUsed/>
    <w:qFormat/>
    <w:rsid w:val="006C71B6"/>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C71B6"/>
    <w:pPr>
      <w:numPr>
        <w:ilvl w:val="6"/>
        <w:numId w:val="2"/>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6C71B6"/>
    <w:pPr>
      <w:numPr>
        <w:ilvl w:val="7"/>
        <w:numId w:val="2"/>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6C71B6"/>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C621A"/>
    <w:pPr>
      <w:tabs>
        <w:tab w:val="center" w:pos="4536"/>
        <w:tab w:val="right" w:pos="9072"/>
      </w:tabs>
      <w:jc w:val="center"/>
    </w:pPr>
    <w:rPr>
      <w:sz w:val="20"/>
      <w:szCs w:val="20"/>
    </w:rPr>
  </w:style>
  <w:style w:type="paragraph" w:styleId="Header">
    <w:name w:val="header"/>
    <w:basedOn w:val="Normal"/>
    <w:rsid w:val="00906C68"/>
    <w:pPr>
      <w:tabs>
        <w:tab w:val="center" w:pos="4536"/>
        <w:tab w:val="right" w:pos="9072"/>
      </w:tabs>
    </w:pPr>
    <w:rPr>
      <w:i/>
      <w:sz w:val="20"/>
      <w:szCs w:val="20"/>
      <w:lang w:val="fr-FR"/>
    </w:rPr>
  </w:style>
  <w:style w:type="table" w:styleId="TableGrid">
    <w:name w:val="Table Grid"/>
    <w:basedOn w:val="TableNormal"/>
    <w:uiPriority w:val="59"/>
    <w:rsid w:val="00AD04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C621A"/>
    <w:rPr>
      <w:lang w:val="en-GB"/>
    </w:rPr>
  </w:style>
  <w:style w:type="paragraph" w:styleId="FootnoteText">
    <w:name w:val="footnote text"/>
    <w:basedOn w:val="Normal"/>
    <w:link w:val="FootnoteTextChar"/>
    <w:uiPriority w:val="99"/>
    <w:unhideWhenUsed/>
    <w:rsid w:val="00CC1EB6"/>
    <w:pPr>
      <w:ind w:left="284" w:hanging="284"/>
    </w:pPr>
    <w:rPr>
      <w:sz w:val="20"/>
      <w:szCs w:val="20"/>
    </w:rPr>
  </w:style>
  <w:style w:type="character" w:customStyle="1" w:styleId="FootnoteTextChar">
    <w:name w:val="Footnote Text Char"/>
    <w:basedOn w:val="DefaultParagraphFont"/>
    <w:link w:val="FootnoteText"/>
    <w:uiPriority w:val="99"/>
    <w:rsid w:val="00CC1EB6"/>
    <w:rPr>
      <w:lang w:val="en-GB"/>
    </w:rPr>
  </w:style>
  <w:style w:type="character" w:styleId="FootnoteReference">
    <w:name w:val="footnote reference"/>
    <w:basedOn w:val="DefaultParagraphFont"/>
    <w:uiPriority w:val="99"/>
    <w:semiHidden/>
    <w:unhideWhenUsed/>
    <w:rsid w:val="00D92F55"/>
    <w:rPr>
      <w:vertAlign w:val="superscript"/>
    </w:rPr>
  </w:style>
  <w:style w:type="character" w:styleId="Hyperlink">
    <w:name w:val="Hyperlink"/>
    <w:basedOn w:val="DefaultParagraphFont"/>
    <w:uiPriority w:val="99"/>
    <w:unhideWhenUsed/>
    <w:rsid w:val="00D92F55"/>
    <w:rPr>
      <w:color w:val="0000FF"/>
      <w:u w:val="single"/>
    </w:rPr>
  </w:style>
  <w:style w:type="character" w:customStyle="1" w:styleId="Heading1Char">
    <w:name w:val="Heading 1 Char"/>
    <w:basedOn w:val="DefaultParagraphFont"/>
    <w:link w:val="Heading1"/>
    <w:uiPriority w:val="9"/>
    <w:rsid w:val="00EE6D74"/>
    <w:rPr>
      <w:b/>
      <w:bCs/>
      <w:kern w:val="32"/>
      <w:sz w:val="24"/>
      <w:szCs w:val="32"/>
      <w:lang w:val="en-GB"/>
    </w:rPr>
  </w:style>
  <w:style w:type="paragraph" w:styleId="Title">
    <w:name w:val="Title"/>
    <w:aliases w:val="Heading Level 2"/>
    <w:basedOn w:val="Normal"/>
    <w:next w:val="Normal"/>
    <w:link w:val="TitleChar"/>
    <w:uiPriority w:val="10"/>
    <w:rsid w:val="00BE4B7F"/>
    <w:pPr>
      <w:numPr>
        <w:numId w:val="1"/>
      </w:numPr>
      <w:spacing w:before="200" w:after="200"/>
      <w:ind w:left="567" w:hanging="567"/>
      <w:outlineLvl w:val="0"/>
    </w:pPr>
    <w:rPr>
      <w:b/>
      <w:bCs/>
      <w:i/>
      <w:kern w:val="28"/>
      <w:szCs w:val="32"/>
    </w:rPr>
  </w:style>
  <w:style w:type="character" w:customStyle="1" w:styleId="TitleChar">
    <w:name w:val="Title Char"/>
    <w:aliases w:val="Heading Level 2 Char"/>
    <w:basedOn w:val="DefaultParagraphFont"/>
    <w:link w:val="Title"/>
    <w:uiPriority w:val="10"/>
    <w:rsid w:val="00BE4B7F"/>
    <w:rPr>
      <w:b/>
      <w:bCs/>
      <w:i/>
      <w:kern w:val="28"/>
      <w:sz w:val="24"/>
      <w:szCs w:val="32"/>
      <w:lang w:val="en-GB"/>
    </w:rPr>
  </w:style>
  <w:style w:type="character" w:customStyle="1" w:styleId="Heading2Char">
    <w:name w:val="Heading 2 Char"/>
    <w:basedOn w:val="DefaultParagraphFont"/>
    <w:link w:val="Heading2"/>
    <w:uiPriority w:val="9"/>
    <w:rsid w:val="00EE6D74"/>
    <w:rPr>
      <w:b/>
      <w:bCs/>
      <w:i/>
      <w:iCs/>
      <w:sz w:val="24"/>
      <w:szCs w:val="28"/>
      <w:lang w:val="en-GB"/>
    </w:rPr>
  </w:style>
  <w:style w:type="character" w:customStyle="1" w:styleId="Heading3Char">
    <w:name w:val="Heading 3 Char"/>
    <w:basedOn w:val="DefaultParagraphFont"/>
    <w:link w:val="Heading3"/>
    <w:uiPriority w:val="9"/>
    <w:rsid w:val="00EE6D74"/>
    <w:rPr>
      <w:bCs/>
      <w:i/>
      <w:sz w:val="24"/>
      <w:szCs w:val="26"/>
      <w:u w:val="single"/>
      <w:lang w:val="en-GB"/>
    </w:rPr>
  </w:style>
  <w:style w:type="character" w:customStyle="1" w:styleId="Heading4Char">
    <w:name w:val="Heading 4 Char"/>
    <w:aliases w:val="Annexe title numbered Char"/>
    <w:basedOn w:val="DefaultParagraphFont"/>
    <w:link w:val="Heading4"/>
    <w:uiPriority w:val="9"/>
    <w:rsid w:val="00696678"/>
    <w:rPr>
      <w:b/>
      <w:bCs/>
      <w:sz w:val="24"/>
      <w:szCs w:val="28"/>
      <w:lang w:val="en-GB"/>
    </w:rPr>
  </w:style>
  <w:style w:type="character" w:customStyle="1" w:styleId="Heading5Char">
    <w:name w:val="Heading 5 Char"/>
    <w:basedOn w:val="DefaultParagraphFont"/>
    <w:link w:val="Heading5"/>
    <w:uiPriority w:val="9"/>
    <w:rsid w:val="00EE6D74"/>
    <w:rPr>
      <w:rFonts w:ascii="Times New Roman Bold" w:hAnsi="Times New Roman Bold"/>
      <w:b/>
      <w:sz w:val="24"/>
      <w:szCs w:val="24"/>
      <w:lang w:val="en-GB"/>
    </w:rPr>
  </w:style>
  <w:style w:type="character" w:customStyle="1" w:styleId="Heading6Char">
    <w:name w:val="Heading 6 Char"/>
    <w:basedOn w:val="DefaultParagraphFont"/>
    <w:link w:val="Heading6"/>
    <w:uiPriority w:val="9"/>
    <w:semiHidden/>
    <w:rsid w:val="006C71B6"/>
    <w:rPr>
      <w:rFonts w:ascii="Calibri" w:hAnsi="Calibri"/>
      <w:b/>
      <w:bCs/>
      <w:sz w:val="22"/>
      <w:szCs w:val="22"/>
      <w:lang w:val="en-GB"/>
    </w:rPr>
  </w:style>
  <w:style w:type="character" w:customStyle="1" w:styleId="Heading7Char">
    <w:name w:val="Heading 7 Char"/>
    <w:basedOn w:val="DefaultParagraphFont"/>
    <w:link w:val="Heading7"/>
    <w:uiPriority w:val="9"/>
    <w:semiHidden/>
    <w:rsid w:val="006C71B6"/>
    <w:rPr>
      <w:rFonts w:ascii="Calibri" w:hAnsi="Calibri"/>
      <w:sz w:val="24"/>
      <w:szCs w:val="24"/>
      <w:lang w:val="en-GB"/>
    </w:rPr>
  </w:style>
  <w:style w:type="character" w:customStyle="1" w:styleId="Heading8Char">
    <w:name w:val="Heading 8 Char"/>
    <w:basedOn w:val="DefaultParagraphFont"/>
    <w:link w:val="Heading8"/>
    <w:uiPriority w:val="9"/>
    <w:semiHidden/>
    <w:rsid w:val="006C71B6"/>
    <w:rPr>
      <w:rFonts w:ascii="Calibri" w:hAnsi="Calibri"/>
      <w:i/>
      <w:iCs/>
      <w:sz w:val="24"/>
      <w:szCs w:val="24"/>
      <w:lang w:val="en-GB"/>
    </w:rPr>
  </w:style>
  <w:style w:type="character" w:customStyle="1" w:styleId="Heading9Char">
    <w:name w:val="Heading 9 Char"/>
    <w:basedOn w:val="DefaultParagraphFont"/>
    <w:link w:val="Heading9"/>
    <w:uiPriority w:val="9"/>
    <w:semiHidden/>
    <w:rsid w:val="006C71B6"/>
    <w:rPr>
      <w:rFonts w:ascii="Cambria" w:hAnsi="Cambria"/>
      <w:sz w:val="22"/>
      <w:szCs w:val="22"/>
      <w:lang w:val="en-GB"/>
    </w:rPr>
  </w:style>
  <w:style w:type="paragraph" w:styleId="TOCHeading">
    <w:name w:val="TOC Heading"/>
    <w:basedOn w:val="Heading1"/>
    <w:next w:val="Normal"/>
    <w:uiPriority w:val="39"/>
    <w:semiHidden/>
    <w:unhideWhenUsed/>
    <w:qFormat/>
    <w:rsid w:val="005034CF"/>
    <w:pPr>
      <w:keepLines/>
      <w:numPr>
        <w:numId w:val="0"/>
      </w:numPr>
      <w:spacing w:before="480" w:after="0" w:line="276" w:lineRule="auto"/>
      <w:outlineLvl w:val="9"/>
    </w:pPr>
    <w:rPr>
      <w:rFonts w:ascii="Cambria" w:hAnsi="Cambria"/>
      <w:color w:val="365F91"/>
      <w:kern w:val="0"/>
      <w:sz w:val="28"/>
      <w:szCs w:val="28"/>
      <w:lang w:val="en-US"/>
    </w:rPr>
  </w:style>
  <w:style w:type="paragraph" w:styleId="TOC1">
    <w:name w:val="toc 1"/>
    <w:basedOn w:val="Normal"/>
    <w:next w:val="Normal"/>
    <w:autoRedefine/>
    <w:uiPriority w:val="39"/>
    <w:unhideWhenUsed/>
    <w:rsid w:val="00033528"/>
    <w:pPr>
      <w:tabs>
        <w:tab w:val="left" w:pos="480"/>
        <w:tab w:val="right" w:leader="dot" w:pos="9016"/>
      </w:tabs>
    </w:pPr>
    <w:rPr>
      <w:b/>
    </w:rPr>
  </w:style>
  <w:style w:type="paragraph" w:styleId="TOC2">
    <w:name w:val="toc 2"/>
    <w:basedOn w:val="Normal"/>
    <w:next w:val="Normal"/>
    <w:autoRedefine/>
    <w:uiPriority w:val="39"/>
    <w:unhideWhenUsed/>
    <w:rsid w:val="00731957"/>
    <w:pPr>
      <w:tabs>
        <w:tab w:val="left" w:pos="1134"/>
        <w:tab w:val="right" w:leader="dot" w:pos="9016"/>
      </w:tabs>
    </w:pPr>
  </w:style>
  <w:style w:type="paragraph" w:styleId="TOC3">
    <w:name w:val="toc 3"/>
    <w:basedOn w:val="Normal"/>
    <w:next w:val="Normal"/>
    <w:autoRedefine/>
    <w:uiPriority w:val="39"/>
    <w:unhideWhenUsed/>
    <w:rsid w:val="00134D98"/>
    <w:rPr>
      <w:i/>
    </w:rPr>
  </w:style>
  <w:style w:type="paragraph" w:customStyle="1" w:styleId="Indentromannumber">
    <w:name w:val="Indent roman number"/>
    <w:basedOn w:val="Normal"/>
    <w:autoRedefine/>
    <w:qFormat/>
    <w:rsid w:val="00D90688"/>
    <w:pPr>
      <w:numPr>
        <w:numId w:val="8"/>
      </w:numPr>
      <w:tabs>
        <w:tab w:val="left" w:pos="851"/>
      </w:tabs>
      <w:ind w:left="851" w:hanging="284"/>
    </w:pPr>
  </w:style>
  <w:style w:type="paragraph" w:styleId="Caption">
    <w:name w:val="caption"/>
    <w:basedOn w:val="Normal"/>
    <w:next w:val="Normal"/>
    <w:autoRedefine/>
    <w:uiPriority w:val="35"/>
    <w:unhideWhenUsed/>
    <w:qFormat/>
    <w:rsid w:val="005D1077"/>
    <w:pPr>
      <w:spacing w:after="120"/>
    </w:pPr>
    <w:rPr>
      <w:b/>
      <w:bCs/>
      <w:sz w:val="22"/>
      <w:szCs w:val="20"/>
    </w:rPr>
  </w:style>
  <w:style w:type="character" w:customStyle="1" w:styleId="StyleFootnoteReference10ptBold">
    <w:name w:val="Style Footnote Reference + 10 pt Bold"/>
    <w:basedOn w:val="FootnoteReference"/>
    <w:rsid w:val="00F04B29"/>
    <w:rPr>
      <w:b/>
      <w:bCs/>
      <w:sz w:val="20"/>
    </w:rPr>
  </w:style>
  <w:style w:type="paragraph" w:styleId="TOC4">
    <w:name w:val="toc 4"/>
    <w:basedOn w:val="Normal"/>
    <w:next w:val="Normal"/>
    <w:autoRedefine/>
    <w:uiPriority w:val="39"/>
    <w:unhideWhenUsed/>
    <w:rsid w:val="00936D1A"/>
    <w:rPr>
      <w:b/>
    </w:rPr>
  </w:style>
  <w:style w:type="paragraph" w:customStyle="1" w:styleId="CoverTitle">
    <w:name w:val="Cover Title"/>
    <w:autoRedefine/>
    <w:rsid w:val="001E6659"/>
    <w:pPr>
      <w:tabs>
        <w:tab w:val="left" w:pos="709"/>
        <w:tab w:val="left" w:pos="1417"/>
        <w:tab w:val="left" w:pos="2126"/>
        <w:tab w:val="left" w:pos="2835"/>
        <w:tab w:val="left" w:pos="3543"/>
        <w:tab w:val="left" w:pos="4252"/>
        <w:tab w:val="left" w:pos="4961"/>
        <w:tab w:val="left" w:pos="5669"/>
        <w:tab w:val="left" w:pos="6378"/>
        <w:tab w:val="left" w:pos="7087"/>
      </w:tabs>
      <w:outlineLvl w:val="0"/>
    </w:pPr>
    <w:rPr>
      <w:rFonts w:ascii="Candara Bold" w:eastAsia="ヒラギノ角ゴ Pro W3" w:hAnsi="Candara Bold"/>
      <w:color w:val="365F91"/>
      <w:sz w:val="40"/>
      <w:szCs w:val="40"/>
      <w:lang w:eastAsia="fr-FR"/>
    </w:rPr>
  </w:style>
  <w:style w:type="paragraph" w:styleId="BalloonText">
    <w:name w:val="Balloon Text"/>
    <w:basedOn w:val="Normal"/>
    <w:link w:val="BalloonTextChar"/>
    <w:uiPriority w:val="99"/>
    <w:semiHidden/>
    <w:unhideWhenUsed/>
    <w:rsid w:val="00C65C03"/>
    <w:rPr>
      <w:rFonts w:ascii="Tahoma" w:hAnsi="Tahoma" w:cs="Tahoma"/>
      <w:sz w:val="16"/>
      <w:szCs w:val="16"/>
    </w:rPr>
  </w:style>
  <w:style w:type="character" w:customStyle="1" w:styleId="BalloonTextChar">
    <w:name w:val="Balloon Text Char"/>
    <w:basedOn w:val="DefaultParagraphFont"/>
    <w:link w:val="BalloonText"/>
    <w:uiPriority w:val="99"/>
    <w:semiHidden/>
    <w:rsid w:val="00C65C03"/>
    <w:rPr>
      <w:rFonts w:ascii="Tahoma" w:hAnsi="Tahoma" w:cs="Tahoma"/>
      <w:sz w:val="16"/>
      <w:szCs w:val="16"/>
      <w:lang w:val="en-GB"/>
    </w:rPr>
  </w:style>
  <w:style w:type="paragraph" w:styleId="TableofAuthorities">
    <w:name w:val="table of authorities"/>
    <w:basedOn w:val="Normal"/>
    <w:next w:val="Normal"/>
    <w:uiPriority w:val="99"/>
    <w:unhideWhenUsed/>
    <w:rsid w:val="00CC36C5"/>
    <w:pPr>
      <w:ind w:left="240" w:hanging="240"/>
    </w:pPr>
  </w:style>
  <w:style w:type="paragraph" w:styleId="Subtitle">
    <w:name w:val="Subtitle"/>
    <w:basedOn w:val="Normal"/>
    <w:next w:val="Normal"/>
    <w:link w:val="SubtitleChar"/>
    <w:uiPriority w:val="11"/>
    <w:qFormat/>
    <w:rsid w:val="00CC36C5"/>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C36C5"/>
    <w:rPr>
      <w:rFonts w:ascii="Cambria" w:eastAsia="Times New Roman" w:hAnsi="Cambria" w:cs="Times New Roman"/>
      <w:sz w:val="24"/>
      <w:szCs w:val="24"/>
      <w:lang w:val="en-GB"/>
    </w:rPr>
  </w:style>
  <w:style w:type="character" w:styleId="SubtleEmphasis">
    <w:name w:val="Subtle Emphasis"/>
    <w:basedOn w:val="DefaultParagraphFont"/>
    <w:uiPriority w:val="19"/>
    <w:qFormat/>
    <w:rsid w:val="00CC36C5"/>
    <w:rPr>
      <w:i/>
      <w:iCs/>
      <w:color w:val="808080"/>
    </w:rPr>
  </w:style>
  <w:style w:type="paragraph" w:styleId="TableofFigures">
    <w:name w:val="table of figures"/>
    <w:basedOn w:val="Normal"/>
    <w:next w:val="Normal"/>
    <w:uiPriority w:val="99"/>
    <w:unhideWhenUsed/>
    <w:rsid w:val="00CC36C5"/>
  </w:style>
  <w:style w:type="paragraph" w:styleId="TOAHeading">
    <w:name w:val="toa heading"/>
    <w:basedOn w:val="Normal"/>
    <w:next w:val="Normal"/>
    <w:uiPriority w:val="99"/>
    <w:unhideWhenUsed/>
    <w:rsid w:val="00CC36C5"/>
    <w:pPr>
      <w:spacing w:before="120"/>
    </w:pPr>
    <w:rPr>
      <w:rFonts w:ascii="Cambria" w:hAnsi="Cambria"/>
      <w:b/>
      <w:bCs/>
    </w:rPr>
  </w:style>
  <w:style w:type="character" w:styleId="CommentReference">
    <w:name w:val="annotation reference"/>
    <w:basedOn w:val="DefaultParagraphFont"/>
    <w:uiPriority w:val="99"/>
    <w:semiHidden/>
    <w:unhideWhenUsed/>
    <w:rsid w:val="00006E16"/>
    <w:rPr>
      <w:sz w:val="16"/>
      <w:szCs w:val="16"/>
    </w:rPr>
  </w:style>
  <w:style w:type="paragraph" w:styleId="CommentText">
    <w:name w:val="annotation text"/>
    <w:basedOn w:val="Normal"/>
    <w:link w:val="CommentTextChar"/>
    <w:uiPriority w:val="99"/>
    <w:semiHidden/>
    <w:unhideWhenUsed/>
    <w:rsid w:val="00006E16"/>
    <w:rPr>
      <w:sz w:val="20"/>
      <w:szCs w:val="20"/>
    </w:rPr>
  </w:style>
  <w:style w:type="character" w:customStyle="1" w:styleId="CommentTextChar">
    <w:name w:val="Comment Text Char"/>
    <w:basedOn w:val="DefaultParagraphFont"/>
    <w:link w:val="CommentText"/>
    <w:uiPriority w:val="99"/>
    <w:semiHidden/>
    <w:rsid w:val="00006E16"/>
    <w:rPr>
      <w:lang w:val="en-GB"/>
    </w:rPr>
  </w:style>
  <w:style w:type="paragraph" w:customStyle="1" w:styleId="Headingnotregistered">
    <w:name w:val="Heading not registered"/>
    <w:basedOn w:val="Normal"/>
    <w:next w:val="Normal"/>
    <w:autoRedefine/>
    <w:rsid w:val="006E5D66"/>
    <w:rPr>
      <w:b/>
      <w:bCs/>
      <w:iCs/>
      <w:szCs w:val="20"/>
    </w:rPr>
  </w:style>
  <w:style w:type="paragraph" w:customStyle="1" w:styleId="ParagraphOED">
    <w:name w:val="Paragraph  OED"/>
    <w:basedOn w:val="Normal"/>
    <w:next w:val="Normal"/>
    <w:autoRedefine/>
    <w:qFormat/>
    <w:rsid w:val="003652DD"/>
    <w:pPr>
      <w:numPr>
        <w:numId w:val="4"/>
      </w:numPr>
      <w:tabs>
        <w:tab w:val="left" w:pos="851"/>
      </w:tabs>
      <w:ind w:left="0" w:firstLine="0"/>
    </w:pPr>
  </w:style>
  <w:style w:type="paragraph" w:customStyle="1" w:styleId="RecommandationExecSumm">
    <w:name w:val="Recommandation Exec Summ"/>
    <w:basedOn w:val="Normal"/>
    <w:next w:val="Normal"/>
    <w:autoRedefine/>
    <w:rsid w:val="001C0F10"/>
    <w:pPr>
      <w:keepNext/>
      <w:numPr>
        <w:numId w:val="9"/>
      </w:numPr>
      <w:tabs>
        <w:tab w:val="left" w:pos="2268"/>
      </w:tabs>
      <w:ind w:left="2268" w:hanging="2268"/>
      <w:outlineLvl w:val="2"/>
    </w:pPr>
    <w:rPr>
      <w:rFonts w:eastAsia="PMingLiU"/>
      <w:b/>
      <w:bCs/>
      <w:sz w:val="22"/>
      <w:lang w:eastAsia="zh-TW"/>
    </w:rPr>
  </w:style>
  <w:style w:type="paragraph" w:customStyle="1" w:styleId="Recommandationnumbered">
    <w:name w:val="Recommandation numbered"/>
    <w:basedOn w:val="Normal"/>
    <w:next w:val="Normal"/>
    <w:autoRedefine/>
    <w:qFormat/>
    <w:rsid w:val="00672349"/>
    <w:pPr>
      <w:numPr>
        <w:numId w:val="10"/>
      </w:numPr>
      <w:tabs>
        <w:tab w:val="left" w:pos="1134"/>
      </w:tabs>
      <w:ind w:left="1134" w:hanging="1134"/>
    </w:pPr>
    <w:rPr>
      <w:b/>
    </w:rPr>
  </w:style>
  <w:style w:type="paragraph" w:customStyle="1" w:styleId="ParagraphOEDExecSumm">
    <w:name w:val="Paragraph OED Exec Summ"/>
    <w:basedOn w:val="Normal"/>
    <w:next w:val="Normal"/>
    <w:autoRedefine/>
    <w:qFormat/>
    <w:rsid w:val="00D55DF6"/>
    <w:pPr>
      <w:numPr>
        <w:numId w:val="3"/>
      </w:numPr>
      <w:tabs>
        <w:tab w:val="left" w:pos="851"/>
      </w:tabs>
      <w:ind w:left="0" w:firstLine="0"/>
    </w:pPr>
  </w:style>
  <w:style w:type="paragraph" w:customStyle="1" w:styleId="Acronyms">
    <w:name w:val="Acronyms"/>
    <w:basedOn w:val="Normal"/>
    <w:autoRedefine/>
    <w:qFormat/>
    <w:rsid w:val="00A8315B"/>
    <w:pPr>
      <w:tabs>
        <w:tab w:val="left" w:pos="1701"/>
      </w:tabs>
    </w:pPr>
  </w:style>
  <w:style w:type="paragraph" w:customStyle="1" w:styleId="Coversubtitle">
    <w:name w:val="Cover sub title"/>
    <w:basedOn w:val="CoverTitle"/>
    <w:rsid w:val="00391AA3"/>
    <w:rPr>
      <w:i/>
      <w:sz w:val="28"/>
      <w:szCs w:val="28"/>
    </w:rPr>
  </w:style>
  <w:style w:type="paragraph" w:customStyle="1" w:styleId="Noteitalic">
    <w:name w:val="Note italic"/>
    <w:basedOn w:val="Normal"/>
    <w:autoRedefine/>
    <w:qFormat/>
    <w:rsid w:val="00DD2593"/>
    <w:rPr>
      <w:i/>
      <w:iCs/>
      <w:sz w:val="20"/>
      <w:szCs w:val="20"/>
    </w:rPr>
  </w:style>
  <w:style w:type="paragraph" w:customStyle="1" w:styleId="TableofContents">
    <w:name w:val="Table of Contents"/>
    <w:basedOn w:val="Normal"/>
    <w:next w:val="Normal"/>
    <w:autoRedefine/>
    <w:qFormat/>
    <w:rsid w:val="00DD2593"/>
    <w:pPr>
      <w:jc w:val="center"/>
    </w:pPr>
    <w:rPr>
      <w:b/>
      <w:sz w:val="28"/>
    </w:rPr>
  </w:style>
  <w:style w:type="paragraph" w:customStyle="1" w:styleId="Indentbullet">
    <w:name w:val="Indent bullet"/>
    <w:basedOn w:val="Normal"/>
    <w:link w:val="IndentbulletChar"/>
    <w:autoRedefine/>
    <w:uiPriority w:val="99"/>
    <w:qFormat/>
    <w:rsid w:val="00B51FB4"/>
    <w:pPr>
      <w:numPr>
        <w:numId w:val="5"/>
      </w:numPr>
      <w:tabs>
        <w:tab w:val="left" w:pos="851"/>
      </w:tabs>
      <w:ind w:left="851" w:hanging="284"/>
    </w:pPr>
  </w:style>
  <w:style w:type="paragraph" w:customStyle="1" w:styleId="Headingnotnumbered">
    <w:name w:val="Heading not numbered"/>
    <w:basedOn w:val="Normal"/>
    <w:next w:val="Normal"/>
    <w:autoRedefine/>
    <w:qFormat/>
    <w:rsid w:val="006E5D66"/>
    <w:rPr>
      <w:rFonts w:ascii="Times New Roman Bold" w:hAnsi="Times New Roman Bold"/>
      <w:b/>
    </w:rPr>
  </w:style>
  <w:style w:type="paragraph" w:customStyle="1" w:styleId="Headingfont10Italic">
    <w:name w:val="Heading font 10 Italic"/>
    <w:basedOn w:val="Normal"/>
    <w:next w:val="Normal"/>
    <w:autoRedefine/>
    <w:qFormat/>
    <w:rsid w:val="006E5D66"/>
    <w:rPr>
      <w:b/>
      <w:i/>
      <w:sz w:val="20"/>
    </w:rPr>
  </w:style>
  <w:style w:type="paragraph" w:customStyle="1" w:styleId="Heading2notnumbered">
    <w:name w:val="Heading 2 not numbered"/>
    <w:basedOn w:val="Normal"/>
    <w:next w:val="Normal"/>
    <w:autoRedefine/>
    <w:qFormat/>
    <w:rsid w:val="00F02259"/>
    <w:rPr>
      <w:b/>
      <w:i/>
    </w:rPr>
  </w:style>
  <w:style w:type="paragraph" w:customStyle="1" w:styleId="Indentletter">
    <w:name w:val="Indent letter"/>
    <w:basedOn w:val="Normal"/>
    <w:next w:val="Normal"/>
    <w:autoRedefine/>
    <w:qFormat/>
    <w:rsid w:val="00B51FB4"/>
    <w:pPr>
      <w:numPr>
        <w:numId w:val="7"/>
      </w:numPr>
      <w:tabs>
        <w:tab w:val="left" w:pos="851"/>
      </w:tabs>
      <w:ind w:left="851" w:hanging="284"/>
    </w:pPr>
  </w:style>
  <w:style w:type="character" w:customStyle="1" w:styleId="Note">
    <w:name w:val="Note"/>
    <w:basedOn w:val="DefaultParagraphFont"/>
    <w:rsid w:val="00142950"/>
    <w:rPr>
      <w:rFonts w:ascii="Times New Roman" w:hAnsi="Times New Roman"/>
      <w:iCs/>
      <w:color w:val="auto"/>
      <w:sz w:val="20"/>
    </w:rPr>
  </w:style>
  <w:style w:type="paragraph" w:customStyle="1" w:styleId="Tableboxleft">
    <w:name w:val="Table box left"/>
    <w:basedOn w:val="Normal"/>
    <w:next w:val="Normal"/>
    <w:autoRedefine/>
    <w:uiPriority w:val="99"/>
    <w:rsid w:val="00E77ACE"/>
    <w:pPr>
      <w:jc w:val="left"/>
    </w:pPr>
    <w:rPr>
      <w:sz w:val="20"/>
      <w:szCs w:val="20"/>
    </w:rPr>
  </w:style>
  <w:style w:type="paragraph" w:customStyle="1" w:styleId="Coverdate">
    <w:name w:val="Cover date"/>
    <w:autoRedefine/>
    <w:rsid w:val="007661E6"/>
    <w:pPr>
      <w:outlineLvl w:val="0"/>
    </w:pPr>
    <w:rPr>
      <w:rFonts w:ascii="Arial" w:eastAsia="ヒラギノ角ゴ Pro W3" w:hAnsi="Arial"/>
      <w:color w:val="FFFFFF"/>
      <w:sz w:val="24"/>
      <w:lang w:eastAsia="fr-FR"/>
    </w:rPr>
  </w:style>
  <w:style w:type="paragraph" w:styleId="TOC5">
    <w:name w:val="toc 5"/>
    <w:basedOn w:val="Normal"/>
    <w:next w:val="Normal"/>
    <w:autoRedefine/>
    <w:uiPriority w:val="39"/>
    <w:unhideWhenUsed/>
    <w:rsid w:val="00347569"/>
    <w:rPr>
      <w:b/>
    </w:rPr>
  </w:style>
  <w:style w:type="paragraph" w:customStyle="1" w:styleId="FreeForm">
    <w:name w:val="Free Form"/>
    <w:rsid w:val="00E9611B"/>
    <w:pPr>
      <w:outlineLvl w:val="0"/>
    </w:pPr>
    <w:rPr>
      <w:rFonts w:ascii="Helvetica" w:eastAsia="ヒラギノ角ゴ Pro W3" w:hAnsi="Helvetica"/>
      <w:color w:val="000000"/>
      <w:sz w:val="24"/>
      <w:lang w:eastAsia="fr-FR"/>
    </w:rPr>
  </w:style>
  <w:style w:type="paragraph" w:customStyle="1" w:styleId="Footnote">
    <w:name w:val="Footnote"/>
    <w:basedOn w:val="Normal"/>
    <w:next w:val="Normal"/>
    <w:qFormat/>
    <w:rsid w:val="00F04B29"/>
    <w:pPr>
      <w:tabs>
        <w:tab w:val="left" w:pos="284"/>
      </w:tabs>
      <w:ind w:left="284" w:hanging="284"/>
    </w:pPr>
    <w:rPr>
      <w:sz w:val="20"/>
    </w:rPr>
  </w:style>
  <w:style w:type="paragraph" w:customStyle="1" w:styleId="Headercoverpage">
    <w:name w:val="Header cover page"/>
    <w:basedOn w:val="Normal"/>
    <w:next w:val="Normal"/>
    <w:autoRedefine/>
    <w:qFormat/>
    <w:rsid w:val="00670C33"/>
    <w:rPr>
      <w:rFonts w:ascii="Candara Bold" w:hAnsi="Candara Bold"/>
      <w:color w:val="2D5F86"/>
      <w:sz w:val="40"/>
      <w:lang w:val="fr-FR"/>
    </w:rPr>
  </w:style>
  <w:style w:type="paragraph" w:customStyle="1" w:styleId="Coverpagebackbold">
    <w:name w:val="Cover page back bold"/>
    <w:basedOn w:val="Normal"/>
    <w:next w:val="Normal"/>
    <w:autoRedefine/>
    <w:qFormat/>
    <w:rsid w:val="00C3689F"/>
    <w:pPr>
      <w:jc w:val="left"/>
    </w:pPr>
    <w:rPr>
      <w:rFonts w:ascii="Cambria" w:hAnsi="Cambria"/>
      <w:b/>
      <w:bCs/>
      <w:iCs/>
      <w:color w:val="4F81BD"/>
      <w:sz w:val="28"/>
      <w:szCs w:val="28"/>
      <w:lang w:eastAsia="zh-TW"/>
    </w:rPr>
  </w:style>
  <w:style w:type="paragraph" w:customStyle="1" w:styleId="HeadercoverpageFAO">
    <w:name w:val="Header cover page FAO"/>
    <w:basedOn w:val="Normal"/>
    <w:next w:val="Normal"/>
    <w:autoRedefine/>
    <w:qFormat/>
    <w:rsid w:val="00D31D5D"/>
    <w:pPr>
      <w:tabs>
        <w:tab w:val="left" w:pos="7795"/>
        <w:tab w:val="left" w:pos="8504"/>
        <w:tab w:val="left" w:pos="9213"/>
        <w:tab w:val="left" w:pos="9921"/>
        <w:tab w:val="left" w:pos="10630"/>
        <w:tab w:val="left" w:pos="11339"/>
      </w:tabs>
      <w:jc w:val="center"/>
    </w:pPr>
    <w:rPr>
      <w:rFonts w:ascii="Arial" w:hAnsi="Arial" w:cs="Arial"/>
      <w:color w:val="FFFFFF"/>
      <w:sz w:val="22"/>
      <w:szCs w:val="22"/>
      <w:lang w:eastAsia="en-GB"/>
    </w:rPr>
  </w:style>
  <w:style w:type="paragraph" w:customStyle="1" w:styleId="Backcoverpagebold">
    <w:name w:val="Back cover page bold"/>
    <w:basedOn w:val="Coverpagebackbold"/>
    <w:autoRedefine/>
    <w:rsid w:val="002E0C2F"/>
    <w:pPr>
      <w:pBdr>
        <w:top w:val="single" w:sz="4" w:space="1" w:color="auto"/>
        <w:left w:val="single" w:sz="4" w:space="4" w:color="auto"/>
        <w:bottom w:val="single" w:sz="4" w:space="1" w:color="auto"/>
        <w:right w:val="single" w:sz="4" w:space="4" w:color="auto"/>
      </w:pBdr>
      <w:shd w:val="clear" w:color="auto" w:fill="D9D9D9"/>
    </w:pPr>
    <w:rPr>
      <w:iCs w:val="0"/>
      <w:szCs w:val="20"/>
    </w:rPr>
  </w:style>
  <w:style w:type="paragraph" w:customStyle="1" w:styleId="Cambria14">
    <w:name w:val="Cambria 14"/>
    <w:basedOn w:val="Normal"/>
    <w:next w:val="Normal"/>
    <w:autoRedefine/>
    <w:qFormat/>
    <w:rsid w:val="002E0C2F"/>
    <w:pPr>
      <w:pBdr>
        <w:top w:val="single" w:sz="4" w:space="1" w:color="auto"/>
        <w:left w:val="single" w:sz="4" w:space="4" w:color="auto"/>
        <w:bottom w:val="single" w:sz="4" w:space="1" w:color="auto"/>
        <w:right w:val="single" w:sz="4" w:space="4" w:color="auto"/>
      </w:pBdr>
      <w:shd w:val="clear" w:color="auto" w:fill="D9D9D9"/>
      <w:jc w:val="left"/>
    </w:pPr>
    <w:rPr>
      <w:rFonts w:ascii="Cambria" w:hAnsi="Cambria"/>
      <w:color w:val="17365D"/>
      <w:sz w:val="28"/>
      <w:szCs w:val="28"/>
    </w:rPr>
  </w:style>
  <w:style w:type="paragraph" w:customStyle="1" w:styleId="Cambria14Bold">
    <w:name w:val="Cambria 14 Bold"/>
    <w:basedOn w:val="Cambria14bold0"/>
    <w:autoRedefine/>
    <w:rsid w:val="00FC4517"/>
  </w:style>
  <w:style w:type="paragraph" w:customStyle="1" w:styleId="Cambrianormal">
    <w:name w:val="Cambria normal"/>
    <w:basedOn w:val="Cambria14"/>
    <w:qFormat/>
    <w:rsid w:val="00BE7399"/>
    <w:rPr>
      <w:sz w:val="24"/>
    </w:rPr>
  </w:style>
  <w:style w:type="paragraph" w:customStyle="1" w:styleId="Titlereport">
    <w:name w:val="Title report"/>
    <w:basedOn w:val="Subtitledocument"/>
    <w:next w:val="Subtitledocument"/>
    <w:qFormat/>
    <w:rsid w:val="007C0D59"/>
    <w:pPr>
      <w:tabs>
        <w:tab w:val="left" w:pos="709"/>
        <w:tab w:val="left" w:pos="1417"/>
        <w:tab w:val="left" w:pos="2126"/>
        <w:tab w:val="left" w:pos="2835"/>
        <w:tab w:val="left" w:pos="3543"/>
        <w:tab w:val="left" w:pos="4252"/>
        <w:tab w:val="left" w:pos="4961"/>
        <w:tab w:val="left" w:pos="5669"/>
        <w:tab w:val="left" w:pos="6378"/>
        <w:tab w:val="left" w:pos="7087"/>
      </w:tabs>
    </w:pPr>
    <w:rPr>
      <w:rFonts w:ascii="Candara Bold" w:hAnsi="Candara Bold"/>
      <w:color w:val="365F91"/>
      <w:sz w:val="36"/>
      <w:lang w:val="en-GB"/>
    </w:rPr>
  </w:style>
  <w:style w:type="paragraph" w:customStyle="1" w:styleId="Subtitledocument">
    <w:name w:val="Sub title document"/>
    <w:autoRedefine/>
    <w:rsid w:val="007C0D59"/>
    <w:pPr>
      <w:outlineLvl w:val="0"/>
    </w:pPr>
    <w:rPr>
      <w:rFonts w:ascii="Helvetica" w:eastAsia="ヒラギノ角ゴ Pro W3" w:hAnsi="Helvetica"/>
      <w:color w:val="1F497D"/>
      <w:sz w:val="24"/>
      <w:lang w:eastAsia="fr-FR"/>
    </w:rPr>
  </w:style>
  <w:style w:type="paragraph" w:customStyle="1" w:styleId="Cambria14bold0">
    <w:name w:val="Cambria 14 bold"/>
    <w:basedOn w:val="Normal"/>
    <w:next w:val="Normal"/>
    <w:autoRedefine/>
    <w:qFormat/>
    <w:rsid w:val="00C3689F"/>
    <w:pPr>
      <w:pBdr>
        <w:top w:val="single" w:sz="4" w:space="1" w:color="auto"/>
        <w:left w:val="single" w:sz="4" w:space="4" w:color="auto"/>
        <w:bottom w:val="single" w:sz="4" w:space="1" w:color="auto"/>
        <w:right w:val="single" w:sz="4" w:space="4" w:color="auto"/>
      </w:pBdr>
      <w:shd w:val="clear" w:color="auto" w:fill="D9D9D9"/>
      <w:jc w:val="left"/>
    </w:pPr>
    <w:rPr>
      <w:rFonts w:ascii="Cambria" w:hAnsi="Cambria"/>
      <w:b/>
      <w:bCs/>
      <w:iCs/>
      <w:color w:val="1F497D"/>
      <w:sz w:val="28"/>
      <w:szCs w:val="28"/>
      <w:lang w:val="fr-FR" w:eastAsia="zh-TW"/>
    </w:rPr>
  </w:style>
  <w:style w:type="paragraph" w:customStyle="1" w:styleId="Cambria14normal">
    <w:name w:val="Cambria 14 normal"/>
    <w:basedOn w:val="Cambrianormal"/>
    <w:next w:val="Cambrianormal"/>
    <w:qFormat/>
    <w:rsid w:val="00670C33"/>
    <w:rPr>
      <w:color w:val="1F497D"/>
      <w:sz w:val="28"/>
      <w:szCs w:val="20"/>
      <w:lang w:eastAsia="zh-TW"/>
    </w:rPr>
  </w:style>
  <w:style w:type="paragraph" w:customStyle="1" w:styleId="Noteitalicbackground">
    <w:name w:val="Note italic background"/>
    <w:basedOn w:val="Normal"/>
    <w:next w:val="Cambrianormal"/>
    <w:autoRedefine/>
    <w:qFormat/>
    <w:rsid w:val="007C0D59"/>
    <w:pPr>
      <w:pBdr>
        <w:top w:val="single" w:sz="4" w:space="1" w:color="auto"/>
        <w:left w:val="single" w:sz="4" w:space="4" w:color="auto"/>
        <w:bottom w:val="single" w:sz="4" w:space="1" w:color="auto"/>
        <w:right w:val="single" w:sz="4" w:space="4" w:color="auto"/>
      </w:pBdr>
      <w:shd w:val="clear" w:color="auto" w:fill="D9D9D9"/>
    </w:pPr>
    <w:rPr>
      <w:i/>
      <w:iCs/>
      <w:sz w:val="20"/>
      <w:szCs w:val="20"/>
    </w:rPr>
  </w:style>
  <w:style w:type="paragraph" w:customStyle="1" w:styleId="Recommendationtext">
    <w:name w:val="Recommendation text"/>
    <w:basedOn w:val="Normal"/>
    <w:next w:val="Normal"/>
    <w:autoRedefine/>
    <w:qFormat/>
    <w:rsid w:val="00321686"/>
    <w:pPr>
      <w:pBdr>
        <w:top w:val="single" w:sz="4" w:space="1" w:color="auto"/>
        <w:left w:val="single" w:sz="4" w:space="4" w:color="auto"/>
        <w:bottom w:val="single" w:sz="4" w:space="1" w:color="auto"/>
        <w:right w:val="single" w:sz="4" w:space="4" w:color="auto"/>
      </w:pBdr>
    </w:pPr>
  </w:style>
  <w:style w:type="paragraph" w:customStyle="1" w:styleId="Tablenumber">
    <w:name w:val="Table number"/>
    <w:basedOn w:val="Caption"/>
    <w:autoRedefine/>
    <w:qFormat/>
    <w:rsid w:val="006E7DE8"/>
    <w:pPr>
      <w:keepNext/>
      <w:numPr>
        <w:numId w:val="11"/>
      </w:numPr>
      <w:tabs>
        <w:tab w:val="left" w:pos="1134"/>
      </w:tabs>
      <w:ind w:left="1134" w:hanging="1134"/>
    </w:pPr>
  </w:style>
  <w:style w:type="paragraph" w:customStyle="1" w:styleId="Encadrnumber">
    <w:name w:val="Encadré number"/>
    <w:basedOn w:val="Caption"/>
    <w:next w:val="Normal"/>
    <w:autoRedefine/>
    <w:qFormat/>
    <w:rsid w:val="001C0F10"/>
    <w:pPr>
      <w:keepNext/>
      <w:numPr>
        <w:numId w:val="12"/>
      </w:numPr>
      <w:tabs>
        <w:tab w:val="left" w:pos="1418"/>
      </w:tabs>
      <w:ind w:left="1418" w:hanging="1418"/>
    </w:pPr>
  </w:style>
  <w:style w:type="paragraph" w:customStyle="1" w:styleId="Figurenumber">
    <w:name w:val="Figure number"/>
    <w:basedOn w:val="Caption"/>
    <w:next w:val="Normal"/>
    <w:autoRedefine/>
    <w:qFormat/>
    <w:rsid w:val="009906F9"/>
    <w:pPr>
      <w:keepNext/>
      <w:numPr>
        <w:numId w:val="13"/>
      </w:numPr>
      <w:tabs>
        <w:tab w:val="left" w:pos="1134"/>
      </w:tabs>
      <w:ind w:left="1134" w:hanging="1134"/>
    </w:pPr>
  </w:style>
  <w:style w:type="paragraph" w:customStyle="1" w:styleId="Documenttitle">
    <w:name w:val="Document title"/>
    <w:basedOn w:val="Normal"/>
    <w:next w:val="Normal"/>
    <w:autoRedefine/>
    <w:rsid w:val="009F500E"/>
    <w:pPr>
      <w:tabs>
        <w:tab w:val="left" w:pos="709"/>
        <w:tab w:val="left" w:pos="1417"/>
        <w:tab w:val="left" w:pos="2126"/>
        <w:tab w:val="left" w:pos="2835"/>
        <w:tab w:val="left" w:pos="3543"/>
        <w:tab w:val="left" w:pos="4252"/>
        <w:tab w:val="left" w:pos="4961"/>
        <w:tab w:val="left" w:pos="5669"/>
        <w:tab w:val="left" w:pos="6378"/>
        <w:tab w:val="left" w:pos="7087"/>
      </w:tabs>
      <w:outlineLvl w:val="0"/>
    </w:pPr>
    <w:rPr>
      <w:rFonts w:ascii="Candara" w:eastAsia="ヒラギノ角ゴ Pro W3" w:hAnsi="Candara"/>
      <w:b/>
      <w:color w:val="2D5F86"/>
      <w:sz w:val="28"/>
      <w:szCs w:val="28"/>
      <w:lang w:val="fr-FR" w:eastAsia="fr-FR"/>
    </w:rPr>
  </w:style>
  <w:style w:type="paragraph" w:customStyle="1" w:styleId="Documentsubtitle">
    <w:name w:val="Document sub title"/>
    <w:basedOn w:val="Documenttitle"/>
    <w:next w:val="Normal"/>
    <w:autoRedefine/>
    <w:qFormat/>
    <w:rsid w:val="003C5AAE"/>
    <w:rPr>
      <w:i/>
    </w:rPr>
  </w:style>
  <w:style w:type="character" w:styleId="Strong">
    <w:name w:val="Strong"/>
    <w:basedOn w:val="DefaultParagraphFont"/>
    <w:uiPriority w:val="22"/>
    <w:qFormat/>
    <w:rsid w:val="00031DD0"/>
    <w:rPr>
      <w:b/>
      <w:bCs/>
    </w:rPr>
  </w:style>
  <w:style w:type="paragraph" w:customStyle="1" w:styleId="HeadercoverFAO">
    <w:name w:val="Header cover FAO"/>
    <w:basedOn w:val="Normal"/>
    <w:next w:val="Normal"/>
    <w:qFormat/>
    <w:rsid w:val="003C5A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jc w:val="center"/>
    </w:pPr>
    <w:rPr>
      <w:rFonts w:ascii="Arial" w:hAnsi="Arial" w:cs="Arial"/>
      <w:color w:val="FFFFFF"/>
      <w:sz w:val="22"/>
      <w:szCs w:val="22"/>
      <w:lang w:val="fr-FR" w:eastAsia="en-GB"/>
    </w:rPr>
  </w:style>
  <w:style w:type="paragraph" w:customStyle="1" w:styleId="Coverpagebackdisclaimer">
    <w:name w:val="Cover page back disclaimer"/>
    <w:basedOn w:val="Cambrianormal"/>
    <w:rsid w:val="003C5AAE"/>
    <w:rPr>
      <w:rFonts w:ascii="Times New Roman" w:hAnsi="Times New Roman"/>
      <w:i/>
      <w:iCs/>
      <w:color w:val="auto"/>
      <w:sz w:val="20"/>
      <w:szCs w:val="20"/>
      <w:lang w:val="es-ES" w:eastAsia="zh-TW"/>
    </w:rPr>
  </w:style>
  <w:style w:type="paragraph" w:customStyle="1" w:styleId="Boxcontent">
    <w:name w:val="Box content"/>
    <w:basedOn w:val="Normal"/>
    <w:autoRedefine/>
    <w:uiPriority w:val="99"/>
    <w:rsid w:val="00CC1EB6"/>
    <w:pPr>
      <w:keepNext/>
      <w:pBdr>
        <w:top w:val="single" w:sz="4" w:space="1" w:color="auto"/>
        <w:left w:val="single" w:sz="4" w:space="4" w:color="auto"/>
        <w:bottom w:val="single" w:sz="4" w:space="1" w:color="auto"/>
        <w:right w:val="single" w:sz="4" w:space="4" w:color="auto"/>
      </w:pBdr>
      <w:tabs>
        <w:tab w:val="left" w:pos="284"/>
      </w:tabs>
      <w:outlineLvl w:val="2"/>
    </w:pPr>
    <w:rPr>
      <w:rFonts w:eastAsia="PMingLiU"/>
      <w:sz w:val="20"/>
      <w:szCs w:val="20"/>
      <w:lang w:eastAsia="zh-TW"/>
    </w:rPr>
  </w:style>
  <w:style w:type="character" w:customStyle="1" w:styleId="longtext">
    <w:name w:val="long_text"/>
    <w:rsid w:val="00A66640"/>
  </w:style>
  <w:style w:type="paragraph" w:customStyle="1" w:styleId="Titlemaintext">
    <w:name w:val="Title main text"/>
    <w:basedOn w:val="Heading1"/>
    <w:next w:val="Normal"/>
    <w:autoRedefine/>
    <w:uiPriority w:val="99"/>
    <w:rsid w:val="00A66640"/>
    <w:pPr>
      <w:numPr>
        <w:numId w:val="0"/>
      </w:numPr>
      <w:tabs>
        <w:tab w:val="clear" w:pos="851"/>
      </w:tabs>
      <w:jc w:val="center"/>
    </w:pPr>
    <w:rPr>
      <w:sz w:val="28"/>
      <w:szCs w:val="28"/>
    </w:rPr>
  </w:style>
  <w:style w:type="paragraph" w:customStyle="1" w:styleId="NormalItalic">
    <w:name w:val="Normal Italic"/>
    <w:basedOn w:val="Normal"/>
    <w:next w:val="Normal"/>
    <w:autoRedefine/>
    <w:uiPriority w:val="99"/>
    <w:rsid w:val="00A66640"/>
    <w:rPr>
      <w:i/>
      <w:iCs/>
    </w:rPr>
  </w:style>
  <w:style w:type="paragraph" w:customStyle="1" w:styleId="IndentRomancapital">
    <w:name w:val="Indent Roman capital"/>
    <w:basedOn w:val="Normal"/>
    <w:next w:val="Normal"/>
    <w:autoRedefine/>
    <w:uiPriority w:val="99"/>
    <w:rsid w:val="00443F8E"/>
    <w:pPr>
      <w:numPr>
        <w:numId w:val="14"/>
      </w:numPr>
      <w:tabs>
        <w:tab w:val="left" w:pos="1134"/>
      </w:tabs>
      <w:ind w:left="1134" w:hanging="567"/>
    </w:pPr>
    <w:rPr>
      <w:b/>
      <w:bCs/>
      <w:sz w:val="22"/>
      <w:szCs w:val="22"/>
    </w:rPr>
  </w:style>
  <w:style w:type="paragraph" w:customStyle="1" w:styleId="Indentsub">
    <w:name w:val="Indent sub"/>
    <w:basedOn w:val="Indentbullet"/>
    <w:next w:val="Normal"/>
    <w:autoRedefine/>
    <w:uiPriority w:val="99"/>
    <w:rsid w:val="00A63AA5"/>
    <w:pPr>
      <w:numPr>
        <w:numId w:val="15"/>
      </w:numPr>
      <w:tabs>
        <w:tab w:val="clear" w:pos="851"/>
        <w:tab w:val="left" w:pos="1134"/>
      </w:tabs>
      <w:ind w:left="1134" w:hanging="283"/>
    </w:pPr>
    <w:rPr>
      <w:lang w:val="fr-FR"/>
    </w:rPr>
  </w:style>
  <w:style w:type="paragraph" w:styleId="NormalIndent">
    <w:name w:val="Normal Indent"/>
    <w:basedOn w:val="Normal"/>
    <w:uiPriority w:val="99"/>
    <w:unhideWhenUsed/>
    <w:rsid w:val="00443F8E"/>
    <w:pPr>
      <w:ind w:left="720"/>
    </w:pPr>
  </w:style>
  <w:style w:type="paragraph" w:customStyle="1" w:styleId="Titlenotnumbered">
    <w:name w:val="Title not numbered"/>
    <w:basedOn w:val="Heading1"/>
    <w:next w:val="Normal"/>
    <w:autoRedefine/>
    <w:uiPriority w:val="99"/>
    <w:rsid w:val="00913A5B"/>
    <w:pPr>
      <w:numPr>
        <w:numId w:val="0"/>
      </w:numPr>
      <w:tabs>
        <w:tab w:val="clear" w:pos="851"/>
      </w:tabs>
      <w:jc w:val="center"/>
    </w:pPr>
    <w:rPr>
      <w:rFonts w:ascii="Times New Roman Bold" w:hAnsi="Times New Roman Bold" w:cs="Times New Roman Bold"/>
      <w:sz w:val="28"/>
      <w:szCs w:val="24"/>
      <w:lang w:val="fr-FR"/>
    </w:rPr>
  </w:style>
  <w:style w:type="paragraph" w:customStyle="1" w:styleId="ParagraphOED0">
    <w:name w:val="Paragraph OED"/>
    <w:basedOn w:val="Normal"/>
    <w:next w:val="Normal"/>
    <w:autoRedefine/>
    <w:uiPriority w:val="99"/>
    <w:rsid w:val="00913A5B"/>
    <w:pPr>
      <w:numPr>
        <w:numId w:val="16"/>
      </w:numPr>
      <w:tabs>
        <w:tab w:val="left" w:pos="851"/>
      </w:tabs>
      <w:ind w:left="0" w:firstLine="0"/>
    </w:pPr>
  </w:style>
  <w:style w:type="character" w:customStyle="1" w:styleId="IndentbulletChar">
    <w:name w:val="Indent bullet Char"/>
    <w:basedOn w:val="DefaultParagraphFont"/>
    <w:link w:val="Indentbullet"/>
    <w:uiPriority w:val="99"/>
    <w:rsid w:val="00913A5B"/>
    <w:rPr>
      <w:sz w:val="24"/>
      <w:szCs w:val="24"/>
      <w:lang w:val="en-GB"/>
    </w:rPr>
  </w:style>
  <w:style w:type="paragraph" w:customStyle="1" w:styleId="TitleAnnextablecontents">
    <w:name w:val="Title Annex table contents"/>
    <w:basedOn w:val="Normal"/>
    <w:autoRedefine/>
    <w:rsid w:val="009427DB"/>
    <w:pPr>
      <w:keepNext/>
      <w:numPr>
        <w:numId w:val="17"/>
      </w:numPr>
      <w:tabs>
        <w:tab w:val="left" w:pos="1418"/>
      </w:tabs>
      <w:overflowPunct w:val="0"/>
      <w:autoSpaceDE w:val="0"/>
      <w:autoSpaceDN w:val="0"/>
      <w:adjustRightInd w:val="0"/>
      <w:ind w:left="1418" w:hanging="1418"/>
      <w:textAlignment w:val="baseline"/>
      <w:outlineLvl w:val="0"/>
    </w:pPr>
    <w:rPr>
      <w:kern w:val="32"/>
    </w:rPr>
  </w:style>
  <w:style w:type="paragraph" w:customStyle="1" w:styleId="Tableheadingrow">
    <w:name w:val="Table heading row"/>
    <w:basedOn w:val="Normal"/>
    <w:next w:val="Normal"/>
    <w:autoRedefine/>
    <w:uiPriority w:val="99"/>
    <w:rsid w:val="006561B7"/>
    <w:rPr>
      <w:b/>
      <w:i/>
      <w:iCs/>
      <w:sz w:val="20"/>
      <w:szCs w:val="20"/>
      <w:lang w:val="fr-FR" w:eastAsia="en-GB"/>
    </w:rPr>
  </w:style>
  <w:style w:type="paragraph" w:customStyle="1" w:styleId="Tableheadingcolumn">
    <w:name w:val="Table heading column"/>
    <w:basedOn w:val="Normal"/>
    <w:autoRedefine/>
    <w:uiPriority w:val="99"/>
    <w:rsid w:val="006561B7"/>
    <w:pPr>
      <w:tabs>
        <w:tab w:val="left" w:pos="851"/>
      </w:tabs>
      <w:overflowPunct w:val="0"/>
      <w:autoSpaceDE w:val="0"/>
      <w:autoSpaceDN w:val="0"/>
      <w:adjustRightInd w:val="0"/>
      <w:textAlignment w:val="baseline"/>
    </w:pPr>
    <w:rPr>
      <w:b/>
      <w:bCs/>
      <w:sz w:val="20"/>
      <w:szCs w:val="20"/>
      <w:lang w:val="fr-FR"/>
    </w:rPr>
  </w:style>
  <w:style w:type="paragraph" w:customStyle="1" w:styleId="Headingboldnotnumbered">
    <w:name w:val="Heading bold not numbered"/>
    <w:basedOn w:val="Normal"/>
    <w:uiPriority w:val="99"/>
    <w:rsid w:val="006561B7"/>
    <w:pPr>
      <w:numPr>
        <w:numId w:val="18"/>
      </w:numPr>
    </w:pPr>
    <w:rPr>
      <w:szCs w:val="20"/>
      <w:lang w:val="fr-FR"/>
    </w:rPr>
  </w:style>
  <w:style w:type="paragraph" w:customStyle="1" w:styleId="Encadrnumerot">
    <w:name w:val="Encadré numeroté"/>
    <w:basedOn w:val="Normal"/>
    <w:next w:val="Normal"/>
    <w:autoRedefine/>
    <w:uiPriority w:val="99"/>
    <w:rsid w:val="006561B7"/>
    <w:pPr>
      <w:numPr>
        <w:numId w:val="19"/>
      </w:numPr>
      <w:tabs>
        <w:tab w:val="left" w:pos="1418"/>
      </w:tabs>
      <w:spacing w:after="120"/>
      <w:ind w:left="1418" w:hanging="1418"/>
    </w:pPr>
    <w:rPr>
      <w:rFonts w:ascii="Times New Roman Bold" w:hAnsi="Times New Roman Bold" w:cs="Times New Roman Bold"/>
      <w:b/>
      <w:bCs/>
      <w:i/>
      <w:iCs/>
      <w:szCs w:val="20"/>
      <w:lang w:val="fr-FR" w:eastAsia="zh-TW"/>
    </w:rPr>
  </w:style>
  <w:style w:type="paragraph" w:customStyle="1" w:styleId="Titleannexe">
    <w:name w:val="Title annexe"/>
    <w:basedOn w:val="Normal"/>
    <w:next w:val="Normal"/>
    <w:autoRedefine/>
    <w:uiPriority w:val="99"/>
    <w:rsid w:val="006561B7"/>
    <w:pPr>
      <w:numPr>
        <w:numId w:val="20"/>
      </w:numPr>
      <w:tabs>
        <w:tab w:val="left" w:pos="1418"/>
      </w:tabs>
      <w:spacing w:before="120" w:after="120"/>
      <w:ind w:left="1418" w:hanging="1418"/>
    </w:pPr>
    <w:rPr>
      <w:rFonts w:ascii="Times New Roman Bold" w:hAnsi="Times New Roman Bold"/>
      <w:b/>
      <w:iCs/>
      <w:szCs w:val="20"/>
      <w:lang w:val="fr-FR"/>
    </w:rPr>
  </w:style>
  <w:style w:type="paragraph" w:customStyle="1" w:styleId="Titleannex">
    <w:name w:val="Title annex"/>
    <w:basedOn w:val="Normal"/>
    <w:next w:val="Normal"/>
    <w:autoRedefine/>
    <w:uiPriority w:val="99"/>
    <w:rsid w:val="006F0704"/>
    <w:pPr>
      <w:numPr>
        <w:numId w:val="31"/>
      </w:numPr>
      <w:tabs>
        <w:tab w:val="left" w:pos="1418"/>
      </w:tabs>
      <w:spacing w:after="120"/>
      <w:ind w:left="1418" w:hanging="1418"/>
    </w:pPr>
    <w:rPr>
      <w:b/>
    </w:rPr>
  </w:style>
  <w:style w:type="paragraph" w:customStyle="1" w:styleId="BoxAnnex">
    <w:name w:val="Box Annex"/>
    <w:basedOn w:val="Normal"/>
    <w:next w:val="Normal"/>
    <w:autoRedefine/>
    <w:uiPriority w:val="99"/>
    <w:rsid w:val="006F0704"/>
    <w:pPr>
      <w:numPr>
        <w:numId w:val="32"/>
      </w:numPr>
      <w:tabs>
        <w:tab w:val="clear" w:pos="1418"/>
        <w:tab w:val="num" w:pos="851"/>
      </w:tabs>
      <w:spacing w:after="60"/>
      <w:ind w:left="851" w:hanging="851"/>
      <w:jc w:val="left"/>
    </w:pPr>
    <w:rPr>
      <w:rFonts w:ascii="Times New Roman Bold" w:hAnsi="Times New Roman Bold"/>
      <w:b/>
      <w:bCs/>
      <w:i/>
      <w:iCs/>
      <w:lang w:eastAsia="zh-TW"/>
    </w:rPr>
  </w:style>
  <w:style w:type="paragraph" w:customStyle="1" w:styleId="Tableheadingcolumncentred">
    <w:name w:val="Table heading column centred"/>
    <w:basedOn w:val="Tableheadingcolumn"/>
    <w:next w:val="Normal"/>
    <w:autoRedefine/>
    <w:rsid w:val="002803C3"/>
    <w:pPr>
      <w:tabs>
        <w:tab w:val="clear" w:pos="851"/>
      </w:tabs>
    </w:pPr>
    <w:rPr>
      <w:bCs w:val="0"/>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ypo3.fao.org/fileadmin/user_upload/oed/docs/GTFSREM070ITA_2011_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8C0C2-C4BB-44DD-AC57-45A6AA76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2777</Words>
  <Characters>15834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18574</CharactersWithSpaces>
  <SharedDoc>false</SharedDoc>
  <HLinks>
    <vt:vector size="198" baseType="variant">
      <vt:variant>
        <vt:i4>1441845</vt:i4>
      </vt:variant>
      <vt:variant>
        <vt:i4>179</vt:i4>
      </vt:variant>
      <vt:variant>
        <vt:i4>0</vt:i4>
      </vt:variant>
      <vt:variant>
        <vt:i4>5</vt:i4>
      </vt:variant>
      <vt:variant>
        <vt:lpwstr/>
      </vt:variant>
      <vt:variant>
        <vt:lpwstr>_Toc306959510</vt:lpwstr>
      </vt:variant>
      <vt:variant>
        <vt:i4>1507381</vt:i4>
      </vt:variant>
      <vt:variant>
        <vt:i4>173</vt:i4>
      </vt:variant>
      <vt:variant>
        <vt:i4>0</vt:i4>
      </vt:variant>
      <vt:variant>
        <vt:i4>5</vt:i4>
      </vt:variant>
      <vt:variant>
        <vt:lpwstr/>
      </vt:variant>
      <vt:variant>
        <vt:lpwstr>_Toc306959509</vt:lpwstr>
      </vt:variant>
      <vt:variant>
        <vt:i4>1507381</vt:i4>
      </vt:variant>
      <vt:variant>
        <vt:i4>167</vt:i4>
      </vt:variant>
      <vt:variant>
        <vt:i4>0</vt:i4>
      </vt:variant>
      <vt:variant>
        <vt:i4>5</vt:i4>
      </vt:variant>
      <vt:variant>
        <vt:lpwstr/>
      </vt:variant>
      <vt:variant>
        <vt:lpwstr>_Toc306959508</vt:lpwstr>
      </vt:variant>
      <vt:variant>
        <vt:i4>1507381</vt:i4>
      </vt:variant>
      <vt:variant>
        <vt:i4>161</vt:i4>
      </vt:variant>
      <vt:variant>
        <vt:i4>0</vt:i4>
      </vt:variant>
      <vt:variant>
        <vt:i4>5</vt:i4>
      </vt:variant>
      <vt:variant>
        <vt:lpwstr/>
      </vt:variant>
      <vt:variant>
        <vt:lpwstr>_Toc306959507</vt:lpwstr>
      </vt:variant>
      <vt:variant>
        <vt:i4>1507381</vt:i4>
      </vt:variant>
      <vt:variant>
        <vt:i4>155</vt:i4>
      </vt:variant>
      <vt:variant>
        <vt:i4>0</vt:i4>
      </vt:variant>
      <vt:variant>
        <vt:i4>5</vt:i4>
      </vt:variant>
      <vt:variant>
        <vt:lpwstr/>
      </vt:variant>
      <vt:variant>
        <vt:lpwstr>_Toc306959506</vt:lpwstr>
      </vt:variant>
      <vt:variant>
        <vt:i4>1507381</vt:i4>
      </vt:variant>
      <vt:variant>
        <vt:i4>149</vt:i4>
      </vt:variant>
      <vt:variant>
        <vt:i4>0</vt:i4>
      </vt:variant>
      <vt:variant>
        <vt:i4>5</vt:i4>
      </vt:variant>
      <vt:variant>
        <vt:lpwstr/>
      </vt:variant>
      <vt:variant>
        <vt:lpwstr>_Toc306959505</vt:lpwstr>
      </vt:variant>
      <vt:variant>
        <vt:i4>1507381</vt:i4>
      </vt:variant>
      <vt:variant>
        <vt:i4>143</vt:i4>
      </vt:variant>
      <vt:variant>
        <vt:i4>0</vt:i4>
      </vt:variant>
      <vt:variant>
        <vt:i4>5</vt:i4>
      </vt:variant>
      <vt:variant>
        <vt:lpwstr/>
      </vt:variant>
      <vt:variant>
        <vt:lpwstr>_Toc306959504</vt:lpwstr>
      </vt:variant>
      <vt:variant>
        <vt:i4>1507381</vt:i4>
      </vt:variant>
      <vt:variant>
        <vt:i4>137</vt:i4>
      </vt:variant>
      <vt:variant>
        <vt:i4>0</vt:i4>
      </vt:variant>
      <vt:variant>
        <vt:i4>5</vt:i4>
      </vt:variant>
      <vt:variant>
        <vt:lpwstr/>
      </vt:variant>
      <vt:variant>
        <vt:lpwstr>_Toc306959503</vt:lpwstr>
      </vt:variant>
      <vt:variant>
        <vt:i4>1507381</vt:i4>
      </vt:variant>
      <vt:variant>
        <vt:i4>131</vt:i4>
      </vt:variant>
      <vt:variant>
        <vt:i4>0</vt:i4>
      </vt:variant>
      <vt:variant>
        <vt:i4>5</vt:i4>
      </vt:variant>
      <vt:variant>
        <vt:lpwstr/>
      </vt:variant>
      <vt:variant>
        <vt:lpwstr>_Toc306959502</vt:lpwstr>
      </vt:variant>
      <vt:variant>
        <vt:i4>1507381</vt:i4>
      </vt:variant>
      <vt:variant>
        <vt:i4>125</vt:i4>
      </vt:variant>
      <vt:variant>
        <vt:i4>0</vt:i4>
      </vt:variant>
      <vt:variant>
        <vt:i4>5</vt:i4>
      </vt:variant>
      <vt:variant>
        <vt:lpwstr/>
      </vt:variant>
      <vt:variant>
        <vt:lpwstr>_Toc306959501</vt:lpwstr>
      </vt:variant>
      <vt:variant>
        <vt:i4>1507381</vt:i4>
      </vt:variant>
      <vt:variant>
        <vt:i4>119</vt:i4>
      </vt:variant>
      <vt:variant>
        <vt:i4>0</vt:i4>
      </vt:variant>
      <vt:variant>
        <vt:i4>5</vt:i4>
      </vt:variant>
      <vt:variant>
        <vt:lpwstr/>
      </vt:variant>
      <vt:variant>
        <vt:lpwstr>_Toc306959500</vt:lpwstr>
      </vt:variant>
      <vt:variant>
        <vt:i4>1966132</vt:i4>
      </vt:variant>
      <vt:variant>
        <vt:i4>113</vt:i4>
      </vt:variant>
      <vt:variant>
        <vt:i4>0</vt:i4>
      </vt:variant>
      <vt:variant>
        <vt:i4>5</vt:i4>
      </vt:variant>
      <vt:variant>
        <vt:lpwstr/>
      </vt:variant>
      <vt:variant>
        <vt:lpwstr>_Toc306959499</vt:lpwstr>
      </vt:variant>
      <vt:variant>
        <vt:i4>1966132</vt:i4>
      </vt:variant>
      <vt:variant>
        <vt:i4>107</vt:i4>
      </vt:variant>
      <vt:variant>
        <vt:i4>0</vt:i4>
      </vt:variant>
      <vt:variant>
        <vt:i4>5</vt:i4>
      </vt:variant>
      <vt:variant>
        <vt:lpwstr/>
      </vt:variant>
      <vt:variant>
        <vt:lpwstr>_Toc306959498</vt:lpwstr>
      </vt:variant>
      <vt:variant>
        <vt:i4>1966132</vt:i4>
      </vt:variant>
      <vt:variant>
        <vt:i4>101</vt:i4>
      </vt:variant>
      <vt:variant>
        <vt:i4>0</vt:i4>
      </vt:variant>
      <vt:variant>
        <vt:i4>5</vt:i4>
      </vt:variant>
      <vt:variant>
        <vt:lpwstr/>
      </vt:variant>
      <vt:variant>
        <vt:lpwstr>_Toc306959497</vt:lpwstr>
      </vt:variant>
      <vt:variant>
        <vt:i4>1966132</vt:i4>
      </vt:variant>
      <vt:variant>
        <vt:i4>95</vt:i4>
      </vt:variant>
      <vt:variant>
        <vt:i4>0</vt:i4>
      </vt:variant>
      <vt:variant>
        <vt:i4>5</vt:i4>
      </vt:variant>
      <vt:variant>
        <vt:lpwstr/>
      </vt:variant>
      <vt:variant>
        <vt:lpwstr>_Toc306959496</vt:lpwstr>
      </vt:variant>
      <vt:variant>
        <vt:i4>1966132</vt:i4>
      </vt:variant>
      <vt:variant>
        <vt:i4>89</vt:i4>
      </vt:variant>
      <vt:variant>
        <vt:i4>0</vt:i4>
      </vt:variant>
      <vt:variant>
        <vt:i4>5</vt:i4>
      </vt:variant>
      <vt:variant>
        <vt:lpwstr/>
      </vt:variant>
      <vt:variant>
        <vt:lpwstr>_Toc306959495</vt:lpwstr>
      </vt:variant>
      <vt:variant>
        <vt:i4>1966132</vt:i4>
      </vt:variant>
      <vt:variant>
        <vt:i4>83</vt:i4>
      </vt:variant>
      <vt:variant>
        <vt:i4>0</vt:i4>
      </vt:variant>
      <vt:variant>
        <vt:i4>5</vt:i4>
      </vt:variant>
      <vt:variant>
        <vt:lpwstr/>
      </vt:variant>
      <vt:variant>
        <vt:lpwstr>_Toc306959494</vt:lpwstr>
      </vt:variant>
      <vt:variant>
        <vt:i4>1966132</vt:i4>
      </vt:variant>
      <vt:variant>
        <vt:i4>77</vt:i4>
      </vt:variant>
      <vt:variant>
        <vt:i4>0</vt:i4>
      </vt:variant>
      <vt:variant>
        <vt:i4>5</vt:i4>
      </vt:variant>
      <vt:variant>
        <vt:lpwstr/>
      </vt:variant>
      <vt:variant>
        <vt:lpwstr>_Toc306959493</vt:lpwstr>
      </vt:variant>
      <vt:variant>
        <vt:i4>1966132</vt:i4>
      </vt:variant>
      <vt:variant>
        <vt:i4>71</vt:i4>
      </vt:variant>
      <vt:variant>
        <vt:i4>0</vt:i4>
      </vt:variant>
      <vt:variant>
        <vt:i4>5</vt:i4>
      </vt:variant>
      <vt:variant>
        <vt:lpwstr/>
      </vt:variant>
      <vt:variant>
        <vt:lpwstr>_Toc306959492</vt:lpwstr>
      </vt:variant>
      <vt:variant>
        <vt:i4>1966132</vt:i4>
      </vt:variant>
      <vt:variant>
        <vt:i4>65</vt:i4>
      </vt:variant>
      <vt:variant>
        <vt:i4>0</vt:i4>
      </vt:variant>
      <vt:variant>
        <vt:i4>5</vt:i4>
      </vt:variant>
      <vt:variant>
        <vt:lpwstr/>
      </vt:variant>
      <vt:variant>
        <vt:lpwstr>_Toc306959491</vt:lpwstr>
      </vt:variant>
      <vt:variant>
        <vt:i4>1966132</vt:i4>
      </vt:variant>
      <vt:variant>
        <vt:i4>59</vt:i4>
      </vt:variant>
      <vt:variant>
        <vt:i4>0</vt:i4>
      </vt:variant>
      <vt:variant>
        <vt:i4>5</vt:i4>
      </vt:variant>
      <vt:variant>
        <vt:lpwstr/>
      </vt:variant>
      <vt:variant>
        <vt:lpwstr>_Toc306959490</vt:lpwstr>
      </vt:variant>
      <vt:variant>
        <vt:i4>2031668</vt:i4>
      </vt:variant>
      <vt:variant>
        <vt:i4>53</vt:i4>
      </vt:variant>
      <vt:variant>
        <vt:i4>0</vt:i4>
      </vt:variant>
      <vt:variant>
        <vt:i4>5</vt:i4>
      </vt:variant>
      <vt:variant>
        <vt:lpwstr/>
      </vt:variant>
      <vt:variant>
        <vt:lpwstr>_Toc306959489</vt:lpwstr>
      </vt:variant>
      <vt:variant>
        <vt:i4>2031668</vt:i4>
      </vt:variant>
      <vt:variant>
        <vt:i4>47</vt:i4>
      </vt:variant>
      <vt:variant>
        <vt:i4>0</vt:i4>
      </vt:variant>
      <vt:variant>
        <vt:i4>5</vt:i4>
      </vt:variant>
      <vt:variant>
        <vt:lpwstr/>
      </vt:variant>
      <vt:variant>
        <vt:lpwstr>_Toc306959488</vt:lpwstr>
      </vt:variant>
      <vt:variant>
        <vt:i4>2031668</vt:i4>
      </vt:variant>
      <vt:variant>
        <vt:i4>41</vt:i4>
      </vt:variant>
      <vt:variant>
        <vt:i4>0</vt:i4>
      </vt:variant>
      <vt:variant>
        <vt:i4>5</vt:i4>
      </vt:variant>
      <vt:variant>
        <vt:lpwstr/>
      </vt:variant>
      <vt:variant>
        <vt:lpwstr>_Toc306959487</vt:lpwstr>
      </vt:variant>
      <vt:variant>
        <vt:i4>2031668</vt:i4>
      </vt:variant>
      <vt:variant>
        <vt:i4>35</vt:i4>
      </vt:variant>
      <vt:variant>
        <vt:i4>0</vt:i4>
      </vt:variant>
      <vt:variant>
        <vt:i4>5</vt:i4>
      </vt:variant>
      <vt:variant>
        <vt:lpwstr/>
      </vt:variant>
      <vt:variant>
        <vt:lpwstr>_Toc306959486</vt:lpwstr>
      </vt:variant>
      <vt:variant>
        <vt:i4>2031668</vt:i4>
      </vt:variant>
      <vt:variant>
        <vt:i4>29</vt:i4>
      </vt:variant>
      <vt:variant>
        <vt:i4>0</vt:i4>
      </vt:variant>
      <vt:variant>
        <vt:i4>5</vt:i4>
      </vt:variant>
      <vt:variant>
        <vt:lpwstr/>
      </vt:variant>
      <vt:variant>
        <vt:lpwstr>_Toc306959485</vt:lpwstr>
      </vt:variant>
      <vt:variant>
        <vt:i4>2031668</vt:i4>
      </vt:variant>
      <vt:variant>
        <vt:i4>23</vt:i4>
      </vt:variant>
      <vt:variant>
        <vt:i4>0</vt:i4>
      </vt:variant>
      <vt:variant>
        <vt:i4>5</vt:i4>
      </vt:variant>
      <vt:variant>
        <vt:lpwstr/>
      </vt:variant>
      <vt:variant>
        <vt:lpwstr>_Toc306959484</vt:lpwstr>
      </vt:variant>
      <vt:variant>
        <vt:i4>2031668</vt:i4>
      </vt:variant>
      <vt:variant>
        <vt:i4>17</vt:i4>
      </vt:variant>
      <vt:variant>
        <vt:i4>0</vt:i4>
      </vt:variant>
      <vt:variant>
        <vt:i4>5</vt:i4>
      </vt:variant>
      <vt:variant>
        <vt:lpwstr/>
      </vt:variant>
      <vt:variant>
        <vt:lpwstr>_Toc306959483</vt:lpwstr>
      </vt:variant>
      <vt:variant>
        <vt:i4>2031668</vt:i4>
      </vt:variant>
      <vt:variant>
        <vt:i4>11</vt:i4>
      </vt:variant>
      <vt:variant>
        <vt:i4>0</vt:i4>
      </vt:variant>
      <vt:variant>
        <vt:i4>5</vt:i4>
      </vt:variant>
      <vt:variant>
        <vt:lpwstr/>
      </vt:variant>
      <vt:variant>
        <vt:lpwstr>_Toc306959482</vt:lpwstr>
      </vt:variant>
      <vt:variant>
        <vt:i4>1114144</vt:i4>
      </vt:variant>
      <vt:variant>
        <vt:i4>6</vt:i4>
      </vt:variant>
      <vt:variant>
        <vt:i4>0</vt:i4>
      </vt:variant>
      <vt:variant>
        <vt:i4>5</vt:i4>
      </vt:variant>
      <vt:variant>
        <vt:lpwstr>mailto:copyright@fao.org</vt:lpwstr>
      </vt:variant>
      <vt:variant>
        <vt:lpwstr/>
      </vt:variant>
      <vt:variant>
        <vt:i4>1966102</vt:i4>
      </vt:variant>
      <vt:variant>
        <vt:i4>3</vt:i4>
      </vt:variant>
      <vt:variant>
        <vt:i4>0</vt:i4>
      </vt:variant>
      <vt:variant>
        <vt:i4>5</vt:i4>
      </vt:variant>
      <vt:variant>
        <vt:lpwstr>ftp://ftp.fao.org/docrep/fao/004/ac339e/ac339e00.pdf</vt:lpwstr>
      </vt:variant>
      <vt:variant>
        <vt:lpwstr/>
      </vt:variant>
      <vt:variant>
        <vt:i4>1966102</vt:i4>
      </vt:variant>
      <vt:variant>
        <vt:i4>0</vt:i4>
      </vt:variant>
      <vt:variant>
        <vt:i4>0</vt:i4>
      </vt:variant>
      <vt:variant>
        <vt:i4>5</vt:i4>
      </vt:variant>
      <vt:variant>
        <vt:lpwstr>ftp://ftp.fao.org/docrep/fao/004/ac339e/ac339e00.pdf</vt:lpwstr>
      </vt:variant>
      <vt:variant>
        <vt:lpwstr/>
      </vt:variant>
      <vt:variant>
        <vt:i4>327794</vt:i4>
      </vt:variant>
      <vt:variant>
        <vt:i4>0</vt:i4>
      </vt:variant>
      <vt:variant>
        <vt:i4>0</vt:i4>
      </vt:variant>
      <vt:variant>
        <vt:i4>5</vt:i4>
      </vt:variant>
      <vt:variant>
        <vt:lpwstr>http://typo3.fao.org/fileadmin/user_upload/oed/docs/GTFSREM070ITA_2011_ER.pdf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MooreBr</dc:creator>
  <cp:lastModifiedBy>Tullia Aiazzi (OEDD)</cp:lastModifiedBy>
  <cp:revision>4</cp:revision>
  <cp:lastPrinted>2011-10-04T10:24:00Z</cp:lastPrinted>
  <dcterms:created xsi:type="dcterms:W3CDTF">2013-07-30T15:38:00Z</dcterms:created>
  <dcterms:modified xsi:type="dcterms:W3CDTF">2013-07-30T15:56:00Z</dcterms:modified>
</cp:coreProperties>
</file>