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B6" w:rsidRDefault="008544B6" w:rsidP="008544B6">
      <w:pPr>
        <w:jc w:val="center"/>
        <w:rPr>
          <w:b/>
          <w:bCs/>
          <w:sz w:val="28"/>
          <w:szCs w:val="28"/>
        </w:rPr>
      </w:pPr>
      <w:r w:rsidRPr="001A70D4">
        <w:rPr>
          <w:b/>
          <w:bCs/>
          <w:sz w:val="28"/>
          <w:szCs w:val="28"/>
        </w:rPr>
        <w:t xml:space="preserve">Responsibilities and </w:t>
      </w:r>
      <w:r w:rsidR="00B0767D">
        <w:rPr>
          <w:b/>
          <w:bCs/>
          <w:sz w:val="28"/>
          <w:szCs w:val="28"/>
        </w:rPr>
        <w:t>p</w:t>
      </w:r>
      <w:r w:rsidRPr="001A70D4">
        <w:rPr>
          <w:b/>
          <w:bCs/>
          <w:sz w:val="28"/>
          <w:szCs w:val="28"/>
        </w:rPr>
        <w:t xml:space="preserve">rocedures for </w:t>
      </w:r>
      <w:r w:rsidR="00B0767D">
        <w:rPr>
          <w:b/>
          <w:bCs/>
          <w:sz w:val="28"/>
          <w:szCs w:val="28"/>
        </w:rPr>
        <w:t>m</w:t>
      </w:r>
      <w:r w:rsidRPr="001A70D4">
        <w:rPr>
          <w:b/>
          <w:bCs/>
          <w:sz w:val="28"/>
          <w:szCs w:val="28"/>
        </w:rPr>
        <w:t xml:space="preserve">anagement </w:t>
      </w:r>
      <w:r w:rsidR="00B0767D">
        <w:rPr>
          <w:b/>
          <w:bCs/>
          <w:sz w:val="28"/>
          <w:szCs w:val="28"/>
        </w:rPr>
        <w:t>r</w:t>
      </w:r>
      <w:r w:rsidRPr="001A70D4">
        <w:rPr>
          <w:b/>
          <w:bCs/>
          <w:sz w:val="28"/>
          <w:szCs w:val="28"/>
        </w:rPr>
        <w:t>esponse</w:t>
      </w:r>
      <w:r w:rsidR="00960887">
        <w:rPr>
          <w:b/>
          <w:bCs/>
          <w:sz w:val="28"/>
          <w:szCs w:val="28"/>
        </w:rPr>
        <w:t>s</w:t>
      </w:r>
      <w:r w:rsidRPr="001A70D4">
        <w:rPr>
          <w:b/>
          <w:bCs/>
          <w:sz w:val="28"/>
          <w:szCs w:val="28"/>
        </w:rPr>
        <w:t xml:space="preserve"> and </w:t>
      </w:r>
      <w:r w:rsidR="00B0767D">
        <w:rPr>
          <w:b/>
          <w:bCs/>
          <w:sz w:val="28"/>
          <w:szCs w:val="28"/>
        </w:rPr>
        <w:t>f</w:t>
      </w:r>
      <w:r w:rsidRPr="001A70D4">
        <w:rPr>
          <w:b/>
          <w:bCs/>
          <w:sz w:val="28"/>
          <w:szCs w:val="28"/>
        </w:rPr>
        <w:t xml:space="preserve">ollow-up </w:t>
      </w:r>
      <w:r w:rsidR="00B0767D">
        <w:rPr>
          <w:b/>
          <w:bCs/>
          <w:sz w:val="28"/>
          <w:szCs w:val="28"/>
        </w:rPr>
        <w:t>r</w:t>
      </w:r>
      <w:r w:rsidRPr="001A70D4">
        <w:rPr>
          <w:b/>
          <w:bCs/>
          <w:sz w:val="28"/>
          <w:szCs w:val="28"/>
        </w:rPr>
        <w:t>eport</w:t>
      </w:r>
      <w:r w:rsidR="00263136">
        <w:rPr>
          <w:b/>
          <w:bCs/>
          <w:sz w:val="28"/>
          <w:szCs w:val="28"/>
        </w:rPr>
        <w:t>s</w:t>
      </w:r>
      <w:r w:rsidRPr="001A70D4">
        <w:rPr>
          <w:b/>
          <w:bCs/>
          <w:sz w:val="28"/>
          <w:szCs w:val="28"/>
        </w:rPr>
        <w:t xml:space="preserve"> on </w:t>
      </w:r>
      <w:r w:rsidR="00B0767D">
        <w:rPr>
          <w:b/>
          <w:bCs/>
          <w:sz w:val="28"/>
          <w:szCs w:val="28"/>
        </w:rPr>
        <w:t>e</w:t>
      </w:r>
      <w:r w:rsidRPr="001A70D4">
        <w:rPr>
          <w:b/>
          <w:bCs/>
          <w:sz w:val="28"/>
          <w:szCs w:val="28"/>
        </w:rPr>
        <w:t xml:space="preserve">valuations </w:t>
      </w:r>
    </w:p>
    <w:p w:rsidR="006409B6" w:rsidRPr="006409B6" w:rsidRDefault="006409B6" w:rsidP="007C4889"/>
    <w:p w:rsidR="006409B6" w:rsidRPr="006409B6" w:rsidRDefault="00EC68E0" w:rsidP="006409B6">
      <w:pPr>
        <w:pStyle w:val="Titlenotnumbered"/>
        <w:rPr>
          <w:sz w:val="24"/>
          <w:szCs w:val="24"/>
        </w:rPr>
      </w:pPr>
      <w:r>
        <w:rPr>
          <w:sz w:val="24"/>
          <w:szCs w:val="24"/>
        </w:rPr>
        <w:t>June</w:t>
      </w:r>
      <w:r w:rsidR="006409B6" w:rsidRPr="006409B6">
        <w:rPr>
          <w:sz w:val="24"/>
          <w:szCs w:val="24"/>
        </w:rPr>
        <w:t xml:space="preserve"> 201</w:t>
      </w:r>
      <w:r>
        <w:rPr>
          <w:sz w:val="24"/>
          <w:szCs w:val="24"/>
        </w:rPr>
        <w:t>1</w:t>
      </w:r>
    </w:p>
    <w:p w:rsidR="008544B6" w:rsidRDefault="008544B6" w:rsidP="008544B6"/>
    <w:p w:rsidR="009D213B" w:rsidRDefault="009D213B" w:rsidP="008544B6"/>
    <w:p w:rsidR="008544B6" w:rsidRPr="00C82966" w:rsidRDefault="008544B6" w:rsidP="001A70D4">
      <w:pPr>
        <w:pStyle w:val="Titlenotnumberedleft"/>
      </w:pPr>
      <w:r w:rsidRPr="00C82966">
        <w:t>Introduction</w:t>
      </w:r>
    </w:p>
    <w:p w:rsidR="008544B6" w:rsidRPr="00C82966" w:rsidRDefault="008544B6" w:rsidP="008544B6"/>
    <w:p w:rsidR="00D013B1" w:rsidRPr="0003519C" w:rsidRDefault="008544B6" w:rsidP="008544B6">
      <w:pPr>
        <w:pStyle w:val="Paragraphleft"/>
      </w:pPr>
      <w:r w:rsidRPr="0003519C">
        <w:t xml:space="preserve">Evaluation is an important management tool, and in order for it to play its role, there needs to be careful consideration of evaluation recommendations as a basis for management </w:t>
      </w:r>
      <w:r w:rsidR="00B26247" w:rsidRPr="0003519C">
        <w:t xml:space="preserve">decisions. </w:t>
      </w:r>
      <w:r w:rsidR="00D013B1" w:rsidRPr="0003519C">
        <w:rPr>
          <w:u w:val="single"/>
        </w:rPr>
        <w:t xml:space="preserve">All evaluations will have a </w:t>
      </w:r>
      <w:r w:rsidR="005D7142" w:rsidRPr="0003519C">
        <w:rPr>
          <w:u w:val="single"/>
        </w:rPr>
        <w:t xml:space="preserve">formal </w:t>
      </w:r>
      <w:r w:rsidR="00D013B1" w:rsidRPr="0003519C">
        <w:rPr>
          <w:u w:val="single"/>
        </w:rPr>
        <w:t xml:space="preserve">management response which will be complemented </w:t>
      </w:r>
      <w:r w:rsidR="005D7142" w:rsidRPr="0003519C">
        <w:rPr>
          <w:u w:val="single"/>
        </w:rPr>
        <w:t>later</w:t>
      </w:r>
      <w:r w:rsidR="00D013B1" w:rsidRPr="0003519C">
        <w:rPr>
          <w:u w:val="single"/>
        </w:rPr>
        <w:t xml:space="preserve"> by a Follow-up report</w:t>
      </w:r>
      <w:r w:rsidR="005D7142" w:rsidRPr="0003519C">
        <w:rPr>
          <w:u w:val="single"/>
        </w:rPr>
        <w:t xml:space="preserve"> on the </w:t>
      </w:r>
      <w:r w:rsidR="0003519C" w:rsidRPr="0003519C">
        <w:rPr>
          <w:u w:val="single"/>
        </w:rPr>
        <w:t>i</w:t>
      </w:r>
      <w:r w:rsidR="005D7142" w:rsidRPr="0003519C">
        <w:rPr>
          <w:u w:val="single"/>
        </w:rPr>
        <w:t>mplementation of the management response</w:t>
      </w:r>
      <w:r w:rsidR="00D013B1" w:rsidRPr="0003519C">
        <w:t xml:space="preserve">. </w:t>
      </w:r>
    </w:p>
    <w:p w:rsidR="00D013B1" w:rsidRPr="0003519C" w:rsidRDefault="00D013B1" w:rsidP="008544B6">
      <w:pPr>
        <w:pStyle w:val="Paragraphleft"/>
      </w:pPr>
      <w:r w:rsidRPr="0003519C">
        <w:t>T</w:t>
      </w:r>
      <w:r w:rsidR="008544B6" w:rsidRPr="0003519C">
        <w:t xml:space="preserve">he Programme Committee (PC) and the Joint Meeting of the Programme and Finance Committees </w:t>
      </w:r>
      <w:r w:rsidR="00AB0265" w:rsidRPr="0003519C">
        <w:t xml:space="preserve">require </w:t>
      </w:r>
      <w:r w:rsidR="00CC66C0" w:rsidRPr="0003519C">
        <w:t xml:space="preserve">standardized </w:t>
      </w:r>
      <w:r w:rsidR="008544B6" w:rsidRPr="0003519C">
        <w:t>and assured quality in the Organization’s responses to independent evaluations reported to the</w:t>
      </w:r>
      <w:r w:rsidRPr="0003519C">
        <w:t>m.</w:t>
      </w:r>
      <w:r w:rsidR="008544B6" w:rsidRPr="0003519C">
        <w:t xml:space="preserve"> </w:t>
      </w:r>
      <w:r w:rsidR="000B4FEE" w:rsidRPr="0003519C">
        <w:t>This</w:t>
      </w:r>
      <w:r w:rsidRPr="0003519C">
        <w:t xml:space="preserve"> guideline outlines t</w:t>
      </w:r>
      <w:r w:rsidR="000B4FEE" w:rsidRPr="0003519C">
        <w:t>he roles and responsibilities for</w:t>
      </w:r>
      <w:r w:rsidRPr="0003519C">
        <w:t xml:space="preserve"> the preparation of Management</w:t>
      </w:r>
      <w:r w:rsidR="004D67E5">
        <w:t xml:space="preserve"> Response and Follow-up Reports</w:t>
      </w:r>
      <w:r w:rsidRPr="0003519C">
        <w:t>.</w:t>
      </w:r>
    </w:p>
    <w:p w:rsidR="000B4FEE" w:rsidRPr="0003519C" w:rsidRDefault="008544B6" w:rsidP="008544B6">
      <w:pPr>
        <w:pStyle w:val="Paragraphleft"/>
      </w:pPr>
      <w:r w:rsidRPr="0003519C">
        <w:t>The evaluation reports themselves need to facil</w:t>
      </w:r>
      <w:r w:rsidR="005B48B0" w:rsidRPr="0003519C">
        <w:t xml:space="preserve">itate decision by management on recommendations and </w:t>
      </w:r>
      <w:r w:rsidRPr="0003519C">
        <w:t xml:space="preserve">follow-up. Thus, the </w:t>
      </w:r>
      <w:r w:rsidR="00AB0265" w:rsidRPr="0003519C">
        <w:t xml:space="preserve">Office of </w:t>
      </w:r>
      <w:r w:rsidRPr="0003519C">
        <w:t xml:space="preserve">Evaluation </w:t>
      </w:r>
      <w:r w:rsidR="00DA4BBD" w:rsidRPr="0003519C">
        <w:t>(OED)</w:t>
      </w:r>
      <w:r w:rsidR="000B4FEE" w:rsidRPr="0003519C">
        <w:t>, in fulfilling its quality assurance function,</w:t>
      </w:r>
      <w:r w:rsidR="00DA4BBD" w:rsidRPr="0003519C">
        <w:t xml:space="preserve"> </w:t>
      </w:r>
      <w:r w:rsidRPr="0003519C">
        <w:t>w</w:t>
      </w:r>
      <w:r w:rsidR="000B4FEE" w:rsidRPr="0003519C">
        <w:t>ill endeavour to ensure that</w:t>
      </w:r>
      <w:r w:rsidRPr="0003519C">
        <w:t xml:space="preserve"> evaluation recommendations are expressed clearly and unambiguously.</w:t>
      </w:r>
      <w:r w:rsidR="00D013B1" w:rsidRPr="0003519C">
        <w:t xml:space="preserve"> </w:t>
      </w:r>
    </w:p>
    <w:p w:rsidR="008544B6" w:rsidRPr="0003519C" w:rsidRDefault="008544B6" w:rsidP="008544B6">
      <w:pPr>
        <w:pStyle w:val="Paragraphleft"/>
      </w:pPr>
      <w:r w:rsidRPr="0003519C">
        <w:t xml:space="preserve">All queries on these procedures should be addressed to the </w:t>
      </w:r>
      <w:r w:rsidR="008D286E" w:rsidRPr="0003519C">
        <w:t>Director</w:t>
      </w:r>
      <w:r w:rsidRPr="0003519C">
        <w:t xml:space="preserve">, </w:t>
      </w:r>
      <w:r w:rsidR="008D286E" w:rsidRPr="0003519C">
        <w:t>Office of Evaluation</w:t>
      </w:r>
      <w:r w:rsidRPr="0003519C">
        <w:t>.</w:t>
      </w:r>
    </w:p>
    <w:p w:rsidR="008544B6" w:rsidRDefault="008544B6" w:rsidP="008544B6"/>
    <w:p w:rsidR="00B323F7" w:rsidRDefault="00B323F7" w:rsidP="008544B6"/>
    <w:p w:rsidR="008544B6" w:rsidRPr="00C82966" w:rsidRDefault="008544B6" w:rsidP="001A70D4">
      <w:pPr>
        <w:pStyle w:val="Titlenotnumberedleft"/>
      </w:pPr>
      <w:r w:rsidRPr="00C82966">
        <w:t>Format of the Management Response</w:t>
      </w:r>
    </w:p>
    <w:p w:rsidR="008544B6" w:rsidRPr="00C82966" w:rsidRDefault="008544B6" w:rsidP="008544B6">
      <w:pPr>
        <w:autoSpaceDE w:val="0"/>
        <w:autoSpaceDN w:val="0"/>
        <w:adjustRightInd w:val="0"/>
        <w:rPr>
          <w:rFonts w:cs="Arial"/>
          <w:lang w:eastAsia="en-US"/>
        </w:rPr>
      </w:pPr>
    </w:p>
    <w:p w:rsidR="008544B6" w:rsidRPr="0003519C" w:rsidRDefault="008544B6" w:rsidP="008544B6">
      <w:pPr>
        <w:pStyle w:val="Paragraphleft"/>
      </w:pPr>
      <w:r w:rsidRPr="0003519C">
        <w:t xml:space="preserve">The management response </w:t>
      </w:r>
      <w:r w:rsidRPr="0003519C">
        <w:rPr>
          <w:rFonts w:cs="Arial"/>
          <w:lang w:eastAsia="en-US"/>
        </w:rPr>
        <w:t>should comment on the utility of the report and illustrate Manageme</w:t>
      </w:r>
      <w:r w:rsidR="00D013B1" w:rsidRPr="0003519C">
        <w:rPr>
          <w:rFonts w:cs="Arial"/>
          <w:lang w:eastAsia="en-US"/>
        </w:rPr>
        <w:t>nt’s position on the evaluation. It will contain the following sections:</w:t>
      </w:r>
    </w:p>
    <w:p w:rsidR="008544B6" w:rsidRPr="0003519C" w:rsidRDefault="008544B6" w:rsidP="008544B6">
      <w:pPr>
        <w:pStyle w:val="Indentletter"/>
      </w:pPr>
      <w:r w:rsidRPr="0003519C">
        <w:rPr>
          <w:b/>
        </w:rPr>
        <w:t>Overall response to the evaluation:</w:t>
      </w:r>
      <w:r w:rsidRPr="0003519C">
        <w:t xml:space="preserve"> In this section, Management presents its overall views on the report and </w:t>
      </w:r>
      <w:r w:rsidR="004161DD" w:rsidRPr="0003519C">
        <w:t>its conclusions</w:t>
      </w:r>
      <w:r w:rsidR="00D013B1" w:rsidRPr="0003519C">
        <w:t xml:space="preserve">. </w:t>
      </w:r>
    </w:p>
    <w:p w:rsidR="008544B6" w:rsidRPr="00D013B1" w:rsidRDefault="008544B6" w:rsidP="008544B6">
      <w:pPr>
        <w:pStyle w:val="Indentletter"/>
        <w:rPr>
          <w:rFonts w:cs="Arial"/>
          <w:lang w:eastAsia="en-US"/>
        </w:rPr>
      </w:pPr>
      <w:r w:rsidRPr="0003519C">
        <w:rPr>
          <w:rFonts w:cs="Arial"/>
          <w:b/>
          <w:lang w:eastAsia="en-US"/>
        </w:rPr>
        <w:t xml:space="preserve">Response by recommendation: </w:t>
      </w:r>
      <w:r w:rsidR="00D013B1" w:rsidRPr="0003519C">
        <w:rPr>
          <w:rFonts w:cs="Arial"/>
          <w:lang w:eastAsia="en-US"/>
        </w:rPr>
        <w:t>In this section, M</w:t>
      </w:r>
      <w:r w:rsidRPr="0003519C">
        <w:rPr>
          <w:rFonts w:cs="Arial"/>
          <w:lang w:eastAsia="en-US"/>
        </w:rPr>
        <w:t xml:space="preserve">anagement should address </w:t>
      </w:r>
      <w:r w:rsidR="00D013B1" w:rsidRPr="0003519C">
        <w:rPr>
          <w:rFonts w:cs="Arial"/>
          <w:lang w:eastAsia="en-US"/>
        </w:rPr>
        <w:t xml:space="preserve">each </w:t>
      </w:r>
      <w:r w:rsidRPr="0003519C">
        <w:rPr>
          <w:rFonts w:cs="Arial"/>
          <w:lang w:eastAsia="en-US"/>
        </w:rPr>
        <w:t xml:space="preserve">recommendation, discussing </w:t>
      </w:r>
      <w:r w:rsidR="00C55B4D" w:rsidRPr="0003519C">
        <w:rPr>
          <w:rFonts w:cs="Arial"/>
          <w:lang w:eastAsia="en-US"/>
        </w:rPr>
        <w:t xml:space="preserve">them in the order presented in the executive summary of the evaluation report. </w:t>
      </w:r>
      <w:r w:rsidRPr="0003519C">
        <w:rPr>
          <w:rFonts w:cs="Arial"/>
          <w:lang w:eastAsia="en-US"/>
        </w:rPr>
        <w:t xml:space="preserve">This should be done in the format </w:t>
      </w:r>
      <w:r w:rsidR="006426F3" w:rsidRPr="0003519C">
        <w:rPr>
          <w:rFonts w:cs="Arial"/>
          <w:lang w:eastAsia="en-US"/>
        </w:rPr>
        <w:t xml:space="preserve">of the Management Response matrix </w:t>
      </w:r>
      <w:r w:rsidRPr="0003519C">
        <w:rPr>
          <w:rFonts w:cs="Arial"/>
          <w:lang w:eastAsia="en-US"/>
        </w:rPr>
        <w:t>below</w:t>
      </w:r>
      <w:r w:rsidR="00C55B4D" w:rsidRPr="0003519C">
        <w:rPr>
          <w:rFonts w:cs="Arial"/>
          <w:lang w:eastAsia="en-US"/>
        </w:rPr>
        <w:t xml:space="preserve"> and </w:t>
      </w:r>
      <w:r w:rsidRPr="0003519C">
        <w:rPr>
          <w:rFonts w:cs="Arial"/>
          <w:lang w:eastAsia="en-US"/>
        </w:rPr>
        <w:t>include</w:t>
      </w:r>
      <w:r w:rsidR="00C55B4D" w:rsidRPr="0003519C">
        <w:rPr>
          <w:rFonts w:cs="Arial"/>
          <w:lang w:eastAsia="en-US"/>
        </w:rPr>
        <w:t>:</w:t>
      </w:r>
      <w:r w:rsidRPr="0003519C">
        <w:rPr>
          <w:rFonts w:cs="Arial"/>
          <w:lang w:eastAsia="en-US"/>
        </w:rPr>
        <w:t xml:space="preserve"> the recommendation number and </w:t>
      </w:r>
      <w:r w:rsidR="009A0106" w:rsidRPr="0003519C">
        <w:rPr>
          <w:rFonts w:cs="Arial"/>
          <w:lang w:eastAsia="en-US"/>
        </w:rPr>
        <w:t>text</w:t>
      </w:r>
      <w:r w:rsidR="00550BCA" w:rsidRPr="0003519C">
        <w:rPr>
          <w:rFonts w:cs="Arial"/>
          <w:lang w:eastAsia="en-US"/>
        </w:rPr>
        <w:t xml:space="preserve"> (abbreviated if necessary)</w:t>
      </w:r>
      <w:r w:rsidRPr="0003519C">
        <w:rPr>
          <w:rFonts w:cs="Arial"/>
          <w:lang w:eastAsia="en-US"/>
        </w:rPr>
        <w:t xml:space="preserve">; </w:t>
      </w:r>
      <w:r w:rsidR="006426F3" w:rsidRPr="0003519C">
        <w:rPr>
          <w:rFonts w:cs="Arial"/>
          <w:lang w:eastAsia="en-US"/>
        </w:rPr>
        <w:t xml:space="preserve">a statement and a comment on </w:t>
      </w:r>
      <w:r w:rsidRPr="0003519C">
        <w:rPr>
          <w:rFonts w:cs="Arial"/>
          <w:lang w:eastAsia="en-US"/>
        </w:rPr>
        <w:t>whether the recommendation is a</w:t>
      </w:r>
      <w:r w:rsidR="00550BCA" w:rsidRPr="0003519C">
        <w:rPr>
          <w:rFonts w:cs="Arial"/>
          <w:lang w:eastAsia="en-US"/>
        </w:rPr>
        <w:t xml:space="preserve">ccepted fully, partially, or </w:t>
      </w:r>
      <w:r w:rsidRPr="0003519C">
        <w:rPr>
          <w:rFonts w:cs="Arial"/>
          <w:lang w:eastAsia="en-US"/>
        </w:rPr>
        <w:t>rejected; action to be taken; the responsible party or FAO unit for follow-up action</w:t>
      </w:r>
      <w:r w:rsidR="006426F3" w:rsidRPr="0003519C">
        <w:rPr>
          <w:rFonts w:cs="Arial"/>
          <w:lang w:eastAsia="en-US"/>
        </w:rPr>
        <w:t xml:space="preserve"> and time-frame for implementation</w:t>
      </w:r>
      <w:r w:rsidRPr="0003519C">
        <w:rPr>
          <w:rFonts w:cs="Arial"/>
          <w:lang w:eastAsia="en-US"/>
        </w:rPr>
        <w:t xml:space="preserve">. In the case of a </w:t>
      </w:r>
      <w:r w:rsidR="00A25428" w:rsidRPr="0003519C">
        <w:rPr>
          <w:rFonts w:cs="Arial"/>
          <w:lang w:eastAsia="en-US"/>
        </w:rPr>
        <w:t>partially</w:t>
      </w:r>
      <w:r w:rsidR="00A25428" w:rsidRPr="00D013B1">
        <w:rPr>
          <w:rFonts w:cs="Arial"/>
          <w:lang w:eastAsia="en-US"/>
        </w:rPr>
        <w:t xml:space="preserve"> accepted or </w:t>
      </w:r>
      <w:r w:rsidRPr="00D013B1">
        <w:rPr>
          <w:rFonts w:cs="Arial"/>
          <w:lang w:eastAsia="en-US"/>
        </w:rPr>
        <w:t xml:space="preserve">rejected recommendation, reasons should be indicated. In some cases it will be necessary to supplement the list of actions and timing in the management response with an implementation schedule. </w:t>
      </w:r>
      <w:r w:rsidRPr="00D013B1">
        <w:rPr>
          <w:u w:val="single"/>
        </w:rPr>
        <w:t xml:space="preserve">Where implementation of a recommendation is dependent upon further funding </w:t>
      </w:r>
      <w:r w:rsidR="001646F9" w:rsidRPr="00D013B1">
        <w:rPr>
          <w:u w:val="single"/>
        </w:rPr>
        <w:t>from FAO or a resource partner, this should be made clear</w:t>
      </w:r>
      <w:r w:rsidRPr="00D013B1">
        <w:rPr>
          <w:u w:val="single"/>
        </w:rPr>
        <w:t xml:space="preserve">. </w:t>
      </w:r>
    </w:p>
    <w:p w:rsidR="008544B6" w:rsidRDefault="008544B6" w:rsidP="008544B6">
      <w:pPr>
        <w:rPr>
          <w:rFonts w:cs="Arial"/>
          <w:lang w:eastAsia="en-US"/>
        </w:rPr>
      </w:pPr>
    </w:p>
    <w:p w:rsidR="00AD2DA2" w:rsidRDefault="00AD2DA2" w:rsidP="008544B6">
      <w:pPr>
        <w:rPr>
          <w:rFonts w:cs="Arial"/>
          <w:lang w:eastAsia="en-US"/>
        </w:rPr>
      </w:pPr>
    </w:p>
    <w:p w:rsidR="00AD2DA2" w:rsidRDefault="00AD2DA2" w:rsidP="008544B6">
      <w:pPr>
        <w:rPr>
          <w:rFonts w:cs="Arial"/>
          <w:lang w:eastAsia="en-US"/>
        </w:rPr>
      </w:pPr>
    </w:p>
    <w:p w:rsidR="00223D42" w:rsidRDefault="00223D42" w:rsidP="008544B6">
      <w:pPr>
        <w:rPr>
          <w:rFonts w:cs="Arial"/>
          <w:lang w:eastAsia="en-US"/>
        </w:rPr>
      </w:pPr>
    </w:p>
    <w:p w:rsidR="00AD2DA2" w:rsidRDefault="00223D42" w:rsidP="00223D42">
      <w:pPr>
        <w:pStyle w:val="Headingnotnumbered"/>
        <w:rPr>
          <w:lang w:eastAsia="en-US"/>
        </w:rPr>
      </w:pPr>
      <w:r>
        <w:rPr>
          <w:lang w:eastAsia="en-US"/>
        </w:rPr>
        <w:lastRenderedPageBreak/>
        <w:t>Management response matrix</w:t>
      </w: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8"/>
        <w:gridCol w:w="4620"/>
        <w:gridCol w:w="3410"/>
        <w:gridCol w:w="1320"/>
        <w:gridCol w:w="1320"/>
        <w:gridCol w:w="1320"/>
      </w:tblGrid>
      <w:tr w:rsidR="007C2A66" w:rsidRPr="00423C34" w:rsidTr="00BB2384">
        <w:tc>
          <w:tcPr>
            <w:tcW w:w="13858" w:type="dxa"/>
            <w:gridSpan w:val="5"/>
            <w:shd w:val="clear" w:color="auto" w:fill="D9D9D9"/>
          </w:tcPr>
          <w:p w:rsidR="007C2A66" w:rsidRPr="00423C34" w:rsidRDefault="007C2A66" w:rsidP="007C2A66">
            <w:pPr>
              <w:pStyle w:val="Tableheadingcolumncentred"/>
              <w:rPr>
                <w:rFonts w:cs="Arial"/>
                <w:lang w:eastAsia="en-US"/>
              </w:rPr>
            </w:pPr>
            <w:r w:rsidRPr="00D35E89">
              <w:t xml:space="preserve">Management response to </w:t>
            </w:r>
            <w:r>
              <w:t>the (Evaluation Title)</w:t>
            </w:r>
          </w:p>
        </w:tc>
        <w:tc>
          <w:tcPr>
            <w:tcW w:w="1320" w:type="dxa"/>
            <w:shd w:val="clear" w:color="auto" w:fill="D9D9D9"/>
          </w:tcPr>
          <w:p w:rsidR="007C2A66" w:rsidRPr="00423C34" w:rsidRDefault="007C2A66" w:rsidP="007C2A66">
            <w:pPr>
              <w:pStyle w:val="Tableheadingcolumncentred"/>
              <w:rPr>
                <w:rFonts w:cs="Arial"/>
                <w:lang w:eastAsia="en-US"/>
              </w:rPr>
            </w:pPr>
            <w:r w:rsidRPr="00423C34">
              <w:rPr>
                <w:rFonts w:cs="Arial"/>
                <w:lang w:eastAsia="en-US"/>
              </w:rPr>
              <w:t>Date</w:t>
            </w:r>
          </w:p>
        </w:tc>
      </w:tr>
      <w:tr w:rsidR="007D44D1" w:rsidRPr="00423C34" w:rsidTr="00BB2384">
        <w:tc>
          <w:tcPr>
            <w:tcW w:w="3188" w:type="dxa"/>
            <w:vMerge w:val="restart"/>
            <w:shd w:val="clear" w:color="auto" w:fill="D9D9D9"/>
          </w:tcPr>
          <w:p w:rsidR="007D44D1" w:rsidRPr="00423C34" w:rsidRDefault="007D44D1" w:rsidP="007C2A66">
            <w:pPr>
              <w:pStyle w:val="Tableheadingcolumncentred"/>
              <w:rPr>
                <w:rFonts w:cs="Arial"/>
                <w:lang w:eastAsia="en-US"/>
              </w:rPr>
            </w:pPr>
            <w:r w:rsidRPr="00423C34">
              <w:rPr>
                <w:lang w:val="en-US"/>
              </w:rPr>
              <w:t>Evaluation Recommendation</w:t>
            </w:r>
          </w:p>
        </w:tc>
        <w:tc>
          <w:tcPr>
            <w:tcW w:w="4620" w:type="dxa"/>
            <w:vMerge w:val="restart"/>
            <w:shd w:val="clear" w:color="auto" w:fill="D9D9D9"/>
          </w:tcPr>
          <w:p w:rsidR="000C4947" w:rsidRDefault="007D44D1" w:rsidP="000C4947">
            <w:pPr>
              <w:pStyle w:val="Tableheadingcolumncentred"/>
              <w:rPr>
                <w:lang w:val="en-US"/>
              </w:rPr>
            </w:pPr>
            <w:r w:rsidRPr="00423C34">
              <w:rPr>
                <w:lang w:val="en-US"/>
              </w:rPr>
              <w:t>Management response</w:t>
            </w:r>
          </w:p>
          <w:p w:rsidR="007D44D1" w:rsidRPr="00423C34" w:rsidRDefault="007D44D1" w:rsidP="000C4947">
            <w:pPr>
              <w:pStyle w:val="Tableheadingcolumncentred"/>
              <w:rPr>
                <w:rFonts w:cs="Arial"/>
                <w:lang w:eastAsia="en-US"/>
              </w:rPr>
            </w:pPr>
            <w:r w:rsidRPr="00423C34">
              <w:rPr>
                <w:color w:val="008000"/>
                <w:lang w:val="en-US"/>
              </w:rPr>
              <w:t>Accepted</w:t>
            </w:r>
            <w:r w:rsidRPr="00423C34">
              <w:rPr>
                <w:lang w:val="en-US"/>
              </w:rPr>
              <w:t xml:space="preserve">, </w:t>
            </w:r>
            <w:r w:rsidRPr="000C4947">
              <w:rPr>
                <w:color w:val="E36C0A"/>
                <w:lang w:val="en-US"/>
              </w:rPr>
              <w:t>partially accepted</w:t>
            </w:r>
            <w:r w:rsidRPr="00423C34">
              <w:rPr>
                <w:lang w:val="en-US"/>
              </w:rPr>
              <w:t xml:space="preserve"> or </w:t>
            </w:r>
            <w:r w:rsidRPr="00423C34">
              <w:rPr>
                <w:color w:val="FF0000"/>
                <w:lang w:val="en-US"/>
              </w:rPr>
              <w:t>rejected</w:t>
            </w:r>
            <w:r w:rsidR="000C4947">
              <w:rPr>
                <w:color w:val="FF0000"/>
                <w:lang w:val="en-US"/>
              </w:rPr>
              <w:t xml:space="preserve"> </w:t>
            </w:r>
            <w:r w:rsidRPr="00423C34">
              <w:rPr>
                <w:lang w:val="en-US"/>
              </w:rPr>
              <w:t>and comment on the Recommendation</w:t>
            </w:r>
          </w:p>
        </w:tc>
        <w:tc>
          <w:tcPr>
            <w:tcW w:w="7370" w:type="dxa"/>
            <w:gridSpan w:val="4"/>
            <w:shd w:val="clear" w:color="auto" w:fill="D9D9D9"/>
          </w:tcPr>
          <w:p w:rsidR="007D44D1" w:rsidRPr="00423C34" w:rsidRDefault="007D44D1" w:rsidP="007D44D1">
            <w:pPr>
              <w:pStyle w:val="Tableheadingcolumncentred"/>
              <w:rPr>
                <w:rFonts w:cs="Arial"/>
                <w:lang w:eastAsia="en-US"/>
              </w:rPr>
            </w:pPr>
            <w:r w:rsidRPr="00423C34">
              <w:rPr>
                <w:lang w:val="en-US"/>
              </w:rPr>
              <w:t>Management plan</w:t>
            </w:r>
          </w:p>
        </w:tc>
      </w:tr>
      <w:tr w:rsidR="007D44D1" w:rsidRPr="00423C34" w:rsidTr="00BB2384">
        <w:tc>
          <w:tcPr>
            <w:tcW w:w="3188" w:type="dxa"/>
            <w:vMerge/>
            <w:shd w:val="clear" w:color="auto" w:fill="D9D9D9"/>
          </w:tcPr>
          <w:p w:rsidR="007D44D1" w:rsidRPr="00423C34" w:rsidRDefault="007D44D1" w:rsidP="008544B6">
            <w:pPr>
              <w:rPr>
                <w:rFonts w:cs="Arial"/>
                <w:lang w:eastAsia="en-US"/>
              </w:rPr>
            </w:pPr>
          </w:p>
        </w:tc>
        <w:tc>
          <w:tcPr>
            <w:tcW w:w="4620" w:type="dxa"/>
            <w:vMerge/>
            <w:shd w:val="clear" w:color="auto" w:fill="D9D9D9"/>
          </w:tcPr>
          <w:p w:rsidR="007D44D1" w:rsidRPr="00423C34" w:rsidRDefault="007D44D1" w:rsidP="008544B6">
            <w:pPr>
              <w:rPr>
                <w:rFonts w:cs="Arial"/>
                <w:lang w:eastAsia="en-US"/>
              </w:rPr>
            </w:pPr>
          </w:p>
        </w:tc>
        <w:tc>
          <w:tcPr>
            <w:tcW w:w="3410" w:type="dxa"/>
            <w:shd w:val="clear" w:color="auto" w:fill="D9D9D9"/>
          </w:tcPr>
          <w:p w:rsidR="007D44D1" w:rsidRDefault="007D44D1" w:rsidP="007D44D1">
            <w:pPr>
              <w:pStyle w:val="Tableheadingcolumncentred"/>
            </w:pPr>
            <w:r>
              <w:t>Action to be taken</w:t>
            </w:r>
          </w:p>
        </w:tc>
        <w:tc>
          <w:tcPr>
            <w:tcW w:w="1320" w:type="dxa"/>
            <w:shd w:val="clear" w:color="auto" w:fill="D9D9D9"/>
          </w:tcPr>
          <w:p w:rsidR="007D44D1" w:rsidRDefault="007D44D1" w:rsidP="007D44D1">
            <w:pPr>
              <w:pStyle w:val="Tableheadingcolumncentred"/>
            </w:pPr>
            <w:r>
              <w:t>Responsible unit</w:t>
            </w:r>
          </w:p>
        </w:tc>
        <w:tc>
          <w:tcPr>
            <w:tcW w:w="1320" w:type="dxa"/>
            <w:shd w:val="clear" w:color="auto" w:fill="D9D9D9"/>
          </w:tcPr>
          <w:p w:rsidR="007D44D1" w:rsidRDefault="007D44D1" w:rsidP="007D44D1">
            <w:pPr>
              <w:pStyle w:val="Tableheadingcolumncentred"/>
            </w:pPr>
            <w:r>
              <w:t>Timeframe</w:t>
            </w:r>
          </w:p>
        </w:tc>
        <w:tc>
          <w:tcPr>
            <w:tcW w:w="1320" w:type="dxa"/>
            <w:shd w:val="clear" w:color="auto" w:fill="D9D9D9"/>
          </w:tcPr>
          <w:p w:rsidR="007D44D1" w:rsidRPr="00423C34" w:rsidRDefault="007D44D1" w:rsidP="007D44D1">
            <w:pPr>
              <w:pStyle w:val="Tableheadingcolumn"/>
              <w:rPr>
                <w:rFonts w:cs="Arial"/>
                <w:lang w:eastAsia="en-US"/>
              </w:rPr>
            </w:pPr>
            <w:r w:rsidRPr="00423C34">
              <w:rPr>
                <w:lang w:val="en-US"/>
              </w:rPr>
              <w:t>Further funding required</w:t>
            </w:r>
            <w:r w:rsidRPr="00423C34">
              <w:rPr>
                <w:lang w:val="en-US"/>
              </w:rPr>
              <w:br/>
              <w:t>(Y or N)</w:t>
            </w:r>
          </w:p>
        </w:tc>
      </w:tr>
      <w:tr w:rsidR="007D44D1" w:rsidRPr="00423C34" w:rsidTr="00423C34">
        <w:tc>
          <w:tcPr>
            <w:tcW w:w="15178" w:type="dxa"/>
            <w:gridSpan w:val="6"/>
          </w:tcPr>
          <w:p w:rsidR="007D44D1" w:rsidRDefault="007D44D1" w:rsidP="007D44D1">
            <w:pPr>
              <w:pStyle w:val="Tableheadingcolumncentred"/>
            </w:pPr>
            <w:r>
              <w:t xml:space="preserve">Insert title of section, if any </w:t>
            </w:r>
          </w:p>
        </w:tc>
      </w:tr>
      <w:tr w:rsidR="007C2A66" w:rsidRPr="00423C34" w:rsidTr="00423C34">
        <w:tc>
          <w:tcPr>
            <w:tcW w:w="3188" w:type="dxa"/>
          </w:tcPr>
          <w:p w:rsidR="007C2A66" w:rsidRDefault="00AB4588" w:rsidP="007D44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Recommendation 1 (</w:t>
            </w:r>
            <w:r w:rsidR="007D44D1">
              <w:rPr>
                <w:lang w:eastAsia="en-US"/>
              </w:rPr>
              <w:t>copy/paste from evaluation report</w:t>
            </w:r>
            <w:r>
              <w:rPr>
                <w:lang w:eastAsia="en-US"/>
              </w:rPr>
              <w:t>)</w:t>
            </w:r>
          </w:p>
        </w:tc>
        <w:tc>
          <w:tcPr>
            <w:tcW w:w="4620" w:type="dxa"/>
          </w:tcPr>
          <w:p w:rsidR="007D44D1" w:rsidRPr="00423C34" w:rsidRDefault="000C4947" w:rsidP="007D44D1">
            <w:pPr>
              <w:pStyle w:val="Tableheadingcolumn"/>
              <w:rPr>
                <w:color w:val="FF0000"/>
                <w:lang w:val="en-US" w:eastAsia="en-GB"/>
              </w:rPr>
            </w:pPr>
            <w:r w:rsidRPr="00423C34">
              <w:rPr>
                <w:color w:val="008000"/>
                <w:lang w:val="en-US"/>
              </w:rPr>
              <w:t>Accepted</w:t>
            </w:r>
            <w:r w:rsidRPr="00423C34">
              <w:rPr>
                <w:lang w:val="en-US"/>
              </w:rPr>
              <w:t xml:space="preserve">, </w:t>
            </w:r>
            <w:r w:rsidRPr="000C4947">
              <w:rPr>
                <w:color w:val="E36C0A"/>
                <w:lang w:val="en-US"/>
              </w:rPr>
              <w:t>partially accepted</w:t>
            </w:r>
            <w:r w:rsidRPr="00423C34">
              <w:rPr>
                <w:lang w:val="en-US"/>
              </w:rPr>
              <w:t xml:space="preserve"> or </w:t>
            </w:r>
            <w:r w:rsidRPr="00423C34">
              <w:rPr>
                <w:color w:val="FF0000"/>
                <w:lang w:val="en-US"/>
              </w:rPr>
              <w:t>rejected</w:t>
            </w:r>
          </w:p>
          <w:p w:rsidR="007C2A66" w:rsidRPr="00423C34" w:rsidRDefault="007D44D1" w:rsidP="007D44D1">
            <w:pPr>
              <w:pStyle w:val="Tableheadingcolumn"/>
              <w:rPr>
                <w:rFonts w:cs="Arial"/>
                <w:lang w:eastAsia="en-US"/>
              </w:rPr>
            </w:pPr>
            <w:r w:rsidRPr="00423C34">
              <w:rPr>
                <w:lang w:val="en-US" w:eastAsia="en-GB"/>
              </w:rPr>
              <w:t>Insert brief explanatory comment on any conditions</w:t>
            </w:r>
          </w:p>
        </w:tc>
        <w:tc>
          <w:tcPr>
            <w:tcW w:w="3410" w:type="dxa"/>
          </w:tcPr>
          <w:p w:rsidR="007C2A66" w:rsidRDefault="007D44D1" w:rsidP="007D44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 xml:space="preserve">Describe Action(s) </w:t>
            </w:r>
          </w:p>
        </w:tc>
        <w:tc>
          <w:tcPr>
            <w:tcW w:w="1320" w:type="dxa"/>
          </w:tcPr>
          <w:p w:rsidR="007C2A66" w:rsidRDefault="007D44D1" w:rsidP="007D44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Insert</w:t>
            </w:r>
          </w:p>
        </w:tc>
        <w:tc>
          <w:tcPr>
            <w:tcW w:w="1320" w:type="dxa"/>
          </w:tcPr>
          <w:p w:rsidR="007C2A66" w:rsidRDefault="007D44D1" w:rsidP="007D44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Insert</w:t>
            </w:r>
          </w:p>
        </w:tc>
        <w:tc>
          <w:tcPr>
            <w:tcW w:w="1320" w:type="dxa"/>
          </w:tcPr>
          <w:p w:rsidR="007C2A66" w:rsidRDefault="007D44D1" w:rsidP="007D44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Insert</w:t>
            </w:r>
          </w:p>
        </w:tc>
      </w:tr>
      <w:tr w:rsidR="000C4947" w:rsidRPr="00423C34" w:rsidTr="00423C34">
        <w:tc>
          <w:tcPr>
            <w:tcW w:w="3188" w:type="dxa"/>
          </w:tcPr>
          <w:p w:rsidR="000C4947" w:rsidRDefault="000C494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Recommendation 2 (copy/paste from evaluation report)</w:t>
            </w:r>
          </w:p>
        </w:tc>
        <w:tc>
          <w:tcPr>
            <w:tcW w:w="4620" w:type="dxa"/>
          </w:tcPr>
          <w:p w:rsidR="000C4947" w:rsidRPr="00423C34" w:rsidRDefault="000C4947" w:rsidP="00CD6DD4">
            <w:pPr>
              <w:pStyle w:val="Tableheadingcolumn"/>
              <w:rPr>
                <w:color w:val="FF0000"/>
                <w:lang w:val="en-US" w:eastAsia="en-GB"/>
              </w:rPr>
            </w:pPr>
            <w:r w:rsidRPr="00423C34">
              <w:rPr>
                <w:color w:val="008000"/>
                <w:lang w:val="en-US"/>
              </w:rPr>
              <w:t>Accepted</w:t>
            </w:r>
            <w:r w:rsidRPr="00423C34">
              <w:rPr>
                <w:lang w:val="en-US"/>
              </w:rPr>
              <w:t xml:space="preserve">, </w:t>
            </w:r>
            <w:r w:rsidRPr="000C4947">
              <w:rPr>
                <w:color w:val="E36C0A"/>
                <w:lang w:val="en-US"/>
              </w:rPr>
              <w:t>partially accepted</w:t>
            </w:r>
            <w:r w:rsidRPr="00423C34">
              <w:rPr>
                <w:lang w:val="en-US"/>
              </w:rPr>
              <w:t xml:space="preserve"> or </w:t>
            </w:r>
            <w:r w:rsidRPr="00423C34">
              <w:rPr>
                <w:color w:val="FF0000"/>
                <w:lang w:val="en-US"/>
              </w:rPr>
              <w:t>rejected</w:t>
            </w:r>
          </w:p>
          <w:p w:rsidR="000C4947" w:rsidRPr="00423C34" w:rsidRDefault="000C4947" w:rsidP="00CD6DD4">
            <w:pPr>
              <w:pStyle w:val="Tableheadingcolumn"/>
              <w:rPr>
                <w:rFonts w:cs="Arial"/>
                <w:lang w:eastAsia="en-US"/>
              </w:rPr>
            </w:pPr>
            <w:r w:rsidRPr="00423C34">
              <w:rPr>
                <w:lang w:val="en-US" w:eastAsia="en-GB"/>
              </w:rPr>
              <w:t>Insert brief explanatory comment on any conditions</w:t>
            </w:r>
          </w:p>
        </w:tc>
        <w:tc>
          <w:tcPr>
            <w:tcW w:w="3410" w:type="dxa"/>
          </w:tcPr>
          <w:p w:rsidR="000C4947" w:rsidRDefault="000C494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 xml:space="preserve">Describe Action(s) </w:t>
            </w:r>
          </w:p>
        </w:tc>
        <w:tc>
          <w:tcPr>
            <w:tcW w:w="1320" w:type="dxa"/>
          </w:tcPr>
          <w:p w:rsidR="000C4947" w:rsidRDefault="000C494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Insert</w:t>
            </w:r>
          </w:p>
        </w:tc>
        <w:tc>
          <w:tcPr>
            <w:tcW w:w="1320" w:type="dxa"/>
          </w:tcPr>
          <w:p w:rsidR="000C4947" w:rsidRDefault="000C494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Insert</w:t>
            </w:r>
          </w:p>
        </w:tc>
        <w:tc>
          <w:tcPr>
            <w:tcW w:w="1320" w:type="dxa"/>
          </w:tcPr>
          <w:p w:rsidR="000C4947" w:rsidRDefault="000C494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Insert</w:t>
            </w:r>
          </w:p>
        </w:tc>
      </w:tr>
      <w:tr w:rsidR="000C4947" w:rsidRPr="00423C34" w:rsidTr="00423C34">
        <w:tc>
          <w:tcPr>
            <w:tcW w:w="3188" w:type="dxa"/>
          </w:tcPr>
          <w:p w:rsidR="000C4947" w:rsidRDefault="000C494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Recommendation 3 (copy/paste from evaluation report)</w:t>
            </w:r>
          </w:p>
        </w:tc>
        <w:tc>
          <w:tcPr>
            <w:tcW w:w="4620" w:type="dxa"/>
          </w:tcPr>
          <w:p w:rsidR="000C4947" w:rsidRPr="00423C34" w:rsidRDefault="000C4947" w:rsidP="00CD6DD4">
            <w:pPr>
              <w:pStyle w:val="Tableheadingcolumn"/>
              <w:rPr>
                <w:color w:val="FF0000"/>
                <w:lang w:val="en-US" w:eastAsia="en-GB"/>
              </w:rPr>
            </w:pPr>
            <w:r w:rsidRPr="00423C34">
              <w:rPr>
                <w:color w:val="008000"/>
                <w:lang w:val="en-US"/>
              </w:rPr>
              <w:t>Accepted</w:t>
            </w:r>
            <w:r w:rsidRPr="00423C34">
              <w:rPr>
                <w:lang w:val="en-US"/>
              </w:rPr>
              <w:t xml:space="preserve">, </w:t>
            </w:r>
            <w:r w:rsidRPr="000C4947">
              <w:rPr>
                <w:color w:val="E36C0A"/>
                <w:lang w:val="en-US"/>
              </w:rPr>
              <w:t>partially accepted</w:t>
            </w:r>
            <w:r w:rsidRPr="00423C34">
              <w:rPr>
                <w:lang w:val="en-US"/>
              </w:rPr>
              <w:t xml:space="preserve"> or </w:t>
            </w:r>
            <w:r w:rsidRPr="00423C34">
              <w:rPr>
                <w:color w:val="FF0000"/>
                <w:lang w:val="en-US"/>
              </w:rPr>
              <w:t>rejected</w:t>
            </w:r>
          </w:p>
          <w:p w:rsidR="000C4947" w:rsidRPr="00423C34" w:rsidRDefault="000C4947" w:rsidP="00CD6DD4">
            <w:pPr>
              <w:pStyle w:val="Tableheadingcolumn"/>
              <w:rPr>
                <w:rFonts w:cs="Arial"/>
                <w:lang w:eastAsia="en-US"/>
              </w:rPr>
            </w:pPr>
            <w:r w:rsidRPr="00423C34">
              <w:rPr>
                <w:lang w:val="en-US" w:eastAsia="en-GB"/>
              </w:rPr>
              <w:t>Insert brief explanatory comment on any conditions</w:t>
            </w:r>
          </w:p>
        </w:tc>
        <w:tc>
          <w:tcPr>
            <w:tcW w:w="3410" w:type="dxa"/>
          </w:tcPr>
          <w:p w:rsidR="000C4947" w:rsidRDefault="000C494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 xml:space="preserve">Describe Action(s) </w:t>
            </w:r>
          </w:p>
        </w:tc>
        <w:tc>
          <w:tcPr>
            <w:tcW w:w="1320" w:type="dxa"/>
          </w:tcPr>
          <w:p w:rsidR="000C4947" w:rsidRDefault="000C494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Insert</w:t>
            </w:r>
          </w:p>
        </w:tc>
        <w:tc>
          <w:tcPr>
            <w:tcW w:w="1320" w:type="dxa"/>
          </w:tcPr>
          <w:p w:rsidR="000C4947" w:rsidRDefault="000C494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Insert</w:t>
            </w:r>
          </w:p>
        </w:tc>
        <w:tc>
          <w:tcPr>
            <w:tcW w:w="1320" w:type="dxa"/>
          </w:tcPr>
          <w:p w:rsidR="000C4947" w:rsidRDefault="000C494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Insert</w:t>
            </w:r>
          </w:p>
        </w:tc>
      </w:tr>
      <w:tr w:rsidR="00AB4588" w:rsidRPr="00423C34" w:rsidTr="00423C34">
        <w:tc>
          <w:tcPr>
            <w:tcW w:w="15178" w:type="dxa"/>
            <w:gridSpan w:val="6"/>
          </w:tcPr>
          <w:p w:rsidR="00AB4588" w:rsidRPr="00423C34" w:rsidRDefault="00AB4588" w:rsidP="00AB4588">
            <w:pPr>
              <w:pStyle w:val="Tableheadingcolumncentred"/>
              <w:rPr>
                <w:rFonts w:cs="Arial"/>
                <w:lang w:eastAsia="en-US"/>
              </w:rPr>
            </w:pPr>
            <w:r>
              <w:t xml:space="preserve">Insert title of section, if any </w:t>
            </w:r>
          </w:p>
        </w:tc>
      </w:tr>
      <w:tr w:rsidR="000C4947" w:rsidRPr="00423C34" w:rsidTr="00423C34">
        <w:tc>
          <w:tcPr>
            <w:tcW w:w="3188" w:type="dxa"/>
          </w:tcPr>
          <w:p w:rsidR="000C4947" w:rsidRDefault="000C494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Recommendation 4 (copy/paste from evaluation report)</w:t>
            </w:r>
          </w:p>
        </w:tc>
        <w:tc>
          <w:tcPr>
            <w:tcW w:w="4620" w:type="dxa"/>
          </w:tcPr>
          <w:p w:rsidR="000C4947" w:rsidRPr="00423C34" w:rsidRDefault="000C4947" w:rsidP="00CD6DD4">
            <w:pPr>
              <w:pStyle w:val="Tableheadingcolumn"/>
              <w:rPr>
                <w:color w:val="FF0000"/>
                <w:lang w:val="en-US" w:eastAsia="en-GB"/>
              </w:rPr>
            </w:pPr>
            <w:r w:rsidRPr="00423C34">
              <w:rPr>
                <w:color w:val="008000"/>
                <w:lang w:val="en-US"/>
              </w:rPr>
              <w:t>Accepted</w:t>
            </w:r>
            <w:r w:rsidRPr="00423C34">
              <w:rPr>
                <w:lang w:val="en-US"/>
              </w:rPr>
              <w:t xml:space="preserve">, </w:t>
            </w:r>
            <w:r w:rsidRPr="000C4947">
              <w:rPr>
                <w:color w:val="E36C0A"/>
                <w:lang w:val="en-US"/>
              </w:rPr>
              <w:t>partially accepted</w:t>
            </w:r>
            <w:r w:rsidRPr="00423C34">
              <w:rPr>
                <w:lang w:val="en-US"/>
              </w:rPr>
              <w:t xml:space="preserve"> or </w:t>
            </w:r>
            <w:r w:rsidRPr="00423C34">
              <w:rPr>
                <w:color w:val="FF0000"/>
                <w:lang w:val="en-US"/>
              </w:rPr>
              <w:t>rejected</w:t>
            </w:r>
          </w:p>
          <w:p w:rsidR="000C4947" w:rsidRPr="00423C34" w:rsidRDefault="000C4947" w:rsidP="00CD6DD4">
            <w:pPr>
              <w:pStyle w:val="Tableheadingcolumn"/>
              <w:rPr>
                <w:rFonts w:cs="Arial"/>
                <w:lang w:eastAsia="en-US"/>
              </w:rPr>
            </w:pPr>
            <w:r w:rsidRPr="00423C34">
              <w:rPr>
                <w:lang w:val="en-US" w:eastAsia="en-GB"/>
              </w:rPr>
              <w:t>Insert brief explanatory comment on any conditions</w:t>
            </w:r>
          </w:p>
        </w:tc>
        <w:tc>
          <w:tcPr>
            <w:tcW w:w="3410" w:type="dxa"/>
          </w:tcPr>
          <w:p w:rsidR="000C4947" w:rsidRDefault="000C494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 xml:space="preserve">Describe Action(s) </w:t>
            </w:r>
          </w:p>
        </w:tc>
        <w:tc>
          <w:tcPr>
            <w:tcW w:w="1320" w:type="dxa"/>
          </w:tcPr>
          <w:p w:rsidR="000C4947" w:rsidRDefault="000C494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Insert</w:t>
            </w:r>
          </w:p>
        </w:tc>
        <w:tc>
          <w:tcPr>
            <w:tcW w:w="1320" w:type="dxa"/>
          </w:tcPr>
          <w:p w:rsidR="000C4947" w:rsidRDefault="000C494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Insert</w:t>
            </w:r>
          </w:p>
        </w:tc>
        <w:tc>
          <w:tcPr>
            <w:tcW w:w="1320" w:type="dxa"/>
          </w:tcPr>
          <w:p w:rsidR="000C4947" w:rsidRDefault="000C494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Insert</w:t>
            </w:r>
          </w:p>
        </w:tc>
      </w:tr>
    </w:tbl>
    <w:p w:rsidR="0003519C" w:rsidRDefault="0003519C" w:rsidP="008544B6">
      <w:pPr>
        <w:rPr>
          <w:rFonts w:cs="Arial"/>
          <w:lang w:eastAsia="en-US"/>
        </w:rPr>
      </w:pPr>
    </w:p>
    <w:p w:rsidR="0046734E" w:rsidRDefault="0046734E" w:rsidP="008544B6">
      <w:pPr>
        <w:rPr>
          <w:rFonts w:cs="Arial"/>
          <w:lang w:eastAsia="en-US"/>
        </w:rPr>
      </w:pPr>
    </w:p>
    <w:p w:rsidR="0046734E" w:rsidRDefault="0046734E" w:rsidP="008544B6">
      <w:pPr>
        <w:rPr>
          <w:rFonts w:cs="Arial"/>
          <w:lang w:eastAsia="en-US"/>
        </w:rPr>
      </w:pPr>
    </w:p>
    <w:p w:rsidR="008544B6" w:rsidRPr="00F65FB2" w:rsidRDefault="006B37A8" w:rsidP="001A70D4">
      <w:pPr>
        <w:pStyle w:val="Titlenotnumberedleft"/>
        <w:rPr>
          <w:lang w:eastAsia="en-US"/>
        </w:rPr>
      </w:pPr>
      <w:r>
        <w:rPr>
          <w:lang w:eastAsia="en-US"/>
        </w:rPr>
        <w:t xml:space="preserve">Format of the </w:t>
      </w:r>
      <w:r w:rsidR="008544B6" w:rsidRPr="00F65FB2">
        <w:rPr>
          <w:lang w:eastAsia="en-US"/>
        </w:rPr>
        <w:t>Follow-up Report</w:t>
      </w:r>
    </w:p>
    <w:p w:rsidR="008544B6" w:rsidRPr="00C82966" w:rsidRDefault="008544B6" w:rsidP="001A70D4">
      <w:pPr>
        <w:rPr>
          <w:lang w:eastAsia="en-US"/>
        </w:rPr>
      </w:pPr>
    </w:p>
    <w:p w:rsidR="003E3EC2" w:rsidRPr="0003519C" w:rsidRDefault="008544B6" w:rsidP="003E3EC2">
      <w:pPr>
        <w:pStyle w:val="Paragraphleft"/>
        <w:rPr>
          <w:lang w:eastAsia="en-US"/>
        </w:rPr>
      </w:pPr>
      <w:r w:rsidRPr="0003519C">
        <w:rPr>
          <w:lang w:eastAsia="en-US"/>
        </w:rPr>
        <w:t xml:space="preserve">A follow-up report must be prepared on </w:t>
      </w:r>
      <w:r w:rsidR="00504F97" w:rsidRPr="0003519C">
        <w:rPr>
          <w:lang w:eastAsia="en-US"/>
        </w:rPr>
        <w:t xml:space="preserve">the </w:t>
      </w:r>
      <w:r w:rsidRPr="0003519C">
        <w:rPr>
          <w:lang w:eastAsia="en-US"/>
        </w:rPr>
        <w:t>implementation of agreed recommendations</w:t>
      </w:r>
      <w:r w:rsidR="00550BCA" w:rsidRPr="0003519C">
        <w:rPr>
          <w:lang w:eastAsia="en-US"/>
        </w:rPr>
        <w:t>, normally</w:t>
      </w:r>
      <w:r w:rsidRPr="0003519C">
        <w:rPr>
          <w:lang w:eastAsia="en-US"/>
        </w:rPr>
        <w:t xml:space="preserve"> by the unit responsible for the original management response</w:t>
      </w:r>
      <w:r w:rsidR="00550BCA" w:rsidRPr="0003519C">
        <w:rPr>
          <w:lang w:eastAsia="en-US"/>
        </w:rPr>
        <w:t>. I</w:t>
      </w:r>
      <w:r w:rsidR="003E3EC2" w:rsidRPr="0003519C">
        <w:rPr>
          <w:lang w:eastAsia="en-US"/>
        </w:rPr>
        <w:t xml:space="preserve">ts purpose is to </w:t>
      </w:r>
      <w:r w:rsidR="00504F97" w:rsidRPr="0003519C">
        <w:rPr>
          <w:lang w:eastAsia="en-US"/>
        </w:rPr>
        <w:t xml:space="preserve">inform about the outcome </w:t>
      </w:r>
      <w:r w:rsidR="00B93D7F" w:rsidRPr="0003519C">
        <w:rPr>
          <w:lang w:eastAsia="en-US"/>
        </w:rPr>
        <w:t xml:space="preserve">and impact </w:t>
      </w:r>
      <w:r w:rsidR="00504F97" w:rsidRPr="0003519C">
        <w:rPr>
          <w:lang w:eastAsia="en-US"/>
        </w:rPr>
        <w:t>of the evaluation</w:t>
      </w:r>
      <w:r w:rsidR="00B93D7F" w:rsidRPr="0003519C">
        <w:rPr>
          <w:lang w:eastAsia="en-US"/>
        </w:rPr>
        <w:t xml:space="preserve">’s recommendations </w:t>
      </w:r>
      <w:r w:rsidR="003E3EC2" w:rsidRPr="0003519C">
        <w:rPr>
          <w:lang w:eastAsia="en-US"/>
        </w:rPr>
        <w:t xml:space="preserve">and, if necessary, account for any variation between actions decided in the </w:t>
      </w:r>
      <w:r w:rsidR="00B12387">
        <w:rPr>
          <w:lang w:eastAsia="en-US"/>
        </w:rPr>
        <w:t>M</w:t>
      </w:r>
      <w:r w:rsidR="003E3EC2" w:rsidRPr="0003519C">
        <w:rPr>
          <w:lang w:eastAsia="en-US"/>
        </w:rPr>
        <w:t xml:space="preserve">anagement </w:t>
      </w:r>
      <w:r w:rsidR="00B12387">
        <w:rPr>
          <w:lang w:eastAsia="en-US"/>
        </w:rPr>
        <w:t>R</w:t>
      </w:r>
      <w:r w:rsidR="003E3EC2" w:rsidRPr="0003519C">
        <w:rPr>
          <w:lang w:eastAsia="en-US"/>
        </w:rPr>
        <w:t xml:space="preserve">esponse and those actually implemented. </w:t>
      </w:r>
      <w:r w:rsidR="00B93D7F" w:rsidRPr="0003519C">
        <w:rPr>
          <w:lang w:eastAsia="en-US"/>
        </w:rPr>
        <w:t xml:space="preserve">The Office of Evaluation has put in-place a monitoring system for requesting the preparation of Follow-up </w:t>
      </w:r>
      <w:r w:rsidR="00B12387">
        <w:rPr>
          <w:lang w:eastAsia="en-US"/>
        </w:rPr>
        <w:t>R</w:t>
      </w:r>
      <w:r w:rsidR="00B93D7F" w:rsidRPr="0003519C">
        <w:rPr>
          <w:lang w:eastAsia="en-US"/>
        </w:rPr>
        <w:t>eports</w:t>
      </w:r>
      <w:r w:rsidR="00FF5E2F">
        <w:rPr>
          <w:lang w:eastAsia="en-US"/>
        </w:rPr>
        <w:t xml:space="preserve"> and contacts</w:t>
      </w:r>
      <w:r w:rsidR="00B12387">
        <w:rPr>
          <w:lang w:eastAsia="en-US"/>
        </w:rPr>
        <w:t xml:space="preserve"> responsible units in due time</w:t>
      </w:r>
      <w:r w:rsidR="00B93D7F" w:rsidRPr="0003519C">
        <w:rPr>
          <w:lang w:eastAsia="en-US"/>
        </w:rPr>
        <w:t>.</w:t>
      </w:r>
    </w:p>
    <w:p w:rsidR="00DA23F1" w:rsidRPr="00C82966" w:rsidRDefault="00DA23F1" w:rsidP="003E3EC2">
      <w:pPr>
        <w:pStyle w:val="Paragraphleft"/>
        <w:rPr>
          <w:lang w:eastAsia="en-US"/>
        </w:rPr>
      </w:pPr>
      <w:r>
        <w:rPr>
          <w:lang w:eastAsia="en-US"/>
        </w:rPr>
        <w:t>The PC at its 103</w:t>
      </w:r>
      <w:r w:rsidRPr="00DA23F1">
        <w:rPr>
          <w:vertAlign w:val="superscript"/>
          <w:lang w:eastAsia="en-US"/>
        </w:rPr>
        <w:t>rd</w:t>
      </w:r>
      <w:r>
        <w:rPr>
          <w:lang w:eastAsia="en-US"/>
        </w:rPr>
        <w:t xml:space="preserve"> session in April 2010 requested that follow up reports to evaluations include “</w:t>
      </w:r>
      <w:r w:rsidRPr="00DA23F1">
        <w:rPr>
          <w:lang w:eastAsia="en-US"/>
        </w:rPr>
        <w:t>the programme and policy impact stemming from the implementation of the recommendations of evaluation</w:t>
      </w:r>
      <w:r>
        <w:rPr>
          <w:lang w:eastAsia="en-US"/>
        </w:rPr>
        <w:t>”. This additional information will contribute to enhance the feed-</w:t>
      </w:r>
      <w:smartTag w:uri="urn:schemas-microsoft-com:office:smarttags" w:element="PersonName">
        <w:r>
          <w:rPr>
            <w:lang w:eastAsia="en-US"/>
          </w:rPr>
          <w:t>back</w:t>
        </w:r>
      </w:smartTag>
      <w:r>
        <w:rPr>
          <w:lang w:eastAsia="en-US"/>
        </w:rPr>
        <w:t xml:space="preserve"> loop between policy and programme implementation and evaluation</w:t>
      </w:r>
      <w:r w:rsidR="00A25428">
        <w:rPr>
          <w:lang w:eastAsia="en-US"/>
        </w:rPr>
        <w:t xml:space="preserve"> and</w:t>
      </w:r>
      <w:r w:rsidR="00C63FC4">
        <w:rPr>
          <w:lang w:eastAsia="en-US"/>
        </w:rPr>
        <w:t xml:space="preserve"> </w:t>
      </w:r>
      <w:r w:rsidR="00662B5D">
        <w:rPr>
          <w:lang w:eastAsia="en-US"/>
        </w:rPr>
        <w:t xml:space="preserve">improve </w:t>
      </w:r>
      <w:r w:rsidR="00C63FC4">
        <w:rPr>
          <w:lang w:eastAsia="en-US"/>
        </w:rPr>
        <w:t>the quality of evaluations</w:t>
      </w:r>
      <w:r>
        <w:rPr>
          <w:lang w:eastAsia="en-US"/>
        </w:rPr>
        <w:t>.</w:t>
      </w:r>
    </w:p>
    <w:p w:rsidR="003E3EC2" w:rsidRDefault="00FF5E2F" w:rsidP="00DA4E6E">
      <w:pPr>
        <w:pStyle w:val="Paragraphleft"/>
        <w:rPr>
          <w:lang w:eastAsia="en-US"/>
        </w:rPr>
      </w:pPr>
      <w:r>
        <w:rPr>
          <w:lang w:eastAsia="en-US"/>
        </w:rPr>
        <w:t>The Follow-up R</w:t>
      </w:r>
      <w:r w:rsidR="008544B6" w:rsidRPr="00C82966">
        <w:rPr>
          <w:lang w:eastAsia="en-US"/>
        </w:rPr>
        <w:t>eport should follow the format below and may be supplemented with additional text as required</w:t>
      </w:r>
      <w:r w:rsidR="008544B6">
        <w:rPr>
          <w:lang w:eastAsia="en-US"/>
        </w:rPr>
        <w:t xml:space="preserve">. </w:t>
      </w:r>
    </w:p>
    <w:p w:rsidR="009674C7" w:rsidRDefault="009674C7" w:rsidP="009674C7">
      <w:pPr>
        <w:rPr>
          <w:rFonts w:cs="Arial"/>
          <w:lang w:eastAsia="en-US"/>
        </w:rPr>
      </w:pPr>
    </w:p>
    <w:p w:rsidR="00223D42" w:rsidRDefault="00223D42" w:rsidP="00223D42">
      <w:pPr>
        <w:pStyle w:val="Headingnotnumbered"/>
        <w:rPr>
          <w:lang w:eastAsia="en-US"/>
        </w:rPr>
      </w:pPr>
      <w:r>
        <w:rPr>
          <w:lang w:eastAsia="en-US"/>
        </w:rPr>
        <w:lastRenderedPageBreak/>
        <w:t>Follow-up report matrix</w:t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9"/>
        <w:gridCol w:w="3549"/>
        <w:gridCol w:w="5720"/>
        <w:gridCol w:w="1430"/>
        <w:gridCol w:w="1980"/>
      </w:tblGrid>
      <w:tr w:rsidR="00D57F0F" w:rsidRPr="00AE0C00" w:rsidTr="00BB2384">
        <w:trPr>
          <w:trHeight w:val="354"/>
        </w:trPr>
        <w:tc>
          <w:tcPr>
            <w:tcW w:w="12868" w:type="dxa"/>
            <w:gridSpan w:val="4"/>
            <w:shd w:val="clear" w:color="auto" w:fill="D9D9D9"/>
          </w:tcPr>
          <w:p w:rsidR="00D57F0F" w:rsidRDefault="00D57F0F" w:rsidP="00D57F0F">
            <w:pPr>
              <w:pStyle w:val="Tableheadingcolumncentred"/>
            </w:pPr>
            <w:r>
              <w:t xml:space="preserve">Follow-up report </w:t>
            </w:r>
            <w:r w:rsidR="00AB4588">
              <w:t>of</w:t>
            </w:r>
            <w:r>
              <w:t xml:space="preserve"> the Management response to the </w:t>
            </w:r>
            <w:r w:rsidR="00AB4588">
              <w:t>(</w:t>
            </w:r>
            <w:r w:rsidR="00B93D7F">
              <w:t>Evaluation title</w:t>
            </w:r>
            <w:r w:rsidR="00AB4588">
              <w:t>)</w:t>
            </w:r>
          </w:p>
        </w:tc>
        <w:tc>
          <w:tcPr>
            <w:tcW w:w="1980" w:type="dxa"/>
            <w:shd w:val="clear" w:color="auto" w:fill="D9D9D9"/>
          </w:tcPr>
          <w:p w:rsidR="00D57F0F" w:rsidRDefault="00D57F0F" w:rsidP="00D57F0F">
            <w:pPr>
              <w:pStyle w:val="Tableheadingcolumncentred"/>
            </w:pPr>
            <w:r>
              <w:t>Date</w:t>
            </w:r>
          </w:p>
        </w:tc>
      </w:tr>
      <w:tr w:rsidR="007A0A0D" w:rsidRPr="007C0D08" w:rsidTr="00BB2384">
        <w:trPr>
          <w:trHeight w:val="354"/>
        </w:trPr>
        <w:tc>
          <w:tcPr>
            <w:tcW w:w="2169" w:type="dxa"/>
            <w:shd w:val="clear" w:color="auto" w:fill="D9D9D9"/>
          </w:tcPr>
          <w:p w:rsidR="007A0A0D" w:rsidRPr="007C0D08" w:rsidRDefault="00BB2384" w:rsidP="00D57F0F">
            <w:pPr>
              <w:pStyle w:val="Tableheadingcolumncentred"/>
            </w:pPr>
            <w:r w:rsidRPr="00423C34">
              <w:rPr>
                <w:lang w:val="en-US"/>
              </w:rPr>
              <w:t>Evaluation Recommendation</w:t>
            </w:r>
          </w:p>
        </w:tc>
        <w:tc>
          <w:tcPr>
            <w:tcW w:w="3549" w:type="dxa"/>
            <w:shd w:val="clear" w:color="auto" w:fill="D9D9D9"/>
          </w:tcPr>
          <w:p w:rsidR="007A0A0D" w:rsidRPr="007C0D08" w:rsidRDefault="007A0A0D" w:rsidP="00D57F0F">
            <w:pPr>
              <w:pStyle w:val="Tableheadingcolumncentred"/>
            </w:pPr>
            <w:r w:rsidRPr="007C0D08">
              <w:t>Action Agreed</w:t>
            </w:r>
          </w:p>
        </w:tc>
        <w:tc>
          <w:tcPr>
            <w:tcW w:w="5720" w:type="dxa"/>
            <w:shd w:val="clear" w:color="auto" w:fill="D9D9D9"/>
          </w:tcPr>
          <w:p w:rsidR="007A0A0D" w:rsidRPr="007C0D08" w:rsidRDefault="007A0A0D" w:rsidP="00D57F0F">
            <w:pPr>
              <w:pStyle w:val="Tableheadingcolumncentred"/>
            </w:pPr>
            <w:r>
              <w:t>Comments on actions taken, including reasons for actions not taken</w:t>
            </w:r>
          </w:p>
        </w:tc>
        <w:tc>
          <w:tcPr>
            <w:tcW w:w="3410" w:type="dxa"/>
            <w:gridSpan w:val="2"/>
            <w:shd w:val="clear" w:color="auto" w:fill="D9D9D9"/>
          </w:tcPr>
          <w:p w:rsidR="007A0A0D" w:rsidRPr="007C0D08" w:rsidRDefault="007A0A0D" w:rsidP="004B6BB8">
            <w:pPr>
              <w:pStyle w:val="Tableheadingcolumncentred"/>
            </w:pPr>
            <w:r>
              <w:t xml:space="preserve">Impact (changes) of actions taken </w:t>
            </w:r>
            <w:r w:rsidR="004B6BB8">
              <w:t>in terms of</w:t>
            </w:r>
            <w:r>
              <w:t xml:space="preserve"> programme, policies and/or procedures</w:t>
            </w:r>
          </w:p>
        </w:tc>
      </w:tr>
      <w:tr w:rsidR="00126617" w:rsidRPr="00AE0C00">
        <w:trPr>
          <w:trHeight w:val="567"/>
        </w:trPr>
        <w:tc>
          <w:tcPr>
            <w:tcW w:w="2169" w:type="dxa"/>
          </w:tcPr>
          <w:p w:rsidR="00126617" w:rsidRDefault="0012661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Recommendation 1 (copy/paste from evaluation report)</w:t>
            </w:r>
          </w:p>
        </w:tc>
        <w:tc>
          <w:tcPr>
            <w:tcW w:w="3549" w:type="dxa"/>
          </w:tcPr>
          <w:p w:rsidR="00126617" w:rsidRDefault="0012661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 xml:space="preserve">Describe Action(s) </w:t>
            </w:r>
          </w:p>
        </w:tc>
        <w:tc>
          <w:tcPr>
            <w:tcW w:w="5720" w:type="dxa"/>
          </w:tcPr>
          <w:p w:rsidR="00126617" w:rsidRDefault="0012661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Insert</w:t>
            </w:r>
          </w:p>
        </w:tc>
        <w:tc>
          <w:tcPr>
            <w:tcW w:w="3410" w:type="dxa"/>
            <w:gridSpan w:val="2"/>
          </w:tcPr>
          <w:p w:rsidR="00126617" w:rsidRDefault="0012661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Insert</w:t>
            </w:r>
          </w:p>
        </w:tc>
      </w:tr>
      <w:tr w:rsidR="00126617" w:rsidRPr="00AE0C00">
        <w:trPr>
          <w:trHeight w:val="567"/>
        </w:trPr>
        <w:tc>
          <w:tcPr>
            <w:tcW w:w="2169" w:type="dxa"/>
          </w:tcPr>
          <w:p w:rsidR="00126617" w:rsidRDefault="0012661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Recommendation 2 (copy/paste from evaluation report)</w:t>
            </w:r>
          </w:p>
        </w:tc>
        <w:tc>
          <w:tcPr>
            <w:tcW w:w="3549" w:type="dxa"/>
          </w:tcPr>
          <w:p w:rsidR="00126617" w:rsidRDefault="0012661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 xml:space="preserve">Describe Action(s) </w:t>
            </w:r>
          </w:p>
        </w:tc>
        <w:tc>
          <w:tcPr>
            <w:tcW w:w="5720" w:type="dxa"/>
          </w:tcPr>
          <w:p w:rsidR="00126617" w:rsidRDefault="0012661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Insert</w:t>
            </w:r>
          </w:p>
        </w:tc>
        <w:tc>
          <w:tcPr>
            <w:tcW w:w="3410" w:type="dxa"/>
            <w:gridSpan w:val="2"/>
          </w:tcPr>
          <w:p w:rsidR="00126617" w:rsidRDefault="00126617" w:rsidP="00CB50D1">
            <w:pPr>
              <w:pStyle w:val="Tableheadingcolumn"/>
              <w:rPr>
                <w:lang w:eastAsia="en-US"/>
              </w:rPr>
            </w:pPr>
            <w:r>
              <w:rPr>
                <w:lang w:eastAsia="en-US"/>
              </w:rPr>
              <w:t>Insert</w:t>
            </w:r>
          </w:p>
        </w:tc>
      </w:tr>
    </w:tbl>
    <w:p w:rsidR="00D35E89" w:rsidRDefault="00D35E89" w:rsidP="00D35E89">
      <w:pPr>
        <w:rPr>
          <w:lang w:eastAsia="en-US"/>
        </w:rPr>
      </w:pPr>
    </w:p>
    <w:p w:rsidR="00D35E89" w:rsidRDefault="00D35E89" w:rsidP="00D35E89">
      <w:pPr>
        <w:rPr>
          <w:lang w:eastAsia="en-US"/>
        </w:rPr>
      </w:pPr>
    </w:p>
    <w:p w:rsidR="00223D42" w:rsidRDefault="00223D42" w:rsidP="00D35E89">
      <w:pPr>
        <w:rPr>
          <w:lang w:eastAsia="en-US"/>
        </w:rPr>
      </w:pPr>
    </w:p>
    <w:p w:rsidR="008544B6" w:rsidRPr="00AE2F75" w:rsidRDefault="008544B6" w:rsidP="001A70D4">
      <w:pPr>
        <w:pStyle w:val="Titlenotnumberedleft"/>
        <w:rPr>
          <w:lang w:eastAsia="en-US"/>
        </w:rPr>
      </w:pPr>
      <w:r>
        <w:rPr>
          <w:lang w:eastAsia="en-US"/>
        </w:rPr>
        <w:t xml:space="preserve">Responsibilities and procedures for </w:t>
      </w:r>
      <w:r w:rsidR="006B37A8">
        <w:rPr>
          <w:lang w:eastAsia="en-US"/>
        </w:rPr>
        <w:t>the M</w:t>
      </w:r>
      <w:r>
        <w:rPr>
          <w:lang w:eastAsia="en-US"/>
        </w:rPr>
        <w:t xml:space="preserve">anagement </w:t>
      </w:r>
      <w:r w:rsidR="006B37A8">
        <w:rPr>
          <w:lang w:eastAsia="en-US"/>
        </w:rPr>
        <w:t>R</w:t>
      </w:r>
      <w:r>
        <w:rPr>
          <w:lang w:eastAsia="en-US"/>
        </w:rPr>
        <w:t xml:space="preserve">esponse and </w:t>
      </w:r>
      <w:r w:rsidR="006B37A8">
        <w:rPr>
          <w:lang w:eastAsia="en-US"/>
        </w:rPr>
        <w:t>the F</w:t>
      </w:r>
      <w:r>
        <w:rPr>
          <w:lang w:eastAsia="en-US"/>
        </w:rPr>
        <w:t xml:space="preserve">ollow-up </w:t>
      </w:r>
      <w:r w:rsidR="006B37A8">
        <w:rPr>
          <w:lang w:eastAsia="en-US"/>
        </w:rPr>
        <w:t>R</w:t>
      </w:r>
      <w:r>
        <w:rPr>
          <w:lang w:eastAsia="en-US"/>
        </w:rPr>
        <w:t>eport</w:t>
      </w:r>
    </w:p>
    <w:p w:rsidR="008544B6" w:rsidRPr="00C82966" w:rsidRDefault="008544B6" w:rsidP="007C0D08">
      <w:pPr>
        <w:rPr>
          <w:lang w:eastAsia="en-US"/>
        </w:rPr>
      </w:pPr>
    </w:p>
    <w:p w:rsidR="005079D9" w:rsidRDefault="008544B6" w:rsidP="00F65FB2">
      <w:pPr>
        <w:pStyle w:val="Paragraphleft"/>
        <w:rPr>
          <w:lang w:eastAsia="en-US"/>
        </w:rPr>
      </w:pPr>
      <w:r w:rsidRPr="00DF3073">
        <w:rPr>
          <w:lang w:eastAsia="en-US"/>
        </w:rPr>
        <w:t xml:space="preserve">The </w:t>
      </w:r>
      <w:r w:rsidR="008D286E" w:rsidRPr="00DF3073">
        <w:rPr>
          <w:lang w:eastAsia="en-US"/>
        </w:rPr>
        <w:t xml:space="preserve">Office of </w:t>
      </w:r>
      <w:r w:rsidRPr="00DF3073">
        <w:rPr>
          <w:lang w:eastAsia="en-US"/>
        </w:rPr>
        <w:t xml:space="preserve">Evaluation </w:t>
      </w:r>
      <w:r w:rsidR="00550BCA" w:rsidRPr="00DF3073">
        <w:rPr>
          <w:lang w:eastAsia="en-US"/>
        </w:rPr>
        <w:t>coordinates the preparation of</w:t>
      </w:r>
      <w:r w:rsidRPr="00DF3073">
        <w:rPr>
          <w:lang w:eastAsia="en-US"/>
        </w:rPr>
        <w:t xml:space="preserve"> </w:t>
      </w:r>
      <w:r w:rsidR="00DF3073">
        <w:rPr>
          <w:lang w:eastAsia="en-US"/>
        </w:rPr>
        <w:t>M</w:t>
      </w:r>
      <w:r w:rsidRPr="00DF3073">
        <w:rPr>
          <w:lang w:eastAsia="en-US"/>
        </w:rPr>
        <w:t xml:space="preserve">anagement </w:t>
      </w:r>
      <w:r w:rsidR="00DF3073">
        <w:rPr>
          <w:lang w:eastAsia="en-US"/>
        </w:rPr>
        <w:t>R</w:t>
      </w:r>
      <w:r w:rsidRPr="00DF3073">
        <w:rPr>
          <w:lang w:eastAsia="en-US"/>
        </w:rPr>
        <w:t xml:space="preserve">esponses and </w:t>
      </w:r>
      <w:r w:rsidR="00DF3073">
        <w:rPr>
          <w:lang w:eastAsia="en-US"/>
        </w:rPr>
        <w:t>F</w:t>
      </w:r>
      <w:r w:rsidRPr="00DF3073">
        <w:rPr>
          <w:lang w:eastAsia="en-US"/>
        </w:rPr>
        <w:t xml:space="preserve">ollow-up </w:t>
      </w:r>
      <w:r w:rsidR="00DF3073">
        <w:rPr>
          <w:lang w:eastAsia="en-US"/>
        </w:rPr>
        <w:t>R</w:t>
      </w:r>
      <w:r w:rsidRPr="00DF3073">
        <w:rPr>
          <w:lang w:eastAsia="en-US"/>
        </w:rPr>
        <w:t>eport</w:t>
      </w:r>
      <w:r w:rsidR="002C573A" w:rsidRPr="00DF3073">
        <w:rPr>
          <w:lang w:eastAsia="en-US"/>
        </w:rPr>
        <w:t xml:space="preserve">s. </w:t>
      </w:r>
      <w:r w:rsidRPr="00DF3073">
        <w:rPr>
          <w:lang w:eastAsia="en-US"/>
        </w:rPr>
        <w:t xml:space="preserve">It will </w:t>
      </w:r>
      <w:r w:rsidR="00574A03" w:rsidRPr="00DF3073">
        <w:rPr>
          <w:lang w:eastAsia="en-US"/>
        </w:rPr>
        <w:t xml:space="preserve">formally request that </w:t>
      </w:r>
      <w:r w:rsidR="00DF3073">
        <w:rPr>
          <w:lang w:eastAsia="en-US"/>
        </w:rPr>
        <w:t>these documents</w:t>
      </w:r>
      <w:r w:rsidR="00574A03" w:rsidRPr="00DF3073">
        <w:rPr>
          <w:lang w:eastAsia="en-US"/>
        </w:rPr>
        <w:t xml:space="preserve"> be prepared</w:t>
      </w:r>
      <w:r w:rsidR="00737638" w:rsidRPr="00DF3073">
        <w:rPr>
          <w:lang w:eastAsia="en-US"/>
        </w:rPr>
        <w:t xml:space="preserve"> and</w:t>
      </w:r>
      <w:r w:rsidR="008D286E" w:rsidRPr="00DF3073">
        <w:rPr>
          <w:lang w:eastAsia="en-US"/>
        </w:rPr>
        <w:t xml:space="preserve"> </w:t>
      </w:r>
      <w:r w:rsidRPr="00DF3073">
        <w:rPr>
          <w:lang w:eastAsia="en-US"/>
        </w:rPr>
        <w:t xml:space="preserve">will check that </w:t>
      </w:r>
      <w:r w:rsidR="00574A03" w:rsidRPr="00DF3073">
        <w:rPr>
          <w:lang w:eastAsia="en-US"/>
        </w:rPr>
        <w:t>the</w:t>
      </w:r>
      <w:r w:rsidR="00DF3073">
        <w:rPr>
          <w:lang w:eastAsia="en-US"/>
        </w:rPr>
        <w:t>y</w:t>
      </w:r>
      <w:r w:rsidRPr="00DF3073">
        <w:rPr>
          <w:lang w:eastAsia="en-US"/>
        </w:rPr>
        <w:t xml:space="preserve"> meet </w:t>
      </w:r>
      <w:r w:rsidRPr="00DF3073">
        <w:t xml:space="preserve">required standards of comprehensiveness and clarity. </w:t>
      </w:r>
      <w:r w:rsidR="00997807" w:rsidRPr="00DF3073">
        <w:t xml:space="preserve">OED will </w:t>
      </w:r>
      <w:r w:rsidR="00574A03" w:rsidRPr="00DF3073">
        <w:t>upload</w:t>
      </w:r>
      <w:r w:rsidR="00997807" w:rsidRPr="00DF3073">
        <w:t xml:space="preserve"> </w:t>
      </w:r>
      <w:r w:rsidR="002C573A" w:rsidRPr="00DF3073">
        <w:t xml:space="preserve">both </w:t>
      </w:r>
      <w:r w:rsidR="00CC3843" w:rsidRPr="00DF3073">
        <w:t>M</w:t>
      </w:r>
      <w:r w:rsidR="002C573A" w:rsidRPr="00DF3073">
        <w:t xml:space="preserve">anagement </w:t>
      </w:r>
      <w:r w:rsidR="00CC3843" w:rsidRPr="00DF3073">
        <w:t>R</w:t>
      </w:r>
      <w:r w:rsidR="002C573A" w:rsidRPr="00DF3073">
        <w:t xml:space="preserve">esponses and </w:t>
      </w:r>
      <w:r w:rsidR="00CC3843" w:rsidRPr="00DF3073">
        <w:t>F</w:t>
      </w:r>
      <w:r w:rsidR="002C573A" w:rsidRPr="00DF3073">
        <w:t xml:space="preserve">ollow-up </w:t>
      </w:r>
      <w:r w:rsidR="00CC3843" w:rsidRPr="00DF3073">
        <w:t>R</w:t>
      </w:r>
      <w:r w:rsidR="002C573A" w:rsidRPr="00DF3073">
        <w:t xml:space="preserve">eports </w:t>
      </w:r>
      <w:r w:rsidRPr="00DF3073">
        <w:t xml:space="preserve">on </w:t>
      </w:r>
      <w:r w:rsidR="00574A03" w:rsidRPr="00DF3073">
        <w:t>its</w:t>
      </w:r>
      <w:r w:rsidRPr="00DF3073">
        <w:t xml:space="preserve"> </w:t>
      </w:r>
      <w:r w:rsidR="00B12387">
        <w:t>W</w:t>
      </w:r>
      <w:r w:rsidRPr="00DF3073">
        <w:t>eb</w:t>
      </w:r>
      <w:r w:rsidR="00B12387">
        <w:t xml:space="preserve"> </w:t>
      </w:r>
      <w:r w:rsidRPr="00DF3073">
        <w:t>site</w:t>
      </w:r>
      <w:r w:rsidR="002664F7" w:rsidRPr="00DF3073">
        <w:t xml:space="preserve"> and in FPMIS</w:t>
      </w:r>
      <w:r w:rsidR="00997807" w:rsidRPr="00DF3073">
        <w:t xml:space="preserve">. </w:t>
      </w:r>
    </w:p>
    <w:p w:rsidR="004D67E5" w:rsidRPr="00DF3073" w:rsidRDefault="004D67E5" w:rsidP="00F65FB2">
      <w:pPr>
        <w:pStyle w:val="Paragraphleft"/>
        <w:rPr>
          <w:lang w:eastAsia="en-US"/>
        </w:rPr>
      </w:pPr>
      <w:r>
        <w:t xml:space="preserve">In preparing Management Responses and Follow-up Reports, consultations should take place with and inputs sought as necessary from parties within and outside FAO to whom the evaluation recommendations were addressed.  </w:t>
      </w:r>
    </w:p>
    <w:p w:rsidR="008544B6" w:rsidRPr="00DF3073" w:rsidRDefault="00737638" w:rsidP="00F65FB2">
      <w:pPr>
        <w:pStyle w:val="Paragraphleft"/>
        <w:rPr>
          <w:lang w:eastAsia="en-US"/>
        </w:rPr>
      </w:pPr>
      <w:r w:rsidRPr="00DF3073">
        <w:rPr>
          <w:lang w:eastAsia="en-US"/>
        </w:rPr>
        <w:t>Operational r</w:t>
      </w:r>
      <w:r w:rsidR="008544B6" w:rsidRPr="00DF3073">
        <w:rPr>
          <w:lang w:eastAsia="en-US"/>
        </w:rPr>
        <w:t>esponsibilities are as follows:</w:t>
      </w:r>
    </w:p>
    <w:p w:rsidR="004D67E5" w:rsidRDefault="00D03D74" w:rsidP="00AE0C00">
      <w:pPr>
        <w:numPr>
          <w:ilvl w:val="1"/>
          <w:numId w:val="9"/>
        </w:numPr>
      </w:pPr>
      <w:r w:rsidRPr="004D67E5">
        <w:rPr>
          <w:rFonts w:cs="Arial"/>
          <w:b/>
          <w:bCs/>
          <w:lang w:eastAsia="en-US"/>
        </w:rPr>
        <w:t>E</w:t>
      </w:r>
      <w:r w:rsidR="008544B6" w:rsidRPr="004D67E5">
        <w:rPr>
          <w:rFonts w:cs="Arial"/>
          <w:b/>
          <w:bCs/>
          <w:lang w:eastAsia="en-US"/>
        </w:rPr>
        <w:t xml:space="preserve">valuation reports </w:t>
      </w:r>
      <w:r w:rsidR="00574A03" w:rsidRPr="004D67E5">
        <w:rPr>
          <w:rFonts w:cs="Arial"/>
          <w:b/>
          <w:bCs/>
          <w:lang w:eastAsia="en-US"/>
        </w:rPr>
        <w:t xml:space="preserve">for </w:t>
      </w:r>
      <w:r w:rsidR="008544B6" w:rsidRPr="004D67E5">
        <w:rPr>
          <w:rFonts w:cs="Arial"/>
          <w:b/>
          <w:bCs/>
          <w:lang w:eastAsia="en-US"/>
        </w:rPr>
        <w:t>the Programme Committee:</w:t>
      </w:r>
      <w:r w:rsidR="008544B6" w:rsidRPr="004D67E5">
        <w:rPr>
          <w:rFonts w:cs="Arial"/>
          <w:bCs/>
          <w:lang w:eastAsia="en-US"/>
        </w:rPr>
        <w:t xml:space="preserve"> </w:t>
      </w:r>
      <w:r w:rsidR="00AB0265" w:rsidRPr="004D67E5">
        <w:rPr>
          <w:rFonts w:cs="Arial"/>
          <w:bCs/>
          <w:lang w:eastAsia="en-US"/>
        </w:rPr>
        <w:t xml:space="preserve">The Evaluation Committee </w:t>
      </w:r>
      <w:r w:rsidR="008544B6" w:rsidRPr="004D67E5">
        <w:rPr>
          <w:rFonts w:cs="Arial"/>
          <w:bCs/>
          <w:lang w:eastAsia="en-US"/>
        </w:rPr>
        <w:t>will designate the senior offic</w:t>
      </w:r>
      <w:r w:rsidR="005079D9" w:rsidRPr="004D67E5">
        <w:rPr>
          <w:rFonts w:cs="Arial"/>
          <w:bCs/>
          <w:lang w:eastAsia="en-US"/>
        </w:rPr>
        <w:t>er</w:t>
      </w:r>
      <w:r w:rsidR="008544B6" w:rsidRPr="004D67E5">
        <w:rPr>
          <w:rFonts w:cs="Arial"/>
          <w:bCs/>
          <w:lang w:eastAsia="en-US"/>
        </w:rPr>
        <w:t xml:space="preserve"> who will have overall responsibility for </w:t>
      </w:r>
      <w:r w:rsidR="00962690" w:rsidRPr="004D67E5">
        <w:rPr>
          <w:rFonts w:cs="Arial"/>
          <w:bCs/>
          <w:lang w:eastAsia="en-US"/>
        </w:rPr>
        <w:t xml:space="preserve">coordinating the </w:t>
      </w:r>
      <w:r w:rsidR="008544B6" w:rsidRPr="004D67E5">
        <w:rPr>
          <w:rFonts w:cs="Arial"/>
          <w:bCs/>
          <w:lang w:eastAsia="en-US"/>
        </w:rPr>
        <w:t>prepar</w:t>
      </w:r>
      <w:r w:rsidR="00962690" w:rsidRPr="004D67E5">
        <w:rPr>
          <w:rFonts w:cs="Arial"/>
          <w:bCs/>
          <w:lang w:eastAsia="en-US"/>
        </w:rPr>
        <w:t>ation of the M</w:t>
      </w:r>
      <w:r w:rsidR="008544B6" w:rsidRPr="004D67E5">
        <w:rPr>
          <w:rFonts w:cs="Arial"/>
          <w:bCs/>
          <w:lang w:eastAsia="en-US"/>
        </w:rPr>
        <w:t xml:space="preserve">anagement </w:t>
      </w:r>
      <w:r w:rsidR="00962690" w:rsidRPr="004D67E5">
        <w:rPr>
          <w:rFonts w:cs="Arial"/>
          <w:bCs/>
          <w:lang w:eastAsia="en-US"/>
        </w:rPr>
        <w:t>R</w:t>
      </w:r>
      <w:r w:rsidR="008544B6" w:rsidRPr="004D67E5">
        <w:rPr>
          <w:rFonts w:cs="Arial"/>
          <w:bCs/>
          <w:lang w:eastAsia="en-US"/>
        </w:rPr>
        <w:t xml:space="preserve">esponse and </w:t>
      </w:r>
      <w:r w:rsidR="00962690" w:rsidRPr="004D67E5">
        <w:rPr>
          <w:rFonts w:cs="Arial"/>
          <w:bCs/>
          <w:lang w:eastAsia="en-US"/>
        </w:rPr>
        <w:t>F</w:t>
      </w:r>
      <w:r w:rsidR="008544B6" w:rsidRPr="004D67E5">
        <w:rPr>
          <w:rFonts w:cs="Arial"/>
          <w:bCs/>
          <w:lang w:eastAsia="en-US"/>
        </w:rPr>
        <w:t xml:space="preserve">ollow-up </w:t>
      </w:r>
      <w:r w:rsidR="00962690" w:rsidRPr="004D67E5">
        <w:rPr>
          <w:rFonts w:cs="Arial"/>
          <w:bCs/>
          <w:lang w:eastAsia="en-US"/>
        </w:rPr>
        <w:t>R</w:t>
      </w:r>
      <w:r w:rsidR="008544B6" w:rsidRPr="004D67E5">
        <w:rPr>
          <w:rFonts w:cs="Arial"/>
          <w:bCs/>
          <w:lang w:eastAsia="en-US"/>
        </w:rPr>
        <w:t xml:space="preserve">eport. </w:t>
      </w:r>
      <w:r w:rsidR="006273B5" w:rsidRPr="004D67E5">
        <w:t>The Management Response and Follow-up Report</w:t>
      </w:r>
      <w:r w:rsidR="003B23D9" w:rsidRPr="004D67E5">
        <w:rPr>
          <w:lang w:eastAsia="en-US"/>
        </w:rPr>
        <w:t xml:space="preserve"> </w:t>
      </w:r>
      <w:r w:rsidR="00962690" w:rsidRPr="004D67E5">
        <w:rPr>
          <w:lang w:eastAsia="en-US"/>
        </w:rPr>
        <w:t xml:space="preserve">should </w:t>
      </w:r>
      <w:r w:rsidR="00997807" w:rsidRPr="004D67E5">
        <w:rPr>
          <w:lang w:eastAsia="en-US"/>
        </w:rPr>
        <w:t xml:space="preserve">be </w:t>
      </w:r>
      <w:r w:rsidR="00962690" w:rsidRPr="004D67E5">
        <w:rPr>
          <w:lang w:eastAsia="en-US"/>
        </w:rPr>
        <w:t>completed within</w:t>
      </w:r>
      <w:r w:rsidR="00997807" w:rsidRPr="004D67E5">
        <w:rPr>
          <w:lang w:eastAsia="en-US"/>
        </w:rPr>
        <w:t xml:space="preserve"> </w:t>
      </w:r>
      <w:r w:rsidR="003452E1" w:rsidRPr="004D67E5">
        <w:rPr>
          <w:b/>
          <w:lang w:eastAsia="en-US"/>
        </w:rPr>
        <w:t xml:space="preserve">four weeks </w:t>
      </w:r>
      <w:r w:rsidR="002C573A" w:rsidRPr="004D67E5">
        <w:rPr>
          <w:lang w:eastAsia="en-US"/>
        </w:rPr>
        <w:t xml:space="preserve">of </w:t>
      </w:r>
      <w:r w:rsidR="00997807" w:rsidRPr="004D67E5">
        <w:rPr>
          <w:lang w:eastAsia="en-US"/>
        </w:rPr>
        <w:t>the request</w:t>
      </w:r>
      <w:r w:rsidR="00962690" w:rsidRPr="004D67E5">
        <w:rPr>
          <w:lang w:eastAsia="en-US"/>
        </w:rPr>
        <w:t xml:space="preserve"> and be sent to OED </w:t>
      </w:r>
      <w:r w:rsidR="00997807" w:rsidRPr="004D67E5">
        <w:rPr>
          <w:lang w:eastAsia="en-US"/>
        </w:rPr>
        <w:t>(see Annex 1</w:t>
      </w:r>
      <w:r w:rsidR="00997807" w:rsidRPr="00967CC8">
        <w:rPr>
          <w:lang w:eastAsia="en-US"/>
        </w:rPr>
        <w:t xml:space="preserve">). </w:t>
      </w:r>
      <w:r w:rsidR="00962690" w:rsidRPr="00967CC8">
        <w:t xml:space="preserve">The Follow-up Report will be </w:t>
      </w:r>
      <w:r w:rsidR="003615E4" w:rsidRPr="00967CC8">
        <w:t xml:space="preserve">submitted to the Programme Committee </w:t>
      </w:r>
      <w:r w:rsidR="00962690" w:rsidRPr="00967CC8">
        <w:rPr>
          <w:b/>
        </w:rPr>
        <w:t>two years</w:t>
      </w:r>
      <w:r w:rsidR="00962690" w:rsidRPr="00967CC8">
        <w:t xml:space="preserve"> after the </w:t>
      </w:r>
      <w:r w:rsidR="003615E4" w:rsidRPr="00967CC8">
        <w:t xml:space="preserve">Evaluation report and its </w:t>
      </w:r>
      <w:r w:rsidR="00962690" w:rsidRPr="00967CC8">
        <w:t>Management Response</w:t>
      </w:r>
      <w:r w:rsidR="003615E4" w:rsidRPr="00967CC8">
        <w:t xml:space="preserve"> have been discussed by the Committee itself</w:t>
      </w:r>
      <w:r w:rsidR="00962690" w:rsidRPr="00967CC8">
        <w:t>.</w:t>
      </w:r>
      <w:r w:rsidR="00962690" w:rsidRPr="004D67E5">
        <w:t xml:space="preserve"> </w:t>
      </w:r>
    </w:p>
    <w:p w:rsidR="008544B6" w:rsidRPr="004D67E5" w:rsidRDefault="008544B6" w:rsidP="00AE0C00">
      <w:pPr>
        <w:numPr>
          <w:ilvl w:val="1"/>
          <w:numId w:val="9"/>
        </w:numPr>
        <w:autoSpaceDE w:val="0"/>
        <w:autoSpaceDN w:val="0"/>
        <w:adjustRightInd w:val="0"/>
        <w:rPr>
          <w:b/>
          <w:bCs/>
        </w:rPr>
      </w:pPr>
      <w:r w:rsidRPr="004D67E5">
        <w:rPr>
          <w:b/>
          <w:bCs/>
        </w:rPr>
        <w:t xml:space="preserve">Project Evaluations: </w:t>
      </w:r>
      <w:r w:rsidR="005079D9" w:rsidRPr="004D67E5">
        <w:rPr>
          <w:bCs/>
        </w:rPr>
        <w:t>T</w:t>
      </w:r>
      <w:r w:rsidRPr="004D67E5">
        <w:t xml:space="preserve">he </w:t>
      </w:r>
      <w:r w:rsidR="005079D9" w:rsidRPr="004D67E5">
        <w:t xml:space="preserve">project </w:t>
      </w:r>
      <w:r w:rsidRPr="004D67E5">
        <w:t xml:space="preserve">Budget Holder </w:t>
      </w:r>
      <w:r w:rsidR="00962690" w:rsidRPr="004D67E5">
        <w:rPr>
          <w:bCs/>
        </w:rPr>
        <w:t>will normally be responsible for coordinating</w:t>
      </w:r>
      <w:r w:rsidR="00962690" w:rsidRPr="004D67E5">
        <w:t xml:space="preserve"> </w:t>
      </w:r>
      <w:r w:rsidR="00E02071" w:rsidRPr="004D67E5">
        <w:t xml:space="preserve">the </w:t>
      </w:r>
      <w:r w:rsidRPr="004D67E5">
        <w:t>prepar</w:t>
      </w:r>
      <w:r w:rsidR="00E02071" w:rsidRPr="004D67E5">
        <w:t>ation of</w:t>
      </w:r>
      <w:r w:rsidRPr="004D67E5">
        <w:t xml:space="preserve"> </w:t>
      </w:r>
      <w:r w:rsidR="005079D9" w:rsidRPr="004D67E5">
        <w:t xml:space="preserve">the </w:t>
      </w:r>
      <w:r w:rsidR="00B27D3E" w:rsidRPr="004D67E5">
        <w:t xml:space="preserve">Management Response and the Follow-up Report </w:t>
      </w:r>
      <w:r w:rsidRPr="004D67E5">
        <w:t xml:space="preserve">to the evaluation. </w:t>
      </w:r>
      <w:r w:rsidR="006273B5" w:rsidRPr="004D67E5">
        <w:t xml:space="preserve">The </w:t>
      </w:r>
      <w:r w:rsidRPr="004D67E5">
        <w:t>Man</w:t>
      </w:r>
      <w:r w:rsidR="00B27D3E" w:rsidRPr="004D67E5">
        <w:t>agement R</w:t>
      </w:r>
      <w:r w:rsidRPr="004D67E5">
        <w:t xml:space="preserve">esponse </w:t>
      </w:r>
      <w:r w:rsidR="00B27D3E" w:rsidRPr="004D67E5">
        <w:t xml:space="preserve">and Follow-up Report </w:t>
      </w:r>
      <w:r w:rsidRPr="004D67E5">
        <w:t xml:space="preserve">should be completed within </w:t>
      </w:r>
      <w:r w:rsidR="00F74B2F" w:rsidRPr="004D67E5">
        <w:rPr>
          <w:b/>
          <w:lang w:eastAsia="en-US"/>
        </w:rPr>
        <w:t>four</w:t>
      </w:r>
      <w:r w:rsidR="003B23D9" w:rsidRPr="004D67E5">
        <w:rPr>
          <w:b/>
          <w:lang w:eastAsia="en-US"/>
        </w:rPr>
        <w:t xml:space="preserve"> weeks</w:t>
      </w:r>
      <w:r w:rsidR="003B23D9" w:rsidRPr="004D67E5">
        <w:rPr>
          <w:lang w:eastAsia="en-US"/>
        </w:rPr>
        <w:t xml:space="preserve"> </w:t>
      </w:r>
      <w:r w:rsidRPr="004D67E5">
        <w:t xml:space="preserve">of the </w:t>
      </w:r>
      <w:r w:rsidR="003B23D9" w:rsidRPr="004D67E5">
        <w:t xml:space="preserve">request </w:t>
      </w:r>
      <w:r w:rsidR="00962690" w:rsidRPr="004D67E5">
        <w:rPr>
          <w:lang w:eastAsia="en-US"/>
        </w:rPr>
        <w:t>and be sent to OED</w:t>
      </w:r>
      <w:r w:rsidRPr="004D67E5">
        <w:t xml:space="preserve">. </w:t>
      </w:r>
      <w:r w:rsidR="00962690" w:rsidRPr="004D67E5">
        <w:t xml:space="preserve">The Follow-up Report will be prepared </w:t>
      </w:r>
      <w:r w:rsidR="00962690" w:rsidRPr="004D67E5">
        <w:rPr>
          <w:b/>
        </w:rPr>
        <w:t>one year</w:t>
      </w:r>
      <w:r w:rsidR="00962690" w:rsidRPr="004D67E5">
        <w:t xml:space="preserve"> after the Management Response. </w:t>
      </w:r>
    </w:p>
    <w:p w:rsidR="004D67E5" w:rsidRDefault="008544B6" w:rsidP="00AE0C00">
      <w:pPr>
        <w:numPr>
          <w:ilvl w:val="1"/>
          <w:numId w:val="9"/>
        </w:numPr>
        <w:autoSpaceDE w:val="0"/>
        <w:autoSpaceDN w:val="0"/>
        <w:adjustRightInd w:val="0"/>
      </w:pPr>
      <w:r w:rsidRPr="004D67E5">
        <w:rPr>
          <w:b/>
          <w:bCs/>
        </w:rPr>
        <w:t>Country Evaluations:</w:t>
      </w:r>
      <w:r w:rsidRPr="004D67E5">
        <w:rPr>
          <w:bCs/>
        </w:rPr>
        <w:t xml:space="preserve"> The FAO</w:t>
      </w:r>
      <w:r w:rsidR="0018072B" w:rsidRPr="004D67E5">
        <w:rPr>
          <w:bCs/>
        </w:rPr>
        <w:t xml:space="preserve"> </w:t>
      </w:r>
      <w:r w:rsidRPr="004D67E5">
        <w:rPr>
          <w:bCs/>
        </w:rPr>
        <w:t>R</w:t>
      </w:r>
      <w:r w:rsidR="0018072B" w:rsidRPr="004D67E5">
        <w:rPr>
          <w:bCs/>
        </w:rPr>
        <w:t>epresentative</w:t>
      </w:r>
      <w:r w:rsidRPr="004D67E5">
        <w:rPr>
          <w:bCs/>
        </w:rPr>
        <w:t xml:space="preserve"> will normally be responsible for</w:t>
      </w:r>
      <w:r w:rsidR="00962690" w:rsidRPr="004D67E5">
        <w:rPr>
          <w:bCs/>
        </w:rPr>
        <w:t xml:space="preserve"> coordinating</w:t>
      </w:r>
      <w:r w:rsidRPr="004D67E5">
        <w:rPr>
          <w:bCs/>
        </w:rPr>
        <w:t xml:space="preserve"> the preparation of the </w:t>
      </w:r>
      <w:r w:rsidR="00E02071" w:rsidRPr="004D67E5">
        <w:rPr>
          <w:bCs/>
        </w:rPr>
        <w:t>M</w:t>
      </w:r>
      <w:r w:rsidRPr="004D67E5">
        <w:rPr>
          <w:bCs/>
        </w:rPr>
        <w:t xml:space="preserve">anagement </w:t>
      </w:r>
      <w:r w:rsidR="00E02071" w:rsidRPr="004D67E5">
        <w:rPr>
          <w:bCs/>
        </w:rPr>
        <w:t>R</w:t>
      </w:r>
      <w:r w:rsidRPr="004D67E5">
        <w:rPr>
          <w:bCs/>
        </w:rPr>
        <w:t xml:space="preserve">esponse and </w:t>
      </w:r>
      <w:r w:rsidR="00E02071" w:rsidRPr="004D67E5">
        <w:rPr>
          <w:bCs/>
        </w:rPr>
        <w:t>the F</w:t>
      </w:r>
      <w:r w:rsidRPr="004D67E5">
        <w:rPr>
          <w:bCs/>
        </w:rPr>
        <w:t xml:space="preserve">ollow-up </w:t>
      </w:r>
      <w:r w:rsidR="00E02071" w:rsidRPr="004D67E5">
        <w:rPr>
          <w:bCs/>
        </w:rPr>
        <w:t>R</w:t>
      </w:r>
      <w:r w:rsidRPr="004D67E5">
        <w:rPr>
          <w:bCs/>
        </w:rPr>
        <w:t>eport</w:t>
      </w:r>
      <w:r w:rsidR="00962690" w:rsidRPr="004D67E5">
        <w:rPr>
          <w:bCs/>
        </w:rPr>
        <w:t xml:space="preserve"> </w:t>
      </w:r>
      <w:r w:rsidR="00962690" w:rsidRPr="004D67E5">
        <w:t>to the evaluatio</w:t>
      </w:r>
      <w:r w:rsidR="00962690" w:rsidRPr="004D67E5">
        <w:rPr>
          <w:bCs/>
        </w:rPr>
        <w:t>n</w:t>
      </w:r>
      <w:r w:rsidRPr="004D67E5">
        <w:rPr>
          <w:b/>
          <w:bCs/>
        </w:rPr>
        <w:t xml:space="preserve">. </w:t>
      </w:r>
      <w:r w:rsidR="00E02071" w:rsidRPr="004D67E5">
        <w:t>The Management Response and Follow-up Report should be completed within</w:t>
      </w:r>
      <w:r w:rsidR="00E02071" w:rsidRPr="004D67E5">
        <w:rPr>
          <w:b/>
        </w:rPr>
        <w:t xml:space="preserve"> </w:t>
      </w:r>
      <w:r w:rsidR="00E02071" w:rsidRPr="004D67E5">
        <w:rPr>
          <w:b/>
          <w:lang w:eastAsia="en-US"/>
        </w:rPr>
        <w:t>four weeks</w:t>
      </w:r>
      <w:r w:rsidR="00E02071" w:rsidRPr="004D67E5">
        <w:t xml:space="preserve"> of the request </w:t>
      </w:r>
      <w:r w:rsidR="00962690" w:rsidRPr="004D67E5">
        <w:t>and sent to</w:t>
      </w:r>
      <w:r w:rsidR="00E02071" w:rsidRPr="004D67E5">
        <w:t xml:space="preserve"> OED. </w:t>
      </w:r>
      <w:r w:rsidR="00962690" w:rsidRPr="004D67E5">
        <w:t>The Follow-up Report will be prepared</w:t>
      </w:r>
      <w:r w:rsidR="00962690" w:rsidRPr="004D67E5">
        <w:rPr>
          <w:b/>
        </w:rPr>
        <w:t xml:space="preserve"> one year</w:t>
      </w:r>
      <w:r w:rsidR="00962690" w:rsidRPr="004D67E5">
        <w:t xml:space="preserve"> after the Management Response.</w:t>
      </w:r>
      <w:r w:rsidR="00E02071" w:rsidRPr="004D67E5">
        <w:t xml:space="preserve"> Governments should be encouraged to provide their own response to the evaluation.</w:t>
      </w:r>
      <w:r w:rsidR="00FF5E2F" w:rsidRPr="004D67E5">
        <w:t xml:space="preserve"> </w:t>
      </w:r>
    </w:p>
    <w:p w:rsidR="005B70F9" w:rsidRPr="004D67E5" w:rsidRDefault="008544B6" w:rsidP="008544B6">
      <w:pPr>
        <w:numPr>
          <w:ilvl w:val="1"/>
          <w:numId w:val="9"/>
        </w:numPr>
        <w:autoSpaceDE w:val="0"/>
        <w:autoSpaceDN w:val="0"/>
        <w:adjustRightInd w:val="0"/>
      </w:pPr>
      <w:r w:rsidRPr="004D67E5">
        <w:rPr>
          <w:b/>
          <w:bCs/>
        </w:rPr>
        <w:t>Evaluations of Emergency</w:t>
      </w:r>
      <w:r w:rsidR="004D67E5" w:rsidRPr="004D67E5">
        <w:rPr>
          <w:b/>
          <w:bCs/>
        </w:rPr>
        <w:t xml:space="preserve"> and Rehabilitation</w:t>
      </w:r>
      <w:r w:rsidRPr="004D67E5">
        <w:rPr>
          <w:b/>
          <w:bCs/>
        </w:rPr>
        <w:t xml:space="preserve"> Programmes and Projects: </w:t>
      </w:r>
      <w:r w:rsidR="00771F79" w:rsidRPr="004D67E5">
        <w:t>The Emergency Operations and Rehabilitation Division will normally be responsible for coordinati</w:t>
      </w:r>
      <w:r w:rsidR="00E95755" w:rsidRPr="004D67E5">
        <w:t>ng</w:t>
      </w:r>
      <w:r w:rsidR="00771F79" w:rsidRPr="004D67E5">
        <w:t xml:space="preserve"> </w:t>
      </w:r>
      <w:r w:rsidRPr="004D67E5">
        <w:t xml:space="preserve">the </w:t>
      </w:r>
      <w:r w:rsidR="00771F79" w:rsidRPr="004D67E5">
        <w:t>preparation of the M</w:t>
      </w:r>
      <w:r w:rsidRPr="004D67E5">
        <w:t xml:space="preserve">anagement response and </w:t>
      </w:r>
      <w:r w:rsidR="00771F79" w:rsidRPr="004D67E5">
        <w:t>F</w:t>
      </w:r>
      <w:r w:rsidRPr="004D67E5">
        <w:t xml:space="preserve">ollow-up </w:t>
      </w:r>
      <w:r w:rsidR="00771F79" w:rsidRPr="004D67E5">
        <w:t>R</w:t>
      </w:r>
      <w:r w:rsidRPr="004D67E5">
        <w:t>epor</w:t>
      </w:r>
      <w:r w:rsidR="00771F79" w:rsidRPr="004D67E5">
        <w:t xml:space="preserve">t. </w:t>
      </w:r>
      <w:r w:rsidR="00E95755" w:rsidRPr="004D67E5">
        <w:t xml:space="preserve">The Management Response and Follow-up Report </w:t>
      </w:r>
      <w:r w:rsidR="00E95755" w:rsidRPr="004D67E5">
        <w:lastRenderedPageBreak/>
        <w:t xml:space="preserve">should be completed within </w:t>
      </w:r>
      <w:r w:rsidR="00E95755" w:rsidRPr="004D67E5">
        <w:rPr>
          <w:b/>
          <w:lang w:eastAsia="en-US"/>
        </w:rPr>
        <w:t>four weeks</w:t>
      </w:r>
      <w:r w:rsidR="00E95755" w:rsidRPr="004D67E5">
        <w:rPr>
          <w:lang w:eastAsia="en-US"/>
        </w:rPr>
        <w:t xml:space="preserve"> </w:t>
      </w:r>
      <w:r w:rsidR="00E95755" w:rsidRPr="004D67E5">
        <w:t xml:space="preserve">of the request and sent to OED. The Follow-up Report will be prepared </w:t>
      </w:r>
      <w:r w:rsidR="00E95755" w:rsidRPr="004D67E5">
        <w:rPr>
          <w:b/>
        </w:rPr>
        <w:t>one year</w:t>
      </w:r>
      <w:r w:rsidR="00E95755" w:rsidRPr="004D67E5">
        <w:t xml:space="preserve"> after the Management Response. </w:t>
      </w:r>
    </w:p>
    <w:p w:rsidR="005B70F9" w:rsidRDefault="005B70F9" w:rsidP="008544B6">
      <w:pPr>
        <w:autoSpaceDE w:val="0"/>
        <w:autoSpaceDN w:val="0"/>
        <w:adjustRightInd w:val="0"/>
      </w:pPr>
    </w:p>
    <w:p w:rsidR="00FD424A" w:rsidRDefault="008E578F" w:rsidP="00BB2384">
      <w:pPr>
        <w:pStyle w:val="Titlenotnumberedleft"/>
      </w:pPr>
      <w:r>
        <w:t>An</w:t>
      </w:r>
      <w:r w:rsidR="00FD424A">
        <w:t>nex</w:t>
      </w:r>
      <w:r w:rsidR="00FD424A" w:rsidRPr="00916059">
        <w:t xml:space="preserve"> 1</w:t>
      </w:r>
      <w:r w:rsidR="00FD424A">
        <w:t>:</w:t>
      </w:r>
      <w:r w:rsidR="00FD424A" w:rsidRPr="00916059">
        <w:t xml:space="preserve"> </w:t>
      </w:r>
      <w:r w:rsidR="00D7020F">
        <w:t xml:space="preserve">Schedule for </w:t>
      </w:r>
      <w:r w:rsidR="006B37A8">
        <w:t xml:space="preserve">the </w:t>
      </w:r>
      <w:r w:rsidR="0018072B">
        <w:t>e</w:t>
      </w:r>
      <w:r w:rsidR="00FD424A" w:rsidRPr="00916059">
        <w:t xml:space="preserve">valuation </w:t>
      </w:r>
      <w:r w:rsidR="0018072B">
        <w:t>m</w:t>
      </w:r>
      <w:r w:rsidR="00FD424A" w:rsidRPr="00916059">
        <w:t xml:space="preserve">anagement </w:t>
      </w:r>
      <w:r w:rsidR="0018072B">
        <w:t>r</w:t>
      </w:r>
      <w:r w:rsidR="00FD424A" w:rsidRPr="00916059">
        <w:t xml:space="preserve">esponses and </w:t>
      </w:r>
      <w:r w:rsidR="0018072B">
        <w:t>f</w:t>
      </w:r>
      <w:r w:rsidR="006B37A8">
        <w:t xml:space="preserve">ollow-up reports to be submitted to </w:t>
      </w:r>
      <w:r w:rsidR="00FD424A" w:rsidRPr="00916059">
        <w:t>the Programme Committee</w:t>
      </w:r>
    </w:p>
    <w:p w:rsidR="00FD424A" w:rsidRDefault="00FD424A" w:rsidP="008544B6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98"/>
        <w:gridCol w:w="2524"/>
        <w:gridCol w:w="1798"/>
      </w:tblGrid>
      <w:tr w:rsidR="008544B6" w:rsidRPr="005B70F9">
        <w:tc>
          <w:tcPr>
            <w:tcW w:w="9898" w:type="dxa"/>
          </w:tcPr>
          <w:p w:rsidR="008544B6" w:rsidRPr="005B70F9" w:rsidRDefault="00FD424A" w:rsidP="008E578F">
            <w:pPr>
              <w:pStyle w:val="Tableheadingcolumncentred"/>
            </w:pPr>
            <w:r w:rsidRPr="005B70F9">
              <w:t>Action</w:t>
            </w:r>
          </w:p>
        </w:tc>
        <w:tc>
          <w:tcPr>
            <w:tcW w:w="2524" w:type="dxa"/>
          </w:tcPr>
          <w:p w:rsidR="008544B6" w:rsidRPr="005B70F9" w:rsidRDefault="008544B6" w:rsidP="008E578F">
            <w:pPr>
              <w:pStyle w:val="Tableheadingcolumncentred"/>
            </w:pPr>
            <w:r w:rsidRPr="005B70F9">
              <w:t>Responsibility</w:t>
            </w:r>
            <w:r w:rsidR="00406F1D" w:rsidRPr="005B70F9">
              <w:t xml:space="preserve"> for action</w:t>
            </w:r>
          </w:p>
        </w:tc>
        <w:tc>
          <w:tcPr>
            <w:tcW w:w="1798" w:type="dxa"/>
          </w:tcPr>
          <w:p w:rsidR="008544B6" w:rsidRPr="005B70F9" w:rsidRDefault="008544B6" w:rsidP="008E578F">
            <w:pPr>
              <w:pStyle w:val="Tableheadingcolumncentred"/>
            </w:pPr>
            <w:r w:rsidRPr="005B70F9">
              <w:t>Deadline before PC</w:t>
            </w:r>
            <w:r w:rsidR="00FA180B">
              <w:t xml:space="preserve"> meeting</w:t>
            </w:r>
          </w:p>
        </w:tc>
      </w:tr>
      <w:tr w:rsidR="008544B6" w:rsidRPr="005B70F9">
        <w:tc>
          <w:tcPr>
            <w:tcW w:w="9898" w:type="dxa"/>
          </w:tcPr>
          <w:p w:rsidR="008544B6" w:rsidRDefault="00201784" w:rsidP="008E578F">
            <w:pPr>
              <w:pStyle w:val="Tableboxleft"/>
            </w:pPr>
            <w:r w:rsidRPr="005B70F9">
              <w:t>T</w:t>
            </w:r>
            <w:r w:rsidR="008544B6" w:rsidRPr="005B70F9">
              <w:t xml:space="preserve">he </w:t>
            </w:r>
            <w:r w:rsidRPr="005B70F9">
              <w:t>Evaluation Committee</w:t>
            </w:r>
            <w:r w:rsidR="008544B6" w:rsidRPr="005B70F9">
              <w:t xml:space="preserve"> will designate the senior offic</w:t>
            </w:r>
            <w:r w:rsidR="00406F1D" w:rsidRPr="005B70F9">
              <w:t>er</w:t>
            </w:r>
            <w:r w:rsidR="008544B6" w:rsidRPr="005B70F9">
              <w:t xml:space="preserve"> who will have overall responsibility for preparing the management response</w:t>
            </w:r>
            <w:r w:rsidR="008E578F">
              <w:t xml:space="preserve"> or </w:t>
            </w:r>
            <w:r w:rsidR="00DB5266">
              <w:t>follow-up</w:t>
            </w:r>
            <w:r w:rsidR="008E578F">
              <w:t xml:space="preserve"> report</w:t>
            </w:r>
            <w:r w:rsidR="008544B6" w:rsidRPr="005B70F9">
              <w:t xml:space="preserve">. </w:t>
            </w:r>
          </w:p>
          <w:p w:rsidR="006C42A5" w:rsidRPr="005B70F9" w:rsidRDefault="006C42A5" w:rsidP="008E578F">
            <w:pPr>
              <w:pStyle w:val="Tableboxleft"/>
            </w:pPr>
          </w:p>
        </w:tc>
        <w:tc>
          <w:tcPr>
            <w:tcW w:w="2524" w:type="dxa"/>
          </w:tcPr>
          <w:p w:rsidR="008544B6" w:rsidRPr="005B70F9" w:rsidRDefault="00D03D74" w:rsidP="008E578F">
            <w:pPr>
              <w:pStyle w:val="Tableboxleft"/>
            </w:pPr>
            <w:r w:rsidRPr="005B70F9">
              <w:t xml:space="preserve">Secretary </w:t>
            </w:r>
            <w:r w:rsidR="00AB0265" w:rsidRPr="005B70F9">
              <w:t>of Evaluation Committee</w:t>
            </w:r>
            <w:r w:rsidRPr="005B70F9">
              <w:t xml:space="preserve"> (Director, OED)</w:t>
            </w:r>
          </w:p>
        </w:tc>
        <w:tc>
          <w:tcPr>
            <w:tcW w:w="1798" w:type="dxa"/>
          </w:tcPr>
          <w:p w:rsidR="008544B6" w:rsidRPr="0046734E" w:rsidRDefault="008E578F" w:rsidP="008E578F">
            <w:pPr>
              <w:pStyle w:val="Tableboxleft"/>
            </w:pPr>
            <w:r w:rsidRPr="0046734E">
              <w:t>14 weeks</w:t>
            </w:r>
          </w:p>
        </w:tc>
      </w:tr>
      <w:tr w:rsidR="008544B6" w:rsidRPr="005B70F9">
        <w:trPr>
          <w:trHeight w:val="547"/>
        </w:trPr>
        <w:tc>
          <w:tcPr>
            <w:tcW w:w="9898" w:type="dxa"/>
          </w:tcPr>
          <w:p w:rsidR="008544B6" w:rsidRDefault="008544B6" w:rsidP="008E578F">
            <w:pPr>
              <w:pStyle w:val="Tableboxleft"/>
            </w:pPr>
            <w:r w:rsidRPr="005B70F9">
              <w:t xml:space="preserve">Final report of the evaluation </w:t>
            </w:r>
            <w:r w:rsidR="003B23D9">
              <w:t>and request</w:t>
            </w:r>
            <w:r w:rsidRPr="005B70F9">
              <w:t xml:space="preserve"> for the management response</w:t>
            </w:r>
            <w:r w:rsidR="00DB5266">
              <w:t xml:space="preserve"> or </w:t>
            </w:r>
            <w:r w:rsidR="002B7E53">
              <w:t>the follow-up report</w:t>
            </w:r>
            <w:r w:rsidR="003B23D9">
              <w:t xml:space="preserve"> </w:t>
            </w:r>
            <w:r w:rsidR="00201784" w:rsidRPr="005B70F9">
              <w:t xml:space="preserve">will be </w:t>
            </w:r>
            <w:r w:rsidRPr="005B70F9">
              <w:t>sent to the senior offic</w:t>
            </w:r>
            <w:r w:rsidR="00406F1D" w:rsidRPr="005B70F9">
              <w:t>er</w:t>
            </w:r>
            <w:r w:rsidRPr="005B70F9">
              <w:t xml:space="preserve"> </w:t>
            </w:r>
            <w:r w:rsidR="00DB5266">
              <w:t>appointed by the Evaluation Committee</w:t>
            </w:r>
            <w:r w:rsidRPr="005B70F9">
              <w:t xml:space="preserve">. </w:t>
            </w:r>
          </w:p>
          <w:p w:rsidR="006C42A5" w:rsidRPr="005B70F9" w:rsidRDefault="006C42A5" w:rsidP="008E578F">
            <w:pPr>
              <w:pStyle w:val="Tableboxleft"/>
            </w:pPr>
          </w:p>
        </w:tc>
        <w:tc>
          <w:tcPr>
            <w:tcW w:w="2524" w:type="dxa"/>
          </w:tcPr>
          <w:p w:rsidR="008544B6" w:rsidRPr="005B70F9" w:rsidRDefault="008D286E" w:rsidP="008E578F">
            <w:pPr>
              <w:pStyle w:val="Tableboxleft"/>
            </w:pPr>
            <w:r w:rsidRPr="005B70F9">
              <w:t xml:space="preserve">Office of </w:t>
            </w:r>
            <w:r w:rsidR="008544B6" w:rsidRPr="005B70F9">
              <w:t xml:space="preserve">Evaluation </w:t>
            </w:r>
          </w:p>
        </w:tc>
        <w:tc>
          <w:tcPr>
            <w:tcW w:w="1798" w:type="dxa"/>
          </w:tcPr>
          <w:p w:rsidR="008544B6" w:rsidRPr="005B70F9" w:rsidRDefault="008544B6" w:rsidP="008E578F">
            <w:pPr>
              <w:pStyle w:val="Tableboxleft"/>
            </w:pPr>
            <w:r w:rsidRPr="005B70F9">
              <w:t>1</w:t>
            </w:r>
            <w:r w:rsidR="007E1F62" w:rsidRPr="005B70F9">
              <w:t>2</w:t>
            </w:r>
            <w:r w:rsidRPr="005B70F9">
              <w:t xml:space="preserve"> weeks</w:t>
            </w:r>
          </w:p>
        </w:tc>
      </w:tr>
      <w:tr w:rsidR="008544B6" w:rsidRPr="005B70F9">
        <w:trPr>
          <w:trHeight w:val="612"/>
        </w:trPr>
        <w:tc>
          <w:tcPr>
            <w:tcW w:w="9898" w:type="dxa"/>
          </w:tcPr>
          <w:p w:rsidR="008544B6" w:rsidRDefault="008544B6" w:rsidP="008E578F">
            <w:pPr>
              <w:pStyle w:val="Tableboxleft"/>
            </w:pPr>
            <w:r w:rsidRPr="005B70F9">
              <w:t>Draft management response</w:t>
            </w:r>
            <w:r w:rsidR="002B7E53">
              <w:t>/follow-up report</w:t>
            </w:r>
            <w:r w:rsidRPr="005B70F9">
              <w:t xml:space="preserve"> </w:t>
            </w:r>
            <w:r w:rsidR="007E1F62" w:rsidRPr="005B70F9">
              <w:t xml:space="preserve">will be </w:t>
            </w:r>
            <w:r w:rsidRPr="005B70F9">
              <w:t xml:space="preserve">provided by the responsible </w:t>
            </w:r>
            <w:r w:rsidR="00406F1D" w:rsidRPr="005B70F9">
              <w:t xml:space="preserve">senior </w:t>
            </w:r>
            <w:r w:rsidRPr="005B70F9">
              <w:t xml:space="preserve">officer to the </w:t>
            </w:r>
            <w:r w:rsidR="00201784" w:rsidRPr="005B70F9">
              <w:t xml:space="preserve">Evaluation Committee </w:t>
            </w:r>
            <w:r w:rsidR="007E1F62" w:rsidRPr="005B70F9">
              <w:t>through the</w:t>
            </w:r>
            <w:r w:rsidRPr="005B70F9">
              <w:t xml:space="preserve"> </w:t>
            </w:r>
            <w:r w:rsidR="004E78E1" w:rsidRPr="005B70F9">
              <w:t xml:space="preserve">Director, Office of </w:t>
            </w:r>
            <w:r w:rsidRPr="005B70F9">
              <w:t>Evaluation</w:t>
            </w:r>
            <w:r w:rsidR="002B7E53">
              <w:t>. A</w:t>
            </w:r>
            <w:r w:rsidRPr="005B70F9">
              <w:t xml:space="preserve">ttention </w:t>
            </w:r>
            <w:r w:rsidR="002B7E53">
              <w:t>will be drawn</w:t>
            </w:r>
            <w:r w:rsidRPr="005B70F9">
              <w:t xml:space="preserve"> to any aspects of the response</w:t>
            </w:r>
            <w:r w:rsidR="002B7E53">
              <w:t>/report</w:t>
            </w:r>
            <w:r w:rsidRPr="005B70F9">
              <w:t xml:space="preserve"> which are controversial.</w:t>
            </w:r>
          </w:p>
          <w:p w:rsidR="006C42A5" w:rsidRPr="005B70F9" w:rsidRDefault="006C42A5" w:rsidP="008E578F">
            <w:pPr>
              <w:pStyle w:val="Tableboxleft"/>
            </w:pPr>
          </w:p>
        </w:tc>
        <w:tc>
          <w:tcPr>
            <w:tcW w:w="2524" w:type="dxa"/>
          </w:tcPr>
          <w:p w:rsidR="008544B6" w:rsidRPr="005B70F9" w:rsidRDefault="008544B6" w:rsidP="008E578F">
            <w:pPr>
              <w:pStyle w:val="Tableboxleft"/>
            </w:pPr>
            <w:r w:rsidRPr="005B70F9">
              <w:t>Designated offic</w:t>
            </w:r>
            <w:r w:rsidR="00406F1D" w:rsidRPr="005B70F9">
              <w:t>er</w:t>
            </w:r>
          </w:p>
        </w:tc>
        <w:tc>
          <w:tcPr>
            <w:tcW w:w="1798" w:type="dxa"/>
          </w:tcPr>
          <w:p w:rsidR="008544B6" w:rsidRPr="005B70F9" w:rsidRDefault="00F74B2F" w:rsidP="008E578F">
            <w:pPr>
              <w:pStyle w:val="Tableboxleft"/>
            </w:pPr>
            <w:r>
              <w:t>8</w:t>
            </w:r>
            <w:r w:rsidR="00406F1D" w:rsidRPr="005B70F9">
              <w:t xml:space="preserve"> </w:t>
            </w:r>
            <w:r w:rsidR="008544B6" w:rsidRPr="005B70F9">
              <w:t>weeks</w:t>
            </w:r>
          </w:p>
        </w:tc>
      </w:tr>
      <w:tr w:rsidR="008544B6" w:rsidRPr="005B70F9">
        <w:tc>
          <w:tcPr>
            <w:tcW w:w="9898" w:type="dxa"/>
          </w:tcPr>
          <w:p w:rsidR="008544B6" w:rsidRDefault="002B7E53" w:rsidP="008E578F">
            <w:pPr>
              <w:pStyle w:val="Tableboxleft"/>
            </w:pPr>
            <w:r>
              <w:t>Comments</w:t>
            </w:r>
            <w:r w:rsidR="008544B6" w:rsidRPr="005B70F9">
              <w:t xml:space="preserve"> by the Evaluation Committee</w:t>
            </w:r>
            <w:r w:rsidR="00A355BF" w:rsidRPr="005B70F9">
              <w:t xml:space="preserve"> to the responsible senior officer.</w:t>
            </w:r>
          </w:p>
          <w:p w:rsidR="006C42A5" w:rsidRPr="005B70F9" w:rsidRDefault="006C42A5" w:rsidP="008E578F">
            <w:pPr>
              <w:pStyle w:val="Tableboxleft"/>
            </w:pPr>
          </w:p>
        </w:tc>
        <w:tc>
          <w:tcPr>
            <w:tcW w:w="2524" w:type="dxa"/>
          </w:tcPr>
          <w:p w:rsidR="008544B6" w:rsidRPr="005B70F9" w:rsidRDefault="00AB0265" w:rsidP="008E578F">
            <w:pPr>
              <w:pStyle w:val="Tableboxleft"/>
            </w:pPr>
            <w:r w:rsidRPr="005B70F9">
              <w:t>Evaluation Committee</w:t>
            </w:r>
          </w:p>
        </w:tc>
        <w:tc>
          <w:tcPr>
            <w:tcW w:w="1798" w:type="dxa"/>
          </w:tcPr>
          <w:p w:rsidR="008544B6" w:rsidRPr="005B70F9" w:rsidRDefault="00F74B2F" w:rsidP="008E578F">
            <w:pPr>
              <w:pStyle w:val="Tableboxleft"/>
            </w:pPr>
            <w:r>
              <w:t>7</w:t>
            </w:r>
            <w:r w:rsidR="00406F1D" w:rsidRPr="005B70F9">
              <w:t xml:space="preserve"> </w:t>
            </w:r>
            <w:r w:rsidR="008544B6" w:rsidRPr="005B70F9">
              <w:t>weeks</w:t>
            </w:r>
          </w:p>
        </w:tc>
      </w:tr>
      <w:tr w:rsidR="008544B6" w:rsidRPr="005B70F9">
        <w:trPr>
          <w:trHeight w:val="427"/>
        </w:trPr>
        <w:tc>
          <w:tcPr>
            <w:tcW w:w="9898" w:type="dxa"/>
          </w:tcPr>
          <w:p w:rsidR="008544B6" w:rsidRDefault="002B7E53" w:rsidP="008E578F">
            <w:pPr>
              <w:pStyle w:val="Tableboxleft"/>
            </w:pPr>
            <w:r>
              <w:t>Forwarding</w:t>
            </w:r>
            <w:r w:rsidR="007E1F62" w:rsidRPr="005B70F9">
              <w:t xml:space="preserve"> of the management response</w:t>
            </w:r>
            <w:r>
              <w:t xml:space="preserve">/follow-up report through </w:t>
            </w:r>
            <w:r w:rsidR="008E578F">
              <w:t>the PC Secretariat</w:t>
            </w:r>
            <w:r w:rsidR="00E329BC">
              <w:t xml:space="preserve"> </w:t>
            </w:r>
            <w:r>
              <w:t>to</w:t>
            </w:r>
            <w:r w:rsidR="007E1F62" w:rsidRPr="005B70F9">
              <w:t xml:space="preserve"> </w:t>
            </w:r>
            <w:r w:rsidR="00201784" w:rsidRPr="005B70F9">
              <w:t xml:space="preserve">ODG </w:t>
            </w:r>
            <w:r>
              <w:t>for clearance before posting</w:t>
            </w:r>
          </w:p>
          <w:p w:rsidR="006C42A5" w:rsidRPr="005B70F9" w:rsidRDefault="006C42A5" w:rsidP="008E578F">
            <w:pPr>
              <w:pStyle w:val="Tableboxleft"/>
            </w:pPr>
          </w:p>
        </w:tc>
        <w:tc>
          <w:tcPr>
            <w:tcW w:w="2524" w:type="dxa"/>
          </w:tcPr>
          <w:p w:rsidR="008544B6" w:rsidRPr="005B70F9" w:rsidRDefault="000E1844" w:rsidP="008E578F">
            <w:pPr>
              <w:pStyle w:val="Tableboxleft"/>
            </w:pPr>
            <w:r w:rsidRPr="005B70F9">
              <w:t>Designated officer</w:t>
            </w:r>
            <w:r>
              <w:t>/OED</w:t>
            </w:r>
          </w:p>
        </w:tc>
        <w:tc>
          <w:tcPr>
            <w:tcW w:w="1798" w:type="dxa"/>
          </w:tcPr>
          <w:p w:rsidR="008544B6" w:rsidRPr="005B70F9" w:rsidRDefault="00F74B2F" w:rsidP="008E578F">
            <w:pPr>
              <w:pStyle w:val="Tableboxleft"/>
            </w:pPr>
            <w:r>
              <w:t>6</w:t>
            </w:r>
            <w:r w:rsidR="00406F1D" w:rsidRPr="005B70F9">
              <w:t xml:space="preserve"> </w:t>
            </w:r>
            <w:r w:rsidR="007E1F62" w:rsidRPr="005B70F9">
              <w:t>weeks</w:t>
            </w:r>
          </w:p>
        </w:tc>
      </w:tr>
    </w:tbl>
    <w:p w:rsidR="008544B6" w:rsidRPr="00AE2A09" w:rsidRDefault="008544B6" w:rsidP="008544B6">
      <w:pPr>
        <w:tabs>
          <w:tab w:val="left" w:pos="-720"/>
        </w:tabs>
        <w:autoSpaceDE w:val="0"/>
        <w:autoSpaceDN w:val="0"/>
        <w:adjustRightInd w:val="0"/>
      </w:pPr>
    </w:p>
    <w:sectPr w:rsidR="008544B6" w:rsidRPr="00AE2A09" w:rsidSect="00AD34E6">
      <w:headerReference w:type="default" r:id="rId8"/>
      <w:footerReference w:type="even" r:id="rId9"/>
      <w:footerReference w:type="default" r:id="rId10"/>
      <w:pgSz w:w="16840" w:h="11907" w:orient="landscape" w:code="9"/>
      <w:pgMar w:top="153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137" w:rsidRDefault="00067137">
      <w:r>
        <w:separator/>
      </w:r>
    </w:p>
  </w:endnote>
  <w:endnote w:type="continuationSeparator" w:id="0">
    <w:p w:rsidR="00067137" w:rsidRDefault="00067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0E2" w:rsidRDefault="008C7658" w:rsidP="003F769D">
    <w:pPr>
      <w:pStyle w:val="Footer"/>
      <w:rPr>
        <w:rStyle w:val="PageNumber"/>
      </w:rPr>
    </w:pPr>
    <w:r>
      <w:rPr>
        <w:rStyle w:val="PageNumber"/>
      </w:rPr>
      <w:fldChar w:fldCharType="begin"/>
    </w:r>
    <w:r w:rsidR="004410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10E2" w:rsidRDefault="004410E2" w:rsidP="003F769D">
    <w:pPr>
      <w:pStyle w:val="Footer"/>
    </w:pPr>
  </w:p>
  <w:p w:rsidR="004410E2" w:rsidRDefault="004410E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0E2" w:rsidRDefault="008C7658" w:rsidP="0046734E">
    <w:pPr>
      <w:pStyle w:val="Footer"/>
    </w:pPr>
    <w:r w:rsidRPr="003F769D">
      <w:rPr>
        <w:rStyle w:val="PageNumber"/>
      </w:rPr>
      <w:fldChar w:fldCharType="begin"/>
    </w:r>
    <w:r w:rsidR="004410E2" w:rsidRPr="003F769D">
      <w:rPr>
        <w:rStyle w:val="PageNumber"/>
      </w:rPr>
      <w:instrText xml:space="preserve"> PAGE </w:instrText>
    </w:r>
    <w:r w:rsidRPr="003F769D">
      <w:rPr>
        <w:rStyle w:val="PageNumber"/>
      </w:rPr>
      <w:fldChar w:fldCharType="separate"/>
    </w:r>
    <w:r w:rsidR="00263136">
      <w:rPr>
        <w:rStyle w:val="PageNumber"/>
      </w:rPr>
      <w:t>1</w:t>
    </w:r>
    <w:r w:rsidRPr="003F769D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137" w:rsidRDefault="00067137">
      <w:r>
        <w:separator/>
      </w:r>
    </w:p>
  </w:footnote>
  <w:footnote w:type="continuationSeparator" w:id="0">
    <w:p w:rsidR="00067137" w:rsidRDefault="00067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0E2" w:rsidRDefault="004410E2" w:rsidP="00B93D7F">
    <w:pPr>
      <w:pStyle w:val="Header"/>
    </w:pPr>
    <w:r>
      <w:t>Responsibilities and procedures for management response</w:t>
    </w:r>
    <w:r w:rsidR="00960887">
      <w:t>s</w:t>
    </w:r>
    <w:r>
      <w:t xml:space="preserve"> and follow-up reports on evaluations, June 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98E"/>
    <w:multiLevelType w:val="hybridMultilevel"/>
    <w:tmpl w:val="6430E414"/>
    <w:lvl w:ilvl="0" w:tplc="B3EC0D52">
      <w:start w:val="1"/>
      <w:numFmt w:val="lowerRoman"/>
      <w:pStyle w:val="Indentnumber"/>
      <w:lvlText w:val="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67D5D"/>
    <w:multiLevelType w:val="hybridMultilevel"/>
    <w:tmpl w:val="788AA178"/>
    <w:lvl w:ilvl="0" w:tplc="F7B68B44">
      <w:start w:val="1"/>
      <w:numFmt w:val="bullet"/>
      <w:pStyle w:val="Inden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D75191"/>
    <w:multiLevelType w:val="hybridMultilevel"/>
    <w:tmpl w:val="66985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32203"/>
    <w:multiLevelType w:val="hybridMultilevel"/>
    <w:tmpl w:val="D390B106"/>
    <w:lvl w:ilvl="0" w:tplc="1B54E522">
      <w:start w:val="1"/>
      <w:numFmt w:val="decimal"/>
      <w:pStyle w:val="Slide"/>
      <w:lvlText w:val="Slide %1."/>
      <w:lvlJc w:val="left"/>
      <w:pPr>
        <w:tabs>
          <w:tab w:val="num" w:pos="2268"/>
        </w:tabs>
        <w:ind w:left="2268" w:hanging="2268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F9256D"/>
    <w:multiLevelType w:val="hybridMultilevel"/>
    <w:tmpl w:val="DB8035EE"/>
    <w:lvl w:ilvl="0" w:tplc="5A640936">
      <w:start w:val="1"/>
      <w:numFmt w:val="lowerLetter"/>
      <w:pStyle w:val="Indentletter"/>
      <w:lvlText w:val="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C3D16"/>
    <w:multiLevelType w:val="hybridMultilevel"/>
    <w:tmpl w:val="5978A34C"/>
    <w:lvl w:ilvl="0" w:tplc="1070FC00">
      <w:start w:val="71"/>
      <w:numFmt w:val="decimal"/>
      <w:pStyle w:val="NumberedParagraph"/>
      <w:lvlText w:val="%1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809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12B29"/>
    <w:multiLevelType w:val="multilevel"/>
    <w:tmpl w:val="742C3E34"/>
    <w:lvl w:ilvl="0">
      <w:start w:val="1"/>
      <w:numFmt w:val="decimal"/>
      <w:lvlText w:val="%1)"/>
      <w:lvlJc w:val="left"/>
      <w:pPr>
        <w:tabs>
          <w:tab w:val="num" w:pos="454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57A50E18"/>
    <w:multiLevelType w:val="hybridMultilevel"/>
    <w:tmpl w:val="C1C647E0"/>
    <w:lvl w:ilvl="0" w:tplc="C06A3A5A">
      <w:start w:val="1"/>
      <w:numFmt w:val="decimal"/>
      <w:pStyle w:val="Paragraphleft"/>
      <w:lvlText w:val="%1."/>
      <w:lvlJc w:val="left"/>
      <w:pPr>
        <w:tabs>
          <w:tab w:val="num" w:pos="851"/>
        </w:tabs>
        <w:ind w:left="0" w:firstLine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8B18E6"/>
    <w:multiLevelType w:val="hybridMultilevel"/>
    <w:tmpl w:val="AF1668C2"/>
    <w:lvl w:ilvl="0" w:tplc="96167346">
      <w:start w:val="1"/>
      <w:numFmt w:val="decimal"/>
      <w:pStyle w:val="Paragraphclassic"/>
      <w:lvlText w:val="%1."/>
      <w:lvlJc w:val="right"/>
      <w:pPr>
        <w:tabs>
          <w:tab w:val="num" w:pos="568"/>
        </w:tabs>
        <w:ind w:left="568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DB7831"/>
    <w:multiLevelType w:val="multilevel"/>
    <w:tmpl w:val="4F64FEB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255"/>
    <w:rsid w:val="0003519C"/>
    <w:rsid w:val="0004019C"/>
    <w:rsid w:val="00040D81"/>
    <w:rsid w:val="00054AFB"/>
    <w:rsid w:val="00057E3F"/>
    <w:rsid w:val="00067137"/>
    <w:rsid w:val="000B4FEE"/>
    <w:rsid w:val="000C4947"/>
    <w:rsid w:val="000C651D"/>
    <w:rsid w:val="000D69E1"/>
    <w:rsid w:val="000E1844"/>
    <w:rsid w:val="001210F4"/>
    <w:rsid w:val="00126617"/>
    <w:rsid w:val="001646F9"/>
    <w:rsid w:val="001711F0"/>
    <w:rsid w:val="0018072B"/>
    <w:rsid w:val="00190870"/>
    <w:rsid w:val="001A70D4"/>
    <w:rsid w:val="001B0CF5"/>
    <w:rsid w:val="001C2164"/>
    <w:rsid w:val="001F58A3"/>
    <w:rsid w:val="001F7AE8"/>
    <w:rsid w:val="00201784"/>
    <w:rsid w:val="00207EAA"/>
    <w:rsid w:val="00223D42"/>
    <w:rsid w:val="00234E3C"/>
    <w:rsid w:val="0024072D"/>
    <w:rsid w:val="00242E7F"/>
    <w:rsid w:val="002438B6"/>
    <w:rsid w:val="00263136"/>
    <w:rsid w:val="002664F7"/>
    <w:rsid w:val="002A4CCF"/>
    <w:rsid w:val="002B27FF"/>
    <w:rsid w:val="002B6E1A"/>
    <w:rsid w:val="002B7E53"/>
    <w:rsid w:val="002B7ECE"/>
    <w:rsid w:val="002C573A"/>
    <w:rsid w:val="002D277D"/>
    <w:rsid w:val="00301241"/>
    <w:rsid w:val="00344B31"/>
    <w:rsid w:val="003452E1"/>
    <w:rsid w:val="003615E4"/>
    <w:rsid w:val="0039360E"/>
    <w:rsid w:val="00397D86"/>
    <w:rsid w:val="003B23D9"/>
    <w:rsid w:val="003E1174"/>
    <w:rsid w:val="003E3EC2"/>
    <w:rsid w:val="003E5DE3"/>
    <w:rsid w:val="003F769D"/>
    <w:rsid w:val="00406F1D"/>
    <w:rsid w:val="004161DD"/>
    <w:rsid w:val="00423C34"/>
    <w:rsid w:val="004323EF"/>
    <w:rsid w:val="004410E2"/>
    <w:rsid w:val="004506CA"/>
    <w:rsid w:val="00464482"/>
    <w:rsid w:val="0046734E"/>
    <w:rsid w:val="00472092"/>
    <w:rsid w:val="004B3B51"/>
    <w:rsid w:val="004B6BB8"/>
    <w:rsid w:val="004D3291"/>
    <w:rsid w:val="004D4A67"/>
    <w:rsid w:val="004D67E5"/>
    <w:rsid w:val="004E78E1"/>
    <w:rsid w:val="00504F97"/>
    <w:rsid w:val="005079D9"/>
    <w:rsid w:val="00532F8E"/>
    <w:rsid w:val="00550BCA"/>
    <w:rsid w:val="0055134F"/>
    <w:rsid w:val="00574A03"/>
    <w:rsid w:val="00590A68"/>
    <w:rsid w:val="005B48B0"/>
    <w:rsid w:val="005B70F9"/>
    <w:rsid w:val="005C3399"/>
    <w:rsid w:val="005D7142"/>
    <w:rsid w:val="005F6EE1"/>
    <w:rsid w:val="00627255"/>
    <w:rsid w:val="006273B5"/>
    <w:rsid w:val="006409B6"/>
    <w:rsid w:val="006426F3"/>
    <w:rsid w:val="00657089"/>
    <w:rsid w:val="00662B5D"/>
    <w:rsid w:val="00677652"/>
    <w:rsid w:val="0068114C"/>
    <w:rsid w:val="00685CA9"/>
    <w:rsid w:val="006B37A8"/>
    <w:rsid w:val="006C42A5"/>
    <w:rsid w:val="007071CB"/>
    <w:rsid w:val="00715812"/>
    <w:rsid w:val="00721339"/>
    <w:rsid w:val="0073402B"/>
    <w:rsid w:val="00737638"/>
    <w:rsid w:val="00771F79"/>
    <w:rsid w:val="00776CA4"/>
    <w:rsid w:val="007A0A0D"/>
    <w:rsid w:val="007A407E"/>
    <w:rsid w:val="007B5CBA"/>
    <w:rsid w:val="007C0D08"/>
    <w:rsid w:val="007C2A66"/>
    <w:rsid w:val="007C4889"/>
    <w:rsid w:val="007D44D1"/>
    <w:rsid w:val="007E1F62"/>
    <w:rsid w:val="007F75B1"/>
    <w:rsid w:val="00850B36"/>
    <w:rsid w:val="008544B6"/>
    <w:rsid w:val="0087182A"/>
    <w:rsid w:val="0089585F"/>
    <w:rsid w:val="008C7658"/>
    <w:rsid w:val="008D286E"/>
    <w:rsid w:val="008E578F"/>
    <w:rsid w:val="009219EE"/>
    <w:rsid w:val="00930ED7"/>
    <w:rsid w:val="00936D6F"/>
    <w:rsid w:val="00943ED4"/>
    <w:rsid w:val="00952320"/>
    <w:rsid w:val="00960887"/>
    <w:rsid w:val="00962690"/>
    <w:rsid w:val="009674C7"/>
    <w:rsid w:val="00967913"/>
    <w:rsid w:val="00967B9D"/>
    <w:rsid w:val="00967CC8"/>
    <w:rsid w:val="00985AAB"/>
    <w:rsid w:val="00997807"/>
    <w:rsid w:val="009A0106"/>
    <w:rsid w:val="009B5485"/>
    <w:rsid w:val="009D0CDA"/>
    <w:rsid w:val="009D213B"/>
    <w:rsid w:val="009E1C59"/>
    <w:rsid w:val="00A00290"/>
    <w:rsid w:val="00A12FD0"/>
    <w:rsid w:val="00A25428"/>
    <w:rsid w:val="00A355BF"/>
    <w:rsid w:val="00A375BF"/>
    <w:rsid w:val="00A5402C"/>
    <w:rsid w:val="00A717AE"/>
    <w:rsid w:val="00AB0265"/>
    <w:rsid w:val="00AB4588"/>
    <w:rsid w:val="00AD2DA2"/>
    <w:rsid w:val="00AD34E6"/>
    <w:rsid w:val="00AE0C00"/>
    <w:rsid w:val="00AE4552"/>
    <w:rsid w:val="00B0767D"/>
    <w:rsid w:val="00B12387"/>
    <w:rsid w:val="00B1527D"/>
    <w:rsid w:val="00B16B97"/>
    <w:rsid w:val="00B26247"/>
    <w:rsid w:val="00B27D3E"/>
    <w:rsid w:val="00B323F7"/>
    <w:rsid w:val="00B35A20"/>
    <w:rsid w:val="00B56690"/>
    <w:rsid w:val="00B85A05"/>
    <w:rsid w:val="00B90483"/>
    <w:rsid w:val="00B93D7F"/>
    <w:rsid w:val="00BB1016"/>
    <w:rsid w:val="00BB2384"/>
    <w:rsid w:val="00BC6D2F"/>
    <w:rsid w:val="00BF55ED"/>
    <w:rsid w:val="00C12B00"/>
    <w:rsid w:val="00C27A51"/>
    <w:rsid w:val="00C55B4D"/>
    <w:rsid w:val="00C63FC4"/>
    <w:rsid w:val="00C870CD"/>
    <w:rsid w:val="00CB50D1"/>
    <w:rsid w:val="00CC3843"/>
    <w:rsid w:val="00CC66C0"/>
    <w:rsid w:val="00CD6DD4"/>
    <w:rsid w:val="00D013B1"/>
    <w:rsid w:val="00D03D74"/>
    <w:rsid w:val="00D11908"/>
    <w:rsid w:val="00D126C3"/>
    <w:rsid w:val="00D35E89"/>
    <w:rsid w:val="00D40605"/>
    <w:rsid w:val="00D57F0F"/>
    <w:rsid w:val="00D7020F"/>
    <w:rsid w:val="00DA23F1"/>
    <w:rsid w:val="00DA4BBD"/>
    <w:rsid w:val="00DA4E6E"/>
    <w:rsid w:val="00DB5266"/>
    <w:rsid w:val="00DE3E21"/>
    <w:rsid w:val="00DF20F8"/>
    <w:rsid w:val="00DF3073"/>
    <w:rsid w:val="00E02071"/>
    <w:rsid w:val="00E27F09"/>
    <w:rsid w:val="00E329BC"/>
    <w:rsid w:val="00E4457D"/>
    <w:rsid w:val="00E81249"/>
    <w:rsid w:val="00E8747C"/>
    <w:rsid w:val="00E95755"/>
    <w:rsid w:val="00EA1D60"/>
    <w:rsid w:val="00EA65A5"/>
    <w:rsid w:val="00EC68E0"/>
    <w:rsid w:val="00EC7159"/>
    <w:rsid w:val="00F32477"/>
    <w:rsid w:val="00F65FB2"/>
    <w:rsid w:val="00F74B2F"/>
    <w:rsid w:val="00F77C4C"/>
    <w:rsid w:val="00F92E3A"/>
    <w:rsid w:val="00FA180B"/>
    <w:rsid w:val="00FD424A"/>
    <w:rsid w:val="00FE2194"/>
    <w:rsid w:val="00FE3DED"/>
    <w:rsid w:val="00FF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AD2DA2"/>
    <w:rPr>
      <w:rFonts w:eastAsia="PMingLiU"/>
      <w:sz w:val="22"/>
      <w:szCs w:val="24"/>
      <w:lang w:val="en-GB" w:eastAsia="zh-TW"/>
    </w:rPr>
  </w:style>
  <w:style w:type="paragraph" w:styleId="Heading1">
    <w:name w:val="heading 1"/>
    <w:basedOn w:val="Normal"/>
    <w:next w:val="Normal"/>
    <w:autoRedefine/>
    <w:qFormat/>
    <w:rsid w:val="00930ED7"/>
    <w:pPr>
      <w:keepNext/>
      <w:numPr>
        <w:numId w:val="1"/>
      </w:numPr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autoRedefine/>
    <w:qFormat/>
    <w:rsid w:val="00930ED7"/>
    <w:pPr>
      <w:keepNext/>
      <w:numPr>
        <w:ilvl w:val="1"/>
        <w:numId w:val="1"/>
      </w:numPr>
      <w:outlineLvl w:val="1"/>
    </w:pPr>
    <w:rPr>
      <w:rFonts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930ED7"/>
    <w:pPr>
      <w:keepNext/>
      <w:numPr>
        <w:ilvl w:val="2"/>
        <w:numId w:val="1"/>
      </w:numPr>
      <w:tabs>
        <w:tab w:val="clear" w:pos="851"/>
      </w:tabs>
      <w:outlineLvl w:val="2"/>
    </w:pPr>
    <w:rPr>
      <w:rFonts w:cs="Arial"/>
      <w:bCs/>
      <w:i/>
      <w:sz w:val="24"/>
      <w:szCs w:val="26"/>
    </w:rPr>
  </w:style>
  <w:style w:type="paragraph" w:styleId="Heading4">
    <w:name w:val="heading 4"/>
    <w:basedOn w:val="Heading3"/>
    <w:next w:val="Normal"/>
    <w:autoRedefine/>
    <w:qFormat/>
    <w:rsid w:val="00930ED7"/>
    <w:pPr>
      <w:numPr>
        <w:ilvl w:val="3"/>
      </w:numPr>
      <w:tabs>
        <w:tab w:val="left" w:pos="567"/>
      </w:tabs>
      <w:outlineLvl w:val="3"/>
    </w:pPr>
    <w:rPr>
      <w:i w:val="0"/>
      <w:iCs/>
      <w:sz w:val="22"/>
      <w:u w:val="single"/>
      <w:lang w:val="es-ES" w:eastAsia="en-GB"/>
    </w:rPr>
  </w:style>
  <w:style w:type="paragraph" w:styleId="Heading5">
    <w:name w:val="heading 5"/>
    <w:basedOn w:val="Normal"/>
    <w:next w:val="Normal"/>
    <w:qFormat/>
    <w:rsid w:val="00930ED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30ED7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930ED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30ED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30ED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autoRedefine/>
    <w:rsid w:val="003F769D"/>
    <w:pPr>
      <w:tabs>
        <w:tab w:val="center" w:pos="4153"/>
        <w:tab w:val="right" w:pos="8306"/>
      </w:tabs>
      <w:ind w:right="360"/>
      <w:jc w:val="center"/>
    </w:pPr>
    <w:rPr>
      <w:noProof/>
      <w:sz w:val="20"/>
      <w:szCs w:val="20"/>
    </w:rPr>
  </w:style>
  <w:style w:type="paragraph" w:styleId="Header">
    <w:name w:val="header"/>
    <w:basedOn w:val="Normal"/>
    <w:autoRedefine/>
    <w:rsid w:val="00930ED7"/>
    <w:rPr>
      <w:sz w:val="20"/>
    </w:rPr>
  </w:style>
  <w:style w:type="paragraph" w:customStyle="1" w:styleId="Titledocument">
    <w:name w:val="Title document"/>
    <w:basedOn w:val="Heading1"/>
    <w:next w:val="Normal"/>
    <w:autoRedefine/>
    <w:rsid w:val="00850B36"/>
    <w:pPr>
      <w:numPr>
        <w:numId w:val="0"/>
      </w:numPr>
      <w:jc w:val="center"/>
    </w:pPr>
    <w:rPr>
      <w:sz w:val="28"/>
    </w:rPr>
  </w:style>
  <w:style w:type="paragraph" w:customStyle="1" w:styleId="Paragraph">
    <w:name w:val="Paragraph"/>
    <w:basedOn w:val="Normal"/>
    <w:next w:val="Normal"/>
    <w:autoRedefine/>
    <w:rsid w:val="00930ED7"/>
    <w:pPr>
      <w:tabs>
        <w:tab w:val="left" w:pos="567"/>
      </w:tabs>
      <w:ind w:left="1134" w:hanging="567"/>
    </w:pPr>
    <w:rPr>
      <w:lang w:val="es-HN"/>
    </w:rPr>
  </w:style>
  <w:style w:type="paragraph" w:customStyle="1" w:styleId="Indentnumber">
    <w:name w:val="Indent number"/>
    <w:basedOn w:val="Normal"/>
    <w:autoRedefine/>
    <w:rsid w:val="00930ED7"/>
    <w:pPr>
      <w:numPr>
        <w:numId w:val="2"/>
      </w:numPr>
      <w:tabs>
        <w:tab w:val="left" w:pos="1134"/>
      </w:tabs>
    </w:pPr>
  </w:style>
  <w:style w:type="paragraph" w:customStyle="1" w:styleId="Indentletter">
    <w:name w:val="Indent letter"/>
    <w:basedOn w:val="Indentnumber"/>
    <w:next w:val="Normal"/>
    <w:autoRedefine/>
    <w:rsid w:val="00DA4E6E"/>
    <w:pPr>
      <w:numPr>
        <w:numId w:val="6"/>
      </w:numPr>
      <w:tabs>
        <w:tab w:val="clear" w:pos="1134"/>
      </w:tabs>
    </w:pPr>
    <w:rPr>
      <w:kern w:val="32"/>
    </w:rPr>
  </w:style>
  <w:style w:type="paragraph" w:customStyle="1" w:styleId="Titlenotnumbered">
    <w:name w:val="Title not numbered"/>
    <w:basedOn w:val="Heading1"/>
    <w:next w:val="Normal"/>
    <w:autoRedefine/>
    <w:rsid w:val="0024072D"/>
    <w:pPr>
      <w:numPr>
        <w:numId w:val="0"/>
      </w:numPr>
      <w:jc w:val="center"/>
    </w:pPr>
    <w:rPr>
      <w:rFonts w:ascii="Times New Roman Bold" w:hAnsi="Times New Roman Bold"/>
      <w:sz w:val="22"/>
      <w:szCs w:val="22"/>
    </w:rPr>
  </w:style>
  <w:style w:type="paragraph" w:customStyle="1" w:styleId="Indent">
    <w:name w:val="Indent"/>
    <w:basedOn w:val="Indentletter"/>
    <w:autoRedefine/>
    <w:rsid w:val="003E1174"/>
    <w:pPr>
      <w:numPr>
        <w:numId w:val="7"/>
      </w:numPr>
    </w:pPr>
  </w:style>
  <w:style w:type="paragraph" w:customStyle="1" w:styleId="Tablebox">
    <w:name w:val="Table box"/>
    <w:basedOn w:val="Normal"/>
    <w:autoRedefine/>
    <w:rsid w:val="00930ED7"/>
    <w:pPr>
      <w:jc w:val="center"/>
    </w:pPr>
    <w:rPr>
      <w:sz w:val="20"/>
    </w:rPr>
  </w:style>
  <w:style w:type="paragraph" w:customStyle="1" w:styleId="Tableheadingrow">
    <w:name w:val="Table heading row"/>
    <w:basedOn w:val="Tablebox"/>
    <w:next w:val="Normal"/>
    <w:autoRedefine/>
    <w:rsid w:val="00930ED7"/>
    <w:pPr>
      <w:jc w:val="left"/>
    </w:pPr>
    <w:rPr>
      <w:b/>
      <w:i/>
    </w:rPr>
  </w:style>
  <w:style w:type="paragraph" w:customStyle="1" w:styleId="Tableheadingcolumn">
    <w:name w:val="Table heading column"/>
    <w:basedOn w:val="Paragraphleft"/>
    <w:autoRedefine/>
    <w:rsid w:val="00930ED7"/>
    <w:pPr>
      <w:numPr>
        <w:numId w:val="0"/>
      </w:numPr>
    </w:pPr>
    <w:rPr>
      <w:b/>
      <w:sz w:val="20"/>
    </w:rPr>
  </w:style>
  <w:style w:type="paragraph" w:customStyle="1" w:styleId="Paragraphleft">
    <w:name w:val="Paragraph left"/>
    <w:basedOn w:val="Paragraph"/>
    <w:autoRedefine/>
    <w:rsid w:val="00930ED7"/>
    <w:pPr>
      <w:numPr>
        <w:numId w:val="3"/>
      </w:numPr>
      <w:tabs>
        <w:tab w:val="clear" w:pos="567"/>
        <w:tab w:val="left" w:pos="284"/>
      </w:tabs>
    </w:pPr>
    <w:rPr>
      <w:lang w:val="en-GB"/>
    </w:rPr>
  </w:style>
  <w:style w:type="paragraph" w:styleId="BalloonText">
    <w:name w:val="Balloon Text"/>
    <w:basedOn w:val="Normal"/>
    <w:semiHidden/>
    <w:unhideWhenUsed/>
    <w:rsid w:val="00B904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90483"/>
    <w:rPr>
      <w:sz w:val="16"/>
      <w:szCs w:val="16"/>
    </w:rPr>
  </w:style>
  <w:style w:type="paragraph" w:styleId="CommentText">
    <w:name w:val="annotation text"/>
    <w:basedOn w:val="Normal"/>
    <w:semiHidden/>
    <w:rsid w:val="00B9048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A407E"/>
    <w:rPr>
      <w:rFonts w:ascii="Times New Roman" w:hAnsi="Times New Roman"/>
      <w:sz w:val="18"/>
      <w:szCs w:val="18"/>
      <w:vertAlign w:val="superscript"/>
    </w:rPr>
  </w:style>
  <w:style w:type="paragraph" w:styleId="FootnoteText">
    <w:name w:val="footnote text"/>
    <w:basedOn w:val="Normal"/>
    <w:autoRedefine/>
    <w:semiHidden/>
    <w:rsid w:val="00B90483"/>
    <w:rPr>
      <w:sz w:val="20"/>
      <w:szCs w:val="20"/>
      <w:lang w:val="es-HN"/>
    </w:rPr>
  </w:style>
  <w:style w:type="character" w:styleId="Hyperlink">
    <w:name w:val="Hyperlink"/>
    <w:basedOn w:val="DefaultParagraphFont"/>
    <w:rsid w:val="00B90483"/>
    <w:rPr>
      <w:color w:val="0000FF"/>
      <w:u w:val="single"/>
    </w:rPr>
  </w:style>
  <w:style w:type="character" w:styleId="PageNumber">
    <w:name w:val="page number"/>
    <w:basedOn w:val="DefaultParagraphFont"/>
    <w:semiHidden/>
    <w:rsid w:val="00B90483"/>
  </w:style>
  <w:style w:type="paragraph" w:styleId="TOC1">
    <w:name w:val="toc 1"/>
    <w:basedOn w:val="Normal"/>
    <w:next w:val="Normal"/>
    <w:autoRedefine/>
    <w:semiHidden/>
    <w:rsid w:val="00B90483"/>
  </w:style>
  <w:style w:type="paragraph" w:styleId="TOC2">
    <w:name w:val="toc 2"/>
    <w:basedOn w:val="Normal"/>
    <w:next w:val="Normal"/>
    <w:autoRedefine/>
    <w:semiHidden/>
    <w:rsid w:val="00B90483"/>
    <w:pPr>
      <w:ind w:left="240"/>
    </w:pPr>
  </w:style>
  <w:style w:type="paragraph" w:styleId="TOC3">
    <w:name w:val="toc 3"/>
    <w:basedOn w:val="Normal"/>
    <w:next w:val="Normal"/>
    <w:autoRedefine/>
    <w:semiHidden/>
    <w:rsid w:val="00B90483"/>
    <w:pPr>
      <w:ind w:left="480"/>
    </w:pPr>
  </w:style>
  <w:style w:type="paragraph" w:customStyle="1" w:styleId="Italic">
    <w:name w:val="Italic"/>
    <w:basedOn w:val="Normal"/>
    <w:next w:val="Normal"/>
    <w:autoRedefine/>
    <w:rsid w:val="009D0CDA"/>
    <w:rPr>
      <w:i/>
    </w:rPr>
  </w:style>
  <w:style w:type="paragraph" w:customStyle="1" w:styleId="Paragraphclassic">
    <w:name w:val="Paragraph classic"/>
    <w:basedOn w:val="Normal"/>
    <w:next w:val="Normal"/>
    <w:autoRedefine/>
    <w:rsid w:val="00C27A51"/>
    <w:pPr>
      <w:numPr>
        <w:numId w:val="8"/>
      </w:numPr>
    </w:pPr>
  </w:style>
  <w:style w:type="character" w:customStyle="1" w:styleId="Footnotereference0">
    <w:name w:val="Footnote reference"/>
    <w:basedOn w:val="FootnoteReference"/>
    <w:rsid w:val="001F7AE8"/>
    <w:rPr>
      <w:rFonts w:ascii="Times New Roman" w:hAnsi="Times New Roman" w:cs="Times New Roman"/>
      <w:dstrike w:val="0"/>
      <w:sz w:val="20"/>
      <w:szCs w:val="20"/>
    </w:rPr>
  </w:style>
  <w:style w:type="paragraph" w:customStyle="1" w:styleId="Footnote">
    <w:name w:val="Footnote"/>
    <w:basedOn w:val="Normal"/>
    <w:link w:val="FootnoteChar"/>
    <w:autoRedefine/>
    <w:rsid w:val="00532F8E"/>
    <w:pPr>
      <w:tabs>
        <w:tab w:val="left" w:pos="284"/>
      </w:tabs>
      <w:ind w:left="284" w:hanging="284"/>
    </w:pPr>
    <w:rPr>
      <w:sz w:val="20"/>
      <w:szCs w:val="20"/>
      <w:lang w:eastAsia="en-GB"/>
    </w:rPr>
  </w:style>
  <w:style w:type="paragraph" w:customStyle="1" w:styleId="Figure">
    <w:name w:val="Figure"/>
    <w:basedOn w:val="Normal"/>
    <w:next w:val="Normal"/>
    <w:autoRedefine/>
    <w:rsid w:val="00930ED7"/>
    <w:pPr>
      <w:tabs>
        <w:tab w:val="num" w:pos="2268"/>
      </w:tabs>
      <w:spacing w:after="60"/>
      <w:ind w:left="2268" w:hanging="2268"/>
    </w:pPr>
    <w:rPr>
      <w:b/>
      <w:bCs/>
      <w:i/>
      <w:iCs/>
      <w:szCs w:val="22"/>
      <w:lang w:val="es-ES"/>
    </w:rPr>
  </w:style>
  <w:style w:type="paragraph" w:customStyle="1" w:styleId="Heading3notnumbered">
    <w:name w:val="Heading 3 not numbered"/>
    <w:basedOn w:val="Heading3"/>
    <w:autoRedefine/>
    <w:rsid w:val="00930ED7"/>
    <w:pPr>
      <w:numPr>
        <w:ilvl w:val="0"/>
        <w:numId w:val="0"/>
      </w:numPr>
      <w:tabs>
        <w:tab w:val="left" w:pos="284"/>
      </w:tabs>
    </w:pPr>
    <w:rPr>
      <w:u w:val="single"/>
    </w:rPr>
  </w:style>
  <w:style w:type="paragraph" w:customStyle="1" w:styleId="Headingnotnumbered">
    <w:name w:val="Heading not numbered"/>
    <w:basedOn w:val="Heading2"/>
    <w:autoRedefine/>
    <w:rsid w:val="00930ED7"/>
    <w:pPr>
      <w:numPr>
        <w:ilvl w:val="0"/>
        <w:numId w:val="0"/>
      </w:numPr>
      <w:tabs>
        <w:tab w:val="left" w:pos="284"/>
      </w:tabs>
      <w:ind w:left="284"/>
    </w:pPr>
    <w:rPr>
      <w:szCs w:val="22"/>
      <w:lang w:val="en-US" w:bidi="he-IL"/>
    </w:rPr>
  </w:style>
  <w:style w:type="paragraph" w:customStyle="1" w:styleId="Slide">
    <w:name w:val="Slide"/>
    <w:basedOn w:val="Figure"/>
    <w:next w:val="Normal"/>
    <w:autoRedefine/>
    <w:rsid w:val="00040D81"/>
    <w:pPr>
      <w:numPr>
        <w:numId w:val="5"/>
      </w:numPr>
    </w:pPr>
  </w:style>
  <w:style w:type="paragraph" w:customStyle="1" w:styleId="Tableboxleft">
    <w:name w:val="Table box left"/>
    <w:basedOn w:val="Tablebox"/>
    <w:link w:val="TableboxleftChar"/>
    <w:autoRedefine/>
    <w:rsid w:val="00967CC8"/>
    <w:pPr>
      <w:jc w:val="left"/>
    </w:pPr>
    <w:rPr>
      <w:szCs w:val="20"/>
    </w:rPr>
  </w:style>
  <w:style w:type="paragraph" w:customStyle="1" w:styleId="Indent-sub">
    <w:name w:val="Indent-sub"/>
    <w:basedOn w:val="Indentletter"/>
    <w:next w:val="Normal"/>
    <w:autoRedefine/>
    <w:rsid w:val="00776CA4"/>
    <w:pPr>
      <w:numPr>
        <w:numId w:val="0"/>
      </w:numPr>
    </w:pPr>
  </w:style>
  <w:style w:type="paragraph" w:customStyle="1" w:styleId="Titlenotrecorded">
    <w:name w:val="Title not recorded"/>
    <w:basedOn w:val="Titlenotnumbered"/>
    <w:next w:val="Normal"/>
    <w:autoRedefine/>
    <w:rsid w:val="00936D6F"/>
    <w:pPr>
      <w:tabs>
        <w:tab w:val="left" w:pos="6820"/>
      </w:tabs>
    </w:pPr>
  </w:style>
  <w:style w:type="paragraph" w:customStyle="1" w:styleId="Box">
    <w:name w:val="Box"/>
    <w:basedOn w:val="Normal"/>
    <w:next w:val="Normal"/>
    <w:autoRedefine/>
    <w:rsid w:val="009219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60"/>
      </w:tabs>
    </w:pPr>
    <w:rPr>
      <w:szCs w:val="20"/>
      <w:lang w:eastAsia="en-GB"/>
    </w:rPr>
  </w:style>
  <w:style w:type="table" w:styleId="TableGrid">
    <w:name w:val="Table Grid"/>
    <w:basedOn w:val="TableNormal"/>
    <w:rsid w:val="008544B6"/>
    <w:rPr>
      <w:rFonts w:eastAsia="PMingLi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notnumberedleft">
    <w:name w:val="Title not numbered left"/>
    <w:basedOn w:val="Titlenotnumbered"/>
    <w:next w:val="Normal"/>
    <w:autoRedefine/>
    <w:rsid w:val="001A70D4"/>
    <w:pPr>
      <w:jc w:val="left"/>
    </w:pPr>
    <w:rPr>
      <w:b w:val="0"/>
      <w:sz w:val="24"/>
    </w:rPr>
  </w:style>
  <w:style w:type="paragraph" w:styleId="CommentSubject">
    <w:name w:val="annotation subject"/>
    <w:basedOn w:val="CommentText"/>
    <w:next w:val="CommentText"/>
    <w:semiHidden/>
    <w:rsid w:val="005B48B0"/>
    <w:rPr>
      <w:b/>
      <w:bCs/>
    </w:rPr>
  </w:style>
  <w:style w:type="paragraph" w:customStyle="1" w:styleId="NumberedParagraph">
    <w:name w:val="Numbered Paragraph"/>
    <w:basedOn w:val="Normal"/>
    <w:link w:val="NumberedParagraphChar"/>
    <w:qFormat/>
    <w:rsid w:val="009B5485"/>
    <w:pPr>
      <w:numPr>
        <w:numId w:val="10"/>
      </w:numPr>
      <w:spacing w:after="160"/>
    </w:pPr>
    <w:rPr>
      <w:rFonts w:eastAsia="SimSun"/>
      <w:lang w:eastAsia="en-US"/>
    </w:rPr>
  </w:style>
  <w:style w:type="character" w:customStyle="1" w:styleId="NumberedParagraphChar">
    <w:name w:val="Numbered Paragraph Char"/>
    <w:basedOn w:val="DefaultParagraphFont"/>
    <w:link w:val="NumberedParagraph"/>
    <w:rsid w:val="009B5485"/>
    <w:rPr>
      <w:lang w:val="en-GB"/>
    </w:rPr>
  </w:style>
  <w:style w:type="character" w:customStyle="1" w:styleId="FootnoteChar">
    <w:name w:val="Footnote Char"/>
    <w:basedOn w:val="DefaultParagraphFont"/>
    <w:link w:val="Footnote"/>
    <w:rsid w:val="00D57F0F"/>
    <w:rPr>
      <w:rFonts w:eastAsia="PMingLiU"/>
      <w:lang w:val="en-GB" w:eastAsia="en-GB"/>
    </w:rPr>
  </w:style>
  <w:style w:type="paragraph" w:customStyle="1" w:styleId="Tableheadingcolumncentred">
    <w:name w:val="Table heading column centred"/>
    <w:basedOn w:val="Normal"/>
    <w:next w:val="Tablebox"/>
    <w:autoRedefine/>
    <w:rsid w:val="00D57F0F"/>
    <w:pPr>
      <w:tabs>
        <w:tab w:val="left" w:pos="9356"/>
      </w:tabs>
      <w:jc w:val="center"/>
    </w:pPr>
    <w:rPr>
      <w:b/>
      <w:bCs/>
      <w:sz w:val="20"/>
      <w:szCs w:val="20"/>
      <w:lang w:eastAsia="en-GB"/>
    </w:rPr>
  </w:style>
  <w:style w:type="character" w:customStyle="1" w:styleId="TableboxleftChar">
    <w:name w:val="Table box left Char"/>
    <w:basedOn w:val="DefaultParagraphFont"/>
    <w:link w:val="Tableboxleft"/>
    <w:rsid w:val="00967CC8"/>
    <w:rPr>
      <w:rFonts w:eastAsia="PMingLiU"/>
      <w:lang w:val="en-GB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azzi\My%20Documents\A%20templates\Normal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79618-AD3B-4AA6-A291-73C1E6FE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Normal1.dot</Template>
  <TotalTime>0</TotalTime>
  <Pages>4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2008</vt:lpstr>
    </vt:vector>
  </TitlesOfParts>
  <Company>FAO of the UN</Company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2008</dc:title>
  <dc:subject/>
  <dc:creator>Aiazzi, Tullia (PBEE)</dc:creator>
  <cp:keywords/>
  <dc:description/>
  <cp:lastModifiedBy>aiazzi, tullia</cp:lastModifiedBy>
  <cp:revision>3</cp:revision>
  <cp:lastPrinted>1601-01-01T00:00:00Z</cp:lastPrinted>
  <dcterms:created xsi:type="dcterms:W3CDTF">2011-09-01T16:58:00Z</dcterms:created>
  <dcterms:modified xsi:type="dcterms:W3CDTF">2011-09-02T06:30:00Z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977505552</vt:i4>
  </property>
  <property fmtid="{D5CDD505-2E9C-101B-9397-08002B2CF9AE}" pid="3" name="_EmailSubject">
    <vt:lpwstr>revised MR format</vt:lpwstr>
  </property>
  <property fmtid="{D5CDD505-2E9C-101B-9397-08002B2CF9AE}" pid="4" name="_AuthorEmail">
    <vt:lpwstr>Tullia.Aiazzi@fao.org</vt:lpwstr>
  </property>
  <property fmtid="{D5CDD505-2E9C-101B-9397-08002B2CF9AE}" pid="5" name="_AuthorEmailDisplayName">
    <vt:lpwstr>Aiazzi, Tullia (OEDD)</vt:lpwstr>
  </property>
  <property fmtid="{D5CDD505-2E9C-101B-9397-08002B2CF9AE}" pid="6" name="_PreviousAdHocReviewCycleID">
    <vt:i4>581791956</vt:i4>
  </property>
  <property fmtid="{D5CDD505-2E9C-101B-9397-08002B2CF9AE}" pid="7" name="_ReviewingToolsShownOnce">
    <vt:lpwstr/>
  </property>
</Properties>
</file>