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11" w:rsidRPr="004F40BB" w:rsidRDefault="00D31F11" w:rsidP="00D31F11">
      <w:pPr>
        <w:jc w:val="center"/>
        <w:rPr>
          <w:rFonts w:ascii="Calibri" w:hAnsi="Calibri"/>
          <w:b/>
          <w:sz w:val="44"/>
          <w:szCs w:val="44"/>
        </w:rPr>
      </w:pPr>
      <w:r w:rsidRPr="004F40BB">
        <w:rPr>
          <w:rFonts w:ascii="Calibri" w:hAnsi="Calibri"/>
          <w:b/>
          <w:sz w:val="36"/>
          <w:szCs w:val="44"/>
        </w:rPr>
        <w:t xml:space="preserve">Communication for Development: meeting today’s </w:t>
      </w:r>
      <w:r w:rsidRPr="004F40BB">
        <w:rPr>
          <w:rFonts w:ascii="Calibri" w:hAnsi="Calibri"/>
          <w:b/>
          <w:sz w:val="36"/>
          <w:szCs w:val="44"/>
        </w:rPr>
        <w:br/>
        <w:t xml:space="preserve">agriculture and rural </w:t>
      </w:r>
      <w:r w:rsidRPr="004F40BB">
        <w:rPr>
          <w:rFonts w:ascii="Calibri" w:hAnsi="Calibri"/>
          <w:b/>
          <w:sz w:val="36"/>
          <w:szCs w:val="36"/>
        </w:rPr>
        <w:t>development challenges</w:t>
      </w:r>
    </w:p>
    <w:p w:rsidR="00466913" w:rsidRPr="00347591" w:rsidRDefault="00466913" w:rsidP="00466913">
      <w:pPr>
        <w:jc w:val="both"/>
      </w:pPr>
    </w:p>
    <w:p w:rsidR="00466913" w:rsidRPr="00D31F11" w:rsidRDefault="00466913" w:rsidP="00D31F11">
      <w:pPr>
        <w:spacing w:after="120" w:line="276" w:lineRule="auto"/>
        <w:ind w:right="283"/>
        <w:jc w:val="both"/>
        <w:rPr>
          <w:rFonts w:asciiTheme="minorHAnsi" w:hAnsiTheme="minorHAnsi"/>
          <w:b/>
        </w:rPr>
      </w:pPr>
      <w:r w:rsidRPr="00D31F11">
        <w:rPr>
          <w:rFonts w:asciiTheme="minorHAnsi" w:hAnsiTheme="minorHAnsi"/>
          <w:b/>
        </w:rPr>
        <w:t>Rationale</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Nowadays communication is increasingly recognized as a driver of change and a key factor of development. Communication for Development (ComDev) is a people-centred communication approach integrating participatory processes and social media, ranging from rural radio to ICTs, and is different from information dissemination or institutional visibility.  </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Present challenges in the agricultural and rural development sector such as climate change and food crises, call for a more systematic use of ComDev methods and tools to ensure equitable access to knowledge and information and the active participation of rural people in development. This entails a reconsideration of the role that ComDev can play, both in the context of agriculture and rural development policies and programmes, as well as at the community level. </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ComDev is directly related to sustainable development, because it contributes to </w:t>
      </w:r>
      <w:r w:rsidR="00234B15" w:rsidRPr="00D31F11">
        <w:rPr>
          <w:rFonts w:asciiTheme="minorHAnsi" w:hAnsiTheme="minorHAnsi"/>
        </w:rPr>
        <w:t xml:space="preserve">the </w:t>
      </w:r>
      <w:r w:rsidRPr="00D31F11">
        <w:rPr>
          <w:rFonts w:asciiTheme="minorHAnsi" w:hAnsiTheme="minorHAnsi"/>
        </w:rPr>
        <w:t xml:space="preserve">participation and social appropriation of the development process. Rural programmes and projects that are implemented with ComDev components guarantee participation and thus prompt ownership of development objectives. If communities take leadership and ownership </w:t>
      </w:r>
      <w:r w:rsidR="00425C8A" w:rsidRPr="00D31F11">
        <w:rPr>
          <w:rFonts w:asciiTheme="minorHAnsi" w:hAnsiTheme="minorHAnsi"/>
        </w:rPr>
        <w:t>of</w:t>
      </w:r>
      <w:r w:rsidRPr="00D31F11">
        <w:rPr>
          <w:rFonts w:asciiTheme="minorHAnsi" w:hAnsiTheme="minorHAnsi"/>
        </w:rPr>
        <w:t xml:space="preserve"> programmes and projects intended to improve their lives, those programmes are likely to be more sustainable once  external technical assistance has withdrawn. </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Acknowledging the importance of </w:t>
      </w:r>
      <w:r w:rsidR="00234B15" w:rsidRPr="00D31F11">
        <w:rPr>
          <w:rFonts w:asciiTheme="minorHAnsi" w:hAnsiTheme="minorHAnsi"/>
        </w:rPr>
        <w:t>ComDev</w:t>
      </w:r>
      <w:r w:rsidRPr="00D31F11">
        <w:rPr>
          <w:rFonts w:asciiTheme="minorHAnsi" w:hAnsiTheme="minorHAnsi"/>
        </w:rPr>
        <w:t xml:space="preserve">, in July 2008, during the 63rd period of sessions of the General Assembly, the Secretary General of the United Nations transmitted the report “Communication for Development Programmes within the United Nations System”, presented by the Director General of UNESCO in conformity with Resolution 50/130 of the General Assembly.  </w:t>
      </w:r>
    </w:p>
    <w:p w:rsidR="00466913" w:rsidRPr="00D31F11" w:rsidRDefault="00466913" w:rsidP="00D31F11">
      <w:pPr>
        <w:pStyle w:val="HTMLPreformatted"/>
        <w:spacing w:after="240" w:line="252" w:lineRule="auto"/>
        <w:ind w:right="283"/>
        <w:jc w:val="both"/>
        <w:rPr>
          <w:rFonts w:asciiTheme="minorHAnsi" w:eastAsia="Times New Roman" w:hAnsiTheme="minorHAnsi"/>
          <w:sz w:val="24"/>
          <w:szCs w:val="24"/>
          <w:lang w:val="en-GB"/>
        </w:rPr>
      </w:pPr>
      <w:r w:rsidRPr="00D31F11">
        <w:rPr>
          <w:rFonts w:asciiTheme="minorHAnsi" w:eastAsia="Times New Roman" w:hAnsiTheme="minorHAnsi"/>
          <w:sz w:val="24"/>
          <w:szCs w:val="24"/>
          <w:lang w:val="en-GB"/>
        </w:rPr>
        <w:t>This resolution makes clear recommenda</w:t>
      </w:r>
      <w:r w:rsidR="00234B15" w:rsidRPr="00D31F11">
        <w:rPr>
          <w:rFonts w:asciiTheme="minorHAnsi" w:eastAsia="Times New Roman" w:hAnsiTheme="minorHAnsi"/>
          <w:sz w:val="24"/>
          <w:szCs w:val="24"/>
          <w:lang w:val="en-GB"/>
        </w:rPr>
        <w:t>tions to UN agencies and organiz</w:t>
      </w:r>
      <w:r w:rsidRPr="00D31F11">
        <w:rPr>
          <w:rFonts w:asciiTheme="minorHAnsi" w:eastAsia="Times New Roman" w:hAnsiTheme="minorHAnsi"/>
          <w:sz w:val="24"/>
          <w:szCs w:val="24"/>
          <w:lang w:val="en-GB"/>
        </w:rPr>
        <w:t>ations on the institutionali</w:t>
      </w:r>
      <w:r w:rsidR="00234B15" w:rsidRPr="00D31F11">
        <w:rPr>
          <w:rFonts w:asciiTheme="minorHAnsi" w:eastAsia="Times New Roman" w:hAnsiTheme="minorHAnsi"/>
          <w:sz w:val="24"/>
          <w:szCs w:val="24"/>
          <w:lang w:val="en-GB"/>
        </w:rPr>
        <w:t>z</w:t>
      </w:r>
      <w:r w:rsidRPr="00D31F11">
        <w:rPr>
          <w:rFonts w:asciiTheme="minorHAnsi" w:eastAsia="Times New Roman" w:hAnsiTheme="minorHAnsi"/>
          <w:sz w:val="24"/>
          <w:szCs w:val="24"/>
          <w:lang w:val="en-GB"/>
        </w:rPr>
        <w:t xml:space="preserve">ation of ComDev: </w:t>
      </w:r>
    </w:p>
    <w:p w:rsidR="00466913" w:rsidRPr="00D31F11" w:rsidRDefault="00466913" w:rsidP="00D31F11">
      <w:pPr>
        <w:pStyle w:val="HTMLPreformatted"/>
        <w:tabs>
          <w:tab w:val="clear" w:pos="916"/>
        </w:tabs>
        <w:ind w:left="426" w:right="283"/>
        <w:jc w:val="both"/>
        <w:rPr>
          <w:rFonts w:asciiTheme="minorHAnsi" w:eastAsia="Times New Roman" w:hAnsiTheme="minorHAnsi"/>
          <w:sz w:val="24"/>
          <w:szCs w:val="24"/>
          <w:lang w:val="en-GB"/>
        </w:rPr>
      </w:pPr>
      <w:r w:rsidRPr="00D31F11">
        <w:rPr>
          <w:rFonts w:asciiTheme="minorHAnsi" w:eastAsia="Times New Roman" w:hAnsiTheme="minorHAnsi"/>
          <w:sz w:val="24"/>
          <w:szCs w:val="24"/>
          <w:lang w:val="en-GB"/>
        </w:rPr>
        <w:t>“Encourages the relevant agencies, organizations, funds and programmes of the United Nations system, including the regional commissions, as appropriate, to use informal mechanisms such as round-table conferences to improve communication for development programmes in the United Nations system</w:t>
      </w:r>
      <w:r w:rsidR="009E77E7" w:rsidRPr="00D31F11">
        <w:rPr>
          <w:rFonts w:asciiTheme="minorHAnsi" w:eastAsia="Times New Roman" w:hAnsiTheme="minorHAnsi"/>
          <w:sz w:val="24"/>
          <w:szCs w:val="24"/>
          <w:lang w:val="en-GB"/>
        </w:rPr>
        <w:t>”</w:t>
      </w:r>
      <w:r w:rsidRPr="00D31F11">
        <w:rPr>
          <w:rFonts w:asciiTheme="minorHAnsi" w:eastAsia="Times New Roman" w:hAnsiTheme="minorHAnsi"/>
          <w:sz w:val="24"/>
          <w:szCs w:val="24"/>
          <w:lang w:val="en-GB"/>
        </w:rPr>
        <w:t xml:space="preserve">;   </w:t>
      </w:r>
    </w:p>
    <w:p w:rsidR="00466913" w:rsidRPr="00D31F11" w:rsidRDefault="00466913" w:rsidP="00D31F11">
      <w:pPr>
        <w:pStyle w:val="HTMLPreformatted"/>
        <w:tabs>
          <w:tab w:val="clear" w:pos="916"/>
        </w:tabs>
        <w:ind w:left="426" w:right="283"/>
        <w:rPr>
          <w:rFonts w:asciiTheme="minorHAnsi" w:eastAsia="Times New Roman" w:hAnsiTheme="minorHAnsi"/>
          <w:sz w:val="24"/>
          <w:szCs w:val="24"/>
          <w:lang w:val="en-GB"/>
        </w:rPr>
      </w:pPr>
    </w:p>
    <w:p w:rsidR="00466913" w:rsidRPr="00D31F11" w:rsidRDefault="00466913" w:rsidP="00D31F11">
      <w:pPr>
        <w:pStyle w:val="HTMLPreformatted"/>
        <w:tabs>
          <w:tab w:val="clear" w:pos="916"/>
        </w:tabs>
        <w:ind w:left="426" w:right="283"/>
        <w:jc w:val="both"/>
        <w:rPr>
          <w:rFonts w:asciiTheme="minorHAnsi" w:eastAsia="Times New Roman" w:hAnsiTheme="minorHAnsi"/>
          <w:sz w:val="24"/>
          <w:szCs w:val="24"/>
          <w:lang w:val="en-GB"/>
        </w:rPr>
      </w:pPr>
      <w:r w:rsidRPr="00D31F11">
        <w:rPr>
          <w:rFonts w:asciiTheme="minorHAnsi" w:eastAsia="Times New Roman" w:hAnsiTheme="minorHAnsi"/>
          <w:sz w:val="24"/>
          <w:szCs w:val="24"/>
          <w:lang w:val="en-GB"/>
        </w:rPr>
        <w:t>“Emphasizes the need for the relevant agencies, organizations, funds and programmes of the United Nations system to develop a systematic approach to capacity-building in the development of communication capacities, particularly with respect to the training of field workers and development workers and technicians as well as communication planners and specialists, especially in the developing countries</w:t>
      </w:r>
      <w:r w:rsidR="009E77E7" w:rsidRPr="00D31F11">
        <w:rPr>
          <w:rFonts w:asciiTheme="minorHAnsi" w:eastAsia="Times New Roman" w:hAnsiTheme="minorHAnsi"/>
          <w:sz w:val="24"/>
          <w:szCs w:val="24"/>
          <w:lang w:val="en-GB"/>
        </w:rPr>
        <w:t>”</w:t>
      </w:r>
      <w:r w:rsidRPr="00D31F11">
        <w:rPr>
          <w:rFonts w:asciiTheme="minorHAnsi" w:eastAsia="Times New Roman" w:hAnsiTheme="minorHAnsi"/>
          <w:sz w:val="24"/>
          <w:szCs w:val="24"/>
          <w:lang w:val="en-GB"/>
        </w:rPr>
        <w:t xml:space="preserve">;        </w:t>
      </w:r>
    </w:p>
    <w:p w:rsidR="00466913" w:rsidRDefault="00466913" w:rsidP="00D31F11">
      <w:pPr>
        <w:pStyle w:val="HTMLPreformatted"/>
        <w:tabs>
          <w:tab w:val="clear" w:pos="916"/>
        </w:tabs>
        <w:ind w:left="426" w:right="283"/>
        <w:jc w:val="both"/>
        <w:rPr>
          <w:rFonts w:asciiTheme="minorHAnsi" w:eastAsia="Times New Roman" w:hAnsiTheme="minorHAnsi"/>
          <w:sz w:val="24"/>
          <w:szCs w:val="24"/>
          <w:lang w:val="en-GB"/>
        </w:rPr>
      </w:pPr>
      <w:r w:rsidRPr="00D31F11">
        <w:rPr>
          <w:rFonts w:asciiTheme="minorHAnsi" w:eastAsia="Times New Roman" w:hAnsiTheme="minorHAnsi"/>
          <w:sz w:val="24"/>
          <w:szCs w:val="24"/>
          <w:lang w:val="en-GB"/>
        </w:rPr>
        <w:lastRenderedPageBreak/>
        <w:t>“Invites the relevant agencies, organizations, funds and programmes of the United Nations system, as well as Governments and the regional commissions, to consider identifying focal points for the purpose of facilitating dialogue in the exchange of information on communication issues related to development so as to strengthen coordination and international cooperation in this area”</w:t>
      </w:r>
      <w:r w:rsidR="009E77E7" w:rsidRPr="00D31F11">
        <w:rPr>
          <w:rFonts w:asciiTheme="minorHAnsi" w:eastAsia="Times New Roman" w:hAnsiTheme="minorHAnsi"/>
          <w:sz w:val="24"/>
          <w:szCs w:val="24"/>
          <w:lang w:val="en-GB"/>
        </w:rPr>
        <w:t>.</w:t>
      </w:r>
      <w:r w:rsidRPr="00D31F11">
        <w:rPr>
          <w:rFonts w:asciiTheme="minorHAnsi" w:eastAsia="Times New Roman" w:hAnsiTheme="minorHAnsi"/>
          <w:sz w:val="24"/>
          <w:szCs w:val="24"/>
          <w:lang w:val="en-GB"/>
        </w:rPr>
        <w:t xml:space="preserve"> </w:t>
      </w:r>
    </w:p>
    <w:p w:rsidR="00D31F11" w:rsidRPr="00D31F11" w:rsidRDefault="00D31F11" w:rsidP="00D31F11">
      <w:pPr>
        <w:pStyle w:val="HTMLPreformatted"/>
        <w:tabs>
          <w:tab w:val="clear" w:pos="916"/>
          <w:tab w:val="left" w:pos="709"/>
        </w:tabs>
        <w:ind w:left="709" w:right="283"/>
        <w:jc w:val="both"/>
        <w:rPr>
          <w:rFonts w:asciiTheme="minorHAnsi" w:eastAsia="Times New Roman" w:hAnsiTheme="minorHAnsi"/>
          <w:sz w:val="24"/>
          <w:szCs w:val="24"/>
          <w:lang w:val="en-GB"/>
        </w:rPr>
      </w:pPr>
    </w:p>
    <w:p w:rsidR="00466913" w:rsidRPr="00D31F11" w:rsidRDefault="00234B15" w:rsidP="00D31F11">
      <w:pPr>
        <w:spacing w:after="240" w:line="252" w:lineRule="auto"/>
        <w:ind w:right="283"/>
        <w:jc w:val="both"/>
        <w:rPr>
          <w:rFonts w:asciiTheme="minorHAnsi" w:hAnsiTheme="minorHAnsi"/>
        </w:rPr>
      </w:pPr>
      <w:r w:rsidRPr="00D31F11">
        <w:rPr>
          <w:rFonts w:asciiTheme="minorHAnsi" w:hAnsiTheme="minorHAnsi"/>
        </w:rPr>
        <w:t xml:space="preserve">The </w:t>
      </w:r>
      <w:r w:rsidR="00466913" w:rsidRPr="00D31F11">
        <w:rPr>
          <w:rFonts w:asciiTheme="minorHAnsi" w:hAnsiTheme="minorHAnsi"/>
        </w:rPr>
        <w:t xml:space="preserve">potential </w:t>
      </w:r>
      <w:r w:rsidR="006C0B60" w:rsidRPr="00D31F11">
        <w:rPr>
          <w:rFonts w:asciiTheme="minorHAnsi" w:hAnsiTheme="minorHAnsi"/>
        </w:rPr>
        <w:t xml:space="preserve">of ComDev </w:t>
      </w:r>
      <w:r w:rsidR="00466913" w:rsidRPr="00D31F11">
        <w:rPr>
          <w:rFonts w:asciiTheme="minorHAnsi" w:hAnsiTheme="minorHAnsi"/>
        </w:rPr>
        <w:t>has yet to be fully exploited in the rural sector</w:t>
      </w:r>
      <w:r w:rsidR="006C0B60" w:rsidRPr="00D31F11">
        <w:rPr>
          <w:rFonts w:asciiTheme="minorHAnsi" w:hAnsiTheme="minorHAnsi"/>
        </w:rPr>
        <w:t>.</w:t>
      </w:r>
      <w:r w:rsidR="00466913" w:rsidRPr="00D31F11">
        <w:rPr>
          <w:rFonts w:asciiTheme="minorHAnsi" w:hAnsiTheme="minorHAnsi"/>
        </w:rPr>
        <w:t xml:space="preserve"> </w:t>
      </w:r>
      <w:r w:rsidR="006C0B60" w:rsidRPr="00D31F11">
        <w:rPr>
          <w:rFonts w:asciiTheme="minorHAnsi" w:hAnsiTheme="minorHAnsi"/>
        </w:rPr>
        <w:t>I</w:t>
      </w:r>
      <w:r w:rsidR="00466913" w:rsidRPr="00D31F11">
        <w:rPr>
          <w:rFonts w:asciiTheme="minorHAnsi" w:hAnsiTheme="minorHAnsi"/>
        </w:rPr>
        <w:t>n many cases ComDev components are not adequately integrated in the design and implementation of agricultural development initiatives</w:t>
      </w:r>
      <w:r w:rsidRPr="00D31F11">
        <w:rPr>
          <w:rFonts w:asciiTheme="minorHAnsi" w:hAnsiTheme="minorHAnsi"/>
        </w:rPr>
        <w:t xml:space="preserve">, and </w:t>
      </w:r>
      <w:r w:rsidR="00466913" w:rsidRPr="00D31F11">
        <w:rPr>
          <w:rFonts w:asciiTheme="minorHAnsi" w:hAnsiTheme="minorHAnsi"/>
        </w:rPr>
        <w:t xml:space="preserve">there is an increasing need for enhancing human and institutional capacities in this field. </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Opportunities exist for upgrading and up-scaling </w:t>
      </w:r>
      <w:r w:rsidR="00234B15" w:rsidRPr="00D31F11">
        <w:rPr>
          <w:rFonts w:asciiTheme="minorHAnsi" w:hAnsiTheme="minorHAnsi"/>
        </w:rPr>
        <w:t xml:space="preserve">activities and services </w:t>
      </w:r>
      <w:r w:rsidRPr="00D31F11">
        <w:rPr>
          <w:rFonts w:asciiTheme="minorHAnsi" w:hAnsiTheme="minorHAnsi"/>
        </w:rPr>
        <w:t xml:space="preserve">from very specific </w:t>
      </w:r>
      <w:r w:rsidR="00783A49" w:rsidRPr="00D31F11">
        <w:rPr>
          <w:rFonts w:asciiTheme="minorHAnsi" w:hAnsiTheme="minorHAnsi"/>
        </w:rPr>
        <w:t xml:space="preserve">and localized experiences </w:t>
      </w:r>
      <w:r w:rsidRPr="00D31F11">
        <w:rPr>
          <w:rFonts w:asciiTheme="minorHAnsi" w:hAnsiTheme="minorHAnsi"/>
        </w:rPr>
        <w:t xml:space="preserve">to more sustained communication processes. Within this context there is an urgent need to identify appropriate measures for the integration of ComDev in national agricultural and rural development policies, the institutionalization of ComDev services and the enhancement of </w:t>
      </w:r>
      <w:r w:rsidR="00234B15" w:rsidRPr="00D31F11">
        <w:rPr>
          <w:rFonts w:asciiTheme="minorHAnsi" w:hAnsiTheme="minorHAnsi"/>
        </w:rPr>
        <w:t xml:space="preserve">the capacity of </w:t>
      </w:r>
      <w:r w:rsidRPr="00D31F11">
        <w:rPr>
          <w:rFonts w:asciiTheme="minorHAnsi" w:hAnsiTheme="minorHAnsi"/>
        </w:rPr>
        <w:t>rural institutions and stakeholders.</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Key international events such as the first World Congress on Communication for </w:t>
      </w:r>
      <w:r w:rsidR="00425C8A" w:rsidRPr="00D31F11">
        <w:rPr>
          <w:rFonts w:asciiTheme="minorHAnsi" w:hAnsiTheme="minorHAnsi"/>
        </w:rPr>
        <w:t xml:space="preserve">     </w:t>
      </w:r>
      <w:r w:rsidRPr="00D31F11">
        <w:rPr>
          <w:rFonts w:asciiTheme="minorHAnsi" w:hAnsiTheme="minorHAnsi"/>
        </w:rPr>
        <w:t>Developme</w:t>
      </w:r>
      <w:r w:rsidR="00234B15" w:rsidRPr="00D31F11">
        <w:rPr>
          <w:rFonts w:asciiTheme="minorHAnsi" w:hAnsiTheme="minorHAnsi"/>
        </w:rPr>
        <w:t>nt ([WCCD] held in</w:t>
      </w:r>
      <w:r w:rsidRPr="00D31F11">
        <w:rPr>
          <w:rFonts w:asciiTheme="minorHAnsi" w:hAnsiTheme="minorHAnsi"/>
        </w:rPr>
        <w:t xml:space="preserve"> Rome</w:t>
      </w:r>
      <w:r w:rsidR="00234B15" w:rsidRPr="00D31F11">
        <w:rPr>
          <w:rFonts w:asciiTheme="minorHAnsi" w:hAnsiTheme="minorHAnsi"/>
        </w:rPr>
        <w:t xml:space="preserve"> in</w:t>
      </w:r>
      <w:r w:rsidRPr="00D31F11">
        <w:rPr>
          <w:rFonts w:asciiTheme="minorHAnsi" w:hAnsiTheme="minorHAnsi"/>
        </w:rPr>
        <w:t xml:space="preserve"> October 2006) and the UN Interagency Roundtables on ComDev have stressed the importance of mainstreaming ComDev in the development agenda. FAO has been leading ComDev efforts to fight hunger and achieve food security</w:t>
      </w:r>
      <w:r w:rsidR="008A6095" w:rsidRPr="00D31F11">
        <w:rPr>
          <w:rFonts w:asciiTheme="minorHAnsi" w:hAnsiTheme="minorHAnsi"/>
        </w:rPr>
        <w:t xml:space="preserve"> and is now </w:t>
      </w:r>
      <w:r w:rsidR="00C442EA" w:rsidRPr="00D31F11">
        <w:rPr>
          <w:rFonts w:asciiTheme="minorHAnsi" w:hAnsiTheme="minorHAnsi"/>
        </w:rPr>
        <w:t xml:space="preserve">striving </w:t>
      </w:r>
      <w:r w:rsidR="002859A4" w:rsidRPr="00D31F11">
        <w:rPr>
          <w:rFonts w:asciiTheme="minorHAnsi" w:hAnsiTheme="minorHAnsi"/>
        </w:rPr>
        <w:t>to identify</w:t>
      </w:r>
      <w:r w:rsidR="008A6095" w:rsidRPr="00D31F11">
        <w:rPr>
          <w:rFonts w:asciiTheme="minorHAnsi" w:hAnsiTheme="minorHAnsi"/>
        </w:rPr>
        <w:t xml:space="preserve"> </w:t>
      </w:r>
      <w:r w:rsidR="002859A4" w:rsidRPr="00D31F11">
        <w:rPr>
          <w:rFonts w:asciiTheme="minorHAnsi" w:hAnsiTheme="minorHAnsi"/>
        </w:rPr>
        <w:t>new oppor</w:t>
      </w:r>
      <w:r w:rsidR="00B46CD9" w:rsidRPr="00D31F11">
        <w:rPr>
          <w:rFonts w:asciiTheme="minorHAnsi" w:hAnsiTheme="minorHAnsi"/>
        </w:rPr>
        <w:t>tunities for promoting ComDev as</w:t>
      </w:r>
      <w:r w:rsidR="002859A4" w:rsidRPr="00D31F11">
        <w:rPr>
          <w:rFonts w:asciiTheme="minorHAnsi" w:hAnsiTheme="minorHAnsi"/>
        </w:rPr>
        <w:t xml:space="preserve"> part of the </w:t>
      </w:r>
      <w:r w:rsidR="00C442EA" w:rsidRPr="00D31F11">
        <w:rPr>
          <w:rFonts w:asciiTheme="minorHAnsi" w:hAnsiTheme="minorHAnsi"/>
        </w:rPr>
        <w:t>agricultural and rural development agenda.</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 xml:space="preserve">FAO is organizing an international Expert Consultation on ComDev to provide a space for development agencies and institutions, donors, NGOs and the academia to take stock of ComDev initiatives </w:t>
      </w:r>
      <w:r w:rsidR="00234B15" w:rsidRPr="00D31F11">
        <w:rPr>
          <w:rFonts w:asciiTheme="minorHAnsi" w:hAnsiTheme="minorHAnsi"/>
        </w:rPr>
        <w:t>to address</w:t>
      </w:r>
      <w:r w:rsidRPr="00D31F11">
        <w:rPr>
          <w:rFonts w:asciiTheme="minorHAnsi" w:hAnsiTheme="minorHAnsi"/>
        </w:rPr>
        <w:t xml:space="preserve"> present challenges in the agriculture and rural development sector, identify emerging trends and foster cooperation among relevant stakeholders. The consultation aims to promote partnerships and explore mechanisms for collaboration and joint action among institutions committed to rural development and social change. </w:t>
      </w:r>
    </w:p>
    <w:p w:rsidR="00466913" w:rsidRPr="00D31F11" w:rsidRDefault="00466913" w:rsidP="00D31F11">
      <w:pPr>
        <w:spacing w:after="240" w:line="252" w:lineRule="auto"/>
        <w:ind w:right="283"/>
        <w:jc w:val="both"/>
        <w:rPr>
          <w:rFonts w:asciiTheme="minorHAnsi" w:hAnsiTheme="minorHAnsi"/>
        </w:rPr>
      </w:pPr>
      <w:r w:rsidRPr="00D31F11">
        <w:rPr>
          <w:rFonts w:asciiTheme="minorHAnsi" w:hAnsiTheme="minorHAnsi"/>
        </w:rPr>
        <w:t>Participants will represent all fields of activity related to rural communication, including major players among develo</w:t>
      </w:r>
      <w:r w:rsidR="00234B15" w:rsidRPr="00D31F11">
        <w:rPr>
          <w:rFonts w:asciiTheme="minorHAnsi" w:hAnsiTheme="minorHAnsi"/>
        </w:rPr>
        <w:t>pment organiz</w:t>
      </w:r>
      <w:r w:rsidRPr="00D31F11">
        <w:rPr>
          <w:rFonts w:asciiTheme="minorHAnsi" w:hAnsiTheme="minorHAnsi"/>
        </w:rPr>
        <w:t>ations, key donor countries, universities with speciali</w:t>
      </w:r>
      <w:r w:rsidR="00234B15" w:rsidRPr="00D31F11">
        <w:rPr>
          <w:rFonts w:asciiTheme="minorHAnsi" w:hAnsiTheme="minorHAnsi"/>
        </w:rPr>
        <w:t>z</w:t>
      </w:r>
      <w:r w:rsidRPr="00D31F11">
        <w:rPr>
          <w:rFonts w:asciiTheme="minorHAnsi" w:hAnsiTheme="minorHAnsi"/>
        </w:rPr>
        <w:t>ed ComDev departments, global information and exchange networks and international experts.</w:t>
      </w:r>
    </w:p>
    <w:p w:rsidR="0014653A" w:rsidRPr="00D31F11" w:rsidRDefault="0014653A" w:rsidP="00D31F11">
      <w:pPr>
        <w:spacing w:after="120" w:line="276" w:lineRule="auto"/>
        <w:ind w:right="283"/>
        <w:jc w:val="both"/>
        <w:rPr>
          <w:rFonts w:asciiTheme="minorHAnsi" w:hAnsiTheme="minorHAnsi"/>
          <w:b/>
        </w:rPr>
      </w:pPr>
      <w:r w:rsidRPr="00D31F11">
        <w:rPr>
          <w:rFonts w:asciiTheme="minorHAnsi" w:hAnsiTheme="minorHAnsi"/>
          <w:b/>
        </w:rPr>
        <w:t>Overall Objective</w:t>
      </w:r>
    </w:p>
    <w:p w:rsidR="0014653A" w:rsidRPr="00D31F11" w:rsidRDefault="0014653A" w:rsidP="00D31F11">
      <w:pPr>
        <w:spacing w:line="252" w:lineRule="auto"/>
        <w:ind w:right="283"/>
        <w:jc w:val="both"/>
        <w:rPr>
          <w:rFonts w:asciiTheme="minorHAnsi" w:hAnsiTheme="minorHAnsi"/>
        </w:rPr>
      </w:pPr>
      <w:r w:rsidRPr="00D31F11">
        <w:rPr>
          <w:rFonts w:asciiTheme="minorHAnsi" w:hAnsiTheme="minorHAnsi"/>
        </w:rPr>
        <w:t xml:space="preserve">The overall purpose of the Expert Consultation is to assess the role of </w:t>
      </w:r>
      <w:r w:rsidR="009E6445" w:rsidRPr="00D31F11">
        <w:rPr>
          <w:rFonts w:asciiTheme="minorHAnsi" w:hAnsiTheme="minorHAnsi"/>
        </w:rPr>
        <w:t>ComDev</w:t>
      </w:r>
      <w:r w:rsidRPr="00D31F11">
        <w:rPr>
          <w:rFonts w:asciiTheme="minorHAnsi" w:hAnsiTheme="minorHAnsi"/>
        </w:rPr>
        <w:t xml:space="preserve"> in relation to emerging challenges and to identify priorities and strategic initiatives</w:t>
      </w:r>
      <w:r w:rsidR="009E6445" w:rsidRPr="00D31F11">
        <w:rPr>
          <w:rFonts w:asciiTheme="minorHAnsi" w:hAnsiTheme="minorHAnsi"/>
        </w:rPr>
        <w:t>,</w:t>
      </w:r>
      <w:r w:rsidRPr="00D31F11">
        <w:rPr>
          <w:rFonts w:asciiTheme="minorHAnsi" w:hAnsiTheme="minorHAnsi"/>
        </w:rPr>
        <w:t xml:space="preserve"> to position </w:t>
      </w:r>
      <w:r w:rsidR="009E6445" w:rsidRPr="00D31F11">
        <w:rPr>
          <w:rFonts w:asciiTheme="minorHAnsi" w:hAnsiTheme="minorHAnsi"/>
        </w:rPr>
        <w:t>ComDev</w:t>
      </w:r>
      <w:r w:rsidRPr="00D31F11">
        <w:rPr>
          <w:rFonts w:asciiTheme="minorHAnsi" w:hAnsiTheme="minorHAnsi"/>
        </w:rPr>
        <w:t xml:space="preserve"> </w:t>
      </w:r>
      <w:r w:rsidR="00C442EA" w:rsidRPr="00D31F11">
        <w:rPr>
          <w:rFonts w:asciiTheme="minorHAnsi" w:hAnsiTheme="minorHAnsi"/>
        </w:rPr>
        <w:t xml:space="preserve">in the development agenda </w:t>
      </w:r>
      <w:r w:rsidRPr="00D31F11">
        <w:rPr>
          <w:rFonts w:asciiTheme="minorHAnsi" w:hAnsiTheme="minorHAnsi"/>
        </w:rPr>
        <w:t>and to maximize its contribution to agriculture an</w:t>
      </w:r>
      <w:r w:rsidR="009E77E7" w:rsidRPr="00D31F11">
        <w:rPr>
          <w:rFonts w:asciiTheme="minorHAnsi" w:hAnsiTheme="minorHAnsi"/>
        </w:rPr>
        <w:t>d sustainable rural development</w:t>
      </w:r>
      <w:r w:rsidRPr="00D31F11">
        <w:rPr>
          <w:rFonts w:asciiTheme="minorHAnsi" w:hAnsiTheme="minorHAnsi"/>
        </w:rPr>
        <w:t xml:space="preserve">. </w:t>
      </w:r>
    </w:p>
    <w:p w:rsidR="00466913" w:rsidRDefault="00466913" w:rsidP="00D31F11">
      <w:pPr>
        <w:spacing w:after="120" w:line="252" w:lineRule="auto"/>
        <w:ind w:right="283"/>
        <w:jc w:val="both"/>
        <w:rPr>
          <w:rFonts w:asciiTheme="minorHAnsi" w:hAnsiTheme="minorHAnsi"/>
        </w:rPr>
      </w:pPr>
    </w:p>
    <w:p w:rsidR="00AA4444" w:rsidRPr="00D31F11" w:rsidRDefault="00AA4444" w:rsidP="00D31F11">
      <w:pPr>
        <w:spacing w:after="120" w:line="252" w:lineRule="auto"/>
        <w:ind w:right="283"/>
        <w:jc w:val="both"/>
        <w:rPr>
          <w:rFonts w:asciiTheme="minorHAnsi" w:hAnsiTheme="minorHAnsi"/>
        </w:rPr>
      </w:pPr>
    </w:p>
    <w:p w:rsidR="00466913" w:rsidRPr="00D31F11" w:rsidRDefault="00466913" w:rsidP="00D31F11">
      <w:pPr>
        <w:spacing w:after="120" w:line="276" w:lineRule="auto"/>
        <w:ind w:right="283"/>
        <w:jc w:val="both"/>
        <w:rPr>
          <w:rFonts w:asciiTheme="minorHAnsi" w:hAnsiTheme="minorHAnsi"/>
        </w:rPr>
      </w:pPr>
      <w:r w:rsidRPr="00D31F11">
        <w:rPr>
          <w:rFonts w:asciiTheme="minorHAnsi" w:hAnsiTheme="minorHAnsi"/>
          <w:b/>
        </w:rPr>
        <w:lastRenderedPageBreak/>
        <w:t>Expected Results</w:t>
      </w:r>
      <w:r w:rsidRPr="00D31F11">
        <w:rPr>
          <w:rFonts w:asciiTheme="minorHAnsi" w:hAnsiTheme="minorHAnsi"/>
        </w:rPr>
        <w:t xml:space="preserve"> </w:t>
      </w:r>
    </w:p>
    <w:p w:rsidR="00466913" w:rsidRPr="00D31F11" w:rsidRDefault="00466913" w:rsidP="00D31F11">
      <w:pPr>
        <w:spacing w:after="240" w:line="21" w:lineRule="atLeast"/>
        <w:ind w:right="283"/>
        <w:jc w:val="both"/>
        <w:rPr>
          <w:rFonts w:asciiTheme="minorHAnsi" w:hAnsiTheme="minorHAnsi"/>
        </w:rPr>
      </w:pPr>
      <w:r w:rsidRPr="00D31F11">
        <w:rPr>
          <w:rFonts w:asciiTheme="minorHAnsi" w:hAnsiTheme="minorHAnsi"/>
        </w:rPr>
        <w:t xml:space="preserve">The expected outcomes of this Expert Consultation include: </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Key issues, challenges and trends identified in relation to the application of ComDev in the agricultural and rural development sector</w:t>
      </w:r>
      <w:r w:rsidR="009E6445" w:rsidRPr="00D31F11">
        <w:rPr>
          <w:rFonts w:asciiTheme="minorHAnsi" w:hAnsiTheme="minorHAnsi"/>
        </w:rPr>
        <w:t>.</w:t>
      </w:r>
      <w:r w:rsidRPr="00D31F11">
        <w:rPr>
          <w:rFonts w:asciiTheme="minorHAnsi" w:hAnsiTheme="minorHAnsi"/>
        </w:rPr>
        <w:t xml:space="preserve"> </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Learning practices and innovative applications of ComDev to agriculture and rural development shared</w:t>
      </w:r>
      <w:r w:rsidR="009E6445" w:rsidRPr="00D31F11">
        <w:rPr>
          <w:rFonts w:asciiTheme="minorHAnsi" w:hAnsiTheme="minorHAnsi"/>
        </w:rPr>
        <w:t>.</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Experiences and perspectives on the institutionalization of ComDev services into agricultural and rural development policies gathered</w:t>
      </w:r>
      <w:r w:rsidR="009E6445" w:rsidRPr="00D31F11">
        <w:rPr>
          <w:rFonts w:asciiTheme="minorHAnsi" w:hAnsiTheme="minorHAnsi"/>
        </w:rPr>
        <w:t>.</w:t>
      </w:r>
      <w:r w:rsidRPr="00D31F11">
        <w:rPr>
          <w:rFonts w:asciiTheme="minorHAnsi" w:hAnsiTheme="minorHAnsi"/>
        </w:rPr>
        <w:t xml:space="preserve"> </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 xml:space="preserve">Priorities and strategic interventions to enhance effectiveness of ComDev in agriculture and rural development </w:t>
      </w:r>
      <w:r w:rsidR="00D0452B" w:rsidRPr="00D31F11">
        <w:rPr>
          <w:rFonts w:asciiTheme="minorHAnsi" w:hAnsiTheme="minorHAnsi"/>
        </w:rPr>
        <w:t xml:space="preserve">identified </w:t>
      </w:r>
      <w:r w:rsidR="005B2524" w:rsidRPr="00D31F11">
        <w:rPr>
          <w:rFonts w:asciiTheme="minorHAnsi" w:hAnsiTheme="minorHAnsi"/>
        </w:rPr>
        <w:t>at the institutional and field level</w:t>
      </w:r>
      <w:r w:rsidR="009E6445" w:rsidRPr="00D31F11">
        <w:rPr>
          <w:rFonts w:asciiTheme="minorHAnsi" w:hAnsiTheme="minorHAnsi"/>
        </w:rPr>
        <w:t>.</w:t>
      </w:r>
      <w:r w:rsidR="005B2524" w:rsidRPr="00D31F11">
        <w:rPr>
          <w:rFonts w:asciiTheme="minorHAnsi" w:hAnsiTheme="minorHAnsi"/>
        </w:rPr>
        <w:t xml:space="preserve"> </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 xml:space="preserve">Prospects and </w:t>
      </w:r>
      <w:r w:rsidR="005B2524" w:rsidRPr="00D31F11">
        <w:rPr>
          <w:rFonts w:asciiTheme="minorHAnsi" w:hAnsiTheme="minorHAnsi"/>
        </w:rPr>
        <w:t xml:space="preserve">key </w:t>
      </w:r>
      <w:r w:rsidRPr="00D31F11">
        <w:rPr>
          <w:rFonts w:asciiTheme="minorHAnsi" w:hAnsiTheme="minorHAnsi"/>
        </w:rPr>
        <w:t xml:space="preserve">initiatives to </w:t>
      </w:r>
      <w:r w:rsidR="005B2524" w:rsidRPr="00D31F11">
        <w:rPr>
          <w:rFonts w:asciiTheme="minorHAnsi" w:hAnsiTheme="minorHAnsi"/>
        </w:rPr>
        <w:t xml:space="preserve">position ComDev in the agricultural sector </w:t>
      </w:r>
      <w:r w:rsidR="00D0452B" w:rsidRPr="00D31F11">
        <w:rPr>
          <w:rFonts w:asciiTheme="minorHAnsi" w:hAnsiTheme="minorHAnsi"/>
        </w:rPr>
        <w:t xml:space="preserve">and </w:t>
      </w:r>
      <w:r w:rsidRPr="00D31F11">
        <w:rPr>
          <w:rFonts w:asciiTheme="minorHAnsi" w:hAnsiTheme="minorHAnsi"/>
        </w:rPr>
        <w:t>strengthen collaboration identified</w:t>
      </w:r>
      <w:r w:rsidR="009E6445" w:rsidRPr="00D31F11">
        <w:rPr>
          <w:rFonts w:asciiTheme="minorHAnsi" w:hAnsiTheme="minorHAnsi"/>
        </w:rPr>
        <w:t>.</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Potential partner international organi</w:t>
      </w:r>
      <w:r w:rsidR="009E6445" w:rsidRPr="00D31F11">
        <w:rPr>
          <w:rFonts w:asciiTheme="minorHAnsi" w:hAnsiTheme="minorHAnsi"/>
        </w:rPr>
        <w:t>z</w:t>
      </w:r>
      <w:r w:rsidRPr="00D31F11">
        <w:rPr>
          <w:rFonts w:asciiTheme="minorHAnsi" w:hAnsiTheme="minorHAnsi"/>
        </w:rPr>
        <w:t xml:space="preserve">ations, able to implement and support </w:t>
      </w:r>
      <w:r w:rsidR="00AE61C0" w:rsidRPr="00D31F11">
        <w:rPr>
          <w:rFonts w:asciiTheme="minorHAnsi" w:hAnsiTheme="minorHAnsi"/>
        </w:rPr>
        <w:t xml:space="preserve">priority </w:t>
      </w:r>
      <w:r w:rsidRPr="00D31F11">
        <w:rPr>
          <w:rFonts w:asciiTheme="minorHAnsi" w:hAnsiTheme="minorHAnsi"/>
        </w:rPr>
        <w:t>ComDev programmes</w:t>
      </w:r>
      <w:r w:rsidR="00AE61C0" w:rsidRPr="00D31F11">
        <w:rPr>
          <w:rFonts w:asciiTheme="minorHAnsi" w:hAnsiTheme="minorHAnsi"/>
        </w:rPr>
        <w:t xml:space="preserve"> and follow up actions</w:t>
      </w:r>
      <w:r w:rsidRPr="00D31F11">
        <w:rPr>
          <w:rFonts w:asciiTheme="minorHAnsi" w:hAnsiTheme="minorHAnsi"/>
        </w:rPr>
        <w:t>, identified</w:t>
      </w:r>
      <w:r w:rsidR="009E6445" w:rsidRPr="00D31F11">
        <w:rPr>
          <w:rFonts w:asciiTheme="minorHAnsi" w:hAnsiTheme="minorHAnsi"/>
        </w:rPr>
        <w:t>.</w:t>
      </w:r>
    </w:p>
    <w:p w:rsidR="00466913" w:rsidRPr="00D31F11" w:rsidRDefault="00466913" w:rsidP="00D31F11">
      <w:pPr>
        <w:spacing w:after="120" w:line="21" w:lineRule="atLeast"/>
        <w:ind w:right="283"/>
        <w:rPr>
          <w:rFonts w:asciiTheme="minorHAnsi" w:hAnsiTheme="minorHAnsi"/>
          <w:b/>
        </w:rPr>
      </w:pPr>
    </w:p>
    <w:p w:rsidR="00466913" w:rsidRPr="00D31F11" w:rsidRDefault="00466913" w:rsidP="00D31F11">
      <w:pPr>
        <w:spacing w:after="120" w:line="276" w:lineRule="auto"/>
        <w:ind w:right="283"/>
        <w:jc w:val="both"/>
        <w:rPr>
          <w:rFonts w:asciiTheme="minorHAnsi" w:hAnsiTheme="minorHAnsi"/>
          <w:b/>
        </w:rPr>
      </w:pPr>
      <w:r w:rsidRPr="00D31F11">
        <w:rPr>
          <w:rFonts w:asciiTheme="minorHAnsi" w:hAnsiTheme="minorHAnsi"/>
          <w:b/>
        </w:rPr>
        <w:t>Deliverables</w:t>
      </w:r>
    </w:p>
    <w:p w:rsidR="00466913" w:rsidRPr="00D31F11" w:rsidRDefault="00466913" w:rsidP="00D31F11">
      <w:pPr>
        <w:spacing w:after="120" w:line="21" w:lineRule="atLeast"/>
        <w:ind w:right="283"/>
        <w:rPr>
          <w:rFonts w:asciiTheme="minorHAnsi" w:hAnsiTheme="minorHAnsi"/>
          <w:b/>
        </w:rPr>
      </w:pPr>
      <w:r w:rsidRPr="00D31F11">
        <w:rPr>
          <w:rFonts w:asciiTheme="minorHAnsi" w:hAnsiTheme="minorHAnsi"/>
        </w:rPr>
        <w:t>The deliverables foreseen are as follows:</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Background document assessing needs and opportunities and identifying key issues for ComDev in today’s agricultur</w:t>
      </w:r>
      <w:r w:rsidR="009E6445" w:rsidRPr="00D31F11">
        <w:rPr>
          <w:rFonts w:asciiTheme="minorHAnsi" w:hAnsiTheme="minorHAnsi"/>
        </w:rPr>
        <w:t>al</w:t>
      </w:r>
      <w:r w:rsidRPr="00D31F11">
        <w:rPr>
          <w:rFonts w:asciiTheme="minorHAnsi" w:hAnsiTheme="minorHAnsi"/>
        </w:rPr>
        <w:t xml:space="preserve"> and rural sector</w:t>
      </w:r>
      <w:r w:rsidR="009E6445" w:rsidRPr="00D31F11">
        <w:rPr>
          <w:rFonts w:asciiTheme="minorHAnsi" w:hAnsiTheme="minorHAnsi"/>
        </w:rPr>
        <w:t>.</w:t>
      </w:r>
      <w:r w:rsidRPr="00D31F11">
        <w:rPr>
          <w:rFonts w:asciiTheme="minorHAnsi" w:hAnsiTheme="minorHAnsi"/>
        </w:rPr>
        <w:t xml:space="preserve">  </w:t>
      </w:r>
    </w:p>
    <w:p w:rsidR="00466913" w:rsidRPr="00D31F11" w:rsidRDefault="00D0452B" w:rsidP="00D31F11">
      <w:pPr>
        <w:numPr>
          <w:ilvl w:val="0"/>
          <w:numId w:val="1"/>
        </w:numPr>
        <w:spacing w:before="120" w:line="21" w:lineRule="atLeast"/>
        <w:ind w:right="283"/>
        <w:rPr>
          <w:rFonts w:asciiTheme="minorHAnsi" w:hAnsiTheme="minorHAnsi"/>
        </w:rPr>
      </w:pPr>
      <w:r w:rsidRPr="00D31F11">
        <w:rPr>
          <w:rFonts w:asciiTheme="minorHAnsi" w:hAnsiTheme="minorHAnsi"/>
        </w:rPr>
        <w:t xml:space="preserve">Overview </w:t>
      </w:r>
      <w:r w:rsidR="00466913" w:rsidRPr="00D31F11">
        <w:rPr>
          <w:rFonts w:asciiTheme="minorHAnsi" w:hAnsiTheme="minorHAnsi"/>
        </w:rPr>
        <w:t>paper on ComDev within FAO: issues, functions, key initiatives and stakeholders, institutional perspectives</w:t>
      </w:r>
      <w:r w:rsidR="009E6445" w:rsidRPr="00D31F11">
        <w:rPr>
          <w:rFonts w:asciiTheme="minorHAnsi" w:hAnsiTheme="minorHAnsi"/>
        </w:rPr>
        <w:t>.</w:t>
      </w:r>
      <w:r w:rsidR="00466913" w:rsidRPr="00D31F11">
        <w:rPr>
          <w:rFonts w:asciiTheme="minorHAnsi" w:hAnsiTheme="minorHAnsi"/>
        </w:rPr>
        <w:t xml:space="preserve"> </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 xml:space="preserve">Expert Consultation report, prepared based on the proceedings </w:t>
      </w:r>
      <w:r w:rsidR="009E6445" w:rsidRPr="00D31F11">
        <w:rPr>
          <w:rFonts w:asciiTheme="minorHAnsi" w:hAnsiTheme="minorHAnsi"/>
        </w:rPr>
        <w:t xml:space="preserve">of the event </w:t>
      </w:r>
      <w:r w:rsidRPr="00D31F11">
        <w:rPr>
          <w:rFonts w:asciiTheme="minorHAnsi" w:hAnsiTheme="minorHAnsi"/>
        </w:rPr>
        <w:t>and other documentation available</w:t>
      </w:r>
      <w:r w:rsidR="009E6445" w:rsidRPr="00D31F11">
        <w:rPr>
          <w:rFonts w:asciiTheme="minorHAnsi" w:hAnsiTheme="minorHAnsi"/>
        </w:rPr>
        <w:t>.</w:t>
      </w:r>
    </w:p>
    <w:p w:rsidR="00466913" w:rsidRPr="00D31F11" w:rsidRDefault="00466913" w:rsidP="00D31F11">
      <w:pPr>
        <w:numPr>
          <w:ilvl w:val="0"/>
          <w:numId w:val="1"/>
        </w:numPr>
        <w:spacing w:before="120" w:line="21" w:lineRule="atLeast"/>
        <w:ind w:right="283"/>
        <w:rPr>
          <w:rFonts w:asciiTheme="minorHAnsi" w:hAnsiTheme="minorHAnsi"/>
        </w:rPr>
      </w:pPr>
      <w:r w:rsidRPr="00D31F11">
        <w:rPr>
          <w:rFonts w:asciiTheme="minorHAnsi" w:hAnsiTheme="minorHAnsi"/>
        </w:rPr>
        <w:t>Position paper on the role of ComDev to meet today’s agricultur</w:t>
      </w:r>
      <w:r w:rsidR="009E6445" w:rsidRPr="00D31F11">
        <w:rPr>
          <w:rFonts w:asciiTheme="minorHAnsi" w:hAnsiTheme="minorHAnsi"/>
        </w:rPr>
        <w:t>al</w:t>
      </w:r>
      <w:r w:rsidRPr="00D31F11">
        <w:rPr>
          <w:rFonts w:asciiTheme="minorHAnsi" w:hAnsiTheme="minorHAnsi"/>
        </w:rPr>
        <w:t xml:space="preserve"> and rural development challenges</w:t>
      </w:r>
      <w:r w:rsidR="009E6445" w:rsidRPr="00D31F11">
        <w:rPr>
          <w:rFonts w:asciiTheme="minorHAnsi" w:hAnsiTheme="minorHAnsi"/>
        </w:rPr>
        <w:t>.</w:t>
      </w:r>
    </w:p>
    <w:p w:rsidR="00D31F11" w:rsidRPr="00D31F11" w:rsidRDefault="00D31F11" w:rsidP="00D31F11">
      <w:pPr>
        <w:spacing w:before="120" w:line="21" w:lineRule="atLeast"/>
        <w:ind w:left="360" w:right="283"/>
        <w:jc w:val="both"/>
        <w:rPr>
          <w:rFonts w:asciiTheme="minorHAnsi" w:hAnsiTheme="minorHAnsi"/>
          <w:b/>
        </w:rPr>
      </w:pPr>
    </w:p>
    <w:p w:rsidR="00466913" w:rsidRPr="00D31F11" w:rsidRDefault="00466913" w:rsidP="00D31F11">
      <w:pPr>
        <w:spacing w:after="120" w:line="276" w:lineRule="auto"/>
        <w:ind w:right="283"/>
        <w:jc w:val="both"/>
        <w:rPr>
          <w:rFonts w:asciiTheme="minorHAnsi" w:hAnsiTheme="minorHAnsi"/>
          <w:b/>
        </w:rPr>
      </w:pPr>
      <w:r w:rsidRPr="00D31F11">
        <w:rPr>
          <w:rFonts w:asciiTheme="minorHAnsi" w:hAnsiTheme="minorHAnsi"/>
          <w:b/>
        </w:rPr>
        <w:t>Consultation Format</w:t>
      </w:r>
    </w:p>
    <w:p w:rsidR="00466913" w:rsidRPr="00D31F11" w:rsidRDefault="00466913" w:rsidP="00D31F11">
      <w:pPr>
        <w:spacing w:line="252" w:lineRule="auto"/>
        <w:ind w:right="283"/>
        <w:jc w:val="both"/>
        <w:rPr>
          <w:rFonts w:asciiTheme="minorHAnsi" w:hAnsiTheme="minorHAnsi"/>
        </w:rPr>
      </w:pPr>
      <w:r w:rsidRPr="00D31F11">
        <w:rPr>
          <w:rFonts w:asciiTheme="minorHAnsi" w:hAnsiTheme="minorHAnsi"/>
        </w:rPr>
        <w:t>The Expert Consultation will be held from 14</w:t>
      </w:r>
      <w:r w:rsidR="009E6445" w:rsidRPr="00D31F11">
        <w:rPr>
          <w:rFonts w:asciiTheme="minorHAnsi" w:hAnsiTheme="minorHAnsi"/>
        </w:rPr>
        <w:t xml:space="preserve"> to </w:t>
      </w:r>
      <w:r w:rsidRPr="00D31F11">
        <w:rPr>
          <w:rFonts w:asciiTheme="minorHAnsi" w:hAnsiTheme="minorHAnsi"/>
        </w:rPr>
        <w:t>16</w:t>
      </w:r>
      <w:r w:rsidR="009E6445" w:rsidRPr="00D31F11">
        <w:rPr>
          <w:rFonts w:asciiTheme="minorHAnsi" w:hAnsiTheme="minorHAnsi"/>
        </w:rPr>
        <w:t xml:space="preserve"> September</w:t>
      </w:r>
      <w:r w:rsidRPr="00D31F11">
        <w:rPr>
          <w:rFonts w:asciiTheme="minorHAnsi" w:hAnsiTheme="minorHAnsi"/>
        </w:rPr>
        <w:t xml:space="preserve"> 2011 at FAO </w:t>
      </w:r>
      <w:r w:rsidR="009E6445" w:rsidRPr="00D31F11">
        <w:rPr>
          <w:rFonts w:asciiTheme="minorHAnsi" w:hAnsiTheme="minorHAnsi"/>
        </w:rPr>
        <w:t>h</w:t>
      </w:r>
      <w:r w:rsidRPr="00D31F11">
        <w:rPr>
          <w:rFonts w:asciiTheme="minorHAnsi" w:hAnsiTheme="minorHAnsi"/>
        </w:rPr>
        <w:t>eadquarters in Rome</w:t>
      </w:r>
      <w:r w:rsidR="00783A49" w:rsidRPr="00D31F11">
        <w:rPr>
          <w:rFonts w:asciiTheme="minorHAnsi" w:hAnsiTheme="minorHAnsi"/>
        </w:rPr>
        <w:t xml:space="preserve"> (</w:t>
      </w:r>
      <w:r w:rsidRPr="00D31F11">
        <w:rPr>
          <w:rFonts w:asciiTheme="minorHAnsi" w:hAnsiTheme="minorHAnsi"/>
        </w:rPr>
        <w:t xml:space="preserve">starting </w:t>
      </w:r>
      <w:r w:rsidR="009E6445" w:rsidRPr="00D31F11">
        <w:rPr>
          <w:rFonts w:asciiTheme="minorHAnsi" w:hAnsiTheme="minorHAnsi"/>
        </w:rPr>
        <w:t xml:space="preserve">in the </w:t>
      </w:r>
      <w:r w:rsidRPr="00D31F11">
        <w:rPr>
          <w:rFonts w:asciiTheme="minorHAnsi" w:hAnsiTheme="minorHAnsi"/>
        </w:rPr>
        <w:t>afternoon</w:t>
      </w:r>
      <w:r w:rsidR="009E6445" w:rsidRPr="00D31F11">
        <w:rPr>
          <w:rFonts w:asciiTheme="minorHAnsi" w:hAnsiTheme="minorHAnsi"/>
        </w:rPr>
        <w:t xml:space="preserve"> of 14 September</w:t>
      </w:r>
      <w:r w:rsidR="00783A49" w:rsidRPr="00D31F11">
        <w:rPr>
          <w:rFonts w:asciiTheme="minorHAnsi" w:hAnsiTheme="minorHAnsi"/>
        </w:rPr>
        <w:t>)</w:t>
      </w:r>
      <w:r w:rsidRPr="00D31F11">
        <w:rPr>
          <w:rFonts w:asciiTheme="minorHAnsi" w:hAnsiTheme="minorHAnsi"/>
        </w:rPr>
        <w:t xml:space="preserve">. A Steering Committee </w:t>
      </w:r>
      <w:r w:rsidR="00232519" w:rsidRPr="00D31F11">
        <w:rPr>
          <w:rFonts w:asciiTheme="minorHAnsi" w:hAnsiTheme="minorHAnsi"/>
        </w:rPr>
        <w:t xml:space="preserve">including the </w:t>
      </w:r>
      <w:r w:rsidR="00DB6739" w:rsidRPr="00D31F11">
        <w:rPr>
          <w:rFonts w:asciiTheme="minorHAnsi" w:hAnsiTheme="minorHAnsi"/>
        </w:rPr>
        <w:t>Technical Centre for Agricultural</w:t>
      </w:r>
      <w:r w:rsidR="00484FBC" w:rsidRPr="00D31F11">
        <w:rPr>
          <w:rFonts w:asciiTheme="minorHAnsi" w:hAnsiTheme="minorHAnsi"/>
        </w:rPr>
        <w:t xml:space="preserve"> and Rural Cooperation (CTA)</w:t>
      </w:r>
      <w:r w:rsidR="00D31F11" w:rsidRPr="00D31F11">
        <w:rPr>
          <w:rFonts w:asciiTheme="minorHAnsi" w:hAnsiTheme="minorHAnsi"/>
        </w:rPr>
        <w:t xml:space="preserve">, the </w:t>
      </w:r>
      <w:r w:rsidR="00B46CD9" w:rsidRPr="00D31F11">
        <w:rPr>
          <w:rFonts w:asciiTheme="minorHAnsi" w:hAnsiTheme="minorHAnsi"/>
        </w:rPr>
        <w:t>International F</w:t>
      </w:r>
      <w:r w:rsidR="00C75AAD" w:rsidRPr="00D31F11">
        <w:rPr>
          <w:rFonts w:asciiTheme="minorHAnsi" w:hAnsiTheme="minorHAnsi"/>
        </w:rPr>
        <w:t>und for Agricultural Development (IFAD)</w:t>
      </w:r>
      <w:r w:rsidR="00D31F11" w:rsidRPr="00D31F11">
        <w:rPr>
          <w:rFonts w:asciiTheme="minorHAnsi" w:hAnsiTheme="minorHAnsi"/>
        </w:rPr>
        <w:t>,</w:t>
      </w:r>
      <w:r w:rsidR="00C75AAD" w:rsidRPr="00D31F11">
        <w:rPr>
          <w:rFonts w:asciiTheme="minorHAnsi" w:hAnsiTheme="minorHAnsi"/>
        </w:rPr>
        <w:t xml:space="preserve"> </w:t>
      </w:r>
      <w:r w:rsidR="00D31F11" w:rsidRPr="00D31F11">
        <w:rPr>
          <w:rFonts w:asciiTheme="minorHAnsi" w:hAnsiTheme="minorHAnsi"/>
        </w:rPr>
        <w:t xml:space="preserve">the International Institute for Communication and Development (IICD) </w:t>
      </w:r>
      <w:r w:rsidR="00C75AAD" w:rsidRPr="00D31F11">
        <w:rPr>
          <w:rFonts w:asciiTheme="minorHAnsi" w:hAnsiTheme="minorHAnsi"/>
        </w:rPr>
        <w:t xml:space="preserve">and FAO </w:t>
      </w:r>
      <w:r w:rsidRPr="00D31F11">
        <w:rPr>
          <w:rFonts w:asciiTheme="minorHAnsi" w:hAnsiTheme="minorHAnsi"/>
        </w:rPr>
        <w:t xml:space="preserve">will </w:t>
      </w:r>
      <w:r w:rsidR="00484FBC" w:rsidRPr="00D31F11">
        <w:rPr>
          <w:rFonts w:asciiTheme="minorHAnsi" w:hAnsiTheme="minorHAnsi"/>
        </w:rPr>
        <w:t xml:space="preserve">provide overall guidance </w:t>
      </w:r>
      <w:r w:rsidR="009E6445" w:rsidRPr="00D31F11">
        <w:rPr>
          <w:rFonts w:asciiTheme="minorHAnsi" w:hAnsiTheme="minorHAnsi"/>
        </w:rPr>
        <w:t>on</w:t>
      </w:r>
      <w:r w:rsidR="00C23814" w:rsidRPr="00D31F11">
        <w:rPr>
          <w:rFonts w:asciiTheme="minorHAnsi" w:hAnsiTheme="minorHAnsi"/>
        </w:rPr>
        <w:t xml:space="preserve"> </w:t>
      </w:r>
      <w:r w:rsidRPr="00D31F11">
        <w:rPr>
          <w:rFonts w:asciiTheme="minorHAnsi" w:hAnsiTheme="minorHAnsi"/>
        </w:rPr>
        <w:t>the organization</w:t>
      </w:r>
      <w:r w:rsidR="00C23814" w:rsidRPr="00D31F11">
        <w:rPr>
          <w:rFonts w:asciiTheme="minorHAnsi" w:hAnsiTheme="minorHAnsi"/>
        </w:rPr>
        <w:t xml:space="preserve"> </w:t>
      </w:r>
      <w:r w:rsidR="00484FBC" w:rsidRPr="00D31F11">
        <w:rPr>
          <w:rFonts w:asciiTheme="minorHAnsi" w:hAnsiTheme="minorHAnsi"/>
        </w:rPr>
        <w:t xml:space="preserve">of the event </w:t>
      </w:r>
      <w:r w:rsidR="009E6445" w:rsidRPr="00D31F11">
        <w:rPr>
          <w:rFonts w:asciiTheme="minorHAnsi" w:hAnsiTheme="minorHAnsi"/>
        </w:rPr>
        <w:t>and</w:t>
      </w:r>
      <w:r w:rsidR="00C23814" w:rsidRPr="00D31F11">
        <w:rPr>
          <w:rFonts w:asciiTheme="minorHAnsi" w:hAnsiTheme="minorHAnsi"/>
        </w:rPr>
        <w:t xml:space="preserve"> </w:t>
      </w:r>
      <w:r w:rsidR="009E6445" w:rsidRPr="00D31F11">
        <w:rPr>
          <w:rFonts w:asciiTheme="minorHAnsi" w:hAnsiTheme="minorHAnsi"/>
        </w:rPr>
        <w:t>will</w:t>
      </w:r>
      <w:r w:rsidR="0052451D" w:rsidRPr="00D31F11">
        <w:rPr>
          <w:rFonts w:asciiTheme="minorHAnsi" w:hAnsiTheme="minorHAnsi"/>
        </w:rPr>
        <w:t xml:space="preserve"> </w:t>
      </w:r>
      <w:r w:rsidRPr="00D31F11">
        <w:rPr>
          <w:rFonts w:asciiTheme="minorHAnsi" w:hAnsiTheme="minorHAnsi"/>
        </w:rPr>
        <w:t>shar</w:t>
      </w:r>
      <w:r w:rsidR="009E6445" w:rsidRPr="00D31F11">
        <w:rPr>
          <w:rFonts w:asciiTheme="minorHAnsi" w:hAnsiTheme="minorHAnsi"/>
        </w:rPr>
        <w:t>e</w:t>
      </w:r>
      <w:r w:rsidRPr="00D31F11">
        <w:rPr>
          <w:rFonts w:asciiTheme="minorHAnsi" w:hAnsiTheme="minorHAnsi"/>
        </w:rPr>
        <w:t xml:space="preserve"> </w:t>
      </w:r>
      <w:r w:rsidR="00C23814" w:rsidRPr="00D31F11">
        <w:rPr>
          <w:rFonts w:asciiTheme="minorHAnsi" w:hAnsiTheme="minorHAnsi"/>
        </w:rPr>
        <w:t xml:space="preserve">results </w:t>
      </w:r>
      <w:r w:rsidRPr="00D31F11">
        <w:rPr>
          <w:rFonts w:asciiTheme="minorHAnsi" w:hAnsiTheme="minorHAnsi"/>
        </w:rPr>
        <w:t xml:space="preserve">and follow-up </w:t>
      </w:r>
      <w:r w:rsidR="00C23814" w:rsidRPr="00D31F11">
        <w:rPr>
          <w:rFonts w:asciiTheme="minorHAnsi" w:hAnsiTheme="minorHAnsi"/>
        </w:rPr>
        <w:t>actions</w:t>
      </w:r>
      <w:r w:rsidRPr="00D31F11">
        <w:rPr>
          <w:rFonts w:asciiTheme="minorHAnsi" w:hAnsiTheme="minorHAnsi"/>
        </w:rPr>
        <w:t xml:space="preserve">. </w:t>
      </w:r>
    </w:p>
    <w:p w:rsidR="00466913" w:rsidRPr="00D31F11" w:rsidRDefault="00466913" w:rsidP="00D31F11">
      <w:pPr>
        <w:spacing w:line="252" w:lineRule="auto"/>
        <w:ind w:right="283"/>
        <w:jc w:val="both"/>
        <w:rPr>
          <w:rFonts w:asciiTheme="minorHAnsi" w:hAnsiTheme="minorHAnsi"/>
        </w:rPr>
      </w:pPr>
    </w:p>
    <w:p w:rsidR="00466913" w:rsidRPr="00D31F11" w:rsidRDefault="00C23814" w:rsidP="00D31F11">
      <w:pPr>
        <w:spacing w:after="240" w:line="252" w:lineRule="auto"/>
        <w:ind w:right="283"/>
        <w:jc w:val="both"/>
        <w:rPr>
          <w:rFonts w:asciiTheme="minorHAnsi" w:hAnsiTheme="minorHAnsi"/>
        </w:rPr>
      </w:pPr>
      <w:r w:rsidRPr="00D31F11">
        <w:rPr>
          <w:rFonts w:asciiTheme="minorHAnsi" w:hAnsiTheme="minorHAnsi"/>
        </w:rPr>
        <w:t>A Senior ComDev consultant, in agreement with FAO ComDev Team</w:t>
      </w:r>
      <w:r w:rsidR="00466913" w:rsidRPr="00D31F11">
        <w:rPr>
          <w:rFonts w:asciiTheme="minorHAnsi" w:hAnsiTheme="minorHAnsi"/>
        </w:rPr>
        <w:t xml:space="preserve">, </w:t>
      </w:r>
      <w:r w:rsidR="009E6445" w:rsidRPr="00D31F11">
        <w:rPr>
          <w:rFonts w:asciiTheme="minorHAnsi" w:hAnsiTheme="minorHAnsi"/>
        </w:rPr>
        <w:t xml:space="preserve">will design </w:t>
      </w:r>
      <w:r w:rsidR="00466913" w:rsidRPr="00D31F11">
        <w:rPr>
          <w:rFonts w:asciiTheme="minorHAnsi" w:hAnsiTheme="minorHAnsi"/>
        </w:rPr>
        <w:t xml:space="preserve">the consultation format and methodology, </w:t>
      </w:r>
      <w:r w:rsidR="00AC75E5" w:rsidRPr="00D31F11">
        <w:rPr>
          <w:rFonts w:asciiTheme="minorHAnsi" w:hAnsiTheme="minorHAnsi"/>
        </w:rPr>
        <w:t xml:space="preserve">and will </w:t>
      </w:r>
      <w:r w:rsidRPr="00D31F11">
        <w:rPr>
          <w:rFonts w:asciiTheme="minorHAnsi" w:hAnsiTheme="minorHAnsi"/>
        </w:rPr>
        <w:t xml:space="preserve">take care of </w:t>
      </w:r>
      <w:r w:rsidR="00AC75E5" w:rsidRPr="00D31F11">
        <w:rPr>
          <w:rFonts w:asciiTheme="minorHAnsi" w:hAnsiTheme="minorHAnsi"/>
        </w:rPr>
        <w:t xml:space="preserve">preparatory </w:t>
      </w:r>
      <w:r w:rsidR="00466913" w:rsidRPr="00D31F11">
        <w:rPr>
          <w:rFonts w:asciiTheme="minorHAnsi" w:hAnsiTheme="minorHAnsi"/>
        </w:rPr>
        <w:t>activities o</w:t>
      </w:r>
      <w:r w:rsidR="009E6445" w:rsidRPr="00D31F11">
        <w:rPr>
          <w:rFonts w:asciiTheme="minorHAnsi" w:hAnsiTheme="minorHAnsi"/>
        </w:rPr>
        <w:t>f</w:t>
      </w:r>
      <w:r w:rsidR="00466913" w:rsidRPr="00D31F11">
        <w:rPr>
          <w:rFonts w:asciiTheme="minorHAnsi" w:hAnsiTheme="minorHAnsi"/>
        </w:rPr>
        <w:t xml:space="preserve"> the event. </w:t>
      </w:r>
      <w:r w:rsidR="009E6445" w:rsidRPr="00D31F11">
        <w:rPr>
          <w:rFonts w:asciiTheme="minorHAnsi" w:hAnsiTheme="minorHAnsi"/>
        </w:rPr>
        <w:t>The s</w:t>
      </w:r>
      <w:r w:rsidR="00466913" w:rsidRPr="00D31F11">
        <w:rPr>
          <w:rFonts w:asciiTheme="minorHAnsi" w:hAnsiTheme="minorHAnsi"/>
        </w:rPr>
        <w:t>uggested methodology may invite</w:t>
      </w:r>
      <w:r w:rsidR="009E6445" w:rsidRPr="00D31F11">
        <w:rPr>
          <w:rFonts w:asciiTheme="minorHAnsi" w:hAnsiTheme="minorHAnsi"/>
        </w:rPr>
        <w:t xml:space="preserve"> </w:t>
      </w:r>
      <w:r w:rsidR="00466913" w:rsidRPr="00D31F11">
        <w:rPr>
          <w:rFonts w:asciiTheme="minorHAnsi" w:hAnsiTheme="minorHAnsi"/>
        </w:rPr>
        <w:t xml:space="preserve">participants to prepare short case studies </w:t>
      </w:r>
      <w:r w:rsidR="00466913" w:rsidRPr="00D31F11">
        <w:rPr>
          <w:rFonts w:asciiTheme="minorHAnsi" w:hAnsiTheme="minorHAnsi"/>
        </w:rPr>
        <w:lastRenderedPageBreak/>
        <w:t xml:space="preserve">and/or thematic papers on </w:t>
      </w:r>
      <w:r w:rsidR="00783A49" w:rsidRPr="00D31F11">
        <w:rPr>
          <w:rFonts w:asciiTheme="minorHAnsi" w:hAnsiTheme="minorHAnsi"/>
        </w:rPr>
        <w:t xml:space="preserve">ComDev </w:t>
      </w:r>
      <w:r w:rsidR="00466913" w:rsidRPr="00D31F11">
        <w:rPr>
          <w:rFonts w:asciiTheme="minorHAnsi" w:hAnsiTheme="minorHAnsi"/>
        </w:rPr>
        <w:t>experiences and initiatives</w:t>
      </w:r>
      <w:r w:rsidR="009E6445" w:rsidRPr="00D31F11">
        <w:rPr>
          <w:rFonts w:asciiTheme="minorHAnsi" w:hAnsiTheme="minorHAnsi"/>
        </w:rPr>
        <w:t xml:space="preserve"> in advance</w:t>
      </w:r>
      <w:r w:rsidR="00466913" w:rsidRPr="00D31F11">
        <w:rPr>
          <w:rFonts w:asciiTheme="minorHAnsi" w:hAnsiTheme="minorHAnsi"/>
        </w:rPr>
        <w:t>; and analys</w:t>
      </w:r>
      <w:r w:rsidR="009E6445" w:rsidRPr="00D31F11">
        <w:rPr>
          <w:rFonts w:asciiTheme="minorHAnsi" w:hAnsiTheme="minorHAnsi"/>
        </w:rPr>
        <w:t>e</w:t>
      </w:r>
      <w:r w:rsidR="00466913" w:rsidRPr="00D31F11">
        <w:rPr>
          <w:rFonts w:asciiTheme="minorHAnsi" w:hAnsiTheme="minorHAnsi"/>
        </w:rPr>
        <w:t xml:space="preserve"> constraints and opportunities for the institutionalization of </w:t>
      </w:r>
      <w:r w:rsidR="009E6445" w:rsidRPr="00D31F11">
        <w:rPr>
          <w:rFonts w:asciiTheme="minorHAnsi" w:hAnsiTheme="minorHAnsi"/>
        </w:rPr>
        <w:t>C</w:t>
      </w:r>
      <w:r w:rsidR="00466913" w:rsidRPr="00D31F11">
        <w:rPr>
          <w:rFonts w:asciiTheme="minorHAnsi" w:hAnsiTheme="minorHAnsi"/>
        </w:rPr>
        <w:t>om</w:t>
      </w:r>
      <w:r w:rsidR="009E6445" w:rsidRPr="00D31F11">
        <w:rPr>
          <w:rFonts w:asciiTheme="minorHAnsi" w:hAnsiTheme="minorHAnsi"/>
        </w:rPr>
        <w:t xml:space="preserve">Dev </w:t>
      </w:r>
      <w:r w:rsidR="00466913" w:rsidRPr="00D31F11">
        <w:rPr>
          <w:rFonts w:asciiTheme="minorHAnsi" w:hAnsiTheme="minorHAnsi"/>
        </w:rPr>
        <w:t>services in agricultural policies. Sessions could be structured as thematic interactive dialogues. One session could be organized as a short seminar open to the public, and specific topics could be debated among specific groups of stakeholders.</w:t>
      </w:r>
    </w:p>
    <w:p w:rsidR="00466913" w:rsidRPr="00D31F11" w:rsidRDefault="00B46CD9" w:rsidP="00D31F11">
      <w:pPr>
        <w:spacing w:after="240" w:line="252" w:lineRule="auto"/>
        <w:ind w:right="283"/>
        <w:jc w:val="both"/>
        <w:rPr>
          <w:rFonts w:asciiTheme="minorHAnsi" w:hAnsiTheme="minorHAnsi"/>
        </w:rPr>
      </w:pPr>
      <w:r w:rsidRPr="00D31F11">
        <w:rPr>
          <w:rFonts w:asciiTheme="minorHAnsi" w:hAnsiTheme="minorHAnsi"/>
        </w:rPr>
        <w:t>A</w:t>
      </w:r>
      <w:r w:rsidR="007D45DF" w:rsidRPr="00D31F11">
        <w:rPr>
          <w:rFonts w:asciiTheme="minorHAnsi" w:hAnsiTheme="minorHAnsi"/>
        </w:rPr>
        <w:t>n</w:t>
      </w:r>
      <w:r w:rsidR="009E6445" w:rsidRPr="00D31F11">
        <w:rPr>
          <w:rFonts w:asciiTheme="minorHAnsi" w:hAnsiTheme="minorHAnsi"/>
        </w:rPr>
        <w:t xml:space="preserve"> </w:t>
      </w:r>
      <w:r w:rsidR="007D45DF" w:rsidRPr="00D31F11">
        <w:rPr>
          <w:rFonts w:asciiTheme="minorHAnsi" w:hAnsiTheme="minorHAnsi"/>
        </w:rPr>
        <w:t>“open space” for</w:t>
      </w:r>
      <w:r w:rsidR="00AC75E5" w:rsidRPr="00D31F11">
        <w:rPr>
          <w:rFonts w:asciiTheme="minorHAnsi" w:hAnsiTheme="minorHAnsi"/>
        </w:rPr>
        <w:t xml:space="preserve"> </w:t>
      </w:r>
      <w:r w:rsidR="00CE2B4A" w:rsidRPr="00D31F11">
        <w:rPr>
          <w:rFonts w:asciiTheme="minorHAnsi" w:hAnsiTheme="minorHAnsi"/>
        </w:rPr>
        <w:t xml:space="preserve">display of publications, </w:t>
      </w:r>
      <w:r w:rsidR="00466913" w:rsidRPr="00D31F11">
        <w:rPr>
          <w:rFonts w:asciiTheme="minorHAnsi" w:hAnsiTheme="minorHAnsi"/>
        </w:rPr>
        <w:t xml:space="preserve">video </w:t>
      </w:r>
      <w:r w:rsidR="00CE2B4A" w:rsidRPr="00D31F11">
        <w:rPr>
          <w:rFonts w:asciiTheme="minorHAnsi" w:hAnsiTheme="minorHAnsi"/>
        </w:rPr>
        <w:t xml:space="preserve">and interactive </w:t>
      </w:r>
      <w:r w:rsidR="00466913" w:rsidRPr="00D31F11">
        <w:rPr>
          <w:rFonts w:asciiTheme="minorHAnsi" w:hAnsiTheme="minorHAnsi"/>
        </w:rPr>
        <w:t xml:space="preserve">sessions </w:t>
      </w:r>
      <w:r w:rsidR="00AC75E5" w:rsidRPr="00D31F11">
        <w:rPr>
          <w:rFonts w:asciiTheme="minorHAnsi" w:hAnsiTheme="minorHAnsi"/>
        </w:rPr>
        <w:t xml:space="preserve">will be </w:t>
      </w:r>
      <w:r w:rsidR="00F863E1" w:rsidRPr="00D31F11">
        <w:rPr>
          <w:rFonts w:asciiTheme="minorHAnsi" w:hAnsiTheme="minorHAnsi"/>
        </w:rPr>
        <w:t xml:space="preserve">set </w:t>
      </w:r>
      <w:r w:rsidR="007D45DF" w:rsidRPr="00D31F11">
        <w:rPr>
          <w:rFonts w:asciiTheme="minorHAnsi" w:hAnsiTheme="minorHAnsi"/>
        </w:rPr>
        <w:t xml:space="preserve">up </w:t>
      </w:r>
      <w:r w:rsidR="00466913" w:rsidRPr="00D31F11">
        <w:rPr>
          <w:rFonts w:asciiTheme="minorHAnsi" w:hAnsiTheme="minorHAnsi"/>
        </w:rPr>
        <w:t xml:space="preserve">at FAO </w:t>
      </w:r>
      <w:r w:rsidR="009E6445" w:rsidRPr="00D31F11">
        <w:rPr>
          <w:rFonts w:asciiTheme="minorHAnsi" w:hAnsiTheme="minorHAnsi"/>
        </w:rPr>
        <w:t xml:space="preserve">headquarters </w:t>
      </w:r>
      <w:r w:rsidR="00466913" w:rsidRPr="00D31F11">
        <w:rPr>
          <w:rFonts w:asciiTheme="minorHAnsi" w:hAnsiTheme="minorHAnsi"/>
        </w:rPr>
        <w:t>in Rome during the</w:t>
      </w:r>
      <w:r w:rsidR="00B40AC4" w:rsidRPr="00D31F11">
        <w:rPr>
          <w:rFonts w:asciiTheme="minorHAnsi" w:hAnsiTheme="minorHAnsi"/>
        </w:rPr>
        <w:t xml:space="preserve"> event</w:t>
      </w:r>
      <w:r w:rsidR="00466913" w:rsidRPr="00D31F11">
        <w:rPr>
          <w:rFonts w:asciiTheme="minorHAnsi" w:hAnsiTheme="minorHAnsi"/>
        </w:rPr>
        <w:t xml:space="preserve">, where FAO staff and visitors </w:t>
      </w:r>
      <w:r w:rsidR="00B40AC4" w:rsidRPr="00D31F11">
        <w:rPr>
          <w:rFonts w:asciiTheme="minorHAnsi" w:hAnsiTheme="minorHAnsi"/>
        </w:rPr>
        <w:t xml:space="preserve">will </w:t>
      </w:r>
      <w:r w:rsidR="009E6445" w:rsidRPr="00D31F11">
        <w:rPr>
          <w:rFonts w:asciiTheme="minorHAnsi" w:hAnsiTheme="minorHAnsi"/>
        </w:rPr>
        <w:t>be</w:t>
      </w:r>
      <w:r w:rsidR="00CE2B4A" w:rsidRPr="00D31F11">
        <w:rPr>
          <w:rFonts w:asciiTheme="minorHAnsi" w:hAnsiTheme="minorHAnsi"/>
        </w:rPr>
        <w:t xml:space="preserve"> </w:t>
      </w:r>
      <w:r w:rsidR="00B40AC4" w:rsidRPr="00D31F11">
        <w:rPr>
          <w:rFonts w:asciiTheme="minorHAnsi" w:hAnsiTheme="minorHAnsi"/>
        </w:rPr>
        <w:t>familiar</w:t>
      </w:r>
      <w:r w:rsidR="009E6445" w:rsidRPr="00D31F11">
        <w:rPr>
          <w:rFonts w:asciiTheme="minorHAnsi" w:hAnsiTheme="minorHAnsi"/>
        </w:rPr>
        <w:t>ized</w:t>
      </w:r>
      <w:r w:rsidR="00CE2B4A" w:rsidRPr="00D31F11">
        <w:rPr>
          <w:rFonts w:asciiTheme="minorHAnsi" w:hAnsiTheme="minorHAnsi"/>
        </w:rPr>
        <w:t xml:space="preserve"> </w:t>
      </w:r>
      <w:r w:rsidR="00B40AC4" w:rsidRPr="00D31F11">
        <w:rPr>
          <w:rFonts w:asciiTheme="minorHAnsi" w:hAnsiTheme="minorHAnsi"/>
        </w:rPr>
        <w:t>with the themes of the Ex</w:t>
      </w:r>
      <w:r w:rsidRPr="00D31F11">
        <w:rPr>
          <w:rFonts w:asciiTheme="minorHAnsi" w:hAnsiTheme="minorHAnsi"/>
        </w:rPr>
        <w:t>pert Consultation and meet with</w:t>
      </w:r>
      <w:r w:rsidR="00B048D8" w:rsidRPr="00D31F11">
        <w:rPr>
          <w:rFonts w:asciiTheme="minorHAnsi" w:hAnsiTheme="minorHAnsi"/>
        </w:rPr>
        <w:t xml:space="preserve"> </w:t>
      </w:r>
      <w:r w:rsidR="00466913" w:rsidRPr="00D31F11">
        <w:rPr>
          <w:rFonts w:asciiTheme="minorHAnsi" w:hAnsiTheme="minorHAnsi"/>
        </w:rPr>
        <w:t>invited experts.</w:t>
      </w:r>
    </w:p>
    <w:p w:rsidR="00466913" w:rsidRPr="00D31F11" w:rsidRDefault="00466913" w:rsidP="00D31F11">
      <w:pPr>
        <w:spacing w:before="120" w:after="120" w:line="252" w:lineRule="auto"/>
        <w:ind w:right="283"/>
        <w:jc w:val="both"/>
        <w:rPr>
          <w:rFonts w:asciiTheme="minorHAnsi" w:hAnsiTheme="minorHAnsi"/>
          <w:b/>
        </w:rPr>
      </w:pPr>
      <w:r w:rsidRPr="00D31F11">
        <w:rPr>
          <w:rFonts w:asciiTheme="minorHAnsi" w:hAnsiTheme="minorHAnsi"/>
          <w:b/>
        </w:rPr>
        <w:t>Key themes for discussion</w:t>
      </w:r>
    </w:p>
    <w:p w:rsidR="00466913" w:rsidRPr="00D31F11" w:rsidRDefault="00466913" w:rsidP="00D31F11">
      <w:pPr>
        <w:spacing w:line="252" w:lineRule="auto"/>
        <w:ind w:right="283"/>
        <w:jc w:val="both"/>
        <w:rPr>
          <w:rFonts w:asciiTheme="minorHAnsi" w:hAnsiTheme="minorHAnsi"/>
        </w:rPr>
      </w:pPr>
      <w:r w:rsidRPr="00D31F11">
        <w:rPr>
          <w:rFonts w:asciiTheme="minorHAnsi" w:hAnsiTheme="minorHAnsi"/>
        </w:rPr>
        <w:t xml:space="preserve">Participants’ contributions </w:t>
      </w:r>
      <w:r w:rsidR="00B40AC4" w:rsidRPr="00D31F11">
        <w:rPr>
          <w:rFonts w:asciiTheme="minorHAnsi" w:hAnsiTheme="minorHAnsi"/>
        </w:rPr>
        <w:t xml:space="preserve">have been </w:t>
      </w:r>
      <w:r w:rsidR="00A150F6" w:rsidRPr="00D31F11">
        <w:rPr>
          <w:rFonts w:asciiTheme="minorHAnsi" w:hAnsiTheme="minorHAnsi"/>
        </w:rPr>
        <w:t xml:space="preserve">initially </w:t>
      </w:r>
      <w:r w:rsidR="00B40AC4" w:rsidRPr="00D31F11">
        <w:rPr>
          <w:rFonts w:asciiTheme="minorHAnsi" w:hAnsiTheme="minorHAnsi"/>
        </w:rPr>
        <w:t>cl</w:t>
      </w:r>
      <w:r w:rsidRPr="00D31F11">
        <w:rPr>
          <w:rFonts w:asciiTheme="minorHAnsi" w:hAnsiTheme="minorHAnsi"/>
        </w:rPr>
        <w:t>ustered around the following themes:</w:t>
      </w:r>
    </w:p>
    <w:p w:rsidR="009E6445" w:rsidRPr="00D31F11" w:rsidRDefault="009E6445" w:rsidP="00D31F11">
      <w:pPr>
        <w:spacing w:line="252" w:lineRule="auto"/>
        <w:ind w:right="283"/>
        <w:jc w:val="both"/>
        <w:rPr>
          <w:rFonts w:asciiTheme="minorHAnsi" w:hAnsiTheme="minorHAnsi"/>
        </w:rPr>
      </w:pPr>
    </w:p>
    <w:p w:rsidR="00466913" w:rsidRPr="00D31F11" w:rsidRDefault="00466913" w:rsidP="00D31F11">
      <w:pPr>
        <w:numPr>
          <w:ilvl w:val="0"/>
          <w:numId w:val="2"/>
        </w:numPr>
        <w:spacing w:line="252" w:lineRule="auto"/>
        <w:ind w:right="283"/>
        <w:jc w:val="both"/>
        <w:rPr>
          <w:rFonts w:asciiTheme="minorHAnsi" w:hAnsiTheme="minorHAnsi"/>
          <w:b/>
        </w:rPr>
      </w:pPr>
      <w:r w:rsidRPr="00D31F11">
        <w:rPr>
          <w:rFonts w:asciiTheme="minorHAnsi" w:hAnsiTheme="minorHAnsi"/>
          <w:b/>
        </w:rPr>
        <w:t>Communication for rural development today</w:t>
      </w:r>
    </w:p>
    <w:p w:rsidR="00466913" w:rsidRPr="00D31F11" w:rsidRDefault="00466913" w:rsidP="00D31F11">
      <w:pPr>
        <w:numPr>
          <w:ilvl w:val="0"/>
          <w:numId w:val="5"/>
        </w:numPr>
        <w:spacing w:line="252" w:lineRule="auto"/>
        <w:ind w:left="851" w:right="283" w:firstLine="0"/>
        <w:jc w:val="both"/>
        <w:rPr>
          <w:rFonts w:asciiTheme="minorHAnsi" w:hAnsiTheme="minorHAnsi"/>
        </w:rPr>
      </w:pPr>
      <w:r w:rsidRPr="00D31F11">
        <w:rPr>
          <w:rFonts w:asciiTheme="minorHAnsi" w:hAnsiTheme="minorHAnsi"/>
        </w:rPr>
        <w:t>Current trends</w:t>
      </w:r>
    </w:p>
    <w:p w:rsidR="00466913" w:rsidRPr="00D31F11" w:rsidRDefault="00466913" w:rsidP="00D31F11">
      <w:pPr>
        <w:numPr>
          <w:ilvl w:val="0"/>
          <w:numId w:val="5"/>
        </w:numPr>
        <w:spacing w:line="252" w:lineRule="auto"/>
        <w:ind w:left="851" w:right="283" w:firstLine="0"/>
        <w:jc w:val="both"/>
        <w:rPr>
          <w:rFonts w:asciiTheme="minorHAnsi" w:hAnsiTheme="minorHAnsi"/>
        </w:rPr>
      </w:pPr>
      <w:r w:rsidRPr="00D31F11">
        <w:rPr>
          <w:rFonts w:asciiTheme="minorHAnsi" w:hAnsiTheme="minorHAnsi"/>
        </w:rPr>
        <w:t>Role o</w:t>
      </w:r>
      <w:r w:rsidR="009E6445" w:rsidRPr="00D31F11">
        <w:rPr>
          <w:rFonts w:asciiTheme="minorHAnsi" w:hAnsiTheme="minorHAnsi"/>
        </w:rPr>
        <w:t>f</w:t>
      </w:r>
      <w:r w:rsidRPr="00D31F11">
        <w:rPr>
          <w:rFonts w:asciiTheme="minorHAnsi" w:hAnsiTheme="minorHAnsi"/>
        </w:rPr>
        <w:t xml:space="preserve"> agriculture and rural development </w:t>
      </w:r>
    </w:p>
    <w:p w:rsidR="00466913" w:rsidRPr="00D31F11" w:rsidRDefault="00466913" w:rsidP="00D31F11">
      <w:pPr>
        <w:numPr>
          <w:ilvl w:val="0"/>
          <w:numId w:val="7"/>
        </w:numPr>
        <w:spacing w:line="252" w:lineRule="auto"/>
        <w:ind w:left="851" w:right="283" w:firstLine="0"/>
        <w:jc w:val="both"/>
        <w:rPr>
          <w:rFonts w:asciiTheme="minorHAnsi" w:hAnsiTheme="minorHAnsi"/>
        </w:rPr>
      </w:pPr>
      <w:r w:rsidRPr="00D31F11">
        <w:rPr>
          <w:rFonts w:asciiTheme="minorHAnsi" w:hAnsiTheme="minorHAnsi"/>
        </w:rPr>
        <w:t>Short case studies on field experience</w:t>
      </w:r>
      <w:r w:rsidR="009E6445" w:rsidRPr="00D31F11">
        <w:rPr>
          <w:rFonts w:asciiTheme="minorHAnsi" w:hAnsiTheme="minorHAnsi"/>
        </w:rPr>
        <w:t>s</w:t>
      </w:r>
      <w:r w:rsidRPr="00D31F11">
        <w:rPr>
          <w:rFonts w:asciiTheme="minorHAnsi" w:hAnsiTheme="minorHAnsi"/>
        </w:rPr>
        <w:t xml:space="preserve"> </w:t>
      </w:r>
    </w:p>
    <w:p w:rsidR="00466913" w:rsidRPr="00D31F11" w:rsidRDefault="00466913" w:rsidP="00D31F11">
      <w:pPr>
        <w:numPr>
          <w:ilvl w:val="0"/>
          <w:numId w:val="7"/>
        </w:numPr>
        <w:spacing w:line="252" w:lineRule="auto"/>
        <w:ind w:left="851" w:right="283" w:firstLine="0"/>
        <w:jc w:val="both"/>
        <w:rPr>
          <w:rFonts w:asciiTheme="minorHAnsi" w:hAnsiTheme="minorHAnsi"/>
        </w:rPr>
      </w:pPr>
      <w:r w:rsidRPr="00D31F11">
        <w:rPr>
          <w:rFonts w:asciiTheme="minorHAnsi" w:hAnsiTheme="minorHAnsi"/>
        </w:rPr>
        <w:t>Evidence of ComDev contribution</w:t>
      </w:r>
      <w:r w:rsidR="00F4412B" w:rsidRPr="00D31F11">
        <w:rPr>
          <w:rFonts w:asciiTheme="minorHAnsi" w:hAnsiTheme="minorHAnsi"/>
        </w:rPr>
        <w:t>s</w:t>
      </w:r>
      <w:r w:rsidRPr="00D31F11">
        <w:rPr>
          <w:rFonts w:asciiTheme="minorHAnsi" w:hAnsiTheme="minorHAnsi"/>
        </w:rPr>
        <w:t xml:space="preserve"> in this sector</w:t>
      </w:r>
    </w:p>
    <w:p w:rsidR="00466913" w:rsidRPr="00D31F11" w:rsidRDefault="00466913" w:rsidP="00D31F11">
      <w:pPr>
        <w:spacing w:line="252" w:lineRule="auto"/>
        <w:ind w:left="360" w:right="283"/>
        <w:jc w:val="both"/>
        <w:rPr>
          <w:rFonts w:asciiTheme="minorHAnsi" w:hAnsiTheme="minorHAnsi"/>
        </w:rPr>
      </w:pPr>
    </w:p>
    <w:p w:rsidR="00466913" w:rsidRPr="00D31F11" w:rsidRDefault="00466913" w:rsidP="00D31F11">
      <w:pPr>
        <w:numPr>
          <w:ilvl w:val="0"/>
          <w:numId w:val="2"/>
        </w:numPr>
        <w:spacing w:line="252" w:lineRule="auto"/>
        <w:ind w:right="283"/>
        <w:jc w:val="both"/>
        <w:rPr>
          <w:rFonts w:asciiTheme="minorHAnsi" w:hAnsiTheme="minorHAnsi"/>
          <w:b/>
        </w:rPr>
      </w:pPr>
      <w:r w:rsidRPr="00D31F11">
        <w:rPr>
          <w:rFonts w:asciiTheme="minorHAnsi" w:hAnsiTheme="minorHAnsi"/>
          <w:b/>
        </w:rPr>
        <w:t>Issues and challenges</w:t>
      </w:r>
      <w:r w:rsidR="005B2524" w:rsidRPr="00D31F11">
        <w:rPr>
          <w:rFonts w:asciiTheme="minorHAnsi" w:hAnsiTheme="minorHAnsi"/>
          <w:b/>
        </w:rPr>
        <w:t xml:space="preserve"> for ComDev</w:t>
      </w:r>
      <w:r w:rsidRPr="00D31F11">
        <w:rPr>
          <w:rFonts w:asciiTheme="minorHAnsi" w:hAnsiTheme="minorHAnsi"/>
          <w:b/>
        </w:rPr>
        <w:t xml:space="preserve"> in the agricultural sector </w:t>
      </w:r>
    </w:p>
    <w:p w:rsidR="00466913" w:rsidRPr="00D31F11" w:rsidRDefault="00466913" w:rsidP="00D31F11">
      <w:pPr>
        <w:numPr>
          <w:ilvl w:val="0"/>
          <w:numId w:val="6"/>
        </w:numPr>
        <w:spacing w:line="252" w:lineRule="auto"/>
        <w:ind w:right="283"/>
        <w:jc w:val="both"/>
        <w:rPr>
          <w:rFonts w:asciiTheme="minorHAnsi" w:hAnsiTheme="minorHAnsi"/>
        </w:rPr>
      </w:pPr>
      <w:r w:rsidRPr="00D31F11">
        <w:rPr>
          <w:rFonts w:asciiTheme="minorHAnsi" w:hAnsiTheme="minorHAnsi"/>
        </w:rPr>
        <w:t>New issues in the rural sector</w:t>
      </w:r>
    </w:p>
    <w:p w:rsidR="00466913" w:rsidRPr="00D31F11" w:rsidRDefault="00466913" w:rsidP="00D31F11">
      <w:pPr>
        <w:numPr>
          <w:ilvl w:val="0"/>
          <w:numId w:val="6"/>
        </w:numPr>
        <w:spacing w:line="252" w:lineRule="auto"/>
        <w:ind w:right="283"/>
        <w:jc w:val="both"/>
        <w:rPr>
          <w:rFonts w:asciiTheme="minorHAnsi" w:hAnsiTheme="minorHAnsi"/>
        </w:rPr>
      </w:pPr>
      <w:r w:rsidRPr="00D31F11">
        <w:rPr>
          <w:rFonts w:asciiTheme="minorHAnsi" w:hAnsiTheme="minorHAnsi"/>
        </w:rPr>
        <w:t xml:space="preserve">Current potential areas of intervention (e.g. agricultural innovation systems, NRM, climate change adaptation, food security, disaster risk reduction, IPs and equity issues, etc.) </w:t>
      </w:r>
    </w:p>
    <w:p w:rsidR="00466913" w:rsidRPr="00D31F11" w:rsidRDefault="00466913" w:rsidP="00D31F11">
      <w:pPr>
        <w:numPr>
          <w:ilvl w:val="0"/>
          <w:numId w:val="8"/>
        </w:numPr>
        <w:spacing w:line="252" w:lineRule="auto"/>
        <w:ind w:right="283"/>
        <w:jc w:val="both"/>
        <w:rPr>
          <w:rFonts w:asciiTheme="minorHAnsi" w:hAnsiTheme="minorHAnsi"/>
        </w:rPr>
      </w:pPr>
      <w:r w:rsidRPr="00D31F11">
        <w:rPr>
          <w:rFonts w:asciiTheme="minorHAnsi" w:hAnsiTheme="minorHAnsi"/>
        </w:rPr>
        <w:t>Strategic priorities: M&amp;E, capacity development, funding, networking</w:t>
      </w:r>
    </w:p>
    <w:p w:rsidR="00466913" w:rsidRPr="00D31F11" w:rsidRDefault="00466913" w:rsidP="00D31F11">
      <w:pPr>
        <w:numPr>
          <w:ilvl w:val="0"/>
          <w:numId w:val="6"/>
        </w:numPr>
        <w:spacing w:line="252" w:lineRule="auto"/>
        <w:ind w:right="283"/>
        <w:jc w:val="both"/>
        <w:rPr>
          <w:rFonts w:asciiTheme="minorHAnsi" w:hAnsiTheme="minorHAnsi"/>
        </w:rPr>
      </w:pPr>
      <w:r w:rsidRPr="00D31F11">
        <w:rPr>
          <w:rFonts w:asciiTheme="minorHAnsi" w:hAnsiTheme="minorHAnsi"/>
        </w:rPr>
        <w:t xml:space="preserve">Institutional arrangements </w:t>
      </w:r>
    </w:p>
    <w:p w:rsidR="00466913" w:rsidRPr="00D31F11" w:rsidRDefault="00466913" w:rsidP="00D31F11">
      <w:pPr>
        <w:numPr>
          <w:ilvl w:val="0"/>
          <w:numId w:val="6"/>
        </w:numPr>
        <w:spacing w:line="252" w:lineRule="auto"/>
        <w:ind w:right="283"/>
        <w:jc w:val="both"/>
        <w:rPr>
          <w:rFonts w:asciiTheme="minorHAnsi" w:hAnsiTheme="minorHAnsi"/>
        </w:rPr>
      </w:pPr>
      <w:r w:rsidRPr="00D31F11">
        <w:rPr>
          <w:rFonts w:asciiTheme="minorHAnsi" w:hAnsiTheme="minorHAnsi"/>
        </w:rPr>
        <w:t>Interface with other disciplines (KM, Extension, ICTs)</w:t>
      </w:r>
    </w:p>
    <w:p w:rsidR="00466913" w:rsidRPr="00D31F11" w:rsidRDefault="00466913" w:rsidP="00D31F11">
      <w:pPr>
        <w:spacing w:line="252" w:lineRule="auto"/>
        <w:ind w:right="283"/>
        <w:jc w:val="both"/>
        <w:rPr>
          <w:rFonts w:asciiTheme="minorHAnsi" w:hAnsiTheme="minorHAnsi"/>
        </w:rPr>
      </w:pPr>
    </w:p>
    <w:p w:rsidR="00466913" w:rsidRPr="00D31F11" w:rsidRDefault="00466913" w:rsidP="00D31F11">
      <w:pPr>
        <w:numPr>
          <w:ilvl w:val="0"/>
          <w:numId w:val="2"/>
        </w:numPr>
        <w:spacing w:line="252" w:lineRule="auto"/>
        <w:ind w:right="283"/>
        <w:jc w:val="both"/>
        <w:rPr>
          <w:rFonts w:asciiTheme="minorHAnsi" w:hAnsiTheme="minorHAnsi"/>
          <w:b/>
        </w:rPr>
      </w:pPr>
      <w:r w:rsidRPr="00D31F11">
        <w:rPr>
          <w:rFonts w:asciiTheme="minorHAnsi" w:hAnsiTheme="minorHAnsi"/>
          <w:b/>
        </w:rPr>
        <w:t>Institutional aspects and positioning of ComDev</w:t>
      </w:r>
    </w:p>
    <w:p w:rsidR="00466913" w:rsidRPr="00D31F11" w:rsidRDefault="00466913" w:rsidP="00D31F11">
      <w:pPr>
        <w:numPr>
          <w:ilvl w:val="0"/>
          <w:numId w:val="9"/>
        </w:numPr>
        <w:spacing w:line="252" w:lineRule="auto"/>
        <w:ind w:right="283"/>
        <w:jc w:val="both"/>
        <w:rPr>
          <w:rFonts w:asciiTheme="minorHAnsi" w:hAnsiTheme="minorHAnsi"/>
        </w:rPr>
      </w:pPr>
      <w:r w:rsidRPr="00D31F11">
        <w:rPr>
          <w:rFonts w:asciiTheme="minorHAnsi" w:hAnsiTheme="minorHAnsi"/>
        </w:rPr>
        <w:t xml:space="preserve">ComDev integration in national development policies </w:t>
      </w:r>
    </w:p>
    <w:p w:rsidR="00466913" w:rsidRPr="00D31F11" w:rsidRDefault="00466913" w:rsidP="00D31F11">
      <w:pPr>
        <w:numPr>
          <w:ilvl w:val="0"/>
          <w:numId w:val="9"/>
        </w:numPr>
        <w:spacing w:line="252" w:lineRule="auto"/>
        <w:ind w:right="283"/>
        <w:jc w:val="both"/>
        <w:rPr>
          <w:rFonts w:asciiTheme="minorHAnsi" w:hAnsiTheme="minorHAnsi"/>
        </w:rPr>
      </w:pPr>
      <w:r w:rsidRPr="00D31F11">
        <w:rPr>
          <w:rFonts w:asciiTheme="minorHAnsi" w:hAnsiTheme="minorHAnsi"/>
        </w:rPr>
        <w:t>Positioning in institutional frameworks (e.g. development agencies)</w:t>
      </w:r>
    </w:p>
    <w:p w:rsidR="00466913" w:rsidRPr="00D31F11" w:rsidRDefault="00466913" w:rsidP="00D31F11">
      <w:pPr>
        <w:numPr>
          <w:ilvl w:val="0"/>
          <w:numId w:val="9"/>
        </w:numPr>
        <w:spacing w:line="252" w:lineRule="auto"/>
        <w:ind w:right="283"/>
        <w:jc w:val="both"/>
        <w:rPr>
          <w:rFonts w:asciiTheme="minorHAnsi" w:hAnsiTheme="minorHAnsi"/>
        </w:rPr>
      </w:pPr>
      <w:r w:rsidRPr="00D31F11">
        <w:rPr>
          <w:rFonts w:asciiTheme="minorHAnsi" w:hAnsiTheme="minorHAnsi"/>
        </w:rPr>
        <w:t xml:space="preserve">Up-scaling of ComDev activities </w:t>
      </w:r>
    </w:p>
    <w:p w:rsidR="00466913" w:rsidRPr="00D31F11" w:rsidRDefault="00466913" w:rsidP="00D31F11">
      <w:pPr>
        <w:numPr>
          <w:ilvl w:val="0"/>
          <w:numId w:val="10"/>
        </w:numPr>
        <w:spacing w:line="252" w:lineRule="auto"/>
        <w:ind w:right="283"/>
        <w:jc w:val="both"/>
        <w:rPr>
          <w:rFonts w:asciiTheme="minorHAnsi" w:hAnsiTheme="minorHAnsi"/>
        </w:rPr>
      </w:pPr>
      <w:r w:rsidRPr="00D31F11">
        <w:rPr>
          <w:rFonts w:asciiTheme="minorHAnsi" w:hAnsiTheme="minorHAnsi"/>
        </w:rPr>
        <w:t xml:space="preserve">Collaboration and partnerships  </w:t>
      </w:r>
    </w:p>
    <w:p w:rsidR="00466913" w:rsidRPr="00D31F11" w:rsidRDefault="00466913" w:rsidP="00D31F11">
      <w:pPr>
        <w:numPr>
          <w:ilvl w:val="0"/>
          <w:numId w:val="10"/>
        </w:numPr>
        <w:spacing w:line="252" w:lineRule="auto"/>
        <w:ind w:right="283"/>
        <w:jc w:val="both"/>
        <w:rPr>
          <w:rFonts w:asciiTheme="minorHAnsi" w:hAnsiTheme="minorHAnsi"/>
        </w:rPr>
      </w:pPr>
      <w:r w:rsidRPr="00D31F11">
        <w:rPr>
          <w:rFonts w:asciiTheme="minorHAnsi" w:hAnsiTheme="minorHAnsi"/>
        </w:rPr>
        <w:t>Priorities and follow-up actions</w:t>
      </w:r>
    </w:p>
    <w:p w:rsidR="00466913" w:rsidRPr="00D31F11" w:rsidRDefault="00466913" w:rsidP="00D31F11">
      <w:pPr>
        <w:spacing w:line="252" w:lineRule="auto"/>
        <w:ind w:right="283"/>
        <w:rPr>
          <w:rFonts w:asciiTheme="minorHAnsi" w:hAnsiTheme="minorHAnsi"/>
          <w:b/>
        </w:rPr>
      </w:pPr>
    </w:p>
    <w:p w:rsidR="00466913" w:rsidRPr="00D31F11" w:rsidRDefault="00466913" w:rsidP="00D31F11">
      <w:pPr>
        <w:spacing w:after="120" w:line="276" w:lineRule="auto"/>
        <w:ind w:right="283"/>
        <w:rPr>
          <w:rFonts w:asciiTheme="minorHAnsi" w:hAnsiTheme="minorHAnsi"/>
          <w:b/>
        </w:rPr>
      </w:pPr>
      <w:r w:rsidRPr="00D31F11">
        <w:rPr>
          <w:rFonts w:asciiTheme="minorHAnsi" w:hAnsiTheme="minorHAnsi"/>
          <w:b/>
        </w:rPr>
        <w:t xml:space="preserve">Background </w:t>
      </w:r>
      <w:r w:rsidR="00F4412B" w:rsidRPr="00D31F11">
        <w:rPr>
          <w:rFonts w:asciiTheme="minorHAnsi" w:hAnsiTheme="minorHAnsi"/>
          <w:b/>
        </w:rPr>
        <w:t>d</w:t>
      </w:r>
      <w:r w:rsidRPr="00D31F11">
        <w:rPr>
          <w:rFonts w:asciiTheme="minorHAnsi" w:hAnsiTheme="minorHAnsi"/>
          <w:b/>
        </w:rPr>
        <w:t>ocuments</w:t>
      </w:r>
    </w:p>
    <w:p w:rsidR="00466913" w:rsidRPr="00D31F11" w:rsidRDefault="00AA4444" w:rsidP="00D31F11">
      <w:pPr>
        <w:numPr>
          <w:ilvl w:val="0"/>
          <w:numId w:val="3"/>
        </w:numPr>
        <w:spacing w:line="276" w:lineRule="auto"/>
        <w:ind w:right="283"/>
        <w:rPr>
          <w:rFonts w:asciiTheme="minorHAnsi" w:hAnsiTheme="minorHAnsi"/>
          <w:b/>
        </w:rPr>
      </w:pPr>
      <w:r>
        <w:rPr>
          <w:rFonts w:asciiTheme="minorHAnsi" w:hAnsiTheme="minorHAnsi"/>
        </w:rPr>
        <w:t>B</w:t>
      </w:r>
      <w:r w:rsidR="00466913" w:rsidRPr="00D31F11">
        <w:rPr>
          <w:rFonts w:asciiTheme="minorHAnsi" w:hAnsiTheme="minorHAnsi"/>
        </w:rPr>
        <w:t>ackground paper</w:t>
      </w:r>
    </w:p>
    <w:p w:rsidR="00466913" w:rsidRPr="00D31F11" w:rsidRDefault="00466913" w:rsidP="00D31F11">
      <w:pPr>
        <w:numPr>
          <w:ilvl w:val="0"/>
          <w:numId w:val="3"/>
        </w:numPr>
        <w:spacing w:line="276" w:lineRule="auto"/>
        <w:ind w:right="283"/>
        <w:rPr>
          <w:rFonts w:asciiTheme="minorHAnsi" w:hAnsiTheme="minorHAnsi"/>
          <w:b/>
        </w:rPr>
      </w:pPr>
      <w:r w:rsidRPr="00D31F11">
        <w:rPr>
          <w:rFonts w:asciiTheme="minorHAnsi" w:hAnsiTheme="minorHAnsi"/>
        </w:rPr>
        <w:t>National and global case studies /presentations</w:t>
      </w:r>
    </w:p>
    <w:p w:rsidR="00466913" w:rsidRPr="00D31F11" w:rsidRDefault="00A150F6" w:rsidP="00D31F11">
      <w:pPr>
        <w:numPr>
          <w:ilvl w:val="0"/>
          <w:numId w:val="3"/>
        </w:numPr>
        <w:spacing w:line="276" w:lineRule="auto"/>
        <w:ind w:right="283"/>
        <w:rPr>
          <w:rFonts w:asciiTheme="minorHAnsi" w:hAnsiTheme="minorHAnsi"/>
          <w:b/>
        </w:rPr>
      </w:pPr>
      <w:r w:rsidRPr="00D31F11">
        <w:rPr>
          <w:rFonts w:asciiTheme="minorHAnsi" w:hAnsiTheme="minorHAnsi"/>
        </w:rPr>
        <w:t xml:space="preserve">Overview </w:t>
      </w:r>
      <w:r w:rsidR="00466913" w:rsidRPr="00D31F11">
        <w:rPr>
          <w:rFonts w:asciiTheme="minorHAnsi" w:hAnsiTheme="minorHAnsi"/>
        </w:rPr>
        <w:t>paper on ComDev in FAO</w:t>
      </w:r>
    </w:p>
    <w:p w:rsidR="00466913" w:rsidRPr="00D31F11" w:rsidRDefault="003A1565" w:rsidP="00D31F11">
      <w:pPr>
        <w:numPr>
          <w:ilvl w:val="0"/>
          <w:numId w:val="3"/>
        </w:numPr>
        <w:spacing w:line="276" w:lineRule="auto"/>
        <w:ind w:right="283"/>
        <w:rPr>
          <w:rFonts w:asciiTheme="minorHAnsi" w:hAnsiTheme="minorHAnsi"/>
          <w:b/>
        </w:rPr>
      </w:pPr>
      <w:r w:rsidRPr="00D31F11">
        <w:rPr>
          <w:rFonts w:asciiTheme="minorHAnsi" w:hAnsiTheme="minorHAnsi"/>
        </w:rPr>
        <w:t>ComDev training m</w:t>
      </w:r>
      <w:r w:rsidR="00466913" w:rsidRPr="00D31F11">
        <w:rPr>
          <w:rFonts w:asciiTheme="minorHAnsi" w:hAnsiTheme="minorHAnsi"/>
        </w:rPr>
        <w:t>odules</w:t>
      </w:r>
      <w:r w:rsidR="003C4D13" w:rsidRPr="00D31F11">
        <w:rPr>
          <w:rFonts w:asciiTheme="minorHAnsi" w:hAnsiTheme="minorHAnsi"/>
        </w:rPr>
        <w:t xml:space="preserve"> and publications</w:t>
      </w:r>
    </w:p>
    <w:p w:rsidR="00466913" w:rsidRPr="00D31F11" w:rsidRDefault="00466913" w:rsidP="00D31F11">
      <w:pPr>
        <w:numPr>
          <w:ilvl w:val="0"/>
          <w:numId w:val="3"/>
        </w:numPr>
        <w:spacing w:line="276" w:lineRule="auto"/>
        <w:ind w:right="283"/>
        <w:rPr>
          <w:rFonts w:asciiTheme="minorHAnsi" w:hAnsiTheme="minorHAnsi"/>
          <w:b/>
        </w:rPr>
      </w:pPr>
      <w:r w:rsidRPr="00D31F11">
        <w:rPr>
          <w:rFonts w:asciiTheme="minorHAnsi" w:hAnsiTheme="minorHAnsi"/>
        </w:rPr>
        <w:t xml:space="preserve">Guidelines on ComDev </w:t>
      </w:r>
      <w:r w:rsidR="003C4D13" w:rsidRPr="00D31F11">
        <w:rPr>
          <w:rFonts w:asciiTheme="minorHAnsi" w:hAnsiTheme="minorHAnsi"/>
        </w:rPr>
        <w:t xml:space="preserve">in </w:t>
      </w:r>
      <w:r w:rsidRPr="00D31F11">
        <w:rPr>
          <w:rFonts w:asciiTheme="minorHAnsi" w:hAnsiTheme="minorHAnsi"/>
        </w:rPr>
        <w:t>rural development</w:t>
      </w:r>
    </w:p>
    <w:p w:rsidR="00466913" w:rsidRPr="00D31F11" w:rsidRDefault="00466913" w:rsidP="00D31F11">
      <w:pPr>
        <w:numPr>
          <w:ilvl w:val="0"/>
          <w:numId w:val="3"/>
        </w:numPr>
        <w:spacing w:line="276" w:lineRule="auto"/>
        <w:ind w:right="283"/>
        <w:rPr>
          <w:rFonts w:asciiTheme="minorHAnsi" w:hAnsiTheme="minorHAnsi"/>
        </w:rPr>
      </w:pPr>
      <w:r w:rsidRPr="00D31F11">
        <w:rPr>
          <w:rFonts w:asciiTheme="minorHAnsi" w:hAnsiTheme="minorHAnsi"/>
        </w:rPr>
        <w:t xml:space="preserve">Regional perspectives (knowledge sharing platforms &amp; consultations) </w:t>
      </w:r>
    </w:p>
    <w:p w:rsidR="00466913" w:rsidRPr="00D31F11" w:rsidRDefault="00466913" w:rsidP="00D31F11">
      <w:pPr>
        <w:spacing w:after="120" w:line="276" w:lineRule="auto"/>
        <w:ind w:right="283"/>
        <w:rPr>
          <w:rFonts w:asciiTheme="minorHAnsi" w:hAnsiTheme="minorHAnsi"/>
          <w:b/>
        </w:rPr>
      </w:pPr>
      <w:r w:rsidRPr="00D31F11">
        <w:rPr>
          <w:rFonts w:asciiTheme="minorHAnsi" w:hAnsiTheme="minorHAnsi"/>
          <w:b/>
        </w:rPr>
        <w:lastRenderedPageBreak/>
        <w:t>Participants</w:t>
      </w:r>
    </w:p>
    <w:p w:rsidR="00466913" w:rsidRDefault="00466913" w:rsidP="00AA4444">
      <w:pPr>
        <w:spacing w:after="240" w:line="252" w:lineRule="auto"/>
        <w:ind w:right="284"/>
        <w:jc w:val="both"/>
        <w:rPr>
          <w:rFonts w:asciiTheme="minorHAnsi" w:hAnsiTheme="minorHAnsi"/>
        </w:rPr>
      </w:pPr>
      <w:r w:rsidRPr="00D31F11">
        <w:rPr>
          <w:rFonts w:asciiTheme="minorHAnsi" w:hAnsiTheme="minorHAnsi"/>
        </w:rPr>
        <w:t xml:space="preserve">The consultation aims to bring together </w:t>
      </w:r>
      <w:r w:rsidR="00985D2E" w:rsidRPr="00D31F11">
        <w:rPr>
          <w:rFonts w:asciiTheme="minorHAnsi" w:hAnsiTheme="minorHAnsi"/>
        </w:rPr>
        <w:t xml:space="preserve">a selected number of participants including </w:t>
      </w:r>
      <w:r w:rsidRPr="00D31F11">
        <w:rPr>
          <w:rFonts w:asciiTheme="minorHAnsi" w:hAnsiTheme="minorHAnsi"/>
        </w:rPr>
        <w:t xml:space="preserve">experts from FAO and other development agencies, donors, scholars from universities in </w:t>
      </w:r>
      <w:r w:rsidR="00AE61C0" w:rsidRPr="00D31F11">
        <w:rPr>
          <w:rFonts w:asciiTheme="minorHAnsi" w:hAnsiTheme="minorHAnsi"/>
        </w:rPr>
        <w:t>different</w:t>
      </w:r>
      <w:r w:rsidRPr="00D31F11">
        <w:rPr>
          <w:rFonts w:asciiTheme="minorHAnsi" w:hAnsiTheme="minorHAnsi"/>
        </w:rPr>
        <w:t xml:space="preserve"> regions, </w:t>
      </w:r>
      <w:r w:rsidR="00AE61C0" w:rsidRPr="00D31F11">
        <w:rPr>
          <w:rFonts w:asciiTheme="minorHAnsi" w:hAnsiTheme="minorHAnsi"/>
        </w:rPr>
        <w:t>ComDev</w:t>
      </w:r>
      <w:r w:rsidR="00B11C86" w:rsidRPr="00D31F11">
        <w:rPr>
          <w:rFonts w:asciiTheme="minorHAnsi" w:hAnsiTheme="minorHAnsi"/>
        </w:rPr>
        <w:t xml:space="preserve"> networks, as well as </w:t>
      </w:r>
      <w:r w:rsidRPr="00D31F11">
        <w:rPr>
          <w:rFonts w:asciiTheme="minorHAnsi" w:hAnsiTheme="minorHAnsi"/>
        </w:rPr>
        <w:t xml:space="preserve">international experts with </w:t>
      </w:r>
      <w:r w:rsidR="00F4412B" w:rsidRPr="00D31F11">
        <w:rPr>
          <w:rFonts w:asciiTheme="minorHAnsi" w:hAnsiTheme="minorHAnsi"/>
        </w:rPr>
        <w:t>extensive</w:t>
      </w:r>
      <w:r w:rsidRPr="00D31F11">
        <w:rPr>
          <w:rFonts w:asciiTheme="minorHAnsi" w:hAnsiTheme="minorHAnsi"/>
        </w:rPr>
        <w:t xml:space="preserve"> experience in the field of communication and rural development</w:t>
      </w:r>
      <w:r w:rsidR="00392F85" w:rsidRPr="00D31F11">
        <w:rPr>
          <w:rFonts w:asciiTheme="minorHAnsi" w:hAnsiTheme="minorHAnsi"/>
        </w:rPr>
        <w:t>.</w:t>
      </w:r>
      <w:r w:rsidRPr="00D31F11">
        <w:rPr>
          <w:rFonts w:asciiTheme="minorHAnsi" w:hAnsiTheme="minorHAnsi"/>
        </w:rPr>
        <w:t xml:space="preserve"> </w:t>
      </w:r>
    </w:p>
    <w:p w:rsidR="00AA4444" w:rsidRPr="00D31F11" w:rsidRDefault="00AA4444" w:rsidP="00AA4444">
      <w:pPr>
        <w:spacing w:after="120" w:line="276" w:lineRule="auto"/>
        <w:ind w:right="283"/>
        <w:rPr>
          <w:rFonts w:asciiTheme="minorHAnsi" w:hAnsiTheme="minorHAnsi"/>
          <w:b/>
        </w:rPr>
      </w:pPr>
      <w:r>
        <w:rPr>
          <w:rFonts w:asciiTheme="minorHAnsi" w:hAnsiTheme="minorHAnsi"/>
          <w:b/>
        </w:rPr>
        <w:t>Co</w:t>
      </w:r>
      <w:r w:rsidRPr="00D31F11">
        <w:rPr>
          <w:rFonts w:asciiTheme="minorHAnsi" w:hAnsiTheme="minorHAnsi"/>
          <w:b/>
        </w:rPr>
        <w:t>nt</w:t>
      </w:r>
      <w:r>
        <w:rPr>
          <w:rFonts w:asciiTheme="minorHAnsi" w:hAnsiTheme="minorHAnsi"/>
          <w:b/>
        </w:rPr>
        <w:t>act</w:t>
      </w:r>
      <w:r w:rsidRPr="00D31F11">
        <w:rPr>
          <w:rFonts w:asciiTheme="minorHAnsi" w:hAnsiTheme="minorHAnsi"/>
          <w:b/>
        </w:rPr>
        <w:t>s</w:t>
      </w:r>
    </w:p>
    <w:p w:rsidR="00AA4444" w:rsidRDefault="00AA4444" w:rsidP="00AA4444">
      <w:pPr>
        <w:spacing w:after="120" w:line="252" w:lineRule="auto"/>
        <w:ind w:right="283"/>
        <w:jc w:val="both"/>
        <w:rPr>
          <w:rFonts w:asciiTheme="minorHAnsi" w:hAnsiTheme="minorHAnsi"/>
        </w:rPr>
      </w:pPr>
      <w:r>
        <w:rPr>
          <w:rFonts w:asciiTheme="minorHAnsi" w:hAnsiTheme="minorHAnsi"/>
        </w:rPr>
        <w:t>For further information about the consultation please refer to:</w:t>
      </w:r>
    </w:p>
    <w:p w:rsidR="00AA4444" w:rsidRPr="00AA4444" w:rsidRDefault="00AA4444" w:rsidP="00AA4444">
      <w:pPr>
        <w:spacing w:line="252" w:lineRule="auto"/>
        <w:ind w:right="283"/>
        <w:jc w:val="both"/>
        <w:rPr>
          <w:rFonts w:asciiTheme="minorHAnsi" w:hAnsiTheme="minorHAnsi"/>
          <w:lang w:val="it-IT"/>
        </w:rPr>
      </w:pPr>
      <w:r w:rsidRPr="00AA4444">
        <w:rPr>
          <w:rFonts w:asciiTheme="minorHAnsi" w:hAnsiTheme="minorHAnsi"/>
          <w:lang w:val="it-IT"/>
        </w:rPr>
        <w:t xml:space="preserve">Mario Acunzo </w:t>
      </w:r>
      <w:r w:rsidR="00646801">
        <w:rPr>
          <w:rFonts w:asciiTheme="minorHAnsi" w:hAnsiTheme="minorHAnsi"/>
          <w:lang w:val="it-IT"/>
        </w:rPr>
        <w:t xml:space="preserve"> </w:t>
      </w:r>
      <w:hyperlink r:id="rId8" w:history="1">
        <w:r w:rsidRPr="00AE0902">
          <w:rPr>
            <w:rStyle w:val="Hyperlink"/>
            <w:rFonts w:asciiTheme="minorHAnsi" w:hAnsiTheme="minorHAnsi"/>
            <w:lang w:val="it-IT"/>
          </w:rPr>
          <w:t>mario.acunzo@fao.org</w:t>
        </w:r>
      </w:hyperlink>
      <w:r w:rsidRPr="00AA4444">
        <w:rPr>
          <w:rFonts w:asciiTheme="minorHAnsi" w:hAnsiTheme="minorHAnsi"/>
          <w:lang w:val="it-IT"/>
        </w:rPr>
        <w:t xml:space="preserve"> </w:t>
      </w:r>
    </w:p>
    <w:p w:rsidR="00AA4444" w:rsidRDefault="00AA4444" w:rsidP="00AA4444">
      <w:pPr>
        <w:spacing w:line="252" w:lineRule="auto"/>
        <w:ind w:right="283"/>
        <w:jc w:val="both"/>
        <w:rPr>
          <w:rFonts w:asciiTheme="minorHAnsi" w:hAnsiTheme="minorHAnsi"/>
          <w:lang w:val="it-IT"/>
        </w:rPr>
      </w:pPr>
      <w:r>
        <w:rPr>
          <w:rFonts w:asciiTheme="minorHAnsi" w:hAnsiTheme="minorHAnsi"/>
          <w:lang w:val="it-IT"/>
        </w:rPr>
        <w:t>Riccardo Del Castello</w:t>
      </w:r>
      <w:r w:rsidR="00646801">
        <w:rPr>
          <w:rFonts w:asciiTheme="minorHAnsi" w:hAnsiTheme="minorHAnsi"/>
          <w:lang w:val="it-IT"/>
        </w:rPr>
        <w:t xml:space="preserve"> </w:t>
      </w:r>
      <w:r>
        <w:rPr>
          <w:rFonts w:asciiTheme="minorHAnsi" w:hAnsiTheme="minorHAnsi"/>
          <w:lang w:val="it-IT"/>
        </w:rPr>
        <w:t xml:space="preserve"> </w:t>
      </w:r>
      <w:hyperlink r:id="rId9" w:history="1">
        <w:r w:rsidRPr="00AE0902">
          <w:rPr>
            <w:rStyle w:val="Hyperlink"/>
            <w:rFonts w:asciiTheme="minorHAnsi" w:hAnsiTheme="minorHAnsi"/>
            <w:lang w:val="it-IT"/>
          </w:rPr>
          <w:t>riccardo.delcastello@fao.org</w:t>
        </w:r>
      </w:hyperlink>
      <w:r>
        <w:rPr>
          <w:rFonts w:asciiTheme="minorHAnsi" w:hAnsiTheme="minorHAnsi"/>
          <w:lang w:val="it-IT"/>
        </w:rPr>
        <w:t xml:space="preserve"> </w:t>
      </w:r>
    </w:p>
    <w:p w:rsidR="00646801" w:rsidRDefault="00646801" w:rsidP="00AA4444">
      <w:pPr>
        <w:spacing w:line="252" w:lineRule="auto"/>
        <w:ind w:right="283"/>
        <w:jc w:val="both"/>
        <w:rPr>
          <w:rFonts w:asciiTheme="minorHAnsi" w:hAnsiTheme="minorHAnsi"/>
          <w:lang w:val="en-US"/>
        </w:rPr>
      </w:pPr>
      <w:r w:rsidRPr="00646801">
        <w:rPr>
          <w:rFonts w:asciiTheme="minorHAnsi" w:hAnsiTheme="minorHAnsi"/>
          <w:lang w:val="en-US"/>
        </w:rPr>
        <w:t>May Hani</w:t>
      </w:r>
      <w:r>
        <w:rPr>
          <w:rFonts w:asciiTheme="minorHAnsi" w:hAnsiTheme="minorHAnsi"/>
          <w:lang w:val="en-US"/>
        </w:rPr>
        <w:t xml:space="preserve"> </w:t>
      </w:r>
      <w:r w:rsidRPr="00646801">
        <w:rPr>
          <w:rFonts w:asciiTheme="minorHAnsi" w:hAnsiTheme="minorHAnsi"/>
          <w:lang w:val="en-US"/>
        </w:rPr>
        <w:t xml:space="preserve"> </w:t>
      </w:r>
      <w:hyperlink r:id="rId10" w:history="1">
        <w:r w:rsidRPr="00AE0902">
          <w:rPr>
            <w:rStyle w:val="Hyperlink"/>
            <w:rFonts w:asciiTheme="minorHAnsi" w:hAnsiTheme="minorHAnsi"/>
            <w:lang w:val="en-US"/>
          </w:rPr>
          <w:t>may.hani@fao.org</w:t>
        </w:r>
      </w:hyperlink>
      <w:r>
        <w:rPr>
          <w:rFonts w:asciiTheme="minorHAnsi" w:hAnsiTheme="minorHAnsi"/>
          <w:lang w:val="en-US"/>
        </w:rPr>
        <w:t xml:space="preserve"> </w:t>
      </w:r>
    </w:p>
    <w:p w:rsidR="00F30EC0" w:rsidRDefault="00F30EC0" w:rsidP="00AA4444">
      <w:pPr>
        <w:spacing w:line="252" w:lineRule="auto"/>
        <w:ind w:right="283"/>
        <w:jc w:val="both"/>
        <w:rPr>
          <w:rFonts w:asciiTheme="minorHAnsi" w:hAnsiTheme="minorHAnsi"/>
          <w:lang w:val="en-US"/>
        </w:rPr>
      </w:pPr>
    </w:p>
    <w:p w:rsidR="00F30EC0" w:rsidRDefault="00F30EC0" w:rsidP="00F30EC0">
      <w:pPr>
        <w:spacing w:after="120" w:line="252" w:lineRule="auto"/>
        <w:ind w:right="283"/>
        <w:rPr>
          <w:rFonts w:asciiTheme="minorHAnsi" w:hAnsiTheme="minorHAnsi"/>
        </w:rPr>
      </w:pPr>
      <w:r>
        <w:rPr>
          <w:rFonts w:asciiTheme="minorHAnsi" w:hAnsiTheme="minorHAnsi"/>
        </w:rPr>
        <w:t xml:space="preserve">website: </w:t>
      </w:r>
      <w:hyperlink r:id="rId11" w:history="1">
        <w:r w:rsidRPr="00F30EC0">
          <w:rPr>
            <w:rStyle w:val="Hyperlink"/>
            <w:rFonts w:asciiTheme="minorHAnsi" w:hAnsiTheme="minorHAnsi"/>
            <w:sz w:val="22"/>
          </w:rPr>
          <w:t>http://www.fao.org/oek/communication-for-development/expert-consultation/en/</w:t>
        </w:r>
      </w:hyperlink>
    </w:p>
    <w:p w:rsidR="00F30EC0" w:rsidRDefault="00F30EC0" w:rsidP="00F30EC0">
      <w:pPr>
        <w:spacing w:after="120" w:line="252" w:lineRule="auto"/>
        <w:ind w:right="283"/>
        <w:rPr>
          <w:rFonts w:asciiTheme="minorHAnsi" w:hAnsiTheme="minorHAnsi"/>
        </w:rPr>
      </w:pPr>
      <w:r>
        <w:rPr>
          <w:rFonts w:asciiTheme="minorHAnsi" w:hAnsiTheme="minorHAnsi"/>
        </w:rPr>
        <w:t xml:space="preserve">twitter: </w:t>
      </w:r>
      <w:hyperlink r:id="rId12" w:history="1">
        <w:r w:rsidRPr="001B6AE5">
          <w:rPr>
            <w:rStyle w:val="Hyperlink"/>
            <w:rFonts w:asciiTheme="minorHAnsi" w:hAnsiTheme="minorHAnsi"/>
          </w:rPr>
          <w:t>http://www.twitter.com/FAOcomdev</w:t>
        </w:r>
      </w:hyperlink>
    </w:p>
    <w:p w:rsidR="00F30EC0" w:rsidRPr="00F30EC0" w:rsidRDefault="00F30EC0" w:rsidP="00AA4444">
      <w:pPr>
        <w:spacing w:line="252" w:lineRule="auto"/>
        <w:ind w:right="283"/>
        <w:jc w:val="both"/>
        <w:rPr>
          <w:rFonts w:asciiTheme="minorHAnsi" w:hAnsiTheme="minorHAnsi"/>
        </w:rPr>
      </w:pPr>
    </w:p>
    <w:sectPr w:rsidR="00F30EC0" w:rsidRPr="00F30EC0" w:rsidSect="00D31F11">
      <w:footerReference w:type="default" r:id="rId13"/>
      <w:headerReference w:type="first" r:id="rId14"/>
      <w:pgSz w:w="11907" w:h="16840" w:code="9"/>
      <w:pgMar w:top="2127" w:right="1275"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44" w:rsidRDefault="00AA4444" w:rsidP="00466913">
      <w:r>
        <w:separator/>
      </w:r>
    </w:p>
  </w:endnote>
  <w:endnote w:type="continuationSeparator" w:id="0">
    <w:p w:rsidR="00AA4444" w:rsidRDefault="00AA4444" w:rsidP="00466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4" w:rsidRPr="00D31F11" w:rsidRDefault="00EA766F">
    <w:pPr>
      <w:pStyle w:val="Footer"/>
      <w:jc w:val="center"/>
      <w:rPr>
        <w:rFonts w:asciiTheme="minorHAnsi" w:hAnsiTheme="minorHAnsi"/>
      </w:rPr>
    </w:pPr>
    <w:r w:rsidRPr="00D31F11">
      <w:rPr>
        <w:rFonts w:asciiTheme="minorHAnsi" w:hAnsiTheme="minorHAnsi"/>
      </w:rPr>
      <w:fldChar w:fldCharType="begin"/>
    </w:r>
    <w:r w:rsidR="00AA4444" w:rsidRPr="00D31F11">
      <w:rPr>
        <w:rFonts w:asciiTheme="minorHAnsi" w:hAnsiTheme="minorHAnsi"/>
      </w:rPr>
      <w:instrText xml:space="preserve"> PAGE   \* MERGEFORMAT </w:instrText>
    </w:r>
    <w:r w:rsidRPr="00D31F11">
      <w:rPr>
        <w:rFonts w:asciiTheme="minorHAnsi" w:hAnsiTheme="minorHAnsi"/>
      </w:rPr>
      <w:fldChar w:fldCharType="separate"/>
    </w:r>
    <w:r w:rsidR="00F30EC0">
      <w:rPr>
        <w:rFonts w:asciiTheme="minorHAnsi" w:hAnsiTheme="minorHAnsi"/>
        <w:noProof/>
      </w:rPr>
      <w:t>5</w:t>
    </w:r>
    <w:r w:rsidRPr="00D31F11">
      <w:rPr>
        <w:rFonts w:asciiTheme="minorHAnsi" w:hAnsiTheme="minorHAnsi"/>
      </w:rPr>
      <w:fldChar w:fldCharType="end"/>
    </w:r>
  </w:p>
  <w:p w:rsidR="00AA4444" w:rsidRDefault="00AA4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44" w:rsidRDefault="00AA4444" w:rsidP="00466913">
      <w:r>
        <w:separator/>
      </w:r>
    </w:p>
  </w:footnote>
  <w:footnote w:type="continuationSeparator" w:id="0">
    <w:p w:rsidR="00AA4444" w:rsidRDefault="00AA4444" w:rsidP="00466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4" w:rsidRDefault="00AA4444">
    <w:pPr>
      <w:pStyle w:val="Header"/>
    </w:pPr>
    <w:r>
      <w:rPr>
        <w:noProof/>
        <w:lang w:val="en-US"/>
      </w:rPr>
      <w:drawing>
        <wp:anchor distT="0" distB="0" distL="114300" distR="114300" simplePos="0" relativeHeight="251657216" behindDoc="0" locked="0" layoutInCell="1" allowOverlap="1">
          <wp:simplePos x="0" y="0"/>
          <wp:positionH relativeFrom="margin">
            <wp:posOffset>13970</wp:posOffset>
          </wp:positionH>
          <wp:positionV relativeFrom="margin">
            <wp:posOffset>-1055370</wp:posOffset>
          </wp:positionV>
          <wp:extent cx="819150" cy="8191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EA766F">
      <w:rPr>
        <w:noProof/>
        <w:lang w:val="en-US"/>
      </w:rPr>
      <w:pict>
        <v:shapetype id="_x0000_t202" coordsize="21600,21600" o:spt="202" path="m,l,21600r21600,l21600,xe">
          <v:stroke joinstyle="miter"/>
          <v:path gradientshapeok="t" o:connecttype="rect"/>
        </v:shapetype>
        <v:shape id="_x0000_s2050" type="#_x0000_t202" style="position:absolute;margin-left:73.1pt;margin-top:-12.75pt;width:354pt;height:1in;z-index:-251658240;mso-position-horizontal-relative:text;mso-position-vertical-relative:text;mso-width-relative:margin;mso-height-relative:margin" stroked="f">
          <v:textbox style="mso-next-textbox:#_x0000_s2050">
            <w:txbxContent>
              <w:p w:rsidR="00AA4444" w:rsidRPr="004F40BB" w:rsidRDefault="00AA4444" w:rsidP="00D31F11">
                <w:pPr>
                  <w:jc w:val="center"/>
                  <w:rPr>
                    <w:rFonts w:ascii="Calibri" w:hAnsi="Calibri"/>
                    <w:sz w:val="28"/>
                  </w:rPr>
                </w:pPr>
                <w:r w:rsidRPr="004F40BB">
                  <w:rPr>
                    <w:rFonts w:ascii="Calibri" w:hAnsi="Calibri"/>
                    <w:sz w:val="28"/>
                  </w:rPr>
                  <w:t>Expert Consultation on Communication for Development</w:t>
                </w:r>
              </w:p>
              <w:p w:rsidR="00AA4444" w:rsidRPr="004F40BB" w:rsidRDefault="00AA4444" w:rsidP="00D31F11">
                <w:pPr>
                  <w:spacing w:after="240"/>
                  <w:jc w:val="center"/>
                  <w:rPr>
                    <w:rFonts w:ascii="Calibri" w:hAnsi="Calibri"/>
                    <w:sz w:val="22"/>
                    <w:szCs w:val="20"/>
                  </w:rPr>
                </w:pPr>
                <w:r w:rsidRPr="004F40BB">
                  <w:rPr>
                    <w:rFonts w:ascii="Calibri" w:hAnsi="Calibri"/>
                    <w:sz w:val="22"/>
                    <w:szCs w:val="20"/>
                  </w:rPr>
                  <w:t>FAO, Rome - Italy 14-16 September 2011</w:t>
                </w:r>
              </w:p>
              <w:p w:rsidR="00AA4444" w:rsidRPr="00D31F11" w:rsidRDefault="00AA4444" w:rsidP="00D31F11">
                <w:pPr>
                  <w:jc w:val="center"/>
                  <w:rPr>
                    <w:rFonts w:ascii="Calibri" w:hAnsi="Calibri"/>
                    <w:b/>
                    <w:sz w:val="26"/>
                    <w:szCs w:val="26"/>
                  </w:rPr>
                </w:pPr>
                <w:r w:rsidRPr="00D31F11">
                  <w:rPr>
                    <w:rFonts w:ascii="Calibri" w:hAnsi="Calibri"/>
                    <w:b/>
                    <w:sz w:val="26"/>
                    <w:szCs w:val="26"/>
                  </w:rPr>
                  <w:t>Concept Note</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6CF"/>
    <w:multiLevelType w:val="hybridMultilevel"/>
    <w:tmpl w:val="755E19C0"/>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
    <w:nsid w:val="0B2D7E6E"/>
    <w:multiLevelType w:val="hybridMultilevel"/>
    <w:tmpl w:val="417240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Symbol"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Symbol"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A8D4FE4"/>
    <w:multiLevelType w:val="hybridMultilevel"/>
    <w:tmpl w:val="4574C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C7ED8"/>
    <w:multiLevelType w:val="hybridMultilevel"/>
    <w:tmpl w:val="DC04027E"/>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4">
    <w:nsid w:val="2AEA08C5"/>
    <w:multiLevelType w:val="hybridMultilevel"/>
    <w:tmpl w:val="4A20085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Symbol"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Symbol"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2FD36E95"/>
    <w:multiLevelType w:val="hybridMultilevel"/>
    <w:tmpl w:val="414E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A54AC"/>
    <w:multiLevelType w:val="hybridMultilevel"/>
    <w:tmpl w:val="484E644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Symbol"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Symbol"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443315E7"/>
    <w:multiLevelType w:val="hybridMultilevel"/>
    <w:tmpl w:val="36941DF8"/>
    <w:lvl w:ilvl="0" w:tplc="0409000F">
      <w:start w:val="1"/>
      <w:numFmt w:val="decimal"/>
      <w:lvlText w:val="%1."/>
      <w:lvlJc w:val="left"/>
      <w:pPr>
        <w:ind w:left="720" w:hanging="360"/>
      </w:pPr>
      <w:rPr>
        <w:rFonts w:hint="default"/>
      </w:rPr>
    </w:lvl>
    <w:lvl w:ilvl="1" w:tplc="0BD8DA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619E1"/>
    <w:multiLevelType w:val="hybridMultilevel"/>
    <w:tmpl w:val="EC680B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6252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4F274C1"/>
    <w:multiLevelType w:val="hybridMultilevel"/>
    <w:tmpl w:val="A3462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9692FFE"/>
    <w:multiLevelType w:val="hybridMultilevel"/>
    <w:tmpl w:val="C7E4267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Symbol"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Symbol"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A9223F4"/>
    <w:multiLevelType w:val="hybridMultilevel"/>
    <w:tmpl w:val="A7525ECE"/>
    <w:lvl w:ilvl="0" w:tplc="71AA1488">
      <w:start w:val="1"/>
      <w:numFmt w:val="decimal"/>
      <w:lvlText w:val="%1."/>
      <w:lvlJc w:val="lef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8F52908"/>
    <w:multiLevelType w:val="hybridMultilevel"/>
    <w:tmpl w:val="AB12590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Symbol"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Symbol"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7AB37F91"/>
    <w:multiLevelType w:val="hybridMultilevel"/>
    <w:tmpl w:val="8166B4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4"/>
  </w:num>
  <w:num w:numId="4">
    <w:abstractNumId w:val="7"/>
  </w:num>
  <w:num w:numId="5">
    <w:abstractNumId w:val="8"/>
  </w:num>
  <w:num w:numId="6">
    <w:abstractNumId w:val="6"/>
  </w:num>
  <w:num w:numId="7">
    <w:abstractNumId w:val="4"/>
  </w:num>
  <w:num w:numId="8">
    <w:abstractNumId w:val="13"/>
  </w:num>
  <w:num w:numId="9">
    <w:abstractNumId w:val="11"/>
  </w:num>
  <w:num w:numId="10">
    <w:abstractNumId w:val="1"/>
  </w:num>
  <w:num w:numId="11">
    <w:abstractNumId w:val="9"/>
  </w:num>
  <w:num w:numId="12">
    <w:abstractNumId w:val="5"/>
  </w:num>
  <w:num w:numId="13">
    <w:abstractNumId w:val="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F4CAD"/>
    <w:rsid w:val="000167F6"/>
    <w:rsid w:val="000F6E71"/>
    <w:rsid w:val="0013224D"/>
    <w:rsid w:val="0014653A"/>
    <w:rsid w:val="001C2333"/>
    <w:rsid w:val="001F2B2F"/>
    <w:rsid w:val="001F4DF5"/>
    <w:rsid w:val="00232519"/>
    <w:rsid w:val="00234B15"/>
    <w:rsid w:val="00271B70"/>
    <w:rsid w:val="002859A4"/>
    <w:rsid w:val="0032291B"/>
    <w:rsid w:val="00347591"/>
    <w:rsid w:val="00351AA2"/>
    <w:rsid w:val="003569E2"/>
    <w:rsid w:val="00392F85"/>
    <w:rsid w:val="003A1565"/>
    <w:rsid w:val="003A1DF5"/>
    <w:rsid w:val="003C4D13"/>
    <w:rsid w:val="003D16EA"/>
    <w:rsid w:val="003E7380"/>
    <w:rsid w:val="00425C8A"/>
    <w:rsid w:val="00432F9E"/>
    <w:rsid w:val="00466913"/>
    <w:rsid w:val="00484FBC"/>
    <w:rsid w:val="004875C2"/>
    <w:rsid w:val="004C203C"/>
    <w:rsid w:val="005143EA"/>
    <w:rsid w:val="0052451D"/>
    <w:rsid w:val="005B2524"/>
    <w:rsid w:val="005D277D"/>
    <w:rsid w:val="00607BD3"/>
    <w:rsid w:val="00622A2F"/>
    <w:rsid w:val="006343C3"/>
    <w:rsid w:val="00646801"/>
    <w:rsid w:val="00685AFC"/>
    <w:rsid w:val="006A5ADB"/>
    <w:rsid w:val="006C0B60"/>
    <w:rsid w:val="006C4277"/>
    <w:rsid w:val="006E422E"/>
    <w:rsid w:val="00736B82"/>
    <w:rsid w:val="00762DDB"/>
    <w:rsid w:val="00783A49"/>
    <w:rsid w:val="007A73AE"/>
    <w:rsid w:val="007D45DF"/>
    <w:rsid w:val="00826A72"/>
    <w:rsid w:val="00833681"/>
    <w:rsid w:val="008A6095"/>
    <w:rsid w:val="008E156F"/>
    <w:rsid w:val="008F61AE"/>
    <w:rsid w:val="00904D06"/>
    <w:rsid w:val="00985D2E"/>
    <w:rsid w:val="009A1DB8"/>
    <w:rsid w:val="009D4692"/>
    <w:rsid w:val="009E50F4"/>
    <w:rsid w:val="009E6445"/>
    <w:rsid w:val="009E77E7"/>
    <w:rsid w:val="00A150F6"/>
    <w:rsid w:val="00A72173"/>
    <w:rsid w:val="00A80863"/>
    <w:rsid w:val="00AA4444"/>
    <w:rsid w:val="00AC75E5"/>
    <w:rsid w:val="00AE61C0"/>
    <w:rsid w:val="00AF4CAD"/>
    <w:rsid w:val="00B048D8"/>
    <w:rsid w:val="00B06DE9"/>
    <w:rsid w:val="00B118AC"/>
    <w:rsid w:val="00B11C86"/>
    <w:rsid w:val="00B1729A"/>
    <w:rsid w:val="00B40AC4"/>
    <w:rsid w:val="00B4312B"/>
    <w:rsid w:val="00B46CD9"/>
    <w:rsid w:val="00C23814"/>
    <w:rsid w:val="00C442EA"/>
    <w:rsid w:val="00C707A7"/>
    <w:rsid w:val="00C75AAD"/>
    <w:rsid w:val="00C90860"/>
    <w:rsid w:val="00CE2B4A"/>
    <w:rsid w:val="00D0452B"/>
    <w:rsid w:val="00D31F11"/>
    <w:rsid w:val="00DB01BA"/>
    <w:rsid w:val="00DB6739"/>
    <w:rsid w:val="00E2211B"/>
    <w:rsid w:val="00E45DBA"/>
    <w:rsid w:val="00EA766F"/>
    <w:rsid w:val="00F30EC0"/>
    <w:rsid w:val="00F4412B"/>
    <w:rsid w:val="00F863E1"/>
    <w:rsid w:val="00F94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AD"/>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paragraph" w:customStyle="1" w:styleId="ColorfulList-Accent11">
    <w:name w:val="Colorful List - Accent 11"/>
    <w:basedOn w:val="Normal"/>
    <w:uiPriority w:val="34"/>
    <w:qFormat/>
    <w:rsid w:val="00AF4CAD"/>
    <w:pPr>
      <w:ind w:left="720"/>
    </w:pPr>
  </w:style>
  <w:style w:type="paragraph" w:styleId="BalloonText">
    <w:name w:val="Balloon Text"/>
    <w:basedOn w:val="Normal"/>
    <w:semiHidden/>
    <w:rsid w:val="003507DF"/>
    <w:rPr>
      <w:rFonts w:ascii="Tahoma" w:hAnsi="Tahoma" w:cs="Tahoma"/>
      <w:sz w:val="16"/>
      <w:szCs w:val="16"/>
    </w:rPr>
  </w:style>
  <w:style w:type="character" w:styleId="CommentReference">
    <w:name w:val="annotation reference"/>
    <w:basedOn w:val="DefaultParagraphFont"/>
    <w:semiHidden/>
    <w:rsid w:val="00416084"/>
    <w:rPr>
      <w:sz w:val="16"/>
      <w:szCs w:val="16"/>
    </w:rPr>
  </w:style>
  <w:style w:type="paragraph" w:styleId="CommentText">
    <w:name w:val="annotation text"/>
    <w:basedOn w:val="Normal"/>
    <w:semiHidden/>
    <w:rsid w:val="00416084"/>
    <w:rPr>
      <w:sz w:val="20"/>
      <w:szCs w:val="20"/>
    </w:rPr>
  </w:style>
  <w:style w:type="paragraph" w:styleId="CommentSubject">
    <w:name w:val="annotation subject"/>
    <w:basedOn w:val="CommentText"/>
    <w:next w:val="CommentText"/>
    <w:semiHidden/>
    <w:rsid w:val="00416084"/>
    <w:rPr>
      <w:b/>
      <w:bCs/>
    </w:rPr>
  </w:style>
  <w:style w:type="paragraph" w:styleId="FootnoteText">
    <w:name w:val="footnote text"/>
    <w:basedOn w:val="Normal"/>
    <w:link w:val="FootnoteTextChar"/>
    <w:uiPriority w:val="99"/>
    <w:semiHidden/>
    <w:unhideWhenUsed/>
    <w:rsid w:val="00656A68"/>
    <w:rPr>
      <w:sz w:val="20"/>
      <w:szCs w:val="20"/>
    </w:rPr>
  </w:style>
  <w:style w:type="character" w:customStyle="1" w:styleId="FootnoteTextChar">
    <w:name w:val="Footnote Text Char"/>
    <w:basedOn w:val="DefaultParagraphFont"/>
    <w:link w:val="FootnoteText"/>
    <w:uiPriority w:val="99"/>
    <w:semiHidden/>
    <w:rsid w:val="00656A68"/>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656A68"/>
    <w:rPr>
      <w:vertAlign w:val="superscript"/>
    </w:rPr>
  </w:style>
  <w:style w:type="character" w:styleId="Emphasis">
    <w:name w:val="Emphasis"/>
    <w:basedOn w:val="DefaultParagraphFont"/>
    <w:uiPriority w:val="20"/>
    <w:qFormat/>
    <w:rsid w:val="00792363"/>
    <w:rPr>
      <w:i/>
    </w:rPr>
  </w:style>
  <w:style w:type="paragraph" w:styleId="HTMLPreformatted">
    <w:name w:val="HTML Preformatted"/>
    <w:basedOn w:val="Normal"/>
    <w:link w:val="HTMLPreformattedChar"/>
    <w:rsid w:val="006828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w:eastAsia="Courier" w:hAnsi="Courier"/>
      <w:sz w:val="20"/>
      <w:szCs w:val="20"/>
      <w:lang w:val="es-ES"/>
    </w:rPr>
  </w:style>
  <w:style w:type="character" w:customStyle="1" w:styleId="HTMLPreformattedChar">
    <w:name w:val="HTML Preformatted Char"/>
    <w:basedOn w:val="DefaultParagraphFont"/>
    <w:link w:val="HTMLPreformatted"/>
    <w:rsid w:val="006828DF"/>
    <w:rPr>
      <w:rFonts w:ascii="Courier" w:eastAsia="Courier" w:hAnsi="Courier"/>
      <w:lang w:val="es-ES"/>
    </w:rPr>
  </w:style>
  <w:style w:type="character" w:styleId="Hyperlink">
    <w:name w:val="Hyperlink"/>
    <w:basedOn w:val="DefaultParagraphFont"/>
    <w:uiPriority w:val="99"/>
    <w:unhideWhenUsed/>
    <w:rsid w:val="00AA44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o.acunzo@fao.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FAOcomde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oek/communication-for-development/expert-consultation/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y.hani@fao.org" TargetMode="External"/><Relationship Id="rId4" Type="http://schemas.openxmlformats.org/officeDocument/2006/relationships/settings" Target="settings.xml"/><Relationship Id="rId9" Type="http://schemas.openxmlformats.org/officeDocument/2006/relationships/hyperlink" Target="mailto:riccardo.delcastello@fao.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EB7F-4556-4099-A84E-78581ECC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CONCEPT NOTE</vt:lpstr>
    </vt:vector>
  </TitlesOfParts>
  <Company>FAO of the UN</Company>
  <LinksUpToDate>false</LinksUpToDate>
  <CharactersWithSpaces>10344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dc:title>
  <dc:creator>acunzo</dc:creator>
  <cp:lastModifiedBy>Luca Servo</cp:lastModifiedBy>
  <cp:revision>3</cp:revision>
  <cp:lastPrinted>2011-06-27T08:06:00Z</cp:lastPrinted>
  <dcterms:created xsi:type="dcterms:W3CDTF">2011-07-01T10:46:00Z</dcterms:created>
  <dcterms:modified xsi:type="dcterms:W3CDTF">2011-07-07T07:32:00Z</dcterms:modified>
</cp:coreProperties>
</file>