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CB3AB" w14:textId="77777777" w:rsidR="001863D2" w:rsidRPr="00253D7C" w:rsidRDefault="001863D2" w:rsidP="0070344C">
      <w:pPr>
        <w:rPr>
          <w:lang w:val="en-GB"/>
        </w:rPr>
      </w:pPr>
    </w:p>
    <w:p w14:paraId="4F157C17" w14:textId="77777777" w:rsidR="001863D2" w:rsidRPr="00253D7C" w:rsidRDefault="001863D2" w:rsidP="00C076B9">
      <w:pPr>
        <w:jc w:val="center"/>
        <w:rPr>
          <w:b/>
          <w:bCs/>
          <w:sz w:val="36"/>
          <w:szCs w:val="32"/>
          <w:lang w:val="it-IT"/>
        </w:rPr>
      </w:pPr>
      <w:r w:rsidRPr="00253D7C">
        <w:rPr>
          <w:b/>
          <w:bCs/>
          <w:sz w:val="36"/>
          <w:szCs w:val="32"/>
          <w:lang w:val="it-IT"/>
        </w:rPr>
        <w:t>UNIVERSITÀ DEGLI STUDI ROMA TRE</w:t>
      </w:r>
    </w:p>
    <w:p w14:paraId="06465773" w14:textId="77777777" w:rsidR="0070344C" w:rsidRPr="00253D7C" w:rsidRDefault="001863D2" w:rsidP="00C076B9">
      <w:pPr>
        <w:jc w:val="center"/>
        <w:rPr>
          <w:b/>
          <w:bCs/>
          <w:sz w:val="36"/>
          <w:szCs w:val="32"/>
          <w:lang w:val="it-IT"/>
        </w:rPr>
      </w:pPr>
      <w:r w:rsidRPr="00253D7C">
        <w:rPr>
          <w:b/>
          <w:bCs/>
          <w:sz w:val="36"/>
          <w:szCs w:val="32"/>
          <w:lang w:val="it-IT"/>
        </w:rPr>
        <w:t>Faculty of Economics “Federico Caffè”</w:t>
      </w:r>
    </w:p>
    <w:p w14:paraId="53958921" w14:textId="77777777" w:rsidR="001863D2" w:rsidRPr="003D2139" w:rsidRDefault="0070344C" w:rsidP="00C076B9">
      <w:pPr>
        <w:jc w:val="center"/>
        <w:rPr>
          <w:lang w:val="en-GB"/>
        </w:rPr>
      </w:pPr>
      <w:r w:rsidRPr="001261AF">
        <w:rPr>
          <w:noProof/>
          <w:lang w:val="en-GB" w:eastAsia="zh-CN"/>
        </w:rPr>
        <w:drawing>
          <wp:inline distT="0" distB="0" distL="0" distR="0" wp14:anchorId="1D0653B1" wp14:editId="16C58113">
            <wp:extent cx="2517506" cy="1269242"/>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ma_Tr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4126" cy="1272580"/>
                    </a:xfrm>
                    <a:prstGeom prst="rect">
                      <a:avLst/>
                    </a:prstGeom>
                  </pic:spPr>
                </pic:pic>
              </a:graphicData>
            </a:graphic>
          </wp:inline>
        </w:drawing>
      </w:r>
    </w:p>
    <w:p w14:paraId="2ABA933A" w14:textId="77777777" w:rsidR="0070344C" w:rsidRPr="00253D7C" w:rsidRDefault="0070344C" w:rsidP="0070344C">
      <w:pPr>
        <w:rPr>
          <w:lang w:val="en-GB"/>
        </w:rPr>
      </w:pPr>
    </w:p>
    <w:p w14:paraId="52AEE28C" w14:textId="77777777" w:rsidR="001863D2" w:rsidRPr="00253D7C" w:rsidRDefault="0070344C" w:rsidP="00C076B9">
      <w:pPr>
        <w:jc w:val="center"/>
        <w:rPr>
          <w:b/>
          <w:bCs/>
          <w:sz w:val="28"/>
          <w:szCs w:val="24"/>
          <w:lang w:val="en-GB"/>
        </w:rPr>
      </w:pPr>
      <w:r w:rsidRPr="00253D7C">
        <w:rPr>
          <w:b/>
          <w:bCs/>
          <w:sz w:val="28"/>
          <w:szCs w:val="24"/>
          <w:lang w:val="en-GB"/>
        </w:rPr>
        <w:t>Master</w:t>
      </w:r>
      <w:r w:rsidR="001863D2" w:rsidRPr="00253D7C">
        <w:rPr>
          <w:b/>
          <w:bCs/>
          <w:sz w:val="28"/>
          <w:szCs w:val="24"/>
          <w:lang w:val="en-GB"/>
        </w:rPr>
        <w:t xml:space="preserve"> in Human Development and Food Security</w:t>
      </w:r>
    </w:p>
    <w:p w14:paraId="1A3603D5" w14:textId="77777777" w:rsidR="0070344C" w:rsidRPr="00253D7C" w:rsidRDefault="0070344C" w:rsidP="0070344C">
      <w:pPr>
        <w:rPr>
          <w:lang w:val="en-GB"/>
        </w:rPr>
      </w:pPr>
    </w:p>
    <w:p w14:paraId="253DB63B" w14:textId="77777777" w:rsidR="001863D2" w:rsidRPr="00253D7C" w:rsidRDefault="0070344C" w:rsidP="00C076B9">
      <w:pPr>
        <w:jc w:val="center"/>
        <w:rPr>
          <w:lang w:val="en-GB"/>
        </w:rPr>
      </w:pPr>
      <w:r w:rsidRPr="001261AF">
        <w:rPr>
          <w:noProof/>
          <w:lang w:val="en-GB" w:eastAsia="zh-CN"/>
        </w:rPr>
        <w:drawing>
          <wp:inline distT="0" distB="0" distL="0" distR="0" wp14:anchorId="31F56C3A" wp14:editId="2F45BAFF">
            <wp:extent cx="1539630" cy="1556026"/>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6707" cy="1573285"/>
                    </a:xfrm>
                    <a:prstGeom prst="rect">
                      <a:avLst/>
                    </a:prstGeom>
                    <a:solidFill>
                      <a:srgbClr val="FFFFFF"/>
                    </a:solidFill>
                    <a:ln>
                      <a:noFill/>
                    </a:ln>
                  </pic:spPr>
                </pic:pic>
              </a:graphicData>
            </a:graphic>
          </wp:inline>
        </w:drawing>
      </w:r>
    </w:p>
    <w:p w14:paraId="4B84C395" w14:textId="77777777" w:rsidR="001863D2" w:rsidRPr="00253D7C" w:rsidRDefault="001863D2" w:rsidP="0070344C">
      <w:pPr>
        <w:rPr>
          <w:lang w:val="en-GB"/>
        </w:rPr>
      </w:pPr>
    </w:p>
    <w:p w14:paraId="3F501647" w14:textId="1E73A805" w:rsidR="001863D2" w:rsidRPr="00253D7C" w:rsidRDefault="00E11877" w:rsidP="00C076B9">
      <w:pPr>
        <w:jc w:val="center"/>
        <w:rPr>
          <w:b/>
          <w:bCs/>
          <w:sz w:val="40"/>
          <w:szCs w:val="36"/>
          <w:lang w:val="en-GB"/>
        </w:rPr>
      </w:pPr>
      <w:r>
        <w:rPr>
          <w:b/>
          <w:bCs/>
          <w:sz w:val="40"/>
          <w:szCs w:val="36"/>
          <w:lang w:val="en-GB"/>
        </w:rPr>
        <w:t xml:space="preserve">Identifying </w:t>
      </w:r>
      <w:r w:rsidR="001863D2" w:rsidRPr="00253D7C">
        <w:rPr>
          <w:b/>
          <w:bCs/>
          <w:sz w:val="40"/>
          <w:szCs w:val="36"/>
          <w:lang w:val="en-GB"/>
        </w:rPr>
        <w:t xml:space="preserve">gaps </w:t>
      </w:r>
      <w:r w:rsidR="003D2139">
        <w:rPr>
          <w:b/>
          <w:bCs/>
          <w:sz w:val="40"/>
          <w:szCs w:val="36"/>
          <w:lang w:val="en-GB"/>
        </w:rPr>
        <w:t>in</w:t>
      </w:r>
      <w:r w:rsidR="001863D2" w:rsidRPr="00253D7C">
        <w:rPr>
          <w:b/>
          <w:bCs/>
          <w:sz w:val="40"/>
          <w:szCs w:val="36"/>
          <w:lang w:val="en-GB"/>
        </w:rPr>
        <w:t xml:space="preserve"> the main conclusions of the </w:t>
      </w:r>
      <w:r w:rsidR="001863D2" w:rsidRPr="00253D7C">
        <w:rPr>
          <w:b/>
          <w:bCs/>
          <w:sz w:val="40"/>
          <w:szCs w:val="36"/>
          <w:lang w:val="en-GB"/>
        </w:rPr>
        <w:br/>
        <w:t>Second International Conference on Nutrition</w:t>
      </w:r>
    </w:p>
    <w:p w14:paraId="7E7371E3" w14:textId="77777777" w:rsidR="001863D2" w:rsidRPr="00253D7C" w:rsidRDefault="001863D2" w:rsidP="0070344C">
      <w:pPr>
        <w:rPr>
          <w:lang w:val="en-GB"/>
        </w:rPr>
      </w:pPr>
    </w:p>
    <w:p w14:paraId="2DE51856" w14:textId="77777777" w:rsidR="001863D2" w:rsidRPr="00253D7C" w:rsidRDefault="001863D2" w:rsidP="00C076B9">
      <w:pPr>
        <w:jc w:val="center"/>
        <w:rPr>
          <w:i/>
          <w:iCs/>
          <w:lang w:val="en-GB"/>
        </w:rPr>
      </w:pPr>
      <w:r w:rsidRPr="00253D7C">
        <w:rPr>
          <w:i/>
          <w:iCs/>
          <w:lang w:val="en-GB"/>
        </w:rPr>
        <w:t>An in</w:t>
      </w:r>
      <w:r w:rsidR="00C076B9" w:rsidRPr="00253D7C">
        <w:rPr>
          <w:i/>
          <w:iCs/>
          <w:lang w:val="en-GB"/>
        </w:rPr>
        <w:t>-</w:t>
      </w:r>
      <w:r w:rsidRPr="00253D7C">
        <w:rPr>
          <w:i/>
          <w:iCs/>
          <w:lang w:val="en-GB"/>
        </w:rPr>
        <w:t xml:space="preserve">depth analysis of comments on the technical issues </w:t>
      </w:r>
      <w:r w:rsidRPr="00253D7C">
        <w:rPr>
          <w:i/>
          <w:iCs/>
          <w:lang w:val="en-GB"/>
        </w:rPr>
        <w:br/>
        <w:t>related to malnutrition and the outcome of the political documents</w:t>
      </w:r>
    </w:p>
    <w:p w14:paraId="48E37348" w14:textId="77777777" w:rsidR="001863D2" w:rsidRPr="00253D7C" w:rsidRDefault="001863D2" w:rsidP="0070344C">
      <w:pPr>
        <w:rPr>
          <w:lang w:val="en-GB"/>
        </w:rPr>
      </w:pPr>
    </w:p>
    <w:p w14:paraId="58CA7B67" w14:textId="77777777" w:rsidR="001863D2" w:rsidRPr="00253D7C" w:rsidRDefault="001863D2" w:rsidP="00C076B9">
      <w:pPr>
        <w:jc w:val="center"/>
        <w:rPr>
          <w:lang w:val="en-GB"/>
        </w:rPr>
      </w:pPr>
      <w:r w:rsidRPr="00253D7C">
        <w:rPr>
          <w:lang w:val="en-GB"/>
        </w:rPr>
        <w:t>By</w:t>
      </w:r>
      <w:r w:rsidR="00C076B9" w:rsidRPr="00253D7C">
        <w:rPr>
          <w:lang w:val="en-GB"/>
        </w:rPr>
        <w:t>:</w:t>
      </w:r>
    </w:p>
    <w:p w14:paraId="6AED0DFC" w14:textId="77777777" w:rsidR="001863D2" w:rsidRPr="00253D7C" w:rsidRDefault="001863D2" w:rsidP="0070344C">
      <w:pPr>
        <w:rPr>
          <w:lang w:val="en-GB"/>
        </w:rPr>
      </w:pPr>
      <w:bookmarkStart w:id="0" w:name="_GoBack"/>
      <w:bookmarkEnd w:id="0"/>
    </w:p>
    <w:p w14:paraId="233E6825" w14:textId="77777777" w:rsidR="001863D2" w:rsidRPr="00253D7C" w:rsidRDefault="00332CCE" w:rsidP="00C076B9">
      <w:pPr>
        <w:jc w:val="center"/>
        <w:rPr>
          <w:sz w:val="22"/>
          <w:szCs w:val="20"/>
          <w:lang w:val="en-GB"/>
        </w:rPr>
      </w:pPr>
      <w:r w:rsidRPr="00253D7C">
        <w:rPr>
          <w:rStyle w:val="gi"/>
          <w:sz w:val="22"/>
          <w:szCs w:val="20"/>
          <w:lang w:val="en-GB"/>
        </w:rPr>
        <w:t>Abi Rached Elie;</w:t>
      </w:r>
      <w:r w:rsidRPr="00253D7C">
        <w:rPr>
          <w:sz w:val="22"/>
          <w:szCs w:val="20"/>
          <w:lang w:val="en-GB"/>
        </w:rPr>
        <w:t xml:space="preserve"> Aghajanian Arthur; </w:t>
      </w:r>
      <w:r w:rsidR="008671C8" w:rsidRPr="00253D7C">
        <w:rPr>
          <w:sz w:val="22"/>
          <w:szCs w:val="20"/>
          <w:lang w:val="en-GB"/>
        </w:rPr>
        <w:t xml:space="preserve">Bhandari Meena; </w:t>
      </w:r>
      <w:r w:rsidR="001863D2" w:rsidRPr="00253D7C">
        <w:rPr>
          <w:sz w:val="22"/>
          <w:szCs w:val="20"/>
          <w:lang w:val="en-GB"/>
        </w:rPr>
        <w:t xml:space="preserve">Cappelli Martina; Cavallo Salvatore; Frappier Katrina; Gao Suzi; Ivanegovà Boglàrka; </w:t>
      </w:r>
      <w:r w:rsidR="008671C8" w:rsidRPr="00253D7C">
        <w:rPr>
          <w:sz w:val="22"/>
          <w:szCs w:val="20"/>
          <w:lang w:val="en-GB"/>
        </w:rPr>
        <w:t xml:space="preserve">Tajiona </w:t>
      </w:r>
      <w:r w:rsidR="001863D2" w:rsidRPr="00253D7C">
        <w:rPr>
          <w:sz w:val="22"/>
          <w:szCs w:val="20"/>
          <w:lang w:val="en-GB"/>
        </w:rPr>
        <w:t>Manguesso Lydie</w:t>
      </w:r>
      <w:r w:rsidR="008671C8" w:rsidRPr="00253D7C">
        <w:rPr>
          <w:sz w:val="22"/>
          <w:szCs w:val="20"/>
          <w:lang w:val="en-GB"/>
        </w:rPr>
        <w:t xml:space="preserve"> L</w:t>
      </w:r>
      <w:r w:rsidR="001863D2" w:rsidRPr="00253D7C">
        <w:rPr>
          <w:sz w:val="22"/>
          <w:szCs w:val="20"/>
          <w:lang w:val="en-GB"/>
        </w:rPr>
        <w:t xml:space="preserve">aure; Marchetti Giulia; Mineo Noemi; Monetta Cinzia; Mora Alessandra; Mukui Wanjiku Antony; Nastro Espedito; Ndimurukundo Armand; </w:t>
      </w:r>
      <w:r w:rsidR="00C076B9" w:rsidRPr="00253D7C">
        <w:rPr>
          <w:sz w:val="22"/>
          <w:szCs w:val="20"/>
          <w:lang w:val="en-GB"/>
        </w:rPr>
        <w:br/>
      </w:r>
      <w:r w:rsidR="001863D2" w:rsidRPr="00253D7C">
        <w:rPr>
          <w:sz w:val="22"/>
          <w:szCs w:val="20"/>
          <w:lang w:val="en-GB"/>
        </w:rPr>
        <w:t>Nifosì Francesca Maria; Nor Daud</w:t>
      </w:r>
      <w:r w:rsidR="008671C8" w:rsidRPr="00253D7C">
        <w:rPr>
          <w:sz w:val="22"/>
          <w:szCs w:val="20"/>
          <w:lang w:val="en-GB"/>
        </w:rPr>
        <w:t xml:space="preserve">; </w:t>
      </w:r>
      <w:r w:rsidR="001863D2" w:rsidRPr="00253D7C">
        <w:rPr>
          <w:sz w:val="22"/>
          <w:szCs w:val="20"/>
          <w:lang w:val="en-GB"/>
        </w:rPr>
        <w:t>Ricci Fabio; Schwaner Paulina</w:t>
      </w:r>
    </w:p>
    <w:p w14:paraId="2C2E26FD" w14:textId="77777777" w:rsidR="001863D2" w:rsidRPr="00253D7C" w:rsidRDefault="001863D2" w:rsidP="0070344C">
      <w:pPr>
        <w:rPr>
          <w:lang w:val="en-GB"/>
        </w:rPr>
      </w:pPr>
    </w:p>
    <w:p w14:paraId="019A7FB2" w14:textId="77777777" w:rsidR="001863D2" w:rsidRPr="001261AF" w:rsidRDefault="001863D2" w:rsidP="00C076B9">
      <w:pPr>
        <w:jc w:val="center"/>
        <w:rPr>
          <w:lang w:val="en-GB"/>
        </w:rPr>
      </w:pPr>
      <w:r w:rsidRPr="001261AF">
        <w:rPr>
          <w:lang w:val="en-GB"/>
        </w:rPr>
        <w:t>Paper presented on</w:t>
      </w:r>
    </w:p>
    <w:p w14:paraId="1F218397" w14:textId="77777777" w:rsidR="001863D2" w:rsidRPr="003D2139" w:rsidRDefault="001863D2" w:rsidP="00C076B9">
      <w:pPr>
        <w:jc w:val="center"/>
        <w:rPr>
          <w:lang w:val="en-GB"/>
        </w:rPr>
      </w:pPr>
      <w:r w:rsidRPr="003D2139">
        <w:rPr>
          <w:lang w:val="en-GB"/>
        </w:rPr>
        <w:t>15</w:t>
      </w:r>
      <w:r w:rsidR="00C5788A" w:rsidRPr="003D2139">
        <w:rPr>
          <w:lang w:val="en-GB"/>
        </w:rPr>
        <w:t xml:space="preserve"> </w:t>
      </w:r>
      <w:r w:rsidRPr="003D2139">
        <w:rPr>
          <w:lang w:val="en-GB"/>
        </w:rPr>
        <w:t>June 2016</w:t>
      </w:r>
    </w:p>
    <w:p w14:paraId="63C20CF9" w14:textId="77777777" w:rsidR="001863D2" w:rsidRPr="001261AF" w:rsidRDefault="001863D2" w:rsidP="0070344C">
      <w:pPr>
        <w:rPr>
          <w:lang w:val="en-GB"/>
        </w:rPr>
      </w:pPr>
    </w:p>
    <w:p w14:paraId="26789EFD" w14:textId="77777777" w:rsidR="004F3947" w:rsidRPr="001261AF" w:rsidRDefault="001863D2" w:rsidP="00C076B9">
      <w:pPr>
        <w:jc w:val="center"/>
        <w:rPr>
          <w:lang w:val="en-GB"/>
        </w:rPr>
      </w:pPr>
      <w:r w:rsidRPr="001261AF">
        <w:rPr>
          <w:lang w:val="en-GB"/>
        </w:rPr>
        <w:t>Professor:</w:t>
      </w:r>
      <w:r w:rsidR="00C5788A" w:rsidRPr="001261AF">
        <w:rPr>
          <w:lang w:val="en-GB"/>
        </w:rPr>
        <w:t xml:space="preserve"> </w:t>
      </w:r>
      <w:r w:rsidRPr="001261AF">
        <w:rPr>
          <w:lang w:val="en-GB"/>
        </w:rPr>
        <w:t>George-André Simon</w:t>
      </w:r>
    </w:p>
    <w:p w14:paraId="7C7808B4" w14:textId="77777777" w:rsidR="004F3947" w:rsidRPr="001261AF" w:rsidRDefault="004F3947">
      <w:pPr>
        <w:snapToGrid/>
        <w:spacing w:after="160" w:line="259" w:lineRule="auto"/>
        <w:rPr>
          <w:lang w:val="en-GB"/>
        </w:rPr>
      </w:pPr>
    </w:p>
    <w:sdt>
      <w:sdtPr>
        <w:rPr>
          <w:rFonts w:ascii="Times New Roman" w:eastAsiaTheme="minorEastAsia" w:hAnsi="Times New Roman" w:cs="Times New Roman"/>
          <w:smallCaps w:val="0"/>
          <w:color w:val="auto"/>
          <w:sz w:val="24"/>
          <w:szCs w:val="22"/>
          <w:lang w:val="en-GB" w:eastAsia="en-CA"/>
        </w:rPr>
        <w:id w:val="-1501033200"/>
        <w:docPartObj>
          <w:docPartGallery w:val="Table of Contents"/>
          <w:docPartUnique/>
        </w:docPartObj>
      </w:sdtPr>
      <w:sdtEndPr>
        <w:rPr>
          <w:b/>
          <w:bCs/>
          <w:noProof/>
        </w:rPr>
      </w:sdtEndPr>
      <w:sdtContent>
        <w:p w14:paraId="23F2D575" w14:textId="77777777" w:rsidR="004F3947" w:rsidRPr="00253D7C" w:rsidRDefault="004F3947" w:rsidP="0033542A">
          <w:pPr>
            <w:pStyle w:val="TOCHeading"/>
            <w:rPr>
              <w:rFonts w:asciiTheme="majorBidi" w:hAnsiTheme="majorBidi"/>
              <w:b/>
              <w:bCs/>
              <w:lang w:val="en-GB"/>
            </w:rPr>
          </w:pPr>
          <w:r w:rsidRPr="00253D7C">
            <w:rPr>
              <w:rFonts w:asciiTheme="majorBidi" w:hAnsiTheme="majorBidi"/>
              <w:b/>
              <w:bCs/>
              <w:lang w:val="en-GB"/>
            </w:rPr>
            <w:t>Contents</w:t>
          </w:r>
        </w:p>
        <w:p w14:paraId="35F3AAEB" w14:textId="77777777" w:rsidR="002834C4" w:rsidRPr="001261AF" w:rsidRDefault="004926F5">
          <w:pPr>
            <w:pStyle w:val="TOC1"/>
            <w:rPr>
              <w:rFonts w:asciiTheme="minorHAnsi" w:hAnsiTheme="minorHAnsi" w:cstheme="minorBidi"/>
              <w:b w:val="0"/>
              <w:bCs w:val="0"/>
              <w:sz w:val="22"/>
              <w:lang w:val="en-GB" w:eastAsia="zh-CN"/>
            </w:rPr>
          </w:pPr>
          <w:r w:rsidRPr="00253D7C">
            <w:rPr>
              <w:lang w:val="en-GB"/>
            </w:rPr>
            <w:fldChar w:fldCharType="begin"/>
          </w:r>
          <w:r w:rsidR="004F3947" w:rsidRPr="00253D7C">
            <w:rPr>
              <w:lang w:val="en-GB"/>
            </w:rPr>
            <w:instrText xml:space="preserve"> TOC \o "1-3" \h \z \u </w:instrText>
          </w:r>
          <w:r w:rsidRPr="00253D7C">
            <w:rPr>
              <w:lang w:val="en-GB"/>
            </w:rPr>
            <w:fldChar w:fldCharType="separate"/>
          </w:r>
          <w:hyperlink w:anchor="_Toc453781594" w:history="1">
            <w:r w:rsidR="002834C4" w:rsidRPr="001261AF">
              <w:rPr>
                <w:rStyle w:val="Hyperlink"/>
                <w:lang w:val="en-GB"/>
              </w:rPr>
              <w:t>Acronym list</w:t>
            </w:r>
            <w:r w:rsidR="002834C4" w:rsidRPr="00253D7C">
              <w:rPr>
                <w:webHidden/>
                <w:lang w:val="en-GB"/>
              </w:rPr>
              <w:tab/>
            </w:r>
            <w:r w:rsidRPr="00253D7C">
              <w:rPr>
                <w:webHidden/>
                <w:lang w:val="en-GB"/>
              </w:rPr>
              <w:fldChar w:fldCharType="begin"/>
            </w:r>
            <w:r w:rsidR="002834C4" w:rsidRPr="00253D7C">
              <w:rPr>
                <w:webHidden/>
                <w:lang w:val="en-GB"/>
              </w:rPr>
              <w:instrText xml:space="preserve"> PAGEREF _Toc453781594 \h </w:instrText>
            </w:r>
            <w:r w:rsidRPr="00253D7C">
              <w:rPr>
                <w:webHidden/>
                <w:lang w:val="en-GB"/>
              </w:rPr>
            </w:r>
            <w:r w:rsidRPr="00253D7C">
              <w:rPr>
                <w:webHidden/>
                <w:lang w:val="en-GB"/>
              </w:rPr>
              <w:fldChar w:fldCharType="separate"/>
            </w:r>
            <w:r w:rsidR="002834C4" w:rsidRPr="00253D7C">
              <w:rPr>
                <w:webHidden/>
                <w:lang w:val="en-GB"/>
              </w:rPr>
              <w:t>3</w:t>
            </w:r>
            <w:r w:rsidRPr="00253D7C">
              <w:rPr>
                <w:webHidden/>
                <w:lang w:val="en-GB"/>
              </w:rPr>
              <w:fldChar w:fldCharType="end"/>
            </w:r>
          </w:hyperlink>
        </w:p>
        <w:p w14:paraId="5FF0C2CD" w14:textId="77777777" w:rsidR="002834C4" w:rsidRPr="001261AF" w:rsidRDefault="00DB47CF">
          <w:pPr>
            <w:pStyle w:val="TOC1"/>
            <w:rPr>
              <w:rFonts w:asciiTheme="minorHAnsi" w:hAnsiTheme="minorHAnsi" w:cstheme="minorBidi"/>
              <w:b w:val="0"/>
              <w:bCs w:val="0"/>
              <w:sz w:val="22"/>
              <w:lang w:val="en-GB" w:eastAsia="zh-CN"/>
            </w:rPr>
          </w:pPr>
          <w:hyperlink w:anchor="_Toc453781595" w:history="1">
            <w:r w:rsidR="002834C4" w:rsidRPr="001261AF">
              <w:rPr>
                <w:rStyle w:val="Hyperlink"/>
                <w:lang w:val="en-GB"/>
              </w:rPr>
              <w:t>Introduction</w:t>
            </w:r>
            <w:r w:rsidR="002834C4" w:rsidRPr="00253D7C">
              <w:rPr>
                <w:webHidden/>
                <w:lang w:val="en-GB"/>
              </w:rPr>
              <w:tab/>
            </w:r>
            <w:r w:rsidR="004926F5" w:rsidRPr="00253D7C">
              <w:rPr>
                <w:webHidden/>
                <w:lang w:val="en-GB"/>
              </w:rPr>
              <w:fldChar w:fldCharType="begin"/>
            </w:r>
            <w:r w:rsidR="002834C4" w:rsidRPr="00253D7C">
              <w:rPr>
                <w:webHidden/>
                <w:lang w:val="en-GB"/>
              </w:rPr>
              <w:instrText xml:space="preserve"> PAGEREF _Toc453781595 \h </w:instrText>
            </w:r>
            <w:r w:rsidR="004926F5" w:rsidRPr="00253D7C">
              <w:rPr>
                <w:webHidden/>
                <w:lang w:val="en-GB"/>
              </w:rPr>
            </w:r>
            <w:r w:rsidR="004926F5" w:rsidRPr="00253D7C">
              <w:rPr>
                <w:webHidden/>
                <w:lang w:val="en-GB"/>
              </w:rPr>
              <w:fldChar w:fldCharType="separate"/>
            </w:r>
            <w:r w:rsidR="002834C4" w:rsidRPr="00253D7C">
              <w:rPr>
                <w:webHidden/>
                <w:lang w:val="en-GB"/>
              </w:rPr>
              <w:t>4</w:t>
            </w:r>
            <w:r w:rsidR="004926F5" w:rsidRPr="00253D7C">
              <w:rPr>
                <w:webHidden/>
                <w:lang w:val="en-GB"/>
              </w:rPr>
              <w:fldChar w:fldCharType="end"/>
            </w:r>
          </w:hyperlink>
        </w:p>
        <w:p w14:paraId="326E0C9D" w14:textId="77777777" w:rsidR="002834C4" w:rsidRPr="001261AF" w:rsidRDefault="00DB47CF">
          <w:pPr>
            <w:pStyle w:val="TOC2"/>
            <w:tabs>
              <w:tab w:val="right" w:leader="dot" w:pos="9628"/>
            </w:tabs>
            <w:rPr>
              <w:rFonts w:asciiTheme="minorHAnsi" w:hAnsiTheme="minorHAnsi" w:cstheme="minorBidi"/>
              <w:noProof/>
              <w:sz w:val="22"/>
              <w:lang w:val="en-GB" w:eastAsia="zh-CN"/>
            </w:rPr>
          </w:pPr>
          <w:hyperlink w:anchor="_Toc453781596" w:history="1">
            <w:r w:rsidR="002834C4" w:rsidRPr="00253D7C">
              <w:rPr>
                <w:rStyle w:val="Hyperlink"/>
                <w:noProof/>
                <w:lang w:val="en-GB"/>
              </w:rPr>
              <w:t>Methodology</w:t>
            </w:r>
            <w:r w:rsidR="002834C4" w:rsidRPr="00253D7C">
              <w:rPr>
                <w:noProof/>
                <w:webHidden/>
                <w:lang w:val="en-GB"/>
              </w:rPr>
              <w:tab/>
            </w:r>
            <w:r w:rsidR="004926F5" w:rsidRPr="00253D7C">
              <w:rPr>
                <w:noProof/>
                <w:webHidden/>
                <w:lang w:val="en-GB"/>
              </w:rPr>
              <w:fldChar w:fldCharType="begin"/>
            </w:r>
            <w:r w:rsidR="002834C4" w:rsidRPr="00253D7C">
              <w:rPr>
                <w:noProof/>
                <w:webHidden/>
                <w:lang w:val="en-GB"/>
              </w:rPr>
              <w:instrText xml:space="preserve"> PAGEREF _Toc453781596 \h </w:instrText>
            </w:r>
            <w:r w:rsidR="004926F5" w:rsidRPr="00253D7C">
              <w:rPr>
                <w:noProof/>
                <w:webHidden/>
                <w:lang w:val="en-GB"/>
              </w:rPr>
            </w:r>
            <w:r w:rsidR="004926F5" w:rsidRPr="00253D7C">
              <w:rPr>
                <w:noProof/>
                <w:webHidden/>
                <w:lang w:val="en-GB"/>
              </w:rPr>
              <w:fldChar w:fldCharType="separate"/>
            </w:r>
            <w:r w:rsidR="002834C4" w:rsidRPr="00253D7C">
              <w:rPr>
                <w:noProof/>
                <w:webHidden/>
                <w:lang w:val="en-GB"/>
              </w:rPr>
              <w:t>5</w:t>
            </w:r>
            <w:r w:rsidR="004926F5" w:rsidRPr="00253D7C">
              <w:rPr>
                <w:noProof/>
                <w:webHidden/>
                <w:lang w:val="en-GB"/>
              </w:rPr>
              <w:fldChar w:fldCharType="end"/>
            </w:r>
          </w:hyperlink>
        </w:p>
        <w:p w14:paraId="42E6AA38" w14:textId="77777777" w:rsidR="002834C4" w:rsidRPr="001261AF" w:rsidRDefault="00DB47CF">
          <w:pPr>
            <w:pStyle w:val="TOC2"/>
            <w:tabs>
              <w:tab w:val="right" w:leader="dot" w:pos="9628"/>
            </w:tabs>
            <w:rPr>
              <w:rFonts w:asciiTheme="minorHAnsi" w:hAnsiTheme="minorHAnsi" w:cstheme="minorBidi"/>
              <w:noProof/>
              <w:sz w:val="22"/>
              <w:lang w:val="en-GB" w:eastAsia="zh-CN"/>
            </w:rPr>
          </w:pPr>
          <w:hyperlink w:anchor="_Toc453781597" w:history="1">
            <w:r w:rsidR="002834C4" w:rsidRPr="00253D7C">
              <w:rPr>
                <w:rStyle w:val="Hyperlink"/>
                <w:noProof/>
                <w:lang w:val="en-GB"/>
              </w:rPr>
              <w:t>Outline of the Report</w:t>
            </w:r>
            <w:r w:rsidR="002834C4" w:rsidRPr="00253D7C">
              <w:rPr>
                <w:noProof/>
                <w:webHidden/>
                <w:lang w:val="en-GB"/>
              </w:rPr>
              <w:tab/>
            </w:r>
            <w:r w:rsidR="004926F5" w:rsidRPr="00253D7C">
              <w:rPr>
                <w:noProof/>
                <w:webHidden/>
                <w:lang w:val="en-GB"/>
              </w:rPr>
              <w:fldChar w:fldCharType="begin"/>
            </w:r>
            <w:r w:rsidR="002834C4" w:rsidRPr="00253D7C">
              <w:rPr>
                <w:noProof/>
                <w:webHidden/>
                <w:lang w:val="en-GB"/>
              </w:rPr>
              <w:instrText xml:space="preserve"> PAGEREF _Toc453781597 \h </w:instrText>
            </w:r>
            <w:r w:rsidR="004926F5" w:rsidRPr="00253D7C">
              <w:rPr>
                <w:noProof/>
                <w:webHidden/>
                <w:lang w:val="en-GB"/>
              </w:rPr>
            </w:r>
            <w:r w:rsidR="004926F5" w:rsidRPr="00253D7C">
              <w:rPr>
                <w:noProof/>
                <w:webHidden/>
                <w:lang w:val="en-GB"/>
              </w:rPr>
              <w:fldChar w:fldCharType="separate"/>
            </w:r>
            <w:r w:rsidR="002834C4" w:rsidRPr="00253D7C">
              <w:rPr>
                <w:noProof/>
                <w:webHidden/>
                <w:lang w:val="en-GB"/>
              </w:rPr>
              <w:t>5</w:t>
            </w:r>
            <w:r w:rsidR="004926F5" w:rsidRPr="00253D7C">
              <w:rPr>
                <w:noProof/>
                <w:webHidden/>
                <w:lang w:val="en-GB"/>
              </w:rPr>
              <w:fldChar w:fldCharType="end"/>
            </w:r>
          </w:hyperlink>
        </w:p>
        <w:p w14:paraId="261CEF40" w14:textId="77777777" w:rsidR="002834C4" w:rsidRPr="001261AF" w:rsidRDefault="00DB47CF">
          <w:pPr>
            <w:pStyle w:val="TOC1"/>
            <w:rPr>
              <w:rFonts w:asciiTheme="minorHAnsi" w:hAnsiTheme="minorHAnsi" w:cstheme="minorBidi"/>
              <w:b w:val="0"/>
              <w:bCs w:val="0"/>
              <w:sz w:val="22"/>
              <w:lang w:val="en-GB" w:eastAsia="zh-CN"/>
            </w:rPr>
          </w:pPr>
          <w:hyperlink w:anchor="_Toc453781598" w:history="1">
            <w:r w:rsidR="002834C4" w:rsidRPr="00253D7C">
              <w:rPr>
                <w:rStyle w:val="Hyperlink"/>
                <w:lang w:val="en-GB"/>
              </w:rPr>
              <w:t>Statistical analysis</w:t>
            </w:r>
            <w:r w:rsidR="002834C4" w:rsidRPr="00253D7C">
              <w:rPr>
                <w:webHidden/>
                <w:lang w:val="en-GB"/>
              </w:rPr>
              <w:tab/>
            </w:r>
            <w:r w:rsidR="004926F5" w:rsidRPr="00253D7C">
              <w:rPr>
                <w:webHidden/>
                <w:lang w:val="en-GB"/>
              </w:rPr>
              <w:fldChar w:fldCharType="begin"/>
            </w:r>
            <w:r w:rsidR="002834C4" w:rsidRPr="00253D7C">
              <w:rPr>
                <w:webHidden/>
                <w:lang w:val="en-GB"/>
              </w:rPr>
              <w:instrText xml:space="preserve"> PAGEREF _Toc453781598 \h </w:instrText>
            </w:r>
            <w:r w:rsidR="004926F5" w:rsidRPr="00253D7C">
              <w:rPr>
                <w:webHidden/>
                <w:lang w:val="en-GB"/>
              </w:rPr>
            </w:r>
            <w:r w:rsidR="004926F5" w:rsidRPr="00253D7C">
              <w:rPr>
                <w:webHidden/>
                <w:lang w:val="en-GB"/>
              </w:rPr>
              <w:fldChar w:fldCharType="separate"/>
            </w:r>
            <w:r w:rsidR="002834C4" w:rsidRPr="00253D7C">
              <w:rPr>
                <w:webHidden/>
                <w:lang w:val="en-GB"/>
              </w:rPr>
              <w:t>6</w:t>
            </w:r>
            <w:r w:rsidR="004926F5" w:rsidRPr="00253D7C">
              <w:rPr>
                <w:webHidden/>
                <w:lang w:val="en-GB"/>
              </w:rPr>
              <w:fldChar w:fldCharType="end"/>
            </w:r>
          </w:hyperlink>
        </w:p>
        <w:p w14:paraId="3F1339F9" w14:textId="77777777" w:rsidR="002834C4" w:rsidRPr="001261AF" w:rsidRDefault="00DB47CF">
          <w:pPr>
            <w:pStyle w:val="TOC1"/>
            <w:rPr>
              <w:rFonts w:asciiTheme="minorHAnsi" w:hAnsiTheme="minorHAnsi" w:cstheme="minorBidi"/>
              <w:b w:val="0"/>
              <w:bCs w:val="0"/>
              <w:sz w:val="22"/>
              <w:lang w:val="en-GB" w:eastAsia="zh-CN"/>
            </w:rPr>
          </w:pPr>
          <w:hyperlink w:anchor="_Toc453781599" w:history="1">
            <w:r w:rsidR="002834C4" w:rsidRPr="00253D7C">
              <w:rPr>
                <w:rStyle w:val="Hyperlink"/>
                <w:lang w:val="en-GB"/>
              </w:rPr>
              <w:t>Technical Summary</w:t>
            </w:r>
            <w:r w:rsidR="002834C4" w:rsidRPr="00253D7C">
              <w:rPr>
                <w:webHidden/>
                <w:lang w:val="en-GB"/>
              </w:rPr>
              <w:tab/>
            </w:r>
            <w:r w:rsidR="004926F5" w:rsidRPr="00253D7C">
              <w:rPr>
                <w:webHidden/>
                <w:lang w:val="en-GB"/>
              </w:rPr>
              <w:fldChar w:fldCharType="begin"/>
            </w:r>
            <w:r w:rsidR="002834C4" w:rsidRPr="00253D7C">
              <w:rPr>
                <w:webHidden/>
                <w:lang w:val="en-GB"/>
              </w:rPr>
              <w:instrText xml:space="preserve"> PAGEREF _Toc453781599 \h </w:instrText>
            </w:r>
            <w:r w:rsidR="004926F5" w:rsidRPr="00253D7C">
              <w:rPr>
                <w:webHidden/>
                <w:lang w:val="en-GB"/>
              </w:rPr>
            </w:r>
            <w:r w:rsidR="004926F5" w:rsidRPr="00253D7C">
              <w:rPr>
                <w:webHidden/>
                <w:lang w:val="en-GB"/>
              </w:rPr>
              <w:fldChar w:fldCharType="separate"/>
            </w:r>
            <w:r w:rsidR="002834C4" w:rsidRPr="00253D7C">
              <w:rPr>
                <w:webHidden/>
                <w:lang w:val="en-GB"/>
              </w:rPr>
              <w:t>8</w:t>
            </w:r>
            <w:r w:rsidR="004926F5" w:rsidRPr="00253D7C">
              <w:rPr>
                <w:webHidden/>
                <w:lang w:val="en-GB"/>
              </w:rPr>
              <w:fldChar w:fldCharType="end"/>
            </w:r>
          </w:hyperlink>
        </w:p>
        <w:p w14:paraId="5FA3E97C" w14:textId="77777777" w:rsidR="002834C4" w:rsidRPr="001261AF" w:rsidRDefault="00DB47CF">
          <w:pPr>
            <w:pStyle w:val="TOC2"/>
            <w:tabs>
              <w:tab w:val="right" w:leader="dot" w:pos="9628"/>
            </w:tabs>
            <w:rPr>
              <w:rFonts w:asciiTheme="minorHAnsi" w:hAnsiTheme="minorHAnsi" w:cstheme="minorBidi"/>
              <w:noProof/>
              <w:sz w:val="22"/>
              <w:lang w:val="en-GB" w:eastAsia="zh-CN"/>
            </w:rPr>
          </w:pPr>
          <w:hyperlink w:anchor="_Toc453781600" w:history="1">
            <w:r w:rsidR="002834C4" w:rsidRPr="00253D7C">
              <w:rPr>
                <w:rStyle w:val="Hyperlink"/>
                <w:noProof/>
                <w:lang w:val="en-GB"/>
              </w:rPr>
              <w:t>Main issues</w:t>
            </w:r>
            <w:r w:rsidR="002834C4" w:rsidRPr="00253D7C">
              <w:rPr>
                <w:noProof/>
                <w:webHidden/>
                <w:lang w:val="en-GB"/>
              </w:rPr>
              <w:tab/>
            </w:r>
            <w:r w:rsidR="004926F5" w:rsidRPr="00253D7C">
              <w:rPr>
                <w:noProof/>
                <w:webHidden/>
                <w:lang w:val="en-GB"/>
              </w:rPr>
              <w:fldChar w:fldCharType="begin"/>
            </w:r>
            <w:r w:rsidR="002834C4" w:rsidRPr="00253D7C">
              <w:rPr>
                <w:noProof/>
                <w:webHidden/>
                <w:lang w:val="en-GB"/>
              </w:rPr>
              <w:instrText xml:space="preserve"> PAGEREF _Toc453781600 \h </w:instrText>
            </w:r>
            <w:r w:rsidR="004926F5" w:rsidRPr="00253D7C">
              <w:rPr>
                <w:noProof/>
                <w:webHidden/>
                <w:lang w:val="en-GB"/>
              </w:rPr>
            </w:r>
            <w:r w:rsidR="004926F5" w:rsidRPr="00253D7C">
              <w:rPr>
                <w:noProof/>
                <w:webHidden/>
                <w:lang w:val="en-GB"/>
              </w:rPr>
              <w:fldChar w:fldCharType="separate"/>
            </w:r>
            <w:r w:rsidR="002834C4" w:rsidRPr="00253D7C">
              <w:rPr>
                <w:noProof/>
                <w:webHidden/>
                <w:lang w:val="en-GB"/>
              </w:rPr>
              <w:t>9</w:t>
            </w:r>
            <w:r w:rsidR="004926F5" w:rsidRPr="00253D7C">
              <w:rPr>
                <w:noProof/>
                <w:webHidden/>
                <w:lang w:val="en-GB"/>
              </w:rPr>
              <w:fldChar w:fldCharType="end"/>
            </w:r>
          </w:hyperlink>
        </w:p>
        <w:p w14:paraId="2E4126B2" w14:textId="77777777" w:rsidR="002834C4" w:rsidRPr="001261AF" w:rsidRDefault="00DB47CF">
          <w:pPr>
            <w:pStyle w:val="TOC2"/>
            <w:tabs>
              <w:tab w:val="right" w:leader="dot" w:pos="9628"/>
            </w:tabs>
            <w:rPr>
              <w:rFonts w:asciiTheme="minorHAnsi" w:hAnsiTheme="minorHAnsi" w:cstheme="minorBidi"/>
              <w:noProof/>
              <w:sz w:val="22"/>
              <w:lang w:val="en-GB" w:eastAsia="zh-CN"/>
            </w:rPr>
          </w:pPr>
          <w:hyperlink w:anchor="_Toc453781601" w:history="1">
            <w:r w:rsidR="002834C4" w:rsidRPr="00253D7C">
              <w:rPr>
                <w:rStyle w:val="Hyperlink"/>
                <w:noProof/>
                <w:lang w:val="en-GB"/>
              </w:rPr>
              <w:t>Policy design for nutrition</w:t>
            </w:r>
            <w:r w:rsidR="002834C4" w:rsidRPr="00253D7C">
              <w:rPr>
                <w:noProof/>
                <w:webHidden/>
                <w:lang w:val="en-GB"/>
              </w:rPr>
              <w:tab/>
            </w:r>
            <w:r w:rsidR="004926F5" w:rsidRPr="00253D7C">
              <w:rPr>
                <w:noProof/>
                <w:webHidden/>
                <w:lang w:val="en-GB"/>
              </w:rPr>
              <w:fldChar w:fldCharType="begin"/>
            </w:r>
            <w:r w:rsidR="002834C4" w:rsidRPr="00253D7C">
              <w:rPr>
                <w:noProof/>
                <w:webHidden/>
                <w:lang w:val="en-GB"/>
              </w:rPr>
              <w:instrText xml:space="preserve"> PAGEREF _Toc453781601 \h </w:instrText>
            </w:r>
            <w:r w:rsidR="004926F5" w:rsidRPr="00253D7C">
              <w:rPr>
                <w:noProof/>
                <w:webHidden/>
                <w:lang w:val="en-GB"/>
              </w:rPr>
            </w:r>
            <w:r w:rsidR="004926F5" w:rsidRPr="00253D7C">
              <w:rPr>
                <w:noProof/>
                <w:webHidden/>
                <w:lang w:val="en-GB"/>
              </w:rPr>
              <w:fldChar w:fldCharType="separate"/>
            </w:r>
            <w:r w:rsidR="002834C4" w:rsidRPr="00253D7C">
              <w:rPr>
                <w:noProof/>
                <w:webHidden/>
                <w:lang w:val="en-GB"/>
              </w:rPr>
              <w:t>10</w:t>
            </w:r>
            <w:r w:rsidR="004926F5" w:rsidRPr="00253D7C">
              <w:rPr>
                <w:noProof/>
                <w:webHidden/>
                <w:lang w:val="en-GB"/>
              </w:rPr>
              <w:fldChar w:fldCharType="end"/>
            </w:r>
          </w:hyperlink>
        </w:p>
        <w:p w14:paraId="14763CAE" w14:textId="77777777" w:rsidR="002834C4" w:rsidRPr="001261AF" w:rsidRDefault="00DB47CF">
          <w:pPr>
            <w:pStyle w:val="TOC2"/>
            <w:tabs>
              <w:tab w:val="right" w:leader="dot" w:pos="9628"/>
            </w:tabs>
            <w:rPr>
              <w:rFonts w:asciiTheme="minorHAnsi" w:hAnsiTheme="minorHAnsi" w:cstheme="minorBidi"/>
              <w:noProof/>
              <w:sz w:val="22"/>
              <w:lang w:val="en-GB" w:eastAsia="zh-CN"/>
            </w:rPr>
          </w:pPr>
          <w:hyperlink w:anchor="_Toc453781602" w:history="1">
            <w:r w:rsidR="002834C4" w:rsidRPr="00253D7C">
              <w:rPr>
                <w:rStyle w:val="Hyperlink"/>
                <w:noProof/>
                <w:lang w:val="en-GB"/>
              </w:rPr>
              <w:t>Policy and programme proposal</w:t>
            </w:r>
            <w:r w:rsidR="002834C4" w:rsidRPr="00253D7C">
              <w:rPr>
                <w:noProof/>
                <w:webHidden/>
                <w:lang w:val="en-GB"/>
              </w:rPr>
              <w:tab/>
            </w:r>
            <w:r w:rsidR="004926F5" w:rsidRPr="00253D7C">
              <w:rPr>
                <w:noProof/>
                <w:webHidden/>
                <w:lang w:val="en-GB"/>
              </w:rPr>
              <w:fldChar w:fldCharType="begin"/>
            </w:r>
            <w:r w:rsidR="002834C4" w:rsidRPr="00253D7C">
              <w:rPr>
                <w:noProof/>
                <w:webHidden/>
                <w:lang w:val="en-GB"/>
              </w:rPr>
              <w:instrText xml:space="preserve"> PAGEREF _Toc453781602 \h </w:instrText>
            </w:r>
            <w:r w:rsidR="004926F5" w:rsidRPr="00253D7C">
              <w:rPr>
                <w:noProof/>
                <w:webHidden/>
                <w:lang w:val="en-GB"/>
              </w:rPr>
            </w:r>
            <w:r w:rsidR="004926F5" w:rsidRPr="00253D7C">
              <w:rPr>
                <w:noProof/>
                <w:webHidden/>
                <w:lang w:val="en-GB"/>
              </w:rPr>
              <w:fldChar w:fldCharType="separate"/>
            </w:r>
            <w:r w:rsidR="002834C4" w:rsidRPr="00253D7C">
              <w:rPr>
                <w:noProof/>
                <w:webHidden/>
                <w:lang w:val="en-GB"/>
              </w:rPr>
              <w:t>10</w:t>
            </w:r>
            <w:r w:rsidR="004926F5" w:rsidRPr="00253D7C">
              <w:rPr>
                <w:noProof/>
                <w:webHidden/>
                <w:lang w:val="en-GB"/>
              </w:rPr>
              <w:fldChar w:fldCharType="end"/>
            </w:r>
          </w:hyperlink>
        </w:p>
        <w:p w14:paraId="170293AA" w14:textId="77777777" w:rsidR="002834C4" w:rsidRPr="001261AF" w:rsidRDefault="00DB47CF">
          <w:pPr>
            <w:pStyle w:val="TOC2"/>
            <w:tabs>
              <w:tab w:val="right" w:leader="dot" w:pos="9628"/>
            </w:tabs>
            <w:rPr>
              <w:rFonts w:asciiTheme="minorHAnsi" w:hAnsiTheme="minorHAnsi" w:cstheme="minorBidi"/>
              <w:noProof/>
              <w:sz w:val="22"/>
              <w:lang w:val="en-GB" w:eastAsia="zh-CN"/>
            </w:rPr>
          </w:pPr>
          <w:hyperlink w:anchor="_Toc453781603" w:history="1">
            <w:r w:rsidR="002834C4" w:rsidRPr="00253D7C">
              <w:rPr>
                <w:rStyle w:val="Hyperlink"/>
                <w:noProof/>
                <w:lang w:val="en-GB"/>
              </w:rPr>
              <w:t>Relevant Case Studies</w:t>
            </w:r>
            <w:r w:rsidR="002834C4" w:rsidRPr="00253D7C">
              <w:rPr>
                <w:noProof/>
                <w:webHidden/>
                <w:lang w:val="en-GB"/>
              </w:rPr>
              <w:tab/>
            </w:r>
            <w:r w:rsidR="004926F5" w:rsidRPr="00253D7C">
              <w:rPr>
                <w:noProof/>
                <w:webHidden/>
                <w:lang w:val="en-GB"/>
              </w:rPr>
              <w:fldChar w:fldCharType="begin"/>
            </w:r>
            <w:r w:rsidR="002834C4" w:rsidRPr="00253D7C">
              <w:rPr>
                <w:noProof/>
                <w:webHidden/>
                <w:lang w:val="en-GB"/>
              </w:rPr>
              <w:instrText xml:space="preserve"> PAGEREF _Toc453781603 \h </w:instrText>
            </w:r>
            <w:r w:rsidR="004926F5" w:rsidRPr="00253D7C">
              <w:rPr>
                <w:noProof/>
                <w:webHidden/>
                <w:lang w:val="en-GB"/>
              </w:rPr>
            </w:r>
            <w:r w:rsidR="004926F5" w:rsidRPr="00253D7C">
              <w:rPr>
                <w:noProof/>
                <w:webHidden/>
                <w:lang w:val="en-GB"/>
              </w:rPr>
              <w:fldChar w:fldCharType="separate"/>
            </w:r>
            <w:r w:rsidR="002834C4" w:rsidRPr="00253D7C">
              <w:rPr>
                <w:noProof/>
                <w:webHidden/>
                <w:lang w:val="en-GB"/>
              </w:rPr>
              <w:t>12</w:t>
            </w:r>
            <w:r w:rsidR="004926F5" w:rsidRPr="00253D7C">
              <w:rPr>
                <w:noProof/>
                <w:webHidden/>
                <w:lang w:val="en-GB"/>
              </w:rPr>
              <w:fldChar w:fldCharType="end"/>
            </w:r>
          </w:hyperlink>
        </w:p>
        <w:p w14:paraId="58E799ED" w14:textId="77777777" w:rsidR="002834C4" w:rsidRPr="001261AF" w:rsidRDefault="00DB47CF">
          <w:pPr>
            <w:pStyle w:val="TOC2"/>
            <w:tabs>
              <w:tab w:val="right" w:leader="dot" w:pos="9628"/>
            </w:tabs>
            <w:rPr>
              <w:rFonts w:asciiTheme="minorHAnsi" w:hAnsiTheme="minorHAnsi" w:cstheme="minorBidi"/>
              <w:noProof/>
              <w:sz w:val="22"/>
              <w:lang w:val="en-GB" w:eastAsia="zh-CN"/>
            </w:rPr>
          </w:pPr>
          <w:hyperlink w:anchor="_Toc453781604" w:history="1">
            <w:r w:rsidR="002834C4" w:rsidRPr="00253D7C">
              <w:rPr>
                <w:rStyle w:val="Hyperlink"/>
                <w:noProof/>
                <w:lang w:val="en-GB"/>
              </w:rPr>
              <w:t>Missed Opportunities</w:t>
            </w:r>
            <w:r w:rsidR="002834C4" w:rsidRPr="00253D7C">
              <w:rPr>
                <w:noProof/>
                <w:webHidden/>
                <w:lang w:val="en-GB"/>
              </w:rPr>
              <w:tab/>
            </w:r>
            <w:r w:rsidR="004926F5" w:rsidRPr="00253D7C">
              <w:rPr>
                <w:noProof/>
                <w:webHidden/>
                <w:lang w:val="en-GB"/>
              </w:rPr>
              <w:fldChar w:fldCharType="begin"/>
            </w:r>
            <w:r w:rsidR="002834C4" w:rsidRPr="00253D7C">
              <w:rPr>
                <w:noProof/>
                <w:webHidden/>
                <w:lang w:val="en-GB"/>
              </w:rPr>
              <w:instrText xml:space="preserve"> PAGEREF _Toc453781604 \h </w:instrText>
            </w:r>
            <w:r w:rsidR="004926F5" w:rsidRPr="00253D7C">
              <w:rPr>
                <w:noProof/>
                <w:webHidden/>
                <w:lang w:val="en-GB"/>
              </w:rPr>
            </w:r>
            <w:r w:rsidR="004926F5" w:rsidRPr="00253D7C">
              <w:rPr>
                <w:noProof/>
                <w:webHidden/>
                <w:lang w:val="en-GB"/>
              </w:rPr>
              <w:fldChar w:fldCharType="separate"/>
            </w:r>
            <w:r w:rsidR="002834C4" w:rsidRPr="00253D7C">
              <w:rPr>
                <w:noProof/>
                <w:webHidden/>
                <w:lang w:val="en-GB"/>
              </w:rPr>
              <w:t>15</w:t>
            </w:r>
            <w:r w:rsidR="004926F5" w:rsidRPr="00253D7C">
              <w:rPr>
                <w:noProof/>
                <w:webHidden/>
                <w:lang w:val="en-GB"/>
              </w:rPr>
              <w:fldChar w:fldCharType="end"/>
            </w:r>
          </w:hyperlink>
        </w:p>
        <w:p w14:paraId="480909A4" w14:textId="77777777" w:rsidR="002834C4" w:rsidRPr="001261AF" w:rsidRDefault="00DB47CF">
          <w:pPr>
            <w:pStyle w:val="TOC1"/>
            <w:rPr>
              <w:rFonts w:asciiTheme="minorHAnsi" w:hAnsiTheme="minorHAnsi" w:cstheme="minorBidi"/>
              <w:b w:val="0"/>
              <w:bCs w:val="0"/>
              <w:sz w:val="22"/>
              <w:lang w:val="en-GB" w:eastAsia="zh-CN"/>
            </w:rPr>
          </w:pPr>
          <w:hyperlink w:anchor="_Toc453781605" w:history="1">
            <w:r w:rsidR="002834C4" w:rsidRPr="00253D7C">
              <w:rPr>
                <w:rStyle w:val="Hyperlink"/>
                <w:lang w:val="en-GB"/>
              </w:rPr>
              <w:t>Political summary</w:t>
            </w:r>
            <w:r w:rsidR="002834C4" w:rsidRPr="00253D7C">
              <w:rPr>
                <w:webHidden/>
                <w:lang w:val="en-GB"/>
              </w:rPr>
              <w:tab/>
            </w:r>
            <w:r w:rsidR="004926F5" w:rsidRPr="00253D7C">
              <w:rPr>
                <w:webHidden/>
                <w:lang w:val="en-GB"/>
              </w:rPr>
              <w:fldChar w:fldCharType="begin"/>
            </w:r>
            <w:r w:rsidR="002834C4" w:rsidRPr="00253D7C">
              <w:rPr>
                <w:webHidden/>
                <w:lang w:val="en-GB"/>
              </w:rPr>
              <w:instrText xml:space="preserve"> PAGEREF _Toc453781605 \h </w:instrText>
            </w:r>
            <w:r w:rsidR="004926F5" w:rsidRPr="00253D7C">
              <w:rPr>
                <w:webHidden/>
                <w:lang w:val="en-GB"/>
              </w:rPr>
            </w:r>
            <w:r w:rsidR="004926F5" w:rsidRPr="00253D7C">
              <w:rPr>
                <w:webHidden/>
                <w:lang w:val="en-GB"/>
              </w:rPr>
              <w:fldChar w:fldCharType="separate"/>
            </w:r>
            <w:r w:rsidR="002834C4" w:rsidRPr="00253D7C">
              <w:rPr>
                <w:webHidden/>
                <w:lang w:val="en-GB"/>
              </w:rPr>
              <w:t>17</w:t>
            </w:r>
            <w:r w:rsidR="004926F5" w:rsidRPr="00253D7C">
              <w:rPr>
                <w:webHidden/>
                <w:lang w:val="en-GB"/>
              </w:rPr>
              <w:fldChar w:fldCharType="end"/>
            </w:r>
          </w:hyperlink>
        </w:p>
        <w:p w14:paraId="1DC3ABAD" w14:textId="77777777" w:rsidR="002834C4" w:rsidRPr="001261AF" w:rsidRDefault="00DB47CF">
          <w:pPr>
            <w:pStyle w:val="TOC2"/>
            <w:tabs>
              <w:tab w:val="right" w:leader="dot" w:pos="9628"/>
            </w:tabs>
            <w:rPr>
              <w:rFonts w:asciiTheme="minorHAnsi" w:hAnsiTheme="minorHAnsi" w:cstheme="minorBidi"/>
              <w:noProof/>
              <w:sz w:val="22"/>
              <w:lang w:val="en-GB" w:eastAsia="zh-CN"/>
            </w:rPr>
          </w:pPr>
          <w:hyperlink w:anchor="_Toc453781606" w:history="1">
            <w:r w:rsidR="002834C4" w:rsidRPr="00253D7C">
              <w:rPr>
                <w:rStyle w:val="Hyperlink"/>
                <w:noProof/>
                <w:lang w:val="en-GB"/>
              </w:rPr>
              <w:t>Zero and Revised drafts of the Rome Declaration for Nutrition</w:t>
            </w:r>
            <w:r w:rsidR="002834C4" w:rsidRPr="00253D7C">
              <w:rPr>
                <w:noProof/>
                <w:webHidden/>
                <w:lang w:val="en-GB"/>
              </w:rPr>
              <w:tab/>
            </w:r>
            <w:r w:rsidR="004926F5" w:rsidRPr="00253D7C">
              <w:rPr>
                <w:noProof/>
                <w:webHidden/>
                <w:lang w:val="en-GB"/>
              </w:rPr>
              <w:fldChar w:fldCharType="begin"/>
            </w:r>
            <w:r w:rsidR="002834C4" w:rsidRPr="00253D7C">
              <w:rPr>
                <w:noProof/>
                <w:webHidden/>
                <w:lang w:val="en-GB"/>
              </w:rPr>
              <w:instrText xml:space="preserve"> PAGEREF _Toc453781606 \h </w:instrText>
            </w:r>
            <w:r w:rsidR="004926F5" w:rsidRPr="00253D7C">
              <w:rPr>
                <w:noProof/>
                <w:webHidden/>
                <w:lang w:val="en-GB"/>
              </w:rPr>
            </w:r>
            <w:r w:rsidR="004926F5" w:rsidRPr="00253D7C">
              <w:rPr>
                <w:noProof/>
                <w:webHidden/>
                <w:lang w:val="en-GB"/>
              </w:rPr>
              <w:fldChar w:fldCharType="separate"/>
            </w:r>
            <w:r w:rsidR="002834C4" w:rsidRPr="00253D7C">
              <w:rPr>
                <w:noProof/>
                <w:webHidden/>
                <w:lang w:val="en-GB"/>
              </w:rPr>
              <w:t>17</w:t>
            </w:r>
            <w:r w:rsidR="004926F5" w:rsidRPr="00253D7C">
              <w:rPr>
                <w:noProof/>
                <w:webHidden/>
                <w:lang w:val="en-GB"/>
              </w:rPr>
              <w:fldChar w:fldCharType="end"/>
            </w:r>
          </w:hyperlink>
        </w:p>
        <w:p w14:paraId="769DD02E" w14:textId="77777777" w:rsidR="002834C4" w:rsidRPr="001261AF" w:rsidRDefault="00DB47CF">
          <w:pPr>
            <w:pStyle w:val="TOC2"/>
            <w:tabs>
              <w:tab w:val="right" w:leader="dot" w:pos="9628"/>
            </w:tabs>
            <w:rPr>
              <w:rFonts w:asciiTheme="minorHAnsi" w:hAnsiTheme="minorHAnsi" w:cstheme="minorBidi"/>
              <w:noProof/>
              <w:sz w:val="22"/>
              <w:lang w:val="en-GB" w:eastAsia="zh-CN"/>
            </w:rPr>
          </w:pPr>
          <w:hyperlink w:anchor="_Toc453781607" w:history="1">
            <w:r w:rsidR="002834C4" w:rsidRPr="00253D7C">
              <w:rPr>
                <w:rStyle w:val="Hyperlink"/>
                <w:noProof/>
                <w:shd w:val="clear" w:color="auto" w:fill="FFFFFF"/>
                <w:lang w:val="en-GB"/>
              </w:rPr>
              <w:t>Zero version of the Framework for Action</w:t>
            </w:r>
            <w:r w:rsidR="002834C4" w:rsidRPr="00253D7C">
              <w:rPr>
                <w:noProof/>
                <w:webHidden/>
                <w:lang w:val="en-GB"/>
              </w:rPr>
              <w:tab/>
            </w:r>
            <w:r w:rsidR="004926F5" w:rsidRPr="00253D7C">
              <w:rPr>
                <w:noProof/>
                <w:webHidden/>
                <w:lang w:val="en-GB"/>
              </w:rPr>
              <w:fldChar w:fldCharType="begin"/>
            </w:r>
            <w:r w:rsidR="002834C4" w:rsidRPr="00253D7C">
              <w:rPr>
                <w:noProof/>
                <w:webHidden/>
                <w:lang w:val="en-GB"/>
              </w:rPr>
              <w:instrText xml:space="preserve"> PAGEREF _Toc453781607 \h </w:instrText>
            </w:r>
            <w:r w:rsidR="004926F5" w:rsidRPr="00253D7C">
              <w:rPr>
                <w:noProof/>
                <w:webHidden/>
                <w:lang w:val="en-GB"/>
              </w:rPr>
            </w:r>
            <w:r w:rsidR="004926F5" w:rsidRPr="00253D7C">
              <w:rPr>
                <w:noProof/>
                <w:webHidden/>
                <w:lang w:val="en-GB"/>
              </w:rPr>
              <w:fldChar w:fldCharType="separate"/>
            </w:r>
            <w:r w:rsidR="002834C4" w:rsidRPr="00253D7C">
              <w:rPr>
                <w:noProof/>
                <w:webHidden/>
                <w:lang w:val="en-GB"/>
              </w:rPr>
              <w:t>18</w:t>
            </w:r>
            <w:r w:rsidR="004926F5" w:rsidRPr="00253D7C">
              <w:rPr>
                <w:noProof/>
                <w:webHidden/>
                <w:lang w:val="en-GB"/>
              </w:rPr>
              <w:fldChar w:fldCharType="end"/>
            </w:r>
          </w:hyperlink>
        </w:p>
        <w:p w14:paraId="1F4867BA" w14:textId="77777777" w:rsidR="002834C4" w:rsidRPr="001261AF" w:rsidRDefault="00DB47CF">
          <w:pPr>
            <w:pStyle w:val="TOC2"/>
            <w:tabs>
              <w:tab w:val="right" w:leader="dot" w:pos="9628"/>
            </w:tabs>
            <w:rPr>
              <w:rFonts w:asciiTheme="minorHAnsi" w:hAnsiTheme="minorHAnsi" w:cstheme="minorBidi"/>
              <w:noProof/>
              <w:sz w:val="22"/>
              <w:lang w:val="en-GB" w:eastAsia="zh-CN"/>
            </w:rPr>
          </w:pPr>
          <w:hyperlink w:anchor="_Toc453781608" w:history="1">
            <w:r w:rsidR="002834C4" w:rsidRPr="00253D7C">
              <w:rPr>
                <w:rStyle w:val="Hyperlink"/>
                <w:noProof/>
                <w:lang w:val="en-GB"/>
              </w:rPr>
              <w:t>Conclusion</w:t>
            </w:r>
            <w:r w:rsidR="002834C4" w:rsidRPr="00253D7C">
              <w:rPr>
                <w:noProof/>
                <w:webHidden/>
                <w:lang w:val="en-GB"/>
              </w:rPr>
              <w:tab/>
            </w:r>
            <w:r w:rsidR="004926F5" w:rsidRPr="00253D7C">
              <w:rPr>
                <w:noProof/>
                <w:webHidden/>
                <w:lang w:val="en-GB"/>
              </w:rPr>
              <w:fldChar w:fldCharType="begin"/>
            </w:r>
            <w:r w:rsidR="002834C4" w:rsidRPr="00253D7C">
              <w:rPr>
                <w:noProof/>
                <w:webHidden/>
                <w:lang w:val="en-GB"/>
              </w:rPr>
              <w:instrText xml:space="preserve"> PAGEREF _Toc453781608 \h </w:instrText>
            </w:r>
            <w:r w:rsidR="004926F5" w:rsidRPr="00253D7C">
              <w:rPr>
                <w:noProof/>
                <w:webHidden/>
                <w:lang w:val="en-GB"/>
              </w:rPr>
            </w:r>
            <w:r w:rsidR="004926F5" w:rsidRPr="00253D7C">
              <w:rPr>
                <w:noProof/>
                <w:webHidden/>
                <w:lang w:val="en-GB"/>
              </w:rPr>
              <w:fldChar w:fldCharType="separate"/>
            </w:r>
            <w:r w:rsidR="002834C4" w:rsidRPr="00253D7C">
              <w:rPr>
                <w:noProof/>
                <w:webHidden/>
                <w:lang w:val="en-GB"/>
              </w:rPr>
              <w:t>20</w:t>
            </w:r>
            <w:r w:rsidR="004926F5" w:rsidRPr="00253D7C">
              <w:rPr>
                <w:noProof/>
                <w:webHidden/>
                <w:lang w:val="en-GB"/>
              </w:rPr>
              <w:fldChar w:fldCharType="end"/>
            </w:r>
          </w:hyperlink>
        </w:p>
        <w:p w14:paraId="37C01D84" w14:textId="77777777" w:rsidR="002834C4" w:rsidRPr="001261AF" w:rsidRDefault="00DB47CF">
          <w:pPr>
            <w:pStyle w:val="TOC1"/>
            <w:rPr>
              <w:rFonts w:asciiTheme="minorHAnsi" w:hAnsiTheme="minorHAnsi" w:cstheme="minorBidi"/>
              <w:b w:val="0"/>
              <w:bCs w:val="0"/>
              <w:sz w:val="22"/>
              <w:lang w:val="en-GB" w:eastAsia="zh-CN"/>
            </w:rPr>
          </w:pPr>
          <w:hyperlink w:anchor="_Toc453781609" w:history="1">
            <w:r w:rsidR="002834C4" w:rsidRPr="00253D7C">
              <w:rPr>
                <w:rStyle w:val="Hyperlink"/>
                <w:lang w:val="en-GB"/>
              </w:rPr>
              <w:t>Food for thought</w:t>
            </w:r>
            <w:r w:rsidR="002834C4" w:rsidRPr="00253D7C">
              <w:rPr>
                <w:webHidden/>
                <w:lang w:val="en-GB"/>
              </w:rPr>
              <w:tab/>
            </w:r>
            <w:r w:rsidR="004926F5" w:rsidRPr="00253D7C">
              <w:rPr>
                <w:webHidden/>
                <w:lang w:val="en-GB"/>
              </w:rPr>
              <w:fldChar w:fldCharType="begin"/>
            </w:r>
            <w:r w:rsidR="002834C4" w:rsidRPr="00253D7C">
              <w:rPr>
                <w:webHidden/>
                <w:lang w:val="en-GB"/>
              </w:rPr>
              <w:instrText xml:space="preserve"> PAGEREF _Toc453781609 \h </w:instrText>
            </w:r>
            <w:r w:rsidR="004926F5" w:rsidRPr="00253D7C">
              <w:rPr>
                <w:webHidden/>
                <w:lang w:val="en-GB"/>
              </w:rPr>
            </w:r>
            <w:r w:rsidR="004926F5" w:rsidRPr="00253D7C">
              <w:rPr>
                <w:webHidden/>
                <w:lang w:val="en-GB"/>
              </w:rPr>
              <w:fldChar w:fldCharType="separate"/>
            </w:r>
            <w:r w:rsidR="002834C4" w:rsidRPr="00253D7C">
              <w:rPr>
                <w:webHidden/>
                <w:lang w:val="en-GB"/>
              </w:rPr>
              <w:t>22</w:t>
            </w:r>
            <w:r w:rsidR="004926F5" w:rsidRPr="00253D7C">
              <w:rPr>
                <w:webHidden/>
                <w:lang w:val="en-GB"/>
              </w:rPr>
              <w:fldChar w:fldCharType="end"/>
            </w:r>
          </w:hyperlink>
        </w:p>
        <w:p w14:paraId="60392DB6" w14:textId="77777777" w:rsidR="002834C4" w:rsidRPr="001261AF" w:rsidRDefault="00DB47CF">
          <w:pPr>
            <w:pStyle w:val="TOC2"/>
            <w:tabs>
              <w:tab w:val="right" w:leader="dot" w:pos="9628"/>
            </w:tabs>
            <w:rPr>
              <w:rFonts w:asciiTheme="minorHAnsi" w:hAnsiTheme="minorHAnsi" w:cstheme="minorBidi"/>
              <w:noProof/>
              <w:sz w:val="22"/>
              <w:lang w:val="en-GB" w:eastAsia="zh-CN"/>
            </w:rPr>
          </w:pPr>
          <w:hyperlink w:anchor="_Toc453781610" w:history="1">
            <w:r w:rsidR="002834C4" w:rsidRPr="00253D7C">
              <w:rPr>
                <w:rStyle w:val="Hyperlink"/>
                <w:noProof/>
                <w:lang w:val="en-GB"/>
              </w:rPr>
              <w:t>Malnutrition is multidimensional</w:t>
            </w:r>
            <w:r w:rsidR="002834C4" w:rsidRPr="00253D7C">
              <w:rPr>
                <w:noProof/>
                <w:webHidden/>
                <w:lang w:val="en-GB"/>
              </w:rPr>
              <w:tab/>
            </w:r>
            <w:r w:rsidR="004926F5" w:rsidRPr="00253D7C">
              <w:rPr>
                <w:noProof/>
                <w:webHidden/>
                <w:lang w:val="en-GB"/>
              </w:rPr>
              <w:fldChar w:fldCharType="begin"/>
            </w:r>
            <w:r w:rsidR="002834C4" w:rsidRPr="00253D7C">
              <w:rPr>
                <w:noProof/>
                <w:webHidden/>
                <w:lang w:val="en-GB"/>
              </w:rPr>
              <w:instrText xml:space="preserve"> PAGEREF _Toc453781610 \h </w:instrText>
            </w:r>
            <w:r w:rsidR="004926F5" w:rsidRPr="00253D7C">
              <w:rPr>
                <w:noProof/>
                <w:webHidden/>
                <w:lang w:val="en-GB"/>
              </w:rPr>
            </w:r>
            <w:r w:rsidR="004926F5" w:rsidRPr="00253D7C">
              <w:rPr>
                <w:noProof/>
                <w:webHidden/>
                <w:lang w:val="en-GB"/>
              </w:rPr>
              <w:fldChar w:fldCharType="separate"/>
            </w:r>
            <w:r w:rsidR="002834C4" w:rsidRPr="00253D7C">
              <w:rPr>
                <w:noProof/>
                <w:webHidden/>
                <w:lang w:val="en-GB"/>
              </w:rPr>
              <w:t>22</w:t>
            </w:r>
            <w:r w:rsidR="004926F5" w:rsidRPr="00253D7C">
              <w:rPr>
                <w:noProof/>
                <w:webHidden/>
                <w:lang w:val="en-GB"/>
              </w:rPr>
              <w:fldChar w:fldCharType="end"/>
            </w:r>
          </w:hyperlink>
        </w:p>
        <w:p w14:paraId="0C9B9A61" w14:textId="77777777" w:rsidR="002834C4" w:rsidRPr="001261AF" w:rsidRDefault="00DB47CF">
          <w:pPr>
            <w:pStyle w:val="TOC2"/>
            <w:tabs>
              <w:tab w:val="right" w:leader="dot" w:pos="9628"/>
            </w:tabs>
            <w:rPr>
              <w:rFonts w:asciiTheme="minorHAnsi" w:hAnsiTheme="minorHAnsi" w:cstheme="minorBidi"/>
              <w:noProof/>
              <w:sz w:val="22"/>
              <w:lang w:val="en-GB" w:eastAsia="zh-CN"/>
            </w:rPr>
          </w:pPr>
          <w:hyperlink w:anchor="_Toc453781611" w:history="1">
            <w:r w:rsidR="002834C4" w:rsidRPr="00253D7C">
              <w:rPr>
                <w:rStyle w:val="Hyperlink"/>
                <w:noProof/>
                <w:lang w:val="en-GB"/>
              </w:rPr>
              <w:t>Effectiveness of non-binding agreements</w:t>
            </w:r>
            <w:r w:rsidR="002834C4" w:rsidRPr="00253D7C">
              <w:rPr>
                <w:noProof/>
                <w:webHidden/>
                <w:lang w:val="en-GB"/>
              </w:rPr>
              <w:tab/>
            </w:r>
            <w:r w:rsidR="004926F5" w:rsidRPr="00253D7C">
              <w:rPr>
                <w:noProof/>
                <w:webHidden/>
                <w:lang w:val="en-GB"/>
              </w:rPr>
              <w:fldChar w:fldCharType="begin"/>
            </w:r>
            <w:r w:rsidR="002834C4" w:rsidRPr="00253D7C">
              <w:rPr>
                <w:noProof/>
                <w:webHidden/>
                <w:lang w:val="en-GB"/>
              </w:rPr>
              <w:instrText xml:space="preserve"> PAGEREF _Toc453781611 \h </w:instrText>
            </w:r>
            <w:r w:rsidR="004926F5" w:rsidRPr="00253D7C">
              <w:rPr>
                <w:noProof/>
                <w:webHidden/>
                <w:lang w:val="en-GB"/>
              </w:rPr>
            </w:r>
            <w:r w:rsidR="004926F5" w:rsidRPr="00253D7C">
              <w:rPr>
                <w:noProof/>
                <w:webHidden/>
                <w:lang w:val="en-GB"/>
              </w:rPr>
              <w:fldChar w:fldCharType="separate"/>
            </w:r>
            <w:r w:rsidR="002834C4" w:rsidRPr="00253D7C">
              <w:rPr>
                <w:noProof/>
                <w:webHidden/>
                <w:lang w:val="en-GB"/>
              </w:rPr>
              <w:t>23</w:t>
            </w:r>
            <w:r w:rsidR="004926F5" w:rsidRPr="00253D7C">
              <w:rPr>
                <w:noProof/>
                <w:webHidden/>
                <w:lang w:val="en-GB"/>
              </w:rPr>
              <w:fldChar w:fldCharType="end"/>
            </w:r>
          </w:hyperlink>
        </w:p>
        <w:p w14:paraId="487E26FF" w14:textId="77777777" w:rsidR="002834C4" w:rsidRPr="001261AF" w:rsidRDefault="00DB47CF">
          <w:pPr>
            <w:pStyle w:val="TOC2"/>
            <w:tabs>
              <w:tab w:val="right" w:leader="dot" w:pos="9628"/>
            </w:tabs>
            <w:rPr>
              <w:rFonts w:asciiTheme="minorHAnsi" w:hAnsiTheme="minorHAnsi" w:cstheme="minorBidi"/>
              <w:noProof/>
              <w:sz w:val="22"/>
              <w:lang w:val="en-GB" w:eastAsia="zh-CN"/>
            </w:rPr>
          </w:pPr>
          <w:hyperlink w:anchor="_Toc453781612" w:history="1">
            <w:r w:rsidR="002834C4" w:rsidRPr="00253D7C">
              <w:rPr>
                <w:rStyle w:val="Hyperlink"/>
                <w:noProof/>
                <w:lang w:val="en-GB"/>
              </w:rPr>
              <w:t>What has been left out?</w:t>
            </w:r>
            <w:r w:rsidR="002834C4" w:rsidRPr="00253D7C">
              <w:rPr>
                <w:noProof/>
                <w:webHidden/>
                <w:lang w:val="en-GB"/>
              </w:rPr>
              <w:tab/>
            </w:r>
            <w:r w:rsidR="004926F5" w:rsidRPr="00253D7C">
              <w:rPr>
                <w:noProof/>
                <w:webHidden/>
                <w:lang w:val="en-GB"/>
              </w:rPr>
              <w:fldChar w:fldCharType="begin"/>
            </w:r>
            <w:r w:rsidR="002834C4" w:rsidRPr="00253D7C">
              <w:rPr>
                <w:noProof/>
                <w:webHidden/>
                <w:lang w:val="en-GB"/>
              </w:rPr>
              <w:instrText xml:space="preserve"> PAGEREF _Toc453781612 \h </w:instrText>
            </w:r>
            <w:r w:rsidR="004926F5" w:rsidRPr="00253D7C">
              <w:rPr>
                <w:noProof/>
                <w:webHidden/>
                <w:lang w:val="en-GB"/>
              </w:rPr>
            </w:r>
            <w:r w:rsidR="004926F5" w:rsidRPr="00253D7C">
              <w:rPr>
                <w:noProof/>
                <w:webHidden/>
                <w:lang w:val="en-GB"/>
              </w:rPr>
              <w:fldChar w:fldCharType="separate"/>
            </w:r>
            <w:r w:rsidR="002834C4" w:rsidRPr="00253D7C">
              <w:rPr>
                <w:noProof/>
                <w:webHidden/>
                <w:lang w:val="en-GB"/>
              </w:rPr>
              <w:t>23</w:t>
            </w:r>
            <w:r w:rsidR="004926F5" w:rsidRPr="00253D7C">
              <w:rPr>
                <w:noProof/>
                <w:webHidden/>
                <w:lang w:val="en-GB"/>
              </w:rPr>
              <w:fldChar w:fldCharType="end"/>
            </w:r>
          </w:hyperlink>
        </w:p>
        <w:p w14:paraId="2AAAE179" w14:textId="77777777" w:rsidR="002834C4" w:rsidRPr="001261AF" w:rsidRDefault="00DB47CF">
          <w:pPr>
            <w:pStyle w:val="TOC2"/>
            <w:tabs>
              <w:tab w:val="right" w:leader="dot" w:pos="9628"/>
            </w:tabs>
            <w:rPr>
              <w:rFonts w:asciiTheme="minorHAnsi" w:hAnsiTheme="minorHAnsi" w:cstheme="minorBidi"/>
              <w:noProof/>
              <w:sz w:val="22"/>
              <w:lang w:val="en-GB" w:eastAsia="zh-CN"/>
            </w:rPr>
          </w:pPr>
          <w:hyperlink w:anchor="_Toc453781613" w:history="1">
            <w:r w:rsidR="002834C4" w:rsidRPr="00253D7C">
              <w:rPr>
                <w:rStyle w:val="Hyperlink"/>
                <w:noProof/>
                <w:lang w:val="en-GB"/>
              </w:rPr>
              <w:t>Improving the process</w:t>
            </w:r>
            <w:r w:rsidR="002834C4" w:rsidRPr="00253D7C">
              <w:rPr>
                <w:noProof/>
                <w:webHidden/>
                <w:lang w:val="en-GB"/>
              </w:rPr>
              <w:tab/>
            </w:r>
            <w:r w:rsidR="004926F5" w:rsidRPr="00253D7C">
              <w:rPr>
                <w:noProof/>
                <w:webHidden/>
                <w:lang w:val="en-GB"/>
              </w:rPr>
              <w:fldChar w:fldCharType="begin"/>
            </w:r>
            <w:r w:rsidR="002834C4" w:rsidRPr="00253D7C">
              <w:rPr>
                <w:noProof/>
                <w:webHidden/>
                <w:lang w:val="en-GB"/>
              </w:rPr>
              <w:instrText xml:space="preserve"> PAGEREF _Toc453781613 \h </w:instrText>
            </w:r>
            <w:r w:rsidR="004926F5" w:rsidRPr="00253D7C">
              <w:rPr>
                <w:noProof/>
                <w:webHidden/>
                <w:lang w:val="en-GB"/>
              </w:rPr>
            </w:r>
            <w:r w:rsidR="004926F5" w:rsidRPr="00253D7C">
              <w:rPr>
                <w:noProof/>
                <w:webHidden/>
                <w:lang w:val="en-GB"/>
              </w:rPr>
              <w:fldChar w:fldCharType="separate"/>
            </w:r>
            <w:r w:rsidR="002834C4" w:rsidRPr="00253D7C">
              <w:rPr>
                <w:noProof/>
                <w:webHidden/>
                <w:lang w:val="en-GB"/>
              </w:rPr>
              <w:t>25</w:t>
            </w:r>
            <w:r w:rsidR="004926F5" w:rsidRPr="00253D7C">
              <w:rPr>
                <w:noProof/>
                <w:webHidden/>
                <w:lang w:val="en-GB"/>
              </w:rPr>
              <w:fldChar w:fldCharType="end"/>
            </w:r>
          </w:hyperlink>
        </w:p>
        <w:p w14:paraId="7898BAD1" w14:textId="77777777" w:rsidR="002834C4" w:rsidRPr="001261AF" w:rsidRDefault="00DB47CF">
          <w:pPr>
            <w:pStyle w:val="TOC1"/>
            <w:rPr>
              <w:rFonts w:asciiTheme="minorHAnsi" w:hAnsiTheme="minorHAnsi" w:cstheme="minorBidi"/>
              <w:b w:val="0"/>
              <w:bCs w:val="0"/>
              <w:sz w:val="22"/>
              <w:lang w:val="en-GB" w:eastAsia="zh-CN"/>
            </w:rPr>
          </w:pPr>
          <w:hyperlink w:anchor="_Toc453781614" w:history="1">
            <w:r w:rsidR="002834C4" w:rsidRPr="00253D7C">
              <w:rPr>
                <w:rStyle w:val="Hyperlink"/>
                <w:lang w:val="en-GB"/>
              </w:rPr>
              <w:t>Further recommendations</w:t>
            </w:r>
            <w:r w:rsidR="002834C4" w:rsidRPr="00253D7C">
              <w:rPr>
                <w:webHidden/>
                <w:lang w:val="en-GB"/>
              </w:rPr>
              <w:tab/>
            </w:r>
            <w:r w:rsidR="004926F5" w:rsidRPr="00253D7C">
              <w:rPr>
                <w:webHidden/>
                <w:lang w:val="en-GB"/>
              </w:rPr>
              <w:fldChar w:fldCharType="begin"/>
            </w:r>
            <w:r w:rsidR="002834C4" w:rsidRPr="00253D7C">
              <w:rPr>
                <w:webHidden/>
                <w:lang w:val="en-GB"/>
              </w:rPr>
              <w:instrText xml:space="preserve"> PAGEREF _Toc453781614 \h </w:instrText>
            </w:r>
            <w:r w:rsidR="004926F5" w:rsidRPr="00253D7C">
              <w:rPr>
                <w:webHidden/>
                <w:lang w:val="en-GB"/>
              </w:rPr>
            </w:r>
            <w:r w:rsidR="004926F5" w:rsidRPr="00253D7C">
              <w:rPr>
                <w:webHidden/>
                <w:lang w:val="en-GB"/>
              </w:rPr>
              <w:fldChar w:fldCharType="separate"/>
            </w:r>
            <w:r w:rsidR="002834C4" w:rsidRPr="00253D7C">
              <w:rPr>
                <w:webHidden/>
                <w:lang w:val="en-GB"/>
              </w:rPr>
              <w:t>26</w:t>
            </w:r>
            <w:r w:rsidR="004926F5" w:rsidRPr="00253D7C">
              <w:rPr>
                <w:webHidden/>
                <w:lang w:val="en-GB"/>
              </w:rPr>
              <w:fldChar w:fldCharType="end"/>
            </w:r>
          </w:hyperlink>
        </w:p>
        <w:p w14:paraId="1643D84B" w14:textId="77777777" w:rsidR="004F3947" w:rsidRPr="00253D7C" w:rsidRDefault="004926F5">
          <w:pPr>
            <w:rPr>
              <w:lang w:val="en-GB"/>
            </w:rPr>
          </w:pPr>
          <w:r w:rsidRPr="00253D7C">
            <w:rPr>
              <w:b/>
              <w:bCs/>
              <w:noProof/>
              <w:lang w:val="en-GB"/>
            </w:rPr>
            <w:fldChar w:fldCharType="end"/>
          </w:r>
        </w:p>
      </w:sdtContent>
    </w:sdt>
    <w:p w14:paraId="43CD6C2B" w14:textId="77777777" w:rsidR="004F3947" w:rsidRPr="00253D7C" w:rsidRDefault="004F3947">
      <w:pPr>
        <w:snapToGrid/>
        <w:spacing w:after="160" w:line="259" w:lineRule="auto"/>
        <w:rPr>
          <w:lang w:val="en-GB"/>
        </w:rPr>
      </w:pPr>
      <w:r w:rsidRPr="00253D7C">
        <w:rPr>
          <w:lang w:val="en-GB"/>
        </w:rPr>
        <w:br w:type="page"/>
      </w:r>
    </w:p>
    <w:p w14:paraId="3ABB8CEE" w14:textId="77777777" w:rsidR="00340DF5" w:rsidRPr="001261AF" w:rsidRDefault="00340DF5" w:rsidP="00340DF5">
      <w:pPr>
        <w:pStyle w:val="Heading1"/>
        <w:rPr>
          <w:lang w:val="en-GB"/>
        </w:rPr>
      </w:pPr>
      <w:bookmarkStart w:id="1" w:name="_Toc453781594"/>
      <w:r w:rsidRPr="001261AF">
        <w:rPr>
          <w:lang w:val="en-GB"/>
        </w:rPr>
        <w:lastRenderedPageBreak/>
        <w:t>Acronym list</w:t>
      </w:r>
      <w:bookmarkEnd w:id="1"/>
    </w:p>
    <w:p w14:paraId="481A6219" w14:textId="77777777" w:rsidR="00C076B9" w:rsidRPr="003D2139" w:rsidRDefault="00C076B9" w:rsidP="00C076B9">
      <w:pPr>
        <w:rPr>
          <w:lang w:val="en-GB"/>
        </w:rPr>
      </w:pPr>
      <w:r w:rsidRPr="003D2139">
        <w:rPr>
          <w:lang w:val="en-GB"/>
        </w:rPr>
        <w:t xml:space="preserve">AR4D – Agricultural Research for Nutrition </w:t>
      </w:r>
    </w:p>
    <w:p w14:paraId="3732388B" w14:textId="77777777" w:rsidR="00C076B9" w:rsidRPr="001261AF" w:rsidRDefault="00C076B9" w:rsidP="00C076B9">
      <w:pPr>
        <w:rPr>
          <w:lang w:val="en-GB"/>
        </w:rPr>
      </w:pPr>
      <w:r w:rsidRPr="001261AF">
        <w:rPr>
          <w:lang w:val="en-GB"/>
        </w:rPr>
        <w:t>CS – Civil Society</w:t>
      </w:r>
    </w:p>
    <w:p w14:paraId="1CAFEFB6" w14:textId="77777777" w:rsidR="00C076B9" w:rsidRPr="001261AF" w:rsidRDefault="00C076B9" w:rsidP="00C076B9">
      <w:pPr>
        <w:rPr>
          <w:lang w:val="en-GB"/>
        </w:rPr>
      </w:pPr>
      <w:r w:rsidRPr="001261AF">
        <w:rPr>
          <w:lang w:val="en-GB"/>
        </w:rPr>
        <w:t xml:space="preserve">FFA – Framework for Action </w:t>
      </w:r>
    </w:p>
    <w:p w14:paraId="248BC9F9" w14:textId="77777777" w:rsidR="008671C8" w:rsidRPr="001261AF" w:rsidRDefault="008671C8" w:rsidP="00C076B9">
      <w:pPr>
        <w:rPr>
          <w:lang w:val="en-GB"/>
        </w:rPr>
      </w:pPr>
      <w:r w:rsidRPr="001261AF">
        <w:rPr>
          <w:lang w:val="en-GB"/>
        </w:rPr>
        <w:t>IFAD – International Fund for Agricultural Development</w:t>
      </w:r>
    </w:p>
    <w:p w14:paraId="21D0196B" w14:textId="77777777" w:rsidR="008671C8" w:rsidRPr="001261AF" w:rsidRDefault="008671C8" w:rsidP="00C076B9">
      <w:pPr>
        <w:rPr>
          <w:lang w:val="en-GB"/>
        </w:rPr>
      </w:pPr>
      <w:r w:rsidRPr="001261AF">
        <w:rPr>
          <w:lang w:val="en-GB"/>
        </w:rPr>
        <w:t>IFPRI – International Food Policy Research Institute</w:t>
      </w:r>
    </w:p>
    <w:p w14:paraId="476BEE0B" w14:textId="77777777" w:rsidR="00C076B9" w:rsidRPr="001261AF" w:rsidRDefault="00C076B9" w:rsidP="00C076B9">
      <w:pPr>
        <w:rPr>
          <w:lang w:val="en-GB"/>
        </w:rPr>
      </w:pPr>
      <w:r w:rsidRPr="001261AF">
        <w:rPr>
          <w:lang w:val="en-GB"/>
        </w:rPr>
        <w:t>IGO – International Organizations</w:t>
      </w:r>
    </w:p>
    <w:p w14:paraId="1298037A" w14:textId="77777777" w:rsidR="00C076B9" w:rsidRPr="001261AF" w:rsidRDefault="00C076B9" w:rsidP="00C076B9">
      <w:pPr>
        <w:rPr>
          <w:lang w:val="en-GB"/>
        </w:rPr>
      </w:pPr>
      <w:r w:rsidRPr="001261AF">
        <w:rPr>
          <w:lang w:val="en-GB"/>
        </w:rPr>
        <w:t xml:space="preserve">JWG – Joint Working Group </w:t>
      </w:r>
    </w:p>
    <w:p w14:paraId="6CCA0CE0" w14:textId="77777777" w:rsidR="00C076B9" w:rsidRPr="001261AF" w:rsidRDefault="00C076B9" w:rsidP="00C076B9">
      <w:pPr>
        <w:rPr>
          <w:lang w:val="en-GB"/>
        </w:rPr>
      </w:pPr>
      <w:r w:rsidRPr="001261AF">
        <w:rPr>
          <w:lang w:val="en-GB"/>
        </w:rPr>
        <w:t xml:space="preserve">NDCs – Non-Communicable Diseases  </w:t>
      </w:r>
    </w:p>
    <w:p w14:paraId="1E5CD800" w14:textId="77777777" w:rsidR="00C076B9" w:rsidRPr="001261AF" w:rsidRDefault="00C076B9" w:rsidP="00C076B9">
      <w:pPr>
        <w:rPr>
          <w:lang w:val="en-GB"/>
        </w:rPr>
      </w:pPr>
      <w:r w:rsidRPr="001261AF">
        <w:rPr>
          <w:lang w:val="en-GB"/>
        </w:rPr>
        <w:t>NEAFS – Nutrition-Enhanced Agriculture and Food Systems</w:t>
      </w:r>
    </w:p>
    <w:p w14:paraId="6AD73DC2" w14:textId="77777777" w:rsidR="00C076B9" w:rsidRPr="001261AF" w:rsidRDefault="00C076B9" w:rsidP="00C076B9">
      <w:pPr>
        <w:rPr>
          <w:lang w:val="en-GB"/>
        </w:rPr>
      </w:pPr>
      <w:r w:rsidRPr="001261AF">
        <w:rPr>
          <w:lang w:val="en-GB"/>
        </w:rPr>
        <w:t>PPP – Public-Private Partnerships</w:t>
      </w:r>
    </w:p>
    <w:p w14:paraId="5E69196F" w14:textId="77777777" w:rsidR="00C076B9" w:rsidRPr="001261AF" w:rsidRDefault="00C076B9" w:rsidP="00C076B9">
      <w:pPr>
        <w:rPr>
          <w:lang w:val="en-GB"/>
        </w:rPr>
      </w:pPr>
      <w:r w:rsidRPr="001261AF">
        <w:rPr>
          <w:lang w:val="en-GB"/>
        </w:rPr>
        <w:t>PS – Private Sector</w:t>
      </w:r>
    </w:p>
    <w:p w14:paraId="0101AF24" w14:textId="77777777" w:rsidR="00C076B9" w:rsidRPr="001261AF" w:rsidRDefault="00C076B9" w:rsidP="00C076B9">
      <w:pPr>
        <w:rPr>
          <w:lang w:val="en-GB"/>
        </w:rPr>
      </w:pPr>
      <w:r w:rsidRPr="001261AF">
        <w:rPr>
          <w:lang w:val="en-GB"/>
        </w:rPr>
        <w:t xml:space="preserve">RDN – Rome Declaration on </w:t>
      </w:r>
      <w:r w:rsidR="008671C8" w:rsidRPr="001261AF">
        <w:rPr>
          <w:lang w:val="en-GB"/>
        </w:rPr>
        <w:t>Nutrition</w:t>
      </w:r>
    </w:p>
    <w:p w14:paraId="38A89633" w14:textId="77777777" w:rsidR="008671C8" w:rsidRPr="001261AF" w:rsidRDefault="00C076B9" w:rsidP="00C076B9">
      <w:pPr>
        <w:rPr>
          <w:lang w:val="en-GB"/>
        </w:rPr>
      </w:pPr>
      <w:r w:rsidRPr="001261AF">
        <w:rPr>
          <w:lang w:val="en-GB"/>
        </w:rPr>
        <w:t>SP – Social Protection</w:t>
      </w:r>
    </w:p>
    <w:p w14:paraId="3696FD1E" w14:textId="77777777" w:rsidR="008671C8" w:rsidRPr="001261AF" w:rsidRDefault="008671C8" w:rsidP="00C076B9">
      <w:pPr>
        <w:rPr>
          <w:lang w:val="en-GB"/>
        </w:rPr>
      </w:pPr>
      <w:r w:rsidRPr="001261AF">
        <w:rPr>
          <w:lang w:val="en-GB"/>
        </w:rPr>
        <w:t>UNESCO – United Nations Educational, Scientific and Cultural Organization</w:t>
      </w:r>
    </w:p>
    <w:p w14:paraId="59793DFD" w14:textId="77777777" w:rsidR="008671C8" w:rsidRPr="001261AF" w:rsidRDefault="008671C8" w:rsidP="00C076B9">
      <w:pPr>
        <w:rPr>
          <w:lang w:val="en-GB"/>
        </w:rPr>
      </w:pPr>
      <w:r w:rsidRPr="001261AF">
        <w:rPr>
          <w:lang w:val="en-GB"/>
        </w:rPr>
        <w:t xml:space="preserve">UNICEF – United Nations International Children’s Emergency Fund </w:t>
      </w:r>
    </w:p>
    <w:p w14:paraId="1B4C07CD" w14:textId="77777777" w:rsidR="008671C8" w:rsidRPr="001261AF" w:rsidRDefault="008671C8" w:rsidP="00C076B9">
      <w:pPr>
        <w:rPr>
          <w:lang w:val="en-GB"/>
        </w:rPr>
      </w:pPr>
      <w:r w:rsidRPr="001261AF">
        <w:rPr>
          <w:lang w:val="en-GB"/>
        </w:rPr>
        <w:t xml:space="preserve">WFP – World Food Programme </w:t>
      </w:r>
    </w:p>
    <w:p w14:paraId="4ED404BC" w14:textId="77777777" w:rsidR="00340DF5" w:rsidRPr="001261AF" w:rsidRDefault="008671C8" w:rsidP="00C076B9">
      <w:pPr>
        <w:rPr>
          <w:lang w:val="en-GB"/>
        </w:rPr>
      </w:pPr>
      <w:r w:rsidRPr="001261AF">
        <w:rPr>
          <w:lang w:val="en-GB"/>
        </w:rPr>
        <w:t xml:space="preserve">WTO – World Trade Organization </w:t>
      </w:r>
      <w:r w:rsidR="00340DF5" w:rsidRPr="001261AF">
        <w:rPr>
          <w:lang w:val="en-GB"/>
        </w:rPr>
        <w:br w:type="page"/>
      </w:r>
    </w:p>
    <w:p w14:paraId="36C68227" w14:textId="77777777" w:rsidR="00340DF5" w:rsidRPr="001261AF" w:rsidRDefault="00340DF5" w:rsidP="00340DF5">
      <w:pPr>
        <w:pStyle w:val="Heading1"/>
        <w:rPr>
          <w:lang w:val="en-GB"/>
        </w:rPr>
      </w:pPr>
      <w:bookmarkStart w:id="2" w:name="_Toc453781595"/>
      <w:r w:rsidRPr="001261AF">
        <w:rPr>
          <w:lang w:val="en-GB"/>
        </w:rPr>
        <w:lastRenderedPageBreak/>
        <w:t>Introduction</w:t>
      </w:r>
      <w:bookmarkEnd w:id="2"/>
    </w:p>
    <w:p w14:paraId="787BF48C" w14:textId="77777777" w:rsidR="00340DF5" w:rsidRPr="00253D7C" w:rsidRDefault="00340DF5" w:rsidP="00340DF5">
      <w:pPr>
        <w:rPr>
          <w:lang w:val="en-GB"/>
        </w:rPr>
      </w:pPr>
      <w:proofErr w:type="gramStart"/>
      <w:r w:rsidRPr="00253D7C">
        <w:rPr>
          <w:lang w:val="en-GB"/>
        </w:rPr>
        <w:t>The Second International Conference on Nutrition (ICN2), jointly organized by the Food and Agriculture Organization of the United Nations (FAO) and the World Health Organization (WHO), and in cooperation with IFAD, IFPRI, UNESCO, UNICEF, World Bank, WTO, WFP and the High Level Task Force on the Global Food Security Crisis (HLTF), took place at FAO Headquarters in Rome from 19-21 November 2014.</w:t>
      </w:r>
      <w:proofErr w:type="gramEnd"/>
      <w:r w:rsidRPr="00253D7C">
        <w:rPr>
          <w:lang w:val="en-GB"/>
        </w:rPr>
        <w:t xml:space="preserve"> ICN2 resulted in the adoption of two main documents: the </w:t>
      </w:r>
      <w:r w:rsidRPr="00253D7C">
        <w:rPr>
          <w:i/>
          <w:lang w:val="en-GB"/>
        </w:rPr>
        <w:t xml:space="preserve">Rome Declaration on Nutrition </w:t>
      </w:r>
      <w:r w:rsidRPr="00253D7C">
        <w:rPr>
          <w:lang w:val="en-GB"/>
        </w:rPr>
        <w:t>(RDN)</w:t>
      </w:r>
      <w:r w:rsidRPr="00253D7C">
        <w:rPr>
          <w:vertAlign w:val="superscript"/>
          <w:lang w:val="en-GB"/>
        </w:rPr>
        <w:footnoteReference w:id="1"/>
      </w:r>
      <w:r w:rsidRPr="00253D7C">
        <w:rPr>
          <w:lang w:val="en-GB"/>
        </w:rPr>
        <w:t xml:space="preserve"> and the </w:t>
      </w:r>
      <w:r w:rsidRPr="00253D7C">
        <w:rPr>
          <w:i/>
          <w:lang w:val="en-GB"/>
        </w:rPr>
        <w:t xml:space="preserve">Framework for Action </w:t>
      </w:r>
      <w:r w:rsidRPr="00253D7C">
        <w:rPr>
          <w:lang w:val="en-GB"/>
        </w:rPr>
        <w:t>(FFA)</w:t>
      </w:r>
      <w:r w:rsidRPr="00253D7C">
        <w:rPr>
          <w:vertAlign w:val="superscript"/>
          <w:lang w:val="en-GB"/>
        </w:rPr>
        <w:footnoteReference w:id="2"/>
      </w:r>
      <w:r w:rsidRPr="00253D7C">
        <w:rPr>
          <w:lang w:val="en-GB"/>
        </w:rPr>
        <w:t>. On one hand, signatory countries</w:t>
      </w:r>
      <w:r w:rsidRPr="00253D7C">
        <w:rPr>
          <w:vertAlign w:val="superscript"/>
          <w:lang w:val="en-GB"/>
        </w:rPr>
        <w:footnoteReference w:id="3"/>
      </w:r>
      <w:r w:rsidRPr="00253D7C">
        <w:rPr>
          <w:lang w:val="en-GB"/>
        </w:rPr>
        <w:t xml:space="preserve"> to the RDN have committed, among other things, to eliminate hunger and prevent all forms of malnutrition. On the other hand, the FFA recommends a list of policies, strategies and actions to help guide signatory governments</w:t>
      </w:r>
      <w:r w:rsidRPr="00253D7C">
        <w:rPr>
          <w:vertAlign w:val="superscript"/>
          <w:lang w:val="en-GB"/>
        </w:rPr>
        <w:footnoteReference w:id="4"/>
      </w:r>
      <w:r w:rsidRPr="00253D7C">
        <w:rPr>
          <w:lang w:val="en-GB"/>
        </w:rPr>
        <w:t xml:space="preserve"> in the proper implementation of the commitments made in the Rome Declaration. </w:t>
      </w:r>
    </w:p>
    <w:p w14:paraId="46618BA8" w14:textId="77777777" w:rsidR="00340DF5" w:rsidRPr="00253D7C" w:rsidRDefault="00340DF5" w:rsidP="00340DF5">
      <w:pPr>
        <w:rPr>
          <w:lang w:val="en-GB"/>
        </w:rPr>
      </w:pPr>
      <w:r w:rsidRPr="00253D7C">
        <w:rPr>
          <w:lang w:val="en-GB"/>
        </w:rPr>
        <w:t>As part of the preparations leading up to the Conference, a Preparatory Technical Meeting</w:t>
      </w:r>
      <w:r w:rsidRPr="00253D7C">
        <w:rPr>
          <w:vertAlign w:val="superscript"/>
          <w:lang w:val="en-GB"/>
        </w:rPr>
        <w:footnoteReference w:id="5"/>
      </w:r>
      <w:r w:rsidRPr="00253D7C">
        <w:rPr>
          <w:lang w:val="en-GB"/>
        </w:rPr>
        <w:t xml:space="preserve"> </w:t>
      </w:r>
      <w:proofErr w:type="gramStart"/>
      <w:r w:rsidRPr="00253D7C">
        <w:rPr>
          <w:lang w:val="en-GB"/>
        </w:rPr>
        <w:t>was held</w:t>
      </w:r>
      <w:proofErr w:type="gramEnd"/>
      <w:r w:rsidRPr="00253D7C">
        <w:rPr>
          <w:lang w:val="en-GB"/>
        </w:rPr>
        <w:t xml:space="preserve"> at FAO Headquarters from 13-15 November 2013. Building on the results of this meeting, FAO and WHO Secretariats prepared drafts of the two outcome documents. These drafts </w:t>
      </w:r>
      <w:proofErr w:type="gramStart"/>
      <w:r w:rsidRPr="00253D7C">
        <w:rPr>
          <w:color w:val="000000" w:themeColor="text1"/>
          <w:lang w:val="en-GB"/>
        </w:rPr>
        <w:t xml:space="preserve">were then </w:t>
      </w:r>
      <w:r w:rsidRPr="00253D7C">
        <w:rPr>
          <w:lang w:val="en-GB"/>
        </w:rPr>
        <w:t>discussed and developed by a Joint Working Group (JWG) of regional representatives of FAO and WHO Members for their final adoption during ICN2 in November 2014</w:t>
      </w:r>
      <w:proofErr w:type="gramEnd"/>
      <w:r w:rsidRPr="00253D7C">
        <w:rPr>
          <w:lang w:val="en-GB"/>
        </w:rPr>
        <w:t>.</w:t>
      </w:r>
    </w:p>
    <w:p w14:paraId="27377BFB" w14:textId="77777777" w:rsidR="00340DF5" w:rsidRPr="00253D7C" w:rsidRDefault="00340DF5" w:rsidP="00340DF5">
      <w:pPr>
        <w:rPr>
          <w:lang w:val="en-GB"/>
        </w:rPr>
      </w:pPr>
      <w:r w:rsidRPr="00253D7C">
        <w:rPr>
          <w:lang w:val="en-GB"/>
        </w:rPr>
        <w:t>In order to give all stakeholders an open and unbiased opportunity to contribute to the preparations of such an important event, a number of electronic discussions were available on the Global Forum on Food Security and Nutrition (Global FSN)</w:t>
      </w:r>
      <w:r w:rsidR="002D5773" w:rsidRPr="00253D7C">
        <w:rPr>
          <w:lang w:val="en-GB"/>
        </w:rPr>
        <w:t>.</w:t>
      </w:r>
      <w:r w:rsidRPr="00253D7C">
        <w:rPr>
          <w:vertAlign w:val="superscript"/>
          <w:lang w:val="en-GB"/>
        </w:rPr>
        <w:footnoteReference w:id="6"/>
      </w:r>
      <w:r w:rsidR="002D5773" w:rsidRPr="00253D7C">
        <w:rPr>
          <w:lang w:val="en-GB"/>
        </w:rPr>
        <w:t xml:space="preserve"> </w:t>
      </w:r>
      <w:r w:rsidRPr="00253D7C">
        <w:rPr>
          <w:lang w:val="en-GB"/>
        </w:rPr>
        <w:t xml:space="preserve">It </w:t>
      </w:r>
      <w:proofErr w:type="gramStart"/>
      <w:r w:rsidRPr="00253D7C">
        <w:rPr>
          <w:lang w:val="en-GB"/>
        </w:rPr>
        <w:t>should be mentioned</w:t>
      </w:r>
      <w:proofErr w:type="gramEnd"/>
      <w:r w:rsidRPr="00253D7C">
        <w:rPr>
          <w:lang w:val="en-GB"/>
        </w:rPr>
        <w:t xml:space="preserve"> that the First International Conference on Nutrition was held 22 years earlier, in 1992. Therefore, the need for an open discussion on the modern challenges of nutrition, including the double of malnutrition, was fundamental prior to the Second Conference. These discussions allowed for an inclusive process where Governments, Intergovernmental and Non-governmental Organizations, the Civil Society, the Private Sector, Research Institutes and Universities, and anyone concerned by these issues to comment upon a number of relevant themes and share experiences, opinions, ideas in order to feed into the preparation of ICN2.</w:t>
      </w:r>
    </w:p>
    <w:p w14:paraId="169C1EC2" w14:textId="77777777" w:rsidR="00340DF5" w:rsidRPr="00253D7C" w:rsidRDefault="00340DF5" w:rsidP="00340DF5">
      <w:pPr>
        <w:rPr>
          <w:lang w:val="en-GB"/>
        </w:rPr>
      </w:pPr>
      <w:r w:rsidRPr="00253D7C">
        <w:rPr>
          <w:lang w:val="en-GB"/>
        </w:rPr>
        <w:t>In total, there were six main online discussions</w:t>
      </w:r>
      <w:r w:rsidRPr="00253D7C">
        <w:rPr>
          <w:vertAlign w:val="superscript"/>
          <w:lang w:val="en-GB"/>
        </w:rPr>
        <w:footnoteReference w:id="7"/>
      </w:r>
      <w:r w:rsidRPr="00253D7C">
        <w:rPr>
          <w:lang w:val="en-GB"/>
        </w:rPr>
        <w:t xml:space="preserve"> presented on the Global FSN website. Firstly, three of these discussions </w:t>
      </w:r>
      <w:proofErr w:type="gramStart"/>
      <w:r w:rsidRPr="00253D7C">
        <w:rPr>
          <w:lang w:val="en-GB"/>
        </w:rPr>
        <w:t>were launched</w:t>
      </w:r>
      <w:proofErr w:type="gramEnd"/>
      <w:r w:rsidRPr="00253D7C">
        <w:rPr>
          <w:lang w:val="en-GB"/>
        </w:rPr>
        <w:t xml:space="preserve"> between June and September 2013 – prior to the Preparatory Technical Meeting – and addressed technical issues related to malnutrition, and ways to improve the nutritional statues of people. Secondly, the three following discussions, which </w:t>
      </w:r>
      <w:proofErr w:type="gramStart"/>
      <w:r w:rsidRPr="00253D7C">
        <w:rPr>
          <w:lang w:val="en-GB"/>
        </w:rPr>
        <w:t>were held</w:t>
      </w:r>
      <w:proofErr w:type="gramEnd"/>
      <w:r w:rsidRPr="00253D7C">
        <w:rPr>
          <w:lang w:val="en-GB"/>
        </w:rPr>
        <w:t xml:space="preserve"> between March and August 2014, aimed at providing comments on the draft versions of the RDN and the FFA. </w:t>
      </w:r>
    </w:p>
    <w:p w14:paraId="7E54B265" w14:textId="77777777" w:rsidR="00340DF5" w:rsidRPr="00253D7C" w:rsidRDefault="00340DF5" w:rsidP="002D5773">
      <w:pPr>
        <w:jc w:val="center"/>
        <w:rPr>
          <w:lang w:val="en-GB"/>
        </w:rPr>
      </w:pPr>
      <w:r w:rsidRPr="00253D7C">
        <w:rPr>
          <w:lang w:val="en-GB"/>
        </w:rPr>
        <w:t>***</w:t>
      </w:r>
    </w:p>
    <w:p w14:paraId="124CB632" w14:textId="446C23E0" w:rsidR="00340DF5" w:rsidRPr="00253D7C" w:rsidRDefault="00340DF5" w:rsidP="001C718E">
      <w:pPr>
        <w:rPr>
          <w:lang w:val="en-GB"/>
        </w:rPr>
      </w:pPr>
      <w:r w:rsidRPr="00253D7C">
        <w:rPr>
          <w:lang w:val="en-GB"/>
        </w:rPr>
        <w:t xml:space="preserve">This Issue Note is the result of a detailed examination of all 268 comments (more than 680 pages) coming from the six online discussions. Malnutrition is a very complex, multi-dimensional phenomenon, which requires coordinated action on different fronts. This has arisen very clearly from this analysis. Therefore, the aim of this Report is to capture the key messages emerging from the different stakeholders who have participated to these online debates and to synthesize them in a coordinated way, illustrating some of the areas where there is a need for additional investigation and efforts in order to eradicate malnutrition. </w:t>
      </w:r>
    </w:p>
    <w:p w14:paraId="23F6460D" w14:textId="77777777" w:rsidR="00340DF5" w:rsidRPr="001261AF" w:rsidRDefault="00340DF5" w:rsidP="00340DF5">
      <w:pPr>
        <w:pStyle w:val="Heading2"/>
        <w:rPr>
          <w:rFonts w:eastAsiaTheme="minorEastAsia"/>
          <w:sz w:val="24"/>
        </w:rPr>
      </w:pPr>
      <w:bookmarkStart w:id="3" w:name="_Toc453781596"/>
      <w:r w:rsidRPr="001261AF">
        <w:lastRenderedPageBreak/>
        <w:t>Methodology</w:t>
      </w:r>
      <w:bookmarkEnd w:id="3"/>
    </w:p>
    <w:p w14:paraId="39EA28CE" w14:textId="744C04CB" w:rsidR="00340DF5" w:rsidRPr="00253D7C" w:rsidRDefault="00340DF5" w:rsidP="00340DF5">
      <w:pPr>
        <w:rPr>
          <w:i/>
          <w:lang w:val="en-GB"/>
        </w:rPr>
      </w:pPr>
      <w:r w:rsidRPr="00253D7C">
        <w:rPr>
          <w:lang w:val="en-GB"/>
        </w:rPr>
        <w:t xml:space="preserve">A specific methodology – agreed collectively - </w:t>
      </w:r>
      <w:proofErr w:type="gramStart"/>
      <w:r w:rsidRPr="00253D7C">
        <w:rPr>
          <w:lang w:val="en-GB"/>
        </w:rPr>
        <w:t>was adopted</w:t>
      </w:r>
      <w:proofErr w:type="gramEnd"/>
      <w:r w:rsidRPr="00253D7C">
        <w:rPr>
          <w:lang w:val="en-GB"/>
        </w:rPr>
        <w:t xml:space="preserve"> to tackle this work. The group </w:t>
      </w:r>
      <w:proofErr w:type="gramStart"/>
      <w:r w:rsidRPr="00253D7C">
        <w:rPr>
          <w:lang w:val="en-GB"/>
        </w:rPr>
        <w:t>was first divided</w:t>
      </w:r>
      <w:proofErr w:type="gramEnd"/>
      <w:r w:rsidRPr="00253D7C">
        <w:rPr>
          <w:lang w:val="en-GB"/>
        </w:rPr>
        <w:t xml:space="preserve"> between the two core sets of discussions to be </w:t>
      </w:r>
      <w:r w:rsidR="001261AF" w:rsidRPr="001261AF">
        <w:rPr>
          <w:lang w:val="en-GB"/>
        </w:rPr>
        <w:t>analysed</w:t>
      </w:r>
      <w:r w:rsidRPr="00253D7C">
        <w:rPr>
          <w:lang w:val="en-GB"/>
        </w:rPr>
        <w:t xml:space="preserve">: approximately ten students worked on the technical discussions related to malnutrition and other aspects of nutrition. The remaining of the class executed an in-depth analysis of the comments made on the drafts of the RDN and the FFA. Following this main division of the work, each group organized how the comments </w:t>
      </w:r>
      <w:proofErr w:type="gramStart"/>
      <w:r w:rsidRPr="00253D7C">
        <w:rPr>
          <w:lang w:val="en-GB"/>
        </w:rPr>
        <w:t>were divided</w:t>
      </w:r>
      <w:proofErr w:type="gramEnd"/>
      <w:r w:rsidRPr="00253D7C">
        <w:rPr>
          <w:lang w:val="en-GB"/>
        </w:rPr>
        <w:t xml:space="preserve"> among individuals. Using an excel matrix</w:t>
      </w:r>
      <w:r w:rsidRPr="00253D7C">
        <w:rPr>
          <w:vertAlign w:val="superscript"/>
          <w:lang w:val="en-GB"/>
        </w:rPr>
        <w:footnoteReference w:id="8"/>
      </w:r>
      <w:r w:rsidRPr="00253D7C">
        <w:rPr>
          <w:lang w:val="en-GB"/>
        </w:rPr>
        <w:t xml:space="preserve">, each person </w:t>
      </w:r>
      <w:r w:rsidR="001261AF" w:rsidRPr="001261AF">
        <w:rPr>
          <w:lang w:val="en-GB"/>
        </w:rPr>
        <w:t>analysed</w:t>
      </w:r>
      <w:r w:rsidRPr="00253D7C">
        <w:rPr>
          <w:lang w:val="en-GB"/>
        </w:rPr>
        <w:t xml:space="preserve"> the comments they were assigned. As a starting point, comments </w:t>
      </w:r>
      <w:proofErr w:type="gramStart"/>
      <w:r w:rsidRPr="00253D7C">
        <w:rPr>
          <w:lang w:val="en-GB"/>
        </w:rPr>
        <w:t>were screened</w:t>
      </w:r>
      <w:proofErr w:type="gramEnd"/>
      <w:r w:rsidRPr="00253D7C">
        <w:rPr>
          <w:lang w:val="en-GB"/>
        </w:rPr>
        <w:t xml:space="preserve"> according to the following parameters: </w:t>
      </w:r>
    </w:p>
    <w:p w14:paraId="672C36A2" w14:textId="77777777" w:rsidR="00340DF5" w:rsidRPr="00253D7C" w:rsidRDefault="00340DF5" w:rsidP="00321144">
      <w:pPr>
        <w:numPr>
          <w:ilvl w:val="0"/>
          <w:numId w:val="8"/>
        </w:numPr>
        <w:spacing w:after="40"/>
        <w:rPr>
          <w:lang w:val="en-GB"/>
        </w:rPr>
      </w:pPr>
      <w:r w:rsidRPr="00253D7C">
        <w:rPr>
          <w:lang w:val="en-GB"/>
        </w:rPr>
        <w:t>Country</w:t>
      </w:r>
    </w:p>
    <w:p w14:paraId="2638CFDA" w14:textId="77777777" w:rsidR="00340DF5" w:rsidRPr="00253D7C" w:rsidRDefault="00340DF5" w:rsidP="00321144">
      <w:pPr>
        <w:numPr>
          <w:ilvl w:val="0"/>
          <w:numId w:val="8"/>
        </w:numPr>
        <w:spacing w:after="40"/>
        <w:rPr>
          <w:lang w:val="en-GB"/>
        </w:rPr>
      </w:pPr>
      <w:r w:rsidRPr="00253D7C">
        <w:rPr>
          <w:lang w:val="en-GB"/>
        </w:rPr>
        <w:t>Developed or developing</w:t>
      </w:r>
      <w:r w:rsidR="001C718E" w:rsidRPr="00253D7C">
        <w:rPr>
          <w:lang w:val="en-GB"/>
        </w:rPr>
        <w:t xml:space="preserve"> country </w:t>
      </w:r>
    </w:p>
    <w:p w14:paraId="6C8AA05B" w14:textId="77777777" w:rsidR="00340DF5" w:rsidRPr="00253D7C" w:rsidRDefault="00340DF5" w:rsidP="00321144">
      <w:pPr>
        <w:numPr>
          <w:ilvl w:val="0"/>
          <w:numId w:val="8"/>
        </w:numPr>
        <w:spacing w:after="40"/>
        <w:rPr>
          <w:lang w:val="en-GB"/>
        </w:rPr>
      </w:pPr>
      <w:r w:rsidRPr="00253D7C">
        <w:rPr>
          <w:lang w:val="en-GB"/>
        </w:rPr>
        <w:t>Name or organization</w:t>
      </w:r>
    </w:p>
    <w:p w14:paraId="1D36ABD0" w14:textId="77777777" w:rsidR="00340DF5" w:rsidRPr="00253D7C" w:rsidRDefault="00340DF5" w:rsidP="00321144">
      <w:pPr>
        <w:numPr>
          <w:ilvl w:val="0"/>
          <w:numId w:val="8"/>
        </w:numPr>
        <w:spacing w:after="40"/>
        <w:rPr>
          <w:lang w:val="en-GB"/>
        </w:rPr>
      </w:pPr>
      <w:r w:rsidRPr="00253D7C">
        <w:rPr>
          <w:lang w:val="en-GB"/>
        </w:rPr>
        <w:t>Type of institution (GVT, IGO, Research, etc.)</w:t>
      </w:r>
    </w:p>
    <w:p w14:paraId="5569FBA4" w14:textId="2360C367" w:rsidR="00340DF5" w:rsidRPr="00253D7C" w:rsidRDefault="00340DF5" w:rsidP="001C718E">
      <w:pPr>
        <w:spacing w:before="240"/>
        <w:rPr>
          <w:lang w:val="en-GB"/>
        </w:rPr>
      </w:pPr>
      <w:r w:rsidRPr="00253D7C">
        <w:rPr>
          <w:lang w:val="en-GB"/>
        </w:rPr>
        <w:t xml:space="preserve">Key messages and other relevant references provided in the comments </w:t>
      </w:r>
      <w:proofErr w:type="gramStart"/>
      <w:r w:rsidRPr="00253D7C">
        <w:rPr>
          <w:lang w:val="en-GB"/>
        </w:rPr>
        <w:t>were also noted</w:t>
      </w:r>
      <w:proofErr w:type="gramEnd"/>
      <w:r w:rsidRPr="00253D7C">
        <w:rPr>
          <w:lang w:val="en-GB"/>
        </w:rPr>
        <w:t xml:space="preserve"> in the matrix. Finally, each comment </w:t>
      </w:r>
      <w:proofErr w:type="gramStart"/>
      <w:r w:rsidRPr="00253D7C">
        <w:rPr>
          <w:lang w:val="en-GB"/>
        </w:rPr>
        <w:t>was classified</w:t>
      </w:r>
      <w:proofErr w:type="gramEnd"/>
      <w:r w:rsidRPr="00253D7C">
        <w:rPr>
          <w:lang w:val="en-GB"/>
        </w:rPr>
        <w:t xml:space="preserve"> according to its relevance (high/medium/low) </w:t>
      </w:r>
      <w:r w:rsidR="001C718E" w:rsidRPr="00253D7C">
        <w:rPr>
          <w:lang w:val="en-GB"/>
        </w:rPr>
        <w:t xml:space="preserve">to </w:t>
      </w:r>
      <w:r w:rsidRPr="00253D7C">
        <w:rPr>
          <w:lang w:val="en-GB"/>
        </w:rPr>
        <w:t>the topic of nutrition and of the background documents provided. This value judgment on the comments, though it maintained some elements of subjectivity, was kept as unbiased as possible with considerations on the credibility of the original source, the references quoted (e.g. quality papers, hard science or just soft references, news, media, etc.) and the coherence of the general argumentation. Moreover, this classification did not prevent the possibility to review comments marked as low in the final preparation of this Report.</w:t>
      </w:r>
    </w:p>
    <w:p w14:paraId="5DE79B71" w14:textId="5235105F" w:rsidR="00340DF5" w:rsidRPr="00253D7C" w:rsidRDefault="00340DF5" w:rsidP="002D5773">
      <w:pPr>
        <w:rPr>
          <w:lang w:val="en-GB"/>
        </w:rPr>
      </w:pPr>
      <w:r w:rsidRPr="00253D7C">
        <w:rPr>
          <w:lang w:val="en-GB"/>
        </w:rPr>
        <w:t xml:space="preserve">After compiling the full excel matrix with all </w:t>
      </w:r>
      <w:r w:rsidR="001261AF" w:rsidRPr="001261AF">
        <w:rPr>
          <w:lang w:val="en-GB"/>
        </w:rPr>
        <w:t>analysed</w:t>
      </w:r>
      <w:r w:rsidRPr="00253D7C">
        <w:rPr>
          <w:lang w:val="en-GB"/>
        </w:rPr>
        <w:t xml:space="preserve"> comments, four summaries</w:t>
      </w:r>
      <w:r w:rsidR="002D5773" w:rsidRPr="00253D7C">
        <w:rPr>
          <w:lang w:val="en-GB"/>
        </w:rPr>
        <w:t xml:space="preserve"> </w:t>
      </w:r>
      <w:proofErr w:type="gramStart"/>
      <w:r w:rsidRPr="00253D7C">
        <w:rPr>
          <w:lang w:val="en-GB"/>
        </w:rPr>
        <w:t>were produced</w:t>
      </w:r>
      <w:proofErr w:type="gramEnd"/>
      <w:r w:rsidRPr="00253D7C">
        <w:rPr>
          <w:lang w:val="en-GB"/>
        </w:rPr>
        <w:t>: three for the technical discussion (one per topic)</w:t>
      </w:r>
      <w:r w:rsidR="002D5773" w:rsidRPr="00253D7C">
        <w:rPr>
          <w:vertAlign w:val="superscript"/>
          <w:lang w:val="en-GB"/>
        </w:rPr>
        <w:t xml:space="preserve"> </w:t>
      </w:r>
      <w:r w:rsidR="002D5773" w:rsidRPr="00253D7C">
        <w:rPr>
          <w:vertAlign w:val="superscript"/>
          <w:lang w:val="en-GB"/>
        </w:rPr>
        <w:footnoteReference w:id="9"/>
      </w:r>
      <w:r w:rsidR="002D5773" w:rsidRPr="00253D7C">
        <w:rPr>
          <w:lang w:val="en-GB"/>
        </w:rPr>
        <w:t xml:space="preserve"> </w:t>
      </w:r>
      <w:r w:rsidRPr="00253D7C">
        <w:rPr>
          <w:lang w:val="en-GB"/>
        </w:rPr>
        <w:t>and a single joint summary for the three political discussions.</w:t>
      </w:r>
      <w:r w:rsidR="002D5773" w:rsidRPr="00253D7C">
        <w:rPr>
          <w:rStyle w:val="FootnoteReference"/>
          <w:lang w:val="en-GB"/>
        </w:rPr>
        <w:footnoteReference w:id="10"/>
      </w:r>
      <w:r w:rsidRPr="00253D7C">
        <w:rPr>
          <w:lang w:val="en-GB"/>
        </w:rPr>
        <w:t xml:space="preserve"> We proceeded in this way in order to separate technical issues very sharply as the themes did not overlap. However, given the completely different nature of the political discussions, which focused on possible modifications to bring to the two documents to </w:t>
      </w:r>
      <w:proofErr w:type="gramStart"/>
      <w:r w:rsidRPr="00253D7C">
        <w:rPr>
          <w:lang w:val="en-GB"/>
        </w:rPr>
        <w:t>be discussed</w:t>
      </w:r>
      <w:proofErr w:type="gramEnd"/>
      <w:r w:rsidRPr="00253D7C">
        <w:rPr>
          <w:lang w:val="en-GB"/>
        </w:rPr>
        <w:t xml:space="preserve"> at the ICN2, an overall summary was thought to capture better the depth of the discussion. These summaries allowed every student to be informed of the parts s/he was not assigned to read and screen, highlighting proposals, criticisms, </w:t>
      </w:r>
      <w:proofErr w:type="gramStart"/>
      <w:r w:rsidRPr="00253D7C">
        <w:rPr>
          <w:lang w:val="en-GB"/>
        </w:rPr>
        <w:t>potential</w:t>
      </w:r>
      <w:proofErr w:type="gramEnd"/>
      <w:r w:rsidRPr="00253D7C">
        <w:rPr>
          <w:lang w:val="en-GB"/>
        </w:rPr>
        <w:t xml:space="preserve"> gaps, suggestions proposed during the online consultations and giving evidence to successful experiences.</w:t>
      </w:r>
    </w:p>
    <w:p w14:paraId="1943283A" w14:textId="77777777" w:rsidR="00340DF5" w:rsidRPr="00253D7C" w:rsidRDefault="00340DF5" w:rsidP="00340DF5">
      <w:pPr>
        <w:rPr>
          <w:lang w:val="en-GB"/>
        </w:rPr>
      </w:pPr>
      <w:r w:rsidRPr="00253D7C">
        <w:rPr>
          <w:lang w:val="en-GB"/>
        </w:rPr>
        <w:t xml:space="preserve">This final document is a further synthesis based on the four summaries and the excel matrix. </w:t>
      </w:r>
    </w:p>
    <w:p w14:paraId="406AFB4F" w14:textId="77777777" w:rsidR="00340DF5" w:rsidRPr="001261AF" w:rsidRDefault="00340DF5" w:rsidP="00340DF5">
      <w:pPr>
        <w:pStyle w:val="Heading2"/>
      </w:pPr>
      <w:bookmarkStart w:id="4" w:name="_Toc453781597"/>
      <w:r w:rsidRPr="001261AF">
        <w:t>Outline of the Report</w:t>
      </w:r>
      <w:bookmarkEnd w:id="4"/>
    </w:p>
    <w:p w14:paraId="6337CF0D" w14:textId="2B8D6D30" w:rsidR="00340DF5" w:rsidRPr="001261AF" w:rsidRDefault="00340DF5" w:rsidP="00340DF5">
      <w:pPr>
        <w:rPr>
          <w:lang w:val="en-GB"/>
        </w:rPr>
      </w:pPr>
      <w:r w:rsidRPr="003D2139">
        <w:rPr>
          <w:lang w:val="en-GB"/>
        </w:rPr>
        <w:t xml:space="preserve">In the first section of this Report, we produced some basic statistics on the different comments </w:t>
      </w:r>
      <w:r w:rsidR="001261AF" w:rsidRPr="001261AF">
        <w:rPr>
          <w:lang w:val="en-GB"/>
        </w:rPr>
        <w:t>analysed</w:t>
      </w:r>
      <w:r w:rsidRPr="001261AF">
        <w:rPr>
          <w:lang w:val="en-GB"/>
        </w:rPr>
        <w:t xml:space="preserve">. These provide some insight on the interaction between the different stakeholders and their main interests. The second part presents the technical and political summaries to illustrate the breadth of arguments discussed and the issues raised. On one hand, the technical summary includes a number of relevant case studies, where specific programmes or policies have shown to have a significant impact on one or more dimensions of malnutrition. On the other hand, the political summary contains a review of the comments made on the drafts of the RDN and the FFA, highlighting the linkages with the three technical issues of the previous debates. The main scope of this summary was (i) to identify in what way the discussions on the political documents actually had an impact on the </w:t>
      </w:r>
      <w:proofErr w:type="gramStart"/>
      <w:r w:rsidRPr="001261AF">
        <w:rPr>
          <w:lang w:val="en-GB"/>
        </w:rPr>
        <w:t>final outcomes</w:t>
      </w:r>
      <w:proofErr w:type="gramEnd"/>
      <w:r w:rsidRPr="001261AF">
        <w:rPr>
          <w:lang w:val="en-GB"/>
        </w:rPr>
        <w:t xml:space="preserve"> of the ICN2 and (ii) to understand if the technical discussions </w:t>
      </w:r>
      <w:r w:rsidRPr="001261AF">
        <w:rPr>
          <w:lang w:val="en-GB"/>
        </w:rPr>
        <w:lastRenderedPageBreak/>
        <w:t xml:space="preserve">were useful to inform policy-makers. In the third section, based on the above background analysis and the overall six discussions, this Issue Note illustrates ways in which the multidimensionality of malnutrition has emerged, and the many different pathways possible to address it. In the fourth part of this Report, we identified possible shortcomings present in the RDN and the FFA by comparing the comments made by stakeholders in the preparatory discussions and the </w:t>
      </w:r>
      <w:proofErr w:type="gramStart"/>
      <w:r w:rsidRPr="001261AF">
        <w:rPr>
          <w:lang w:val="en-GB"/>
        </w:rPr>
        <w:t>final outcome</w:t>
      </w:r>
      <w:proofErr w:type="gramEnd"/>
      <w:r w:rsidRPr="001261AF">
        <w:rPr>
          <w:lang w:val="en-GB"/>
        </w:rPr>
        <w:t xml:space="preserve"> documents. Finally, we propose some recommendations for future consideration, in light of the UN Decade of Action on Nutrition 2016-2025. </w:t>
      </w:r>
    </w:p>
    <w:p w14:paraId="6F0F1F41" w14:textId="77777777" w:rsidR="00340DF5" w:rsidRPr="00253D7C" w:rsidRDefault="00340DF5" w:rsidP="00340DF5">
      <w:pPr>
        <w:pStyle w:val="Heading1"/>
        <w:rPr>
          <w:lang w:val="en-GB"/>
        </w:rPr>
      </w:pPr>
      <w:bookmarkStart w:id="5" w:name="_Toc453781598"/>
      <w:r w:rsidRPr="00253D7C">
        <w:rPr>
          <w:lang w:val="en-GB"/>
        </w:rPr>
        <w:t>Statistical analysis</w:t>
      </w:r>
      <w:bookmarkEnd w:id="5"/>
    </w:p>
    <w:p w14:paraId="322EF248" w14:textId="23838636" w:rsidR="00340DF5" w:rsidRPr="001261AF" w:rsidRDefault="00340DF5" w:rsidP="001C718E">
      <w:pPr>
        <w:rPr>
          <w:lang w:val="en-GB"/>
        </w:rPr>
      </w:pPr>
      <w:r w:rsidRPr="00253D7C">
        <w:rPr>
          <w:lang w:val="en-GB"/>
        </w:rPr>
        <w:t xml:space="preserve">We screened and </w:t>
      </w:r>
      <w:r w:rsidR="001261AF" w:rsidRPr="001261AF">
        <w:rPr>
          <w:lang w:val="en-GB"/>
        </w:rPr>
        <w:t>analysed</w:t>
      </w:r>
      <w:r w:rsidRPr="00253D7C">
        <w:rPr>
          <w:lang w:val="en-GB"/>
        </w:rPr>
        <w:t xml:space="preserve"> each comment </w:t>
      </w:r>
      <w:proofErr w:type="gramStart"/>
      <w:r w:rsidRPr="00253D7C">
        <w:rPr>
          <w:lang w:val="en-GB"/>
        </w:rPr>
        <w:t>in order to better understand</w:t>
      </w:r>
      <w:proofErr w:type="gramEnd"/>
      <w:r w:rsidRPr="00253D7C">
        <w:rPr>
          <w:lang w:val="en-GB"/>
        </w:rPr>
        <w:t xml:space="preserve"> the overall trends of the discussions conducted. This exercise has proven to be quite useful as it revealed the main interests of the involved stakeholders, their interests and the technical or political focus of their comments. </w:t>
      </w:r>
    </w:p>
    <w:p w14:paraId="4E117CC3" w14:textId="77777777" w:rsidR="00340DF5" w:rsidRPr="003D2139" w:rsidRDefault="00340DF5" w:rsidP="002D5773">
      <w:pPr>
        <w:keepNext/>
        <w:jc w:val="center"/>
        <w:rPr>
          <w:lang w:val="en-GB"/>
        </w:rPr>
      </w:pPr>
      <w:r w:rsidRPr="003D2139">
        <w:rPr>
          <w:noProof/>
          <w:lang w:val="en-GB" w:eastAsia="zh-CN"/>
        </w:rPr>
        <w:drawing>
          <wp:inline distT="0" distB="0" distL="0" distR="0" wp14:anchorId="21239EE2" wp14:editId="6E92FA33">
            <wp:extent cx="5058410" cy="2762885"/>
            <wp:effectExtent l="0" t="0" r="8890" b="1841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FEC1F0F" w14:textId="77777777" w:rsidR="00340DF5" w:rsidRPr="00253D7C" w:rsidRDefault="00340DF5" w:rsidP="00340DF5">
      <w:pPr>
        <w:spacing w:after="200"/>
        <w:rPr>
          <w:i/>
          <w:iCs/>
          <w:color w:val="44546A" w:themeColor="text2"/>
          <w:sz w:val="18"/>
          <w:szCs w:val="18"/>
          <w:lang w:val="en-GB"/>
        </w:rPr>
      </w:pPr>
      <w:r w:rsidRPr="001261AF">
        <w:rPr>
          <w:i/>
          <w:iCs/>
          <w:color w:val="44546A" w:themeColor="text2"/>
          <w:sz w:val="18"/>
          <w:szCs w:val="18"/>
          <w:lang w:val="en-GB"/>
        </w:rPr>
        <w:t xml:space="preserve">Figure </w:t>
      </w:r>
      <w:r w:rsidR="004926F5" w:rsidRPr="00253D7C">
        <w:rPr>
          <w:i/>
          <w:iCs/>
          <w:color w:val="44546A" w:themeColor="text2"/>
          <w:sz w:val="18"/>
          <w:szCs w:val="18"/>
          <w:lang w:val="en-GB"/>
        </w:rPr>
        <w:fldChar w:fldCharType="begin"/>
      </w:r>
      <w:r w:rsidRPr="001261AF">
        <w:rPr>
          <w:i/>
          <w:iCs/>
          <w:color w:val="44546A" w:themeColor="text2"/>
          <w:sz w:val="18"/>
          <w:szCs w:val="18"/>
          <w:lang w:val="en-GB"/>
        </w:rPr>
        <w:instrText xml:space="preserve"> SEQ Figure \* ARABIC </w:instrText>
      </w:r>
      <w:r w:rsidR="004926F5" w:rsidRPr="00253D7C">
        <w:rPr>
          <w:i/>
          <w:iCs/>
          <w:color w:val="44546A" w:themeColor="text2"/>
          <w:sz w:val="18"/>
          <w:szCs w:val="18"/>
          <w:lang w:val="en-GB"/>
        </w:rPr>
        <w:fldChar w:fldCharType="separate"/>
      </w:r>
      <w:r w:rsidR="002834C4" w:rsidRPr="001261AF">
        <w:rPr>
          <w:i/>
          <w:iCs/>
          <w:noProof/>
          <w:color w:val="44546A" w:themeColor="text2"/>
          <w:sz w:val="18"/>
          <w:szCs w:val="18"/>
          <w:lang w:val="en-GB"/>
        </w:rPr>
        <w:t>1</w:t>
      </w:r>
      <w:r w:rsidR="004926F5" w:rsidRPr="00253D7C">
        <w:rPr>
          <w:i/>
          <w:iCs/>
          <w:noProof/>
          <w:color w:val="44546A" w:themeColor="text2"/>
          <w:sz w:val="18"/>
          <w:szCs w:val="18"/>
          <w:lang w:val="en-GB"/>
        </w:rPr>
        <w:fldChar w:fldCharType="end"/>
      </w:r>
      <w:r w:rsidRPr="003D2139">
        <w:rPr>
          <w:i/>
          <w:iCs/>
          <w:color w:val="44546A" w:themeColor="text2"/>
          <w:sz w:val="18"/>
          <w:szCs w:val="18"/>
          <w:lang w:val="en-GB"/>
        </w:rPr>
        <w:t>: Distribution of type of discussion by institution</w:t>
      </w:r>
    </w:p>
    <w:p w14:paraId="70702A3C" w14:textId="77777777" w:rsidR="00340DF5" w:rsidRPr="00253D7C" w:rsidRDefault="00340DF5" w:rsidP="00340DF5">
      <w:pPr>
        <w:rPr>
          <w:lang w:val="en-GB"/>
        </w:rPr>
      </w:pPr>
      <w:r w:rsidRPr="00253D7C">
        <w:rPr>
          <w:lang w:val="en-GB"/>
        </w:rPr>
        <w:t xml:space="preserve">In terms of frequencies of comments, each stakeholder participated more or less uniformly to the political and the technical aspects of the debates, which means that, overall the actors </w:t>
      </w:r>
      <w:proofErr w:type="gramStart"/>
      <w:r w:rsidRPr="00253D7C">
        <w:rPr>
          <w:lang w:val="en-GB"/>
        </w:rPr>
        <w:t>involved</w:t>
      </w:r>
      <w:proofErr w:type="gramEnd"/>
      <w:r w:rsidRPr="00253D7C">
        <w:rPr>
          <w:lang w:val="en-GB"/>
        </w:rPr>
        <w:t xml:space="preserve"> expressed an equal interest and involvement in both typology of discussions. However, it </w:t>
      </w:r>
      <w:proofErr w:type="gramStart"/>
      <w:r w:rsidRPr="00253D7C">
        <w:rPr>
          <w:lang w:val="en-GB"/>
        </w:rPr>
        <w:t>should be mentioned</w:t>
      </w:r>
      <w:proofErr w:type="gramEnd"/>
      <w:r w:rsidRPr="00253D7C">
        <w:rPr>
          <w:lang w:val="en-GB"/>
        </w:rPr>
        <w:t xml:space="preserve"> that the actual contribution of the Private Sector to the discussions is, by far, lower compared to the rest of the stakeholders. This is likely due to the instrument used to facilitate these consultations, the FSN Forum, which is a platform that Private Sector is only recently starting to use more frequently. </w:t>
      </w:r>
    </w:p>
    <w:p w14:paraId="1A112AF2" w14:textId="5340A072" w:rsidR="00340DF5" w:rsidRPr="00253D7C" w:rsidRDefault="00340DF5" w:rsidP="001C718E">
      <w:pPr>
        <w:rPr>
          <w:lang w:val="en-GB"/>
        </w:rPr>
      </w:pPr>
      <w:r w:rsidRPr="00253D7C">
        <w:rPr>
          <w:lang w:val="en-GB"/>
        </w:rPr>
        <w:t xml:space="preserve">Notably, and quite reasonably, </w:t>
      </w:r>
      <w:r w:rsidR="001C718E" w:rsidRPr="00253D7C">
        <w:rPr>
          <w:lang w:val="en-GB"/>
        </w:rPr>
        <w:t xml:space="preserve">those </w:t>
      </w:r>
      <w:r w:rsidRPr="00253D7C">
        <w:rPr>
          <w:lang w:val="en-GB"/>
        </w:rPr>
        <w:t>fall</w:t>
      </w:r>
      <w:r w:rsidR="001C718E" w:rsidRPr="00253D7C">
        <w:rPr>
          <w:lang w:val="en-GB"/>
        </w:rPr>
        <w:t>ing</w:t>
      </w:r>
      <w:r w:rsidRPr="00253D7C">
        <w:rPr>
          <w:lang w:val="en-GB"/>
        </w:rPr>
        <w:t xml:space="preserve"> under the “other” category have been much more involved in the technical aspects, rather than the political drafts of the documents. This already highlights one interesting point: institutions need to find better ways to involve everyone in the process of policy-making. In fact, it is not enough to give the possibility to participate, but people also need to </w:t>
      </w:r>
      <w:proofErr w:type="gramStart"/>
      <w:r w:rsidRPr="00253D7C">
        <w:rPr>
          <w:lang w:val="en-GB"/>
        </w:rPr>
        <w:t>be enabled</w:t>
      </w:r>
      <w:proofErr w:type="gramEnd"/>
      <w:r w:rsidRPr="00253D7C">
        <w:rPr>
          <w:lang w:val="en-GB"/>
        </w:rPr>
        <w:t xml:space="preserve"> to do so by overcoming their natural deference to official political documents. This observation </w:t>
      </w:r>
      <w:proofErr w:type="gramStart"/>
      <w:r w:rsidRPr="00253D7C">
        <w:rPr>
          <w:lang w:val="en-GB"/>
        </w:rPr>
        <w:t>can also be linked</w:t>
      </w:r>
      <w:proofErr w:type="gramEnd"/>
      <w:r w:rsidRPr="00253D7C">
        <w:rPr>
          <w:lang w:val="en-GB"/>
        </w:rPr>
        <w:t xml:space="preserve"> to the following graph that shows the distribution of comments received by thematic area, distinguishing between developed and developing countries.</w:t>
      </w:r>
      <w:r w:rsidRPr="00253D7C">
        <w:rPr>
          <w:vertAlign w:val="superscript"/>
          <w:lang w:val="en-GB"/>
        </w:rPr>
        <w:footnoteReference w:id="11"/>
      </w:r>
    </w:p>
    <w:p w14:paraId="1FA9562A" w14:textId="77777777" w:rsidR="00340DF5" w:rsidRPr="00253D7C" w:rsidRDefault="00340DF5" w:rsidP="00340DF5">
      <w:pPr>
        <w:rPr>
          <w:lang w:val="en-GB"/>
        </w:rPr>
      </w:pPr>
      <w:r w:rsidRPr="001261AF">
        <w:rPr>
          <w:noProof/>
          <w:lang w:val="en-GB" w:eastAsia="zh-CN"/>
        </w:rPr>
        <w:lastRenderedPageBreak/>
        <w:drawing>
          <wp:inline distT="0" distB="0" distL="0" distR="0" wp14:anchorId="179555EA" wp14:editId="570DAE53">
            <wp:extent cx="5292090" cy="2762885"/>
            <wp:effectExtent l="0" t="0" r="3810" b="1841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E5B5157" w14:textId="77777777" w:rsidR="00340DF5" w:rsidRPr="003D2139" w:rsidRDefault="00340DF5" w:rsidP="00340DF5">
      <w:pPr>
        <w:spacing w:after="200"/>
        <w:rPr>
          <w:i/>
          <w:iCs/>
          <w:color w:val="44546A" w:themeColor="text2"/>
          <w:sz w:val="18"/>
          <w:szCs w:val="18"/>
          <w:lang w:val="en-GB"/>
        </w:rPr>
      </w:pPr>
      <w:r w:rsidRPr="001261AF">
        <w:rPr>
          <w:i/>
          <w:iCs/>
          <w:color w:val="44546A" w:themeColor="text2"/>
          <w:sz w:val="18"/>
          <w:szCs w:val="18"/>
          <w:lang w:val="en-GB"/>
        </w:rPr>
        <w:t xml:space="preserve">Figure </w:t>
      </w:r>
      <w:r w:rsidR="004926F5" w:rsidRPr="003D2139">
        <w:rPr>
          <w:i/>
          <w:iCs/>
          <w:color w:val="44546A" w:themeColor="text2"/>
          <w:sz w:val="18"/>
          <w:szCs w:val="18"/>
          <w:lang w:val="en-GB"/>
        </w:rPr>
        <w:fldChar w:fldCharType="begin"/>
      </w:r>
      <w:r w:rsidRPr="001261AF">
        <w:rPr>
          <w:i/>
          <w:iCs/>
          <w:color w:val="44546A" w:themeColor="text2"/>
          <w:sz w:val="18"/>
          <w:szCs w:val="18"/>
          <w:lang w:val="en-GB"/>
        </w:rPr>
        <w:instrText xml:space="preserve"> SEQ Figure \* ARABIC </w:instrText>
      </w:r>
      <w:r w:rsidR="004926F5" w:rsidRPr="003D2139">
        <w:rPr>
          <w:i/>
          <w:iCs/>
          <w:color w:val="44546A" w:themeColor="text2"/>
          <w:sz w:val="18"/>
          <w:szCs w:val="18"/>
          <w:lang w:val="en-GB"/>
        </w:rPr>
        <w:fldChar w:fldCharType="separate"/>
      </w:r>
      <w:r w:rsidR="002834C4" w:rsidRPr="003D2139">
        <w:rPr>
          <w:i/>
          <w:iCs/>
          <w:noProof/>
          <w:color w:val="44546A" w:themeColor="text2"/>
          <w:sz w:val="18"/>
          <w:szCs w:val="18"/>
          <w:lang w:val="en-GB"/>
        </w:rPr>
        <w:t>2</w:t>
      </w:r>
      <w:r w:rsidR="004926F5" w:rsidRPr="003D2139">
        <w:rPr>
          <w:i/>
          <w:iCs/>
          <w:noProof/>
          <w:color w:val="44546A" w:themeColor="text2"/>
          <w:sz w:val="18"/>
          <w:szCs w:val="18"/>
          <w:lang w:val="en-GB"/>
        </w:rPr>
        <w:fldChar w:fldCharType="end"/>
      </w:r>
      <w:r w:rsidRPr="003D2139">
        <w:rPr>
          <w:i/>
          <w:iCs/>
          <w:color w:val="44546A" w:themeColor="text2"/>
          <w:sz w:val="18"/>
          <w:szCs w:val="18"/>
          <w:lang w:val="en-GB"/>
        </w:rPr>
        <w:t>: Type of Thematic area by countries' economic level of development</w:t>
      </w:r>
    </w:p>
    <w:p w14:paraId="504C4667" w14:textId="42B9F86F" w:rsidR="00340DF5" w:rsidRPr="00253D7C" w:rsidRDefault="00340DF5" w:rsidP="00340DF5">
      <w:pPr>
        <w:rPr>
          <w:lang w:val="en-GB"/>
        </w:rPr>
      </w:pPr>
      <w:r w:rsidRPr="00253D7C">
        <w:rPr>
          <w:lang w:val="en-GB"/>
        </w:rPr>
        <w:t xml:space="preserve">More than half of the commentaries made by actors belonging to developed countries referred to the political discussions, whereas stakeholders located in the developing world, showed an equal interest in all the themes of the discussion. What is probably even more interesting is the fact that stakeholders in developed countries had the least interest in connecting social protection schemes to malnutrition issues. One should not jump to conclusions, but it certainly brings to mind the trend of developed countries to abandon social protection policies and safety nets, while their problem of malnutrition also shifts from under to over nutrition. </w:t>
      </w:r>
      <w:r w:rsidR="001261AF" w:rsidRPr="001261AF">
        <w:rPr>
          <w:lang w:val="en-GB"/>
        </w:rPr>
        <w:t>We are</w:t>
      </w:r>
      <w:r w:rsidRPr="00253D7C">
        <w:rPr>
          <w:lang w:val="en-GB"/>
        </w:rPr>
        <w:t xml:space="preserve"> not suggesting a direct link or correlation (though it could be object of further studies), but the two phenomena are both present in developed countries. It also strikes the eye that stakeholders in developing countries are more prone to tackle malnutrition via policies, giving less importance to the technical aspects. In our view, this is definitely a </w:t>
      </w:r>
      <w:proofErr w:type="gramStart"/>
      <w:r w:rsidR="001261AF" w:rsidRPr="001261AF">
        <w:rPr>
          <w:lang w:val="en-GB"/>
        </w:rPr>
        <w:t>short-sighted</w:t>
      </w:r>
      <w:proofErr w:type="gramEnd"/>
      <w:r w:rsidRPr="00253D7C">
        <w:rPr>
          <w:lang w:val="en-GB"/>
        </w:rPr>
        <w:t xml:space="preserve"> approach. Policies are definitely important but they </w:t>
      </w:r>
      <w:proofErr w:type="gramStart"/>
      <w:r w:rsidRPr="00253D7C">
        <w:rPr>
          <w:lang w:val="en-GB"/>
        </w:rPr>
        <w:t>should be grounded</w:t>
      </w:r>
      <w:proofErr w:type="gramEnd"/>
      <w:r w:rsidRPr="00253D7C">
        <w:rPr>
          <w:lang w:val="en-GB"/>
        </w:rPr>
        <w:t xml:space="preserve"> on specific technical actions in order to be effective.</w:t>
      </w:r>
    </w:p>
    <w:p w14:paraId="1935C86B" w14:textId="77777777" w:rsidR="00340DF5" w:rsidRPr="00253D7C" w:rsidRDefault="00340DF5" w:rsidP="00340DF5">
      <w:pPr>
        <w:snapToGrid/>
        <w:spacing w:after="160" w:line="256" w:lineRule="auto"/>
        <w:rPr>
          <w:rFonts w:eastAsiaTheme="majorEastAsia"/>
          <w:b/>
          <w:bCs/>
          <w:color w:val="00589A"/>
          <w:sz w:val="28"/>
          <w:szCs w:val="26"/>
          <w:lang w:val="en-GB"/>
        </w:rPr>
      </w:pPr>
      <w:r w:rsidRPr="00253D7C">
        <w:rPr>
          <w:lang w:val="en-GB"/>
        </w:rPr>
        <w:br w:type="page"/>
      </w:r>
    </w:p>
    <w:p w14:paraId="3F567308" w14:textId="77777777" w:rsidR="00340DF5" w:rsidRPr="00253D7C" w:rsidRDefault="00340DF5" w:rsidP="00340DF5">
      <w:pPr>
        <w:pStyle w:val="Heading1"/>
        <w:rPr>
          <w:lang w:val="en-GB"/>
        </w:rPr>
      </w:pPr>
      <w:bookmarkStart w:id="6" w:name="_Toc453781599"/>
      <w:r w:rsidRPr="00253D7C">
        <w:rPr>
          <w:lang w:val="en-GB"/>
        </w:rPr>
        <w:lastRenderedPageBreak/>
        <w:t>Technical Summary</w:t>
      </w:r>
      <w:bookmarkEnd w:id="6"/>
    </w:p>
    <w:p w14:paraId="7287E2A7" w14:textId="77777777" w:rsidR="00340DF5" w:rsidRPr="00253D7C" w:rsidRDefault="00340DF5" w:rsidP="00340DF5">
      <w:pPr>
        <w:spacing w:after="160"/>
        <w:rPr>
          <w:lang w:val="en-GB"/>
        </w:rPr>
      </w:pPr>
      <w:r w:rsidRPr="00253D7C">
        <w:rPr>
          <w:lang w:val="en-GB"/>
        </w:rPr>
        <w:t xml:space="preserve">FAO’s nutrition department proposed three technical discussions to investigate the multidimensionality of malnutrition, its causes, possible solutions and best practices. The aim was to stimulate participants in proposing innovative and efficient policies to tackle malnutrition and influence policy-making in order to develop background elements for ICN2. </w:t>
      </w:r>
    </w:p>
    <w:p w14:paraId="620F1E52" w14:textId="77777777" w:rsidR="00340DF5" w:rsidRPr="00253D7C" w:rsidRDefault="00340DF5" w:rsidP="00340DF5">
      <w:pPr>
        <w:spacing w:after="160"/>
        <w:rPr>
          <w:lang w:val="en-GB"/>
        </w:rPr>
      </w:pPr>
      <w:r w:rsidRPr="00253D7C">
        <w:rPr>
          <w:lang w:val="en-GB"/>
        </w:rPr>
        <w:t xml:space="preserve">Stakeholders </w:t>
      </w:r>
      <w:proofErr w:type="gramStart"/>
      <w:r w:rsidRPr="00253D7C">
        <w:rPr>
          <w:lang w:val="en-GB"/>
        </w:rPr>
        <w:t>were called upon</w:t>
      </w:r>
      <w:proofErr w:type="gramEnd"/>
      <w:r w:rsidRPr="00253D7C">
        <w:rPr>
          <w:lang w:val="en-GB"/>
        </w:rPr>
        <w:t xml:space="preserve"> to comment on the three following discussions:</w:t>
      </w:r>
    </w:p>
    <w:p w14:paraId="790B2127" w14:textId="77777777" w:rsidR="00340DF5" w:rsidRPr="00253D7C" w:rsidRDefault="00340DF5" w:rsidP="00321144">
      <w:pPr>
        <w:pStyle w:val="ListParagraph"/>
        <w:numPr>
          <w:ilvl w:val="0"/>
          <w:numId w:val="9"/>
        </w:numPr>
        <w:rPr>
          <w:lang w:val="en-GB"/>
        </w:rPr>
      </w:pPr>
      <w:r w:rsidRPr="00253D7C">
        <w:rPr>
          <w:lang w:val="en-GB"/>
        </w:rPr>
        <w:t>Social protection to protect and pr</w:t>
      </w:r>
      <w:r w:rsidR="002174FA" w:rsidRPr="00253D7C">
        <w:rPr>
          <w:lang w:val="en-GB"/>
        </w:rPr>
        <w:t>omote nutrition (3-28 June 2013</w:t>
      </w:r>
      <w:r w:rsidRPr="00253D7C">
        <w:rPr>
          <w:lang w:val="en-GB"/>
        </w:rPr>
        <w:t>)</w:t>
      </w:r>
    </w:p>
    <w:p w14:paraId="3B03CE8D" w14:textId="77777777" w:rsidR="00340DF5" w:rsidRPr="00253D7C" w:rsidRDefault="00340DF5" w:rsidP="00321144">
      <w:pPr>
        <w:pStyle w:val="ListParagraph"/>
        <w:numPr>
          <w:ilvl w:val="0"/>
          <w:numId w:val="9"/>
        </w:numPr>
        <w:rPr>
          <w:lang w:val="en-GB"/>
        </w:rPr>
      </w:pPr>
      <w:r w:rsidRPr="00253D7C">
        <w:rPr>
          <w:lang w:val="en-GB"/>
        </w:rPr>
        <w:t>Nutrition-enhancing agriculture and food systems (1-29 July 2013)</w:t>
      </w:r>
    </w:p>
    <w:p w14:paraId="1C17DAF4" w14:textId="77777777" w:rsidR="00340DF5" w:rsidRPr="00253D7C" w:rsidRDefault="00962517" w:rsidP="00321144">
      <w:pPr>
        <w:pStyle w:val="ListParagraph"/>
        <w:numPr>
          <w:ilvl w:val="0"/>
          <w:numId w:val="9"/>
        </w:numPr>
        <w:rPr>
          <w:lang w:val="en-GB"/>
        </w:rPr>
      </w:pPr>
      <w:r w:rsidRPr="00253D7C">
        <w:rPr>
          <w:lang w:val="en-GB"/>
        </w:rPr>
        <w:t>The contribution of the Private Sector and Civil S</w:t>
      </w:r>
      <w:r w:rsidR="00340DF5" w:rsidRPr="00253D7C">
        <w:rPr>
          <w:lang w:val="en-GB"/>
        </w:rPr>
        <w:t>ociety to improve nutrition (5-26 September 2013)</w:t>
      </w:r>
    </w:p>
    <w:p w14:paraId="5A379369" w14:textId="77777777" w:rsidR="00340DF5" w:rsidRPr="00253D7C" w:rsidRDefault="00340DF5" w:rsidP="00340DF5">
      <w:pPr>
        <w:rPr>
          <w:lang w:val="en-GB"/>
        </w:rPr>
      </w:pPr>
    </w:p>
    <w:p w14:paraId="211F1C02" w14:textId="77777777" w:rsidR="00340DF5" w:rsidRPr="00253D7C" w:rsidRDefault="00340DF5" w:rsidP="00340DF5">
      <w:pPr>
        <w:rPr>
          <w:lang w:val="en-GB"/>
        </w:rPr>
      </w:pPr>
      <w:r w:rsidRPr="00253D7C">
        <w:rPr>
          <w:lang w:val="en-GB"/>
        </w:rPr>
        <w:t xml:space="preserve">It should be mentioned that these discussions </w:t>
      </w:r>
      <w:proofErr w:type="gramStart"/>
      <w:r w:rsidRPr="00253D7C">
        <w:rPr>
          <w:lang w:val="en-GB"/>
        </w:rPr>
        <w:t>can</w:t>
      </w:r>
      <w:proofErr w:type="gramEnd"/>
      <w:r w:rsidRPr="00253D7C">
        <w:rPr>
          <w:lang w:val="en-GB"/>
        </w:rPr>
        <w:t xml:space="preserve"> either be viewed as independent discussions on specific and narrow topics in relation to malnutrition, with debates on particular aspects of the single domains, but also as being part of a wider overarching discourse on policies aimed at informing the ICN2 works. Indeed, the three opening letters from the facilitators of the discussions all contained requests related to policies, with a clear reference to the upcoming work of ICN2. In particular, we can read:</w:t>
      </w:r>
    </w:p>
    <w:p w14:paraId="41822BAE" w14:textId="77777777" w:rsidR="00340DF5" w:rsidRPr="00253D7C" w:rsidRDefault="00340DF5" w:rsidP="00321144">
      <w:pPr>
        <w:pStyle w:val="listparaintro"/>
        <w:numPr>
          <w:ilvl w:val="0"/>
          <w:numId w:val="7"/>
        </w:numPr>
        <w:rPr>
          <w:sz w:val="20"/>
          <w:szCs w:val="20"/>
          <w:lang w:val="en-GB"/>
        </w:rPr>
      </w:pPr>
      <w:r w:rsidRPr="00253D7C">
        <w:rPr>
          <w:sz w:val="20"/>
          <w:szCs w:val="20"/>
          <w:lang w:val="en-GB"/>
        </w:rPr>
        <w:t xml:space="preserve">What are the main </w:t>
      </w:r>
      <w:r w:rsidRPr="00253D7C">
        <w:rPr>
          <w:b/>
          <w:bCs/>
          <w:sz w:val="20"/>
          <w:szCs w:val="20"/>
          <w:lang w:val="en-GB"/>
        </w:rPr>
        <w:t>issues for policy-makers</w:t>
      </w:r>
      <w:r w:rsidRPr="00253D7C">
        <w:rPr>
          <w:sz w:val="20"/>
          <w:szCs w:val="20"/>
          <w:lang w:val="en-GB"/>
        </w:rPr>
        <w:t xml:space="preserve"> to consider in the design, </w:t>
      </w:r>
      <w:r w:rsidRPr="00253D7C">
        <w:rPr>
          <w:b/>
          <w:bCs/>
          <w:sz w:val="20"/>
          <w:szCs w:val="20"/>
          <w:lang w:val="en-GB"/>
        </w:rPr>
        <w:t>formulation and implementation of nutrition-enhancing social protection measures</w:t>
      </w:r>
      <w:r w:rsidRPr="00253D7C">
        <w:rPr>
          <w:sz w:val="20"/>
          <w:szCs w:val="20"/>
          <w:lang w:val="en-GB"/>
        </w:rPr>
        <w:t>?</w:t>
      </w:r>
    </w:p>
    <w:p w14:paraId="39D27978" w14:textId="77777777" w:rsidR="00340DF5" w:rsidRPr="00253D7C" w:rsidRDefault="00340DF5" w:rsidP="00321144">
      <w:pPr>
        <w:pStyle w:val="listparaintro"/>
        <w:numPr>
          <w:ilvl w:val="0"/>
          <w:numId w:val="7"/>
        </w:numPr>
        <w:rPr>
          <w:sz w:val="20"/>
          <w:szCs w:val="20"/>
          <w:lang w:val="en-GB"/>
        </w:rPr>
      </w:pPr>
      <w:r w:rsidRPr="00253D7C">
        <w:rPr>
          <w:sz w:val="20"/>
          <w:szCs w:val="20"/>
          <w:lang w:val="en-GB"/>
        </w:rPr>
        <w:t xml:space="preserve">What are the </w:t>
      </w:r>
      <w:r w:rsidRPr="00253D7C">
        <w:rPr>
          <w:b/>
          <w:bCs/>
          <w:sz w:val="20"/>
          <w:szCs w:val="20"/>
          <w:lang w:val="en-GB"/>
        </w:rPr>
        <w:t>key institutional and governance challenges</w:t>
      </w:r>
      <w:r w:rsidRPr="00253D7C">
        <w:rPr>
          <w:sz w:val="20"/>
          <w:szCs w:val="20"/>
          <w:lang w:val="en-GB"/>
        </w:rPr>
        <w:t xml:space="preserve"> to the delivery of cross-sectoral and comprehensive </w:t>
      </w:r>
      <w:r w:rsidRPr="00253D7C">
        <w:rPr>
          <w:b/>
          <w:bCs/>
          <w:sz w:val="20"/>
          <w:szCs w:val="20"/>
          <w:lang w:val="en-GB"/>
        </w:rPr>
        <w:t>social protection policies that protect and promote nutrition of the most vulnerable</w:t>
      </w:r>
      <w:r w:rsidRPr="00253D7C">
        <w:rPr>
          <w:sz w:val="20"/>
          <w:szCs w:val="20"/>
          <w:lang w:val="en-GB"/>
        </w:rPr>
        <w:t>?</w:t>
      </w:r>
    </w:p>
    <w:p w14:paraId="5A8AC077" w14:textId="77777777" w:rsidR="00340DF5" w:rsidRPr="00253D7C" w:rsidRDefault="00340DF5" w:rsidP="00321144">
      <w:pPr>
        <w:pStyle w:val="listparaintro"/>
        <w:numPr>
          <w:ilvl w:val="0"/>
          <w:numId w:val="7"/>
        </w:numPr>
        <w:rPr>
          <w:sz w:val="20"/>
          <w:szCs w:val="20"/>
          <w:lang w:val="en-GB"/>
        </w:rPr>
      </w:pPr>
      <w:r w:rsidRPr="00253D7C">
        <w:rPr>
          <w:sz w:val="20"/>
          <w:szCs w:val="20"/>
          <w:lang w:val="en-GB"/>
        </w:rPr>
        <w:t xml:space="preserve">In your experience, what are </w:t>
      </w:r>
      <w:r w:rsidRPr="00253D7C">
        <w:rPr>
          <w:b/>
          <w:bCs/>
          <w:sz w:val="20"/>
          <w:szCs w:val="20"/>
          <w:lang w:val="en-GB"/>
        </w:rPr>
        <w:t xml:space="preserve">key </w:t>
      </w:r>
      <w:proofErr w:type="gramStart"/>
      <w:r w:rsidRPr="00253D7C">
        <w:rPr>
          <w:b/>
          <w:bCs/>
          <w:sz w:val="20"/>
          <w:szCs w:val="20"/>
          <w:lang w:val="en-GB"/>
        </w:rPr>
        <w:t>best-practices</w:t>
      </w:r>
      <w:proofErr w:type="gramEnd"/>
      <w:r w:rsidRPr="00253D7C">
        <w:rPr>
          <w:b/>
          <w:bCs/>
          <w:sz w:val="20"/>
          <w:szCs w:val="20"/>
          <w:lang w:val="en-GB"/>
        </w:rPr>
        <w:t xml:space="preserve"> and lessons-learned</w:t>
      </w:r>
      <w:r w:rsidRPr="00253D7C">
        <w:rPr>
          <w:sz w:val="20"/>
          <w:szCs w:val="20"/>
          <w:lang w:val="en-GB"/>
        </w:rPr>
        <w:t xml:space="preserve"> in fostering cross-sectoral linkages </w:t>
      </w:r>
      <w:r w:rsidRPr="00253D7C">
        <w:rPr>
          <w:b/>
          <w:bCs/>
          <w:sz w:val="20"/>
          <w:szCs w:val="20"/>
          <w:lang w:val="en-GB"/>
        </w:rPr>
        <w:t>to enhance malnutrition and poverty reduction through social protection</w:t>
      </w:r>
      <w:r w:rsidRPr="00253D7C">
        <w:rPr>
          <w:sz w:val="20"/>
          <w:szCs w:val="20"/>
          <w:lang w:val="en-GB"/>
        </w:rPr>
        <w:t>?</w:t>
      </w:r>
    </w:p>
    <w:p w14:paraId="18068733" w14:textId="77777777" w:rsidR="00340DF5" w:rsidRPr="00253D7C" w:rsidRDefault="00340DF5" w:rsidP="00340DF5">
      <w:pPr>
        <w:jc w:val="right"/>
        <w:rPr>
          <w:sz w:val="22"/>
          <w:szCs w:val="20"/>
          <w:lang w:val="en-GB"/>
        </w:rPr>
      </w:pPr>
      <w:r w:rsidRPr="00253D7C">
        <w:rPr>
          <w:sz w:val="22"/>
          <w:szCs w:val="20"/>
          <w:lang w:val="en-GB"/>
        </w:rPr>
        <w:t>(</w:t>
      </w:r>
      <w:proofErr w:type="gramStart"/>
      <w:r w:rsidRPr="00253D7C">
        <w:rPr>
          <w:sz w:val="22"/>
          <w:szCs w:val="20"/>
          <w:lang w:val="en-GB"/>
        </w:rPr>
        <w:t>from</w:t>
      </w:r>
      <w:proofErr w:type="gramEnd"/>
      <w:r w:rsidRPr="00253D7C">
        <w:rPr>
          <w:sz w:val="22"/>
          <w:szCs w:val="20"/>
          <w:lang w:val="en-GB"/>
        </w:rPr>
        <w:t xml:space="preserve"> the Social Protection online discussion)</w:t>
      </w:r>
    </w:p>
    <w:p w14:paraId="4D7D6D91" w14:textId="77777777" w:rsidR="00340DF5" w:rsidRPr="00253D7C" w:rsidRDefault="00340DF5" w:rsidP="00321144">
      <w:pPr>
        <w:pStyle w:val="listparaintro"/>
        <w:numPr>
          <w:ilvl w:val="0"/>
          <w:numId w:val="10"/>
        </w:numPr>
        <w:rPr>
          <w:sz w:val="20"/>
          <w:szCs w:val="20"/>
          <w:lang w:val="en-GB"/>
        </w:rPr>
      </w:pPr>
      <w:r w:rsidRPr="00253D7C">
        <w:rPr>
          <w:b/>
          <w:sz w:val="20"/>
          <w:szCs w:val="20"/>
          <w:lang w:val="en-GB"/>
        </w:rPr>
        <w:t>Policy issues</w:t>
      </w:r>
      <w:r w:rsidRPr="00253D7C">
        <w:rPr>
          <w:sz w:val="20"/>
          <w:szCs w:val="20"/>
          <w:lang w:val="en-GB"/>
        </w:rPr>
        <w:t xml:space="preserve">: What </w:t>
      </w:r>
      <w:r w:rsidRPr="00253D7C">
        <w:rPr>
          <w:b/>
          <w:sz w:val="20"/>
          <w:szCs w:val="20"/>
          <w:lang w:val="en-GB"/>
        </w:rPr>
        <w:t>policies</w:t>
      </w:r>
      <w:r w:rsidRPr="00253D7C">
        <w:rPr>
          <w:sz w:val="20"/>
          <w:szCs w:val="20"/>
          <w:lang w:val="en-GB"/>
        </w:rPr>
        <w:t xml:space="preserve"> can make agriculture and food systems more </w:t>
      </w:r>
      <w:proofErr w:type="gramStart"/>
      <w:r w:rsidRPr="00253D7C">
        <w:rPr>
          <w:sz w:val="20"/>
          <w:szCs w:val="20"/>
          <w:lang w:val="en-GB"/>
        </w:rPr>
        <w:t>nutrition-enhancing</w:t>
      </w:r>
      <w:proofErr w:type="gramEnd"/>
      <w:r w:rsidRPr="00253D7C">
        <w:rPr>
          <w:sz w:val="20"/>
          <w:szCs w:val="20"/>
          <w:lang w:val="en-GB"/>
        </w:rPr>
        <w:t xml:space="preserve">? What are the </w:t>
      </w:r>
      <w:r w:rsidRPr="00253D7C">
        <w:rPr>
          <w:b/>
          <w:sz w:val="20"/>
          <w:szCs w:val="20"/>
          <w:lang w:val="en-GB"/>
        </w:rPr>
        <w:t>knowledge gaps in policies</w:t>
      </w:r>
      <w:r w:rsidRPr="00253D7C">
        <w:rPr>
          <w:sz w:val="20"/>
          <w:szCs w:val="20"/>
          <w:lang w:val="en-GB"/>
        </w:rPr>
        <w:t xml:space="preserve"> associated with nutrition-enhancing agriculture and food systems?</w:t>
      </w:r>
    </w:p>
    <w:p w14:paraId="5FE13CCC" w14:textId="77777777" w:rsidR="00340DF5" w:rsidRPr="00253D7C" w:rsidRDefault="00340DF5" w:rsidP="00321144">
      <w:pPr>
        <w:pStyle w:val="listparaintro"/>
        <w:numPr>
          <w:ilvl w:val="0"/>
          <w:numId w:val="7"/>
        </w:numPr>
        <w:rPr>
          <w:sz w:val="20"/>
          <w:szCs w:val="20"/>
          <w:lang w:val="en-GB"/>
        </w:rPr>
      </w:pPr>
      <w:proofErr w:type="gramStart"/>
      <w:r w:rsidRPr="00253D7C">
        <w:rPr>
          <w:b/>
          <w:sz w:val="20"/>
          <w:szCs w:val="20"/>
          <w:lang w:val="en-GB"/>
        </w:rPr>
        <w:t>Programme issues</w:t>
      </w:r>
      <w:r w:rsidRPr="00253D7C">
        <w:rPr>
          <w:sz w:val="20"/>
          <w:szCs w:val="20"/>
          <w:lang w:val="en-GB"/>
        </w:rPr>
        <w:t xml:space="preserve">: What do nutrition-enhancing agriculture and food systems </w:t>
      </w:r>
      <w:r w:rsidRPr="00253D7C">
        <w:rPr>
          <w:b/>
          <w:sz w:val="20"/>
          <w:szCs w:val="20"/>
          <w:lang w:val="en-GB"/>
        </w:rPr>
        <w:t>look like</w:t>
      </w:r>
      <w:r w:rsidRPr="00253D7C">
        <w:rPr>
          <w:sz w:val="20"/>
          <w:szCs w:val="20"/>
          <w:lang w:val="en-GB"/>
        </w:rPr>
        <w:t>?</w:t>
      </w:r>
      <w:proofErr w:type="gramEnd"/>
      <w:r w:rsidRPr="00253D7C">
        <w:rPr>
          <w:sz w:val="20"/>
          <w:szCs w:val="20"/>
          <w:lang w:val="en-GB"/>
        </w:rPr>
        <w:t xml:space="preserve"> What have been the </w:t>
      </w:r>
      <w:r w:rsidRPr="00253D7C">
        <w:rPr>
          <w:b/>
          <w:sz w:val="20"/>
          <w:szCs w:val="20"/>
          <w:lang w:val="en-GB"/>
        </w:rPr>
        <w:t>success stories and lessons learned from programmes</w:t>
      </w:r>
      <w:r w:rsidRPr="00253D7C">
        <w:rPr>
          <w:sz w:val="20"/>
          <w:szCs w:val="20"/>
          <w:lang w:val="en-GB"/>
        </w:rPr>
        <w:t xml:space="preserve"> at country level? How can we </w:t>
      </w:r>
      <w:r w:rsidRPr="00253D7C">
        <w:rPr>
          <w:b/>
          <w:sz w:val="20"/>
          <w:szCs w:val="20"/>
          <w:lang w:val="en-GB"/>
        </w:rPr>
        <w:t>monitor the impact</w:t>
      </w:r>
      <w:r w:rsidRPr="00253D7C">
        <w:rPr>
          <w:sz w:val="20"/>
          <w:szCs w:val="20"/>
          <w:lang w:val="en-GB"/>
        </w:rPr>
        <w:t xml:space="preserve"> of such programmes on food consumption and nutrition?</w:t>
      </w:r>
    </w:p>
    <w:p w14:paraId="5EE6583E" w14:textId="77777777" w:rsidR="00340DF5" w:rsidRPr="00253D7C" w:rsidRDefault="00340DF5" w:rsidP="00321144">
      <w:pPr>
        <w:pStyle w:val="listparaintro"/>
        <w:numPr>
          <w:ilvl w:val="0"/>
          <w:numId w:val="7"/>
        </w:numPr>
        <w:rPr>
          <w:sz w:val="20"/>
          <w:szCs w:val="20"/>
          <w:lang w:val="en-GB"/>
        </w:rPr>
      </w:pPr>
      <w:r w:rsidRPr="00253D7C">
        <w:rPr>
          <w:b/>
          <w:sz w:val="20"/>
          <w:szCs w:val="20"/>
          <w:lang w:val="en-GB"/>
        </w:rPr>
        <w:t>Partnerships</w:t>
      </w:r>
      <w:r w:rsidRPr="00253D7C">
        <w:rPr>
          <w:sz w:val="20"/>
          <w:szCs w:val="20"/>
          <w:lang w:val="en-GB"/>
        </w:rPr>
        <w:t xml:space="preserve">: How can we </w:t>
      </w:r>
      <w:r w:rsidRPr="00253D7C">
        <w:rPr>
          <w:b/>
          <w:sz w:val="20"/>
          <w:szCs w:val="20"/>
          <w:lang w:val="en-GB"/>
        </w:rPr>
        <w:t>work across sectors</w:t>
      </w:r>
      <w:r w:rsidRPr="00253D7C">
        <w:rPr>
          <w:sz w:val="20"/>
          <w:szCs w:val="20"/>
          <w:lang w:val="en-GB"/>
        </w:rPr>
        <w:t xml:space="preserve"> and build strong linkages between food and agriculture, social protection, employment, health, education and other key sectors? How can we create </w:t>
      </w:r>
      <w:r w:rsidRPr="00253D7C">
        <w:rPr>
          <w:b/>
          <w:sz w:val="20"/>
          <w:szCs w:val="20"/>
          <w:lang w:val="en-GB"/>
        </w:rPr>
        <w:t>sustainable partnerships</w:t>
      </w:r>
      <w:r w:rsidRPr="00253D7C">
        <w:rPr>
          <w:sz w:val="20"/>
          <w:szCs w:val="20"/>
          <w:lang w:val="en-GB"/>
        </w:rPr>
        <w:t xml:space="preserve">? How can we build </w:t>
      </w:r>
      <w:r w:rsidRPr="00253D7C">
        <w:rPr>
          <w:b/>
          <w:sz w:val="20"/>
          <w:szCs w:val="20"/>
          <w:lang w:val="en-GB"/>
        </w:rPr>
        <w:t>effective governance</w:t>
      </w:r>
      <w:r w:rsidRPr="00253D7C">
        <w:rPr>
          <w:sz w:val="20"/>
          <w:szCs w:val="20"/>
          <w:lang w:val="en-GB"/>
        </w:rPr>
        <w:t xml:space="preserve"> for nutrition? </w:t>
      </w:r>
    </w:p>
    <w:p w14:paraId="45D41F36" w14:textId="77777777" w:rsidR="00340DF5" w:rsidRPr="00253D7C" w:rsidRDefault="00340DF5" w:rsidP="00340DF5">
      <w:pPr>
        <w:jc w:val="right"/>
        <w:rPr>
          <w:sz w:val="22"/>
          <w:szCs w:val="20"/>
          <w:lang w:val="en-GB"/>
        </w:rPr>
      </w:pPr>
      <w:r w:rsidRPr="00253D7C">
        <w:rPr>
          <w:sz w:val="22"/>
          <w:szCs w:val="20"/>
          <w:lang w:val="en-GB"/>
        </w:rPr>
        <w:t>(</w:t>
      </w:r>
      <w:proofErr w:type="gramStart"/>
      <w:r w:rsidRPr="00253D7C">
        <w:rPr>
          <w:sz w:val="22"/>
          <w:szCs w:val="20"/>
          <w:lang w:val="en-GB"/>
        </w:rPr>
        <w:t>from</w:t>
      </w:r>
      <w:proofErr w:type="gramEnd"/>
      <w:r w:rsidRPr="00253D7C">
        <w:rPr>
          <w:sz w:val="22"/>
          <w:szCs w:val="20"/>
          <w:lang w:val="en-GB"/>
        </w:rPr>
        <w:t xml:space="preserve"> the Nutrition-enhancing agriculture and food systems online discussion)</w:t>
      </w:r>
    </w:p>
    <w:p w14:paraId="75BE288A" w14:textId="77777777" w:rsidR="00340DF5" w:rsidRPr="00253D7C" w:rsidRDefault="00340DF5" w:rsidP="00321144">
      <w:pPr>
        <w:pStyle w:val="listparaintro"/>
        <w:numPr>
          <w:ilvl w:val="0"/>
          <w:numId w:val="11"/>
        </w:numPr>
        <w:rPr>
          <w:sz w:val="20"/>
          <w:szCs w:val="20"/>
          <w:lang w:val="en-GB"/>
        </w:rPr>
      </w:pPr>
      <w:r w:rsidRPr="00253D7C">
        <w:rPr>
          <w:b/>
          <w:sz w:val="20"/>
          <w:szCs w:val="20"/>
          <w:lang w:val="en-GB"/>
        </w:rPr>
        <w:t>Policy issues</w:t>
      </w:r>
      <w:r w:rsidRPr="00253D7C">
        <w:rPr>
          <w:sz w:val="20"/>
          <w:szCs w:val="20"/>
          <w:lang w:val="en-GB"/>
        </w:rPr>
        <w:t>: What role can the private sector and civil society play in d</w:t>
      </w:r>
      <w:r w:rsidRPr="00253D7C">
        <w:rPr>
          <w:b/>
          <w:sz w:val="20"/>
          <w:szCs w:val="20"/>
          <w:lang w:val="en-GB"/>
        </w:rPr>
        <w:t>esigning and implementing policies</w:t>
      </w:r>
      <w:r w:rsidRPr="00253D7C">
        <w:rPr>
          <w:sz w:val="20"/>
          <w:szCs w:val="20"/>
          <w:lang w:val="en-GB"/>
        </w:rPr>
        <w:t xml:space="preserve"> that make agriculture and food systems more </w:t>
      </w:r>
      <w:proofErr w:type="gramStart"/>
      <w:r w:rsidRPr="00253D7C">
        <w:rPr>
          <w:sz w:val="20"/>
          <w:szCs w:val="20"/>
          <w:lang w:val="en-GB"/>
        </w:rPr>
        <w:t>nutrition-enhancing</w:t>
      </w:r>
      <w:proofErr w:type="gramEnd"/>
      <w:r w:rsidRPr="00253D7C">
        <w:rPr>
          <w:sz w:val="20"/>
          <w:szCs w:val="20"/>
          <w:lang w:val="en-GB"/>
        </w:rPr>
        <w:t xml:space="preserve">? What are the </w:t>
      </w:r>
      <w:r w:rsidRPr="00253D7C">
        <w:rPr>
          <w:b/>
          <w:sz w:val="20"/>
          <w:szCs w:val="20"/>
          <w:lang w:val="en-GB"/>
        </w:rPr>
        <w:t>knowledge gaps</w:t>
      </w:r>
      <w:r w:rsidRPr="00253D7C">
        <w:rPr>
          <w:sz w:val="20"/>
          <w:szCs w:val="20"/>
          <w:lang w:val="en-GB"/>
        </w:rPr>
        <w:t xml:space="preserve">? </w:t>
      </w:r>
    </w:p>
    <w:p w14:paraId="1B2632BE" w14:textId="77777777" w:rsidR="00340DF5" w:rsidRPr="00253D7C" w:rsidRDefault="00340DF5" w:rsidP="00321144">
      <w:pPr>
        <w:pStyle w:val="listparaintro"/>
        <w:numPr>
          <w:ilvl w:val="0"/>
          <w:numId w:val="7"/>
        </w:numPr>
        <w:rPr>
          <w:sz w:val="20"/>
          <w:szCs w:val="20"/>
          <w:lang w:val="en-GB"/>
        </w:rPr>
      </w:pPr>
      <w:proofErr w:type="gramStart"/>
      <w:r w:rsidRPr="00253D7C">
        <w:rPr>
          <w:b/>
          <w:sz w:val="20"/>
          <w:szCs w:val="20"/>
          <w:lang w:val="en-GB"/>
        </w:rPr>
        <w:t>Programme issues</w:t>
      </w:r>
      <w:r w:rsidRPr="00253D7C">
        <w:rPr>
          <w:sz w:val="20"/>
          <w:szCs w:val="20"/>
          <w:lang w:val="en-GB"/>
        </w:rPr>
        <w:t xml:space="preserve">: What have been the </w:t>
      </w:r>
      <w:r w:rsidRPr="00253D7C">
        <w:rPr>
          <w:b/>
          <w:sz w:val="20"/>
          <w:szCs w:val="20"/>
          <w:lang w:val="en-GB"/>
        </w:rPr>
        <w:t>success stories and lessons learned</w:t>
      </w:r>
      <w:r w:rsidRPr="00253D7C">
        <w:rPr>
          <w:sz w:val="20"/>
          <w:szCs w:val="20"/>
          <w:lang w:val="en-GB"/>
        </w:rPr>
        <w:t xml:space="preserve"> by the private sector and civil society in implementing </w:t>
      </w:r>
      <w:r w:rsidRPr="00253D7C">
        <w:rPr>
          <w:b/>
          <w:sz w:val="20"/>
          <w:szCs w:val="20"/>
          <w:lang w:val="en-GB"/>
        </w:rPr>
        <w:t>nutrition-enhancing agriculture and food systems programmes</w:t>
      </w:r>
      <w:r w:rsidRPr="00253D7C">
        <w:rPr>
          <w:sz w:val="20"/>
          <w:szCs w:val="20"/>
          <w:lang w:val="en-GB"/>
        </w:rPr>
        <w:t xml:space="preserve"> at country level?</w:t>
      </w:r>
      <w:proofErr w:type="gramEnd"/>
      <w:r w:rsidRPr="00253D7C">
        <w:rPr>
          <w:sz w:val="20"/>
          <w:szCs w:val="20"/>
          <w:lang w:val="en-GB"/>
        </w:rPr>
        <w:t xml:space="preserve"> How </w:t>
      </w:r>
      <w:proofErr w:type="gramStart"/>
      <w:r w:rsidRPr="00253D7C">
        <w:rPr>
          <w:sz w:val="20"/>
          <w:szCs w:val="20"/>
          <w:lang w:val="en-GB"/>
        </w:rPr>
        <w:t xml:space="preserve">can the </w:t>
      </w:r>
      <w:r w:rsidRPr="00253D7C">
        <w:rPr>
          <w:b/>
          <w:sz w:val="20"/>
          <w:szCs w:val="20"/>
          <w:lang w:val="en-GB"/>
        </w:rPr>
        <w:t>impact</w:t>
      </w:r>
      <w:r w:rsidRPr="00253D7C">
        <w:rPr>
          <w:sz w:val="20"/>
          <w:szCs w:val="20"/>
          <w:lang w:val="en-GB"/>
        </w:rPr>
        <w:t xml:space="preserve"> of such programmes on food consumption and nutrition be </w:t>
      </w:r>
      <w:r w:rsidRPr="00253D7C">
        <w:rPr>
          <w:b/>
          <w:sz w:val="20"/>
          <w:szCs w:val="20"/>
          <w:lang w:val="en-GB"/>
        </w:rPr>
        <w:t>monitored</w:t>
      </w:r>
      <w:proofErr w:type="gramEnd"/>
      <w:r w:rsidRPr="00253D7C">
        <w:rPr>
          <w:sz w:val="20"/>
          <w:szCs w:val="20"/>
          <w:lang w:val="en-GB"/>
        </w:rPr>
        <w:t>?</w:t>
      </w:r>
    </w:p>
    <w:p w14:paraId="23755933" w14:textId="77777777" w:rsidR="00340DF5" w:rsidRPr="00253D7C" w:rsidRDefault="00340DF5" w:rsidP="00321144">
      <w:pPr>
        <w:pStyle w:val="listparaintro"/>
        <w:numPr>
          <w:ilvl w:val="0"/>
          <w:numId w:val="7"/>
        </w:numPr>
        <w:rPr>
          <w:sz w:val="20"/>
          <w:szCs w:val="20"/>
          <w:lang w:val="en-GB"/>
        </w:rPr>
      </w:pPr>
      <w:r w:rsidRPr="00253D7C">
        <w:rPr>
          <w:b/>
          <w:sz w:val="20"/>
          <w:szCs w:val="20"/>
          <w:lang w:val="en-GB"/>
        </w:rPr>
        <w:t>Governance</w:t>
      </w:r>
      <w:r w:rsidRPr="00253D7C">
        <w:rPr>
          <w:sz w:val="20"/>
          <w:szCs w:val="20"/>
          <w:lang w:val="en-GB"/>
        </w:rPr>
        <w:t xml:space="preserve">: What are the </w:t>
      </w:r>
      <w:r w:rsidRPr="00253D7C">
        <w:rPr>
          <w:b/>
          <w:sz w:val="20"/>
          <w:szCs w:val="20"/>
          <w:lang w:val="en-GB"/>
        </w:rPr>
        <w:t>changes needed</w:t>
      </w:r>
      <w:r w:rsidRPr="00253D7C">
        <w:rPr>
          <w:sz w:val="20"/>
          <w:szCs w:val="20"/>
          <w:lang w:val="en-GB"/>
        </w:rPr>
        <w:t xml:space="preserve"> to make sure that the private sector and civil society are involved in </w:t>
      </w:r>
      <w:r w:rsidRPr="00253D7C">
        <w:rPr>
          <w:b/>
          <w:sz w:val="20"/>
          <w:szCs w:val="20"/>
          <w:lang w:val="en-GB"/>
        </w:rPr>
        <w:t>building effective and sustainable governance mechanisms</w:t>
      </w:r>
      <w:r w:rsidRPr="00253D7C">
        <w:rPr>
          <w:sz w:val="20"/>
          <w:szCs w:val="20"/>
          <w:lang w:val="en-GB"/>
        </w:rPr>
        <w:t xml:space="preserve"> related to agriculture, food systems and nutrition?</w:t>
      </w:r>
    </w:p>
    <w:p w14:paraId="67EBB984" w14:textId="77777777" w:rsidR="00340DF5" w:rsidRPr="00253D7C" w:rsidRDefault="00340DF5" w:rsidP="00340DF5">
      <w:pPr>
        <w:pStyle w:val="ListParagraph"/>
        <w:numPr>
          <w:ilvl w:val="0"/>
          <w:numId w:val="0"/>
        </w:numPr>
        <w:ind w:left="568"/>
        <w:jc w:val="right"/>
        <w:rPr>
          <w:sz w:val="22"/>
          <w:szCs w:val="20"/>
          <w:lang w:val="en-GB"/>
        </w:rPr>
      </w:pPr>
      <w:r w:rsidRPr="00253D7C">
        <w:rPr>
          <w:sz w:val="22"/>
          <w:szCs w:val="20"/>
          <w:lang w:val="en-GB"/>
        </w:rPr>
        <w:t>(</w:t>
      </w:r>
      <w:proofErr w:type="gramStart"/>
      <w:r w:rsidRPr="00253D7C">
        <w:rPr>
          <w:sz w:val="22"/>
          <w:szCs w:val="20"/>
          <w:lang w:val="en-GB"/>
        </w:rPr>
        <w:t>from</w:t>
      </w:r>
      <w:proofErr w:type="gramEnd"/>
      <w:r w:rsidRPr="00253D7C">
        <w:rPr>
          <w:sz w:val="22"/>
          <w:szCs w:val="20"/>
          <w:lang w:val="en-GB"/>
        </w:rPr>
        <w:t xml:space="preserve"> the Role of Private Sector and Civil Society online discussion)</w:t>
      </w:r>
    </w:p>
    <w:p w14:paraId="5938DB70" w14:textId="77777777" w:rsidR="00340DF5" w:rsidRPr="00253D7C" w:rsidRDefault="00340DF5" w:rsidP="00340DF5">
      <w:pPr>
        <w:rPr>
          <w:lang w:val="en-GB"/>
        </w:rPr>
      </w:pPr>
    </w:p>
    <w:p w14:paraId="75473366" w14:textId="77777777" w:rsidR="00340DF5" w:rsidRPr="00253D7C" w:rsidRDefault="00340DF5" w:rsidP="00340DF5">
      <w:pPr>
        <w:rPr>
          <w:lang w:val="en-GB"/>
        </w:rPr>
      </w:pPr>
      <w:r w:rsidRPr="00253D7C">
        <w:rPr>
          <w:lang w:val="en-GB"/>
        </w:rPr>
        <w:t xml:space="preserve">As it can be clearly observed, the questions posed by the facilitators were often very similar (sometimes identical) and strongly policy-oriented. This is coherent with the initial idea to use these results to inform and prepare the ground for the discussions on the ICN2 political documents. However, contributions did not always tackle directly the proposed questions. Often the main topic </w:t>
      </w:r>
      <w:r w:rsidRPr="00253D7C">
        <w:rPr>
          <w:lang w:val="en-GB"/>
        </w:rPr>
        <w:lastRenderedPageBreak/>
        <w:t xml:space="preserve">itself was matter of contentious debates, which in the end dominated the whole discussion. As we will discuss in the </w:t>
      </w:r>
      <w:r w:rsidRPr="00253D7C">
        <w:rPr>
          <w:i/>
          <w:lang w:val="en-GB"/>
        </w:rPr>
        <w:t>Missed Opportunities Section</w:t>
      </w:r>
      <w:r w:rsidRPr="00253D7C">
        <w:rPr>
          <w:lang w:val="en-GB"/>
        </w:rPr>
        <w:t xml:space="preserve">, some of these questions </w:t>
      </w:r>
      <w:proofErr w:type="gramStart"/>
      <w:r w:rsidRPr="00253D7C">
        <w:rPr>
          <w:lang w:val="en-GB"/>
        </w:rPr>
        <w:t>have not been developed</w:t>
      </w:r>
      <w:proofErr w:type="gramEnd"/>
      <w:r w:rsidRPr="00253D7C">
        <w:rPr>
          <w:lang w:val="en-GB"/>
        </w:rPr>
        <w:t xml:space="preserve"> in full potential, thus possibly defying their value in support to the ICN2 debates. In the next point, we will look at the main issues raised in these three technical discussions. </w:t>
      </w:r>
    </w:p>
    <w:p w14:paraId="478BB67B" w14:textId="77777777" w:rsidR="00340DF5" w:rsidRPr="001261AF" w:rsidRDefault="00340DF5" w:rsidP="00340DF5">
      <w:pPr>
        <w:pStyle w:val="Heading2"/>
      </w:pPr>
      <w:bookmarkStart w:id="7" w:name="_Toc453781600"/>
      <w:r w:rsidRPr="001261AF">
        <w:t>Main issues</w:t>
      </w:r>
      <w:bookmarkEnd w:id="7"/>
    </w:p>
    <w:p w14:paraId="55E47236" w14:textId="77777777" w:rsidR="00340DF5" w:rsidRPr="00253D7C" w:rsidRDefault="00340DF5" w:rsidP="00340DF5">
      <w:pPr>
        <w:rPr>
          <w:lang w:val="en-GB"/>
        </w:rPr>
      </w:pPr>
      <w:r w:rsidRPr="00253D7C">
        <w:rPr>
          <w:lang w:val="en-GB"/>
        </w:rPr>
        <w:t xml:space="preserve">Starting from the three main technical topics mentioned above and the questions posed by the facilitators, participants to the technical debates raised a wide variety of aspects on malnutrition, as well as contrasting views by different actors. The perception of malnutrition and the means to address </w:t>
      </w:r>
      <w:proofErr w:type="gramStart"/>
      <w:r w:rsidRPr="00253D7C">
        <w:rPr>
          <w:lang w:val="en-GB"/>
        </w:rPr>
        <w:t>are influenced</w:t>
      </w:r>
      <w:proofErr w:type="gramEnd"/>
      <w:r w:rsidRPr="00253D7C">
        <w:rPr>
          <w:lang w:val="en-GB"/>
        </w:rPr>
        <w:t xml:space="preserve"> by the economic, political and cultural context in which they are conceived. However, there is an almost unanimous recognition that malnutrition is a complex, multi-dimensional phenomenon that requires coordinated action in a very context-specific fashion. </w:t>
      </w:r>
    </w:p>
    <w:p w14:paraId="37FE602D" w14:textId="77777777" w:rsidR="00340DF5" w:rsidRPr="00253D7C" w:rsidRDefault="00340DF5" w:rsidP="00340DF5">
      <w:pPr>
        <w:rPr>
          <w:lang w:val="en-GB"/>
        </w:rPr>
      </w:pPr>
      <w:r w:rsidRPr="00253D7C">
        <w:rPr>
          <w:lang w:val="en-GB"/>
        </w:rPr>
        <w:t>The list here below represents the most frequently raised aspects and concerns in these three debates.</w:t>
      </w:r>
      <w:r w:rsidRPr="00253D7C">
        <w:rPr>
          <w:rStyle w:val="FootnoteReference"/>
          <w:lang w:val="en-GB"/>
        </w:rPr>
        <w:footnoteReference w:id="12"/>
      </w:r>
      <w:r w:rsidRPr="00253D7C">
        <w:rPr>
          <w:lang w:val="en-GB"/>
        </w:rPr>
        <w:t xml:space="preserve"> Clearly, this is not an attempt to list all the possible ways to address malnutrition, but rather a snapshot of what emerged from these three exercises. </w:t>
      </w:r>
    </w:p>
    <w:p w14:paraId="34BC8107" w14:textId="77777777" w:rsidR="00340DF5" w:rsidRPr="00253D7C" w:rsidRDefault="00340DF5" w:rsidP="00321144">
      <w:pPr>
        <w:pStyle w:val="ListParagraph"/>
        <w:numPr>
          <w:ilvl w:val="0"/>
          <w:numId w:val="12"/>
        </w:numPr>
        <w:rPr>
          <w:lang w:val="en-GB"/>
        </w:rPr>
      </w:pPr>
      <w:r w:rsidRPr="00253D7C">
        <w:rPr>
          <w:lang w:val="en-GB"/>
        </w:rPr>
        <w:t>Agricultural and food systems’ enhancement, including valorizing traditional/historical practices (including the conservation of seed diversity), soil preservation and sustainability practices to safeguard natural resources;</w:t>
      </w:r>
    </w:p>
    <w:p w14:paraId="3EAECBD9" w14:textId="77777777" w:rsidR="00340DF5" w:rsidRPr="00253D7C" w:rsidRDefault="00340DF5" w:rsidP="00321144">
      <w:pPr>
        <w:pStyle w:val="ListParagraph"/>
        <w:numPr>
          <w:ilvl w:val="0"/>
          <w:numId w:val="12"/>
        </w:numPr>
        <w:rPr>
          <w:lang w:val="en-GB"/>
        </w:rPr>
      </w:pPr>
      <w:r w:rsidRPr="00253D7C">
        <w:rPr>
          <w:lang w:val="en-GB"/>
        </w:rPr>
        <w:t xml:space="preserve">Promoting diversification in supply; </w:t>
      </w:r>
    </w:p>
    <w:p w14:paraId="52CF29A9" w14:textId="77777777" w:rsidR="00340DF5" w:rsidRPr="00253D7C" w:rsidRDefault="00340DF5" w:rsidP="00321144">
      <w:pPr>
        <w:pStyle w:val="ListParagraph"/>
        <w:numPr>
          <w:ilvl w:val="0"/>
          <w:numId w:val="12"/>
        </w:numPr>
        <w:rPr>
          <w:lang w:val="en-GB"/>
        </w:rPr>
      </w:pPr>
      <w:r w:rsidRPr="00253D7C">
        <w:rPr>
          <w:lang w:val="en-GB"/>
        </w:rPr>
        <w:t>Modifying consumption habits, the need for diversifying diets worldwide, including the reduction of highly processed foods;</w:t>
      </w:r>
    </w:p>
    <w:p w14:paraId="707E0C76" w14:textId="77777777" w:rsidR="00340DF5" w:rsidRPr="00253D7C" w:rsidRDefault="00340DF5" w:rsidP="00321144">
      <w:pPr>
        <w:pStyle w:val="ListParagraph"/>
        <w:numPr>
          <w:ilvl w:val="0"/>
          <w:numId w:val="12"/>
        </w:numPr>
        <w:rPr>
          <w:lang w:val="en-GB"/>
        </w:rPr>
      </w:pPr>
      <w:r w:rsidRPr="00253D7C">
        <w:rPr>
          <w:lang w:val="en-GB"/>
        </w:rPr>
        <w:t>The need for education in nutrition and information campaigns;</w:t>
      </w:r>
    </w:p>
    <w:p w14:paraId="2EB1036E" w14:textId="77777777" w:rsidR="00340DF5" w:rsidRPr="00253D7C" w:rsidRDefault="00340DF5" w:rsidP="00321144">
      <w:pPr>
        <w:pStyle w:val="ListParagraph"/>
        <w:numPr>
          <w:ilvl w:val="0"/>
          <w:numId w:val="12"/>
        </w:numPr>
        <w:rPr>
          <w:lang w:val="en-GB"/>
        </w:rPr>
      </w:pPr>
      <w:r w:rsidRPr="00253D7C">
        <w:rPr>
          <w:lang w:val="en-GB"/>
        </w:rPr>
        <w:t>Developing Agricultural Research for Nutrition (AR4D), linking local knowledge to advanced scientific knowledge;</w:t>
      </w:r>
    </w:p>
    <w:p w14:paraId="57DD507A" w14:textId="77777777" w:rsidR="00340DF5" w:rsidRPr="00253D7C" w:rsidRDefault="00340DF5" w:rsidP="00321144">
      <w:pPr>
        <w:pStyle w:val="ListParagraph"/>
        <w:numPr>
          <w:ilvl w:val="0"/>
          <w:numId w:val="12"/>
        </w:numPr>
        <w:rPr>
          <w:lang w:val="en-GB"/>
        </w:rPr>
      </w:pPr>
      <w:r w:rsidRPr="00253D7C">
        <w:rPr>
          <w:lang w:val="en-GB"/>
        </w:rPr>
        <w:t>Improvement of infrastructure, storage structures, etc.;</w:t>
      </w:r>
    </w:p>
    <w:p w14:paraId="60653707" w14:textId="77777777" w:rsidR="00340DF5" w:rsidRPr="00253D7C" w:rsidRDefault="00340DF5" w:rsidP="00321144">
      <w:pPr>
        <w:pStyle w:val="ListParagraph"/>
        <w:numPr>
          <w:ilvl w:val="0"/>
          <w:numId w:val="12"/>
        </w:numPr>
        <w:rPr>
          <w:lang w:val="en-GB"/>
        </w:rPr>
      </w:pPr>
      <w:r w:rsidRPr="00253D7C">
        <w:rPr>
          <w:lang w:val="en-GB"/>
        </w:rPr>
        <w:t xml:space="preserve">Protection of human rights across the whole food chain; </w:t>
      </w:r>
    </w:p>
    <w:p w14:paraId="25FCF829" w14:textId="77777777" w:rsidR="00340DF5" w:rsidRPr="00253D7C" w:rsidRDefault="00340DF5" w:rsidP="00321144">
      <w:pPr>
        <w:pStyle w:val="ListParagraph"/>
        <w:numPr>
          <w:ilvl w:val="0"/>
          <w:numId w:val="12"/>
        </w:numPr>
        <w:rPr>
          <w:lang w:val="en-GB"/>
        </w:rPr>
      </w:pPr>
      <w:r w:rsidRPr="00253D7C">
        <w:rPr>
          <w:lang w:val="en-GB"/>
        </w:rPr>
        <w:t>The multiple roles of Civil Society in tackling malnutrition in the various societal layers;</w:t>
      </w:r>
    </w:p>
    <w:p w14:paraId="74C916F5" w14:textId="77777777" w:rsidR="00340DF5" w:rsidRPr="00253D7C" w:rsidRDefault="00340DF5" w:rsidP="00321144">
      <w:pPr>
        <w:pStyle w:val="ListParagraph"/>
        <w:numPr>
          <w:ilvl w:val="0"/>
          <w:numId w:val="12"/>
        </w:numPr>
        <w:rPr>
          <w:lang w:val="en-GB"/>
        </w:rPr>
      </w:pPr>
      <w:r w:rsidRPr="00253D7C">
        <w:rPr>
          <w:lang w:val="en-GB"/>
        </w:rPr>
        <w:t xml:space="preserve">Promoting local food sovereignty and smallholders’ role, improving their access to irrigation, resources, markets, etc., developing an enabling environment that improves nutrition; </w:t>
      </w:r>
    </w:p>
    <w:p w14:paraId="61829B94" w14:textId="77777777" w:rsidR="00340DF5" w:rsidRPr="00253D7C" w:rsidRDefault="00340DF5" w:rsidP="00321144">
      <w:pPr>
        <w:pStyle w:val="ListParagraph"/>
        <w:numPr>
          <w:ilvl w:val="0"/>
          <w:numId w:val="12"/>
        </w:numPr>
        <w:rPr>
          <w:lang w:val="en-GB"/>
        </w:rPr>
      </w:pPr>
      <w:r w:rsidRPr="00253D7C">
        <w:rPr>
          <w:lang w:val="en-GB"/>
        </w:rPr>
        <w:t xml:space="preserve">The importance of indigenous people’s knowledge of traditional food systems; </w:t>
      </w:r>
    </w:p>
    <w:p w14:paraId="6A97703A" w14:textId="77777777" w:rsidR="00340DF5" w:rsidRPr="00253D7C" w:rsidRDefault="00340DF5" w:rsidP="00321144">
      <w:pPr>
        <w:pStyle w:val="ListParagraph"/>
        <w:numPr>
          <w:ilvl w:val="0"/>
          <w:numId w:val="12"/>
        </w:numPr>
        <w:rPr>
          <w:lang w:val="en-GB"/>
        </w:rPr>
      </w:pPr>
      <w:r w:rsidRPr="00253D7C">
        <w:rPr>
          <w:lang w:val="en-GB"/>
        </w:rPr>
        <w:t xml:space="preserve">The need for transparency, monitoring and accountability in the nutrition domain; </w:t>
      </w:r>
    </w:p>
    <w:p w14:paraId="4EB95DC0" w14:textId="77777777" w:rsidR="00340DF5" w:rsidRPr="00253D7C" w:rsidRDefault="00340DF5" w:rsidP="00321144">
      <w:pPr>
        <w:pStyle w:val="ListParagraph"/>
        <w:numPr>
          <w:ilvl w:val="0"/>
          <w:numId w:val="12"/>
        </w:numPr>
        <w:rPr>
          <w:lang w:val="en-GB"/>
        </w:rPr>
      </w:pPr>
      <w:r w:rsidRPr="00253D7C">
        <w:rPr>
          <w:lang w:val="en-GB"/>
        </w:rPr>
        <w:t>Promoting participatory processes and programmes;</w:t>
      </w:r>
    </w:p>
    <w:p w14:paraId="384E722E" w14:textId="77777777" w:rsidR="00340DF5" w:rsidRPr="00253D7C" w:rsidRDefault="00340DF5" w:rsidP="00321144">
      <w:pPr>
        <w:pStyle w:val="ListParagraph"/>
        <w:numPr>
          <w:ilvl w:val="0"/>
          <w:numId w:val="12"/>
        </w:numPr>
        <w:rPr>
          <w:lang w:val="en-GB"/>
        </w:rPr>
      </w:pPr>
      <w:r w:rsidRPr="00253D7C">
        <w:rPr>
          <w:lang w:val="en-GB"/>
        </w:rPr>
        <w:t>The pivotal role of women in the improvement of the society’s nutrition and working for their full empowerment;</w:t>
      </w:r>
    </w:p>
    <w:p w14:paraId="347F29FA" w14:textId="77777777" w:rsidR="00340DF5" w:rsidRPr="00253D7C" w:rsidRDefault="00340DF5" w:rsidP="00321144">
      <w:pPr>
        <w:pStyle w:val="ListParagraph"/>
        <w:numPr>
          <w:ilvl w:val="0"/>
          <w:numId w:val="12"/>
        </w:numPr>
        <w:rPr>
          <w:lang w:val="en-GB"/>
        </w:rPr>
      </w:pPr>
      <w:r w:rsidRPr="00253D7C">
        <w:rPr>
          <w:lang w:val="en-GB"/>
        </w:rPr>
        <w:t xml:space="preserve">Developing adequate social protection schemes and safety nets with appropriate targeting of vulnerable and marginalized groups; </w:t>
      </w:r>
    </w:p>
    <w:p w14:paraId="0D7A1871" w14:textId="77777777" w:rsidR="00340DF5" w:rsidRPr="00253D7C" w:rsidRDefault="00340DF5" w:rsidP="00321144">
      <w:pPr>
        <w:pStyle w:val="ListParagraph"/>
        <w:numPr>
          <w:ilvl w:val="0"/>
          <w:numId w:val="12"/>
        </w:numPr>
        <w:rPr>
          <w:lang w:val="en-GB"/>
        </w:rPr>
      </w:pPr>
      <w:r w:rsidRPr="00253D7C">
        <w:rPr>
          <w:lang w:val="en-GB"/>
        </w:rPr>
        <w:t>The need for multi-stakeholder partnerships that include Governments, Intergovernmental Organizations, local and development agencies, Public-Private Partnerships (PPPs), etc.;</w:t>
      </w:r>
    </w:p>
    <w:p w14:paraId="20085881" w14:textId="77777777" w:rsidR="00340DF5" w:rsidRPr="00253D7C" w:rsidRDefault="00340DF5" w:rsidP="00321144">
      <w:pPr>
        <w:pStyle w:val="ListParagraph"/>
        <w:numPr>
          <w:ilvl w:val="0"/>
          <w:numId w:val="12"/>
        </w:numPr>
        <w:rPr>
          <w:lang w:val="en-GB"/>
        </w:rPr>
      </w:pPr>
      <w:r w:rsidRPr="00253D7C">
        <w:rPr>
          <w:lang w:val="en-GB"/>
        </w:rPr>
        <w:t xml:space="preserve">Fostering the inter-linkages between health and nutrition, with a recognition of the triple-burden of malnutrition, the increasing diabetes and Non-Communicable Diseases (NDCs);  </w:t>
      </w:r>
    </w:p>
    <w:p w14:paraId="7B382234" w14:textId="77777777" w:rsidR="00340DF5" w:rsidRPr="00253D7C" w:rsidRDefault="00340DF5" w:rsidP="00321144">
      <w:pPr>
        <w:pStyle w:val="ListParagraph"/>
        <w:numPr>
          <w:ilvl w:val="0"/>
          <w:numId w:val="12"/>
        </w:numPr>
        <w:rPr>
          <w:lang w:val="en-GB"/>
        </w:rPr>
      </w:pPr>
      <w:r w:rsidRPr="00253D7C">
        <w:rPr>
          <w:lang w:val="en-GB"/>
        </w:rPr>
        <w:t xml:space="preserve">Lobbying for better nutritional policies; </w:t>
      </w:r>
    </w:p>
    <w:p w14:paraId="338520D3" w14:textId="77777777" w:rsidR="00340DF5" w:rsidRPr="00253D7C" w:rsidRDefault="00340DF5" w:rsidP="00321144">
      <w:pPr>
        <w:pStyle w:val="ListParagraph"/>
        <w:numPr>
          <w:ilvl w:val="0"/>
          <w:numId w:val="12"/>
        </w:numPr>
        <w:rPr>
          <w:lang w:val="en-GB"/>
        </w:rPr>
      </w:pPr>
      <w:r w:rsidRPr="00253D7C">
        <w:rPr>
          <w:lang w:val="en-GB"/>
        </w:rPr>
        <w:t>Promoting the production of more nutritious foods via incentives or subsidies; and</w:t>
      </w:r>
    </w:p>
    <w:p w14:paraId="154902EA" w14:textId="77777777" w:rsidR="00340DF5" w:rsidRPr="00253D7C" w:rsidRDefault="00340DF5" w:rsidP="00321144">
      <w:pPr>
        <w:pStyle w:val="ListParagraph"/>
        <w:numPr>
          <w:ilvl w:val="0"/>
          <w:numId w:val="12"/>
        </w:numPr>
        <w:rPr>
          <w:lang w:val="en-GB"/>
        </w:rPr>
      </w:pPr>
      <w:r w:rsidRPr="00253D7C">
        <w:rPr>
          <w:lang w:val="en-GB"/>
        </w:rPr>
        <w:t>Challenging the corporate interests and marketing approaches, possibly through regulations.</w:t>
      </w:r>
    </w:p>
    <w:p w14:paraId="2D0190B1" w14:textId="77777777" w:rsidR="00340DF5" w:rsidRPr="00253D7C" w:rsidRDefault="00340DF5" w:rsidP="00340DF5">
      <w:pPr>
        <w:rPr>
          <w:lang w:val="en-GB"/>
        </w:rPr>
      </w:pPr>
      <w:r w:rsidRPr="00253D7C">
        <w:rPr>
          <w:lang w:val="en-GB"/>
        </w:rPr>
        <w:lastRenderedPageBreak/>
        <w:t xml:space="preserve">Many contributors provided specific examples to illustrate their point and suggested specific policies or ways to design them. The following point illustrates some examples of policy design for nutrition </w:t>
      </w:r>
      <w:proofErr w:type="gramStart"/>
      <w:r w:rsidRPr="00253D7C">
        <w:rPr>
          <w:lang w:val="en-GB"/>
        </w:rPr>
        <w:t>on the basis of</w:t>
      </w:r>
      <w:proofErr w:type="gramEnd"/>
      <w:r w:rsidRPr="00253D7C">
        <w:rPr>
          <w:lang w:val="en-GB"/>
        </w:rPr>
        <w:t xml:space="preserve"> comments received. </w:t>
      </w:r>
    </w:p>
    <w:p w14:paraId="3018AD4B" w14:textId="77777777" w:rsidR="00340DF5" w:rsidRPr="001261AF" w:rsidRDefault="00340DF5" w:rsidP="00340DF5">
      <w:pPr>
        <w:pStyle w:val="Heading2"/>
      </w:pPr>
      <w:bookmarkStart w:id="8" w:name="_Toc453781601"/>
      <w:r w:rsidRPr="001261AF">
        <w:t>Policy design for nutrition</w:t>
      </w:r>
      <w:bookmarkEnd w:id="8"/>
    </w:p>
    <w:p w14:paraId="3DBCEBAA" w14:textId="77777777" w:rsidR="00340DF5" w:rsidRPr="00253D7C" w:rsidRDefault="00340DF5" w:rsidP="002174FA">
      <w:pPr>
        <w:rPr>
          <w:lang w:val="en-GB"/>
        </w:rPr>
      </w:pPr>
      <w:r w:rsidRPr="00253D7C">
        <w:rPr>
          <w:lang w:val="en-GB"/>
        </w:rPr>
        <w:t xml:space="preserve">The majority of the contributions explicitly affirm the need to develop collaborative, coherent and forward thinking polices aimed towards the creation of an enabling environment to improve nutrition. Many notable organizations, including the US Council for International Business, the International Diabetes </w:t>
      </w:r>
      <w:r w:rsidR="002174FA" w:rsidRPr="00253D7C">
        <w:rPr>
          <w:lang w:val="en-GB"/>
        </w:rPr>
        <w:t xml:space="preserve">Federation and the NCD Alliance, </w:t>
      </w:r>
      <w:r w:rsidRPr="00253D7C">
        <w:rPr>
          <w:lang w:val="en-GB"/>
        </w:rPr>
        <w:t>called for policies to be:</w:t>
      </w:r>
    </w:p>
    <w:p w14:paraId="13A9B54C" w14:textId="77777777" w:rsidR="00340DF5" w:rsidRPr="00253D7C" w:rsidRDefault="00340DF5" w:rsidP="00321144">
      <w:pPr>
        <w:pStyle w:val="ListParagraph"/>
        <w:numPr>
          <w:ilvl w:val="0"/>
          <w:numId w:val="13"/>
        </w:numPr>
        <w:ind w:left="709" w:hanging="491"/>
        <w:rPr>
          <w:lang w:val="en-GB"/>
        </w:rPr>
      </w:pPr>
      <w:r w:rsidRPr="00253D7C">
        <w:rPr>
          <w:b/>
          <w:lang w:val="en-GB"/>
        </w:rPr>
        <w:t>Effective:</w:t>
      </w:r>
      <w:r w:rsidRPr="00253D7C">
        <w:rPr>
          <w:lang w:val="en-GB"/>
        </w:rPr>
        <w:t xml:space="preserve"> meaning that the risk of unintended consequences must be low;</w:t>
      </w:r>
    </w:p>
    <w:p w14:paraId="709CE498" w14:textId="77777777" w:rsidR="00340DF5" w:rsidRPr="00253D7C" w:rsidRDefault="00340DF5" w:rsidP="00321144">
      <w:pPr>
        <w:pStyle w:val="ListParagraph"/>
        <w:numPr>
          <w:ilvl w:val="0"/>
          <w:numId w:val="13"/>
        </w:numPr>
        <w:ind w:left="709" w:hanging="491"/>
        <w:rPr>
          <w:lang w:val="en-GB"/>
        </w:rPr>
      </w:pPr>
      <w:r w:rsidRPr="00253D7C">
        <w:rPr>
          <w:b/>
          <w:lang w:val="en-GB"/>
        </w:rPr>
        <w:t>Coordinated:</w:t>
      </w:r>
      <w:r w:rsidRPr="00253D7C">
        <w:rPr>
          <w:lang w:val="en-GB"/>
        </w:rPr>
        <w:t xml:space="preserve"> the goals of the different stakeholders can often collide resulting in many destabilizing outcomes; this is why there is a clear need for coordination amongst them. Coordination can potentially achieve more widespread nutritional outcomes than single uncoordinated policies;</w:t>
      </w:r>
    </w:p>
    <w:p w14:paraId="4DFAA011" w14:textId="77777777" w:rsidR="00340DF5" w:rsidRPr="00253D7C" w:rsidRDefault="00340DF5" w:rsidP="00321144">
      <w:pPr>
        <w:pStyle w:val="ListParagraph"/>
        <w:numPr>
          <w:ilvl w:val="0"/>
          <w:numId w:val="13"/>
        </w:numPr>
        <w:ind w:left="709" w:hanging="491"/>
        <w:rPr>
          <w:lang w:val="en-GB"/>
        </w:rPr>
      </w:pPr>
      <w:r w:rsidRPr="00253D7C">
        <w:rPr>
          <w:b/>
          <w:lang w:val="en-GB"/>
        </w:rPr>
        <w:t>Evidence-based:</w:t>
      </w:r>
      <w:r w:rsidRPr="00253D7C">
        <w:rPr>
          <w:lang w:val="en-GB"/>
        </w:rPr>
        <w:t xml:space="preserve"> in order to promote sound nutritional policies and programmes, they need to be formulated using research and scientific analysis;</w:t>
      </w:r>
    </w:p>
    <w:p w14:paraId="22DB87F7" w14:textId="77777777" w:rsidR="00340DF5" w:rsidRPr="00253D7C" w:rsidRDefault="00340DF5" w:rsidP="00321144">
      <w:pPr>
        <w:pStyle w:val="ListParagraph"/>
        <w:numPr>
          <w:ilvl w:val="0"/>
          <w:numId w:val="13"/>
        </w:numPr>
        <w:ind w:left="709" w:hanging="491"/>
        <w:rPr>
          <w:lang w:val="en-GB"/>
        </w:rPr>
      </w:pPr>
      <w:r w:rsidRPr="00253D7C">
        <w:rPr>
          <w:b/>
          <w:lang w:val="en-GB"/>
        </w:rPr>
        <w:t xml:space="preserve">Context-based: </w:t>
      </w:r>
      <w:r w:rsidRPr="00253D7C">
        <w:rPr>
          <w:lang w:val="en-GB"/>
        </w:rPr>
        <w:t>in order to account for the economic, political and cultural diversity in which they are designed and implemented;</w:t>
      </w:r>
    </w:p>
    <w:p w14:paraId="5AFBD5C3" w14:textId="77777777" w:rsidR="00340DF5" w:rsidRPr="00253D7C" w:rsidRDefault="00340DF5" w:rsidP="00321144">
      <w:pPr>
        <w:pStyle w:val="ListParagraph"/>
        <w:numPr>
          <w:ilvl w:val="0"/>
          <w:numId w:val="13"/>
        </w:numPr>
        <w:ind w:left="709" w:hanging="491"/>
        <w:rPr>
          <w:lang w:val="en-GB"/>
        </w:rPr>
      </w:pPr>
      <w:r w:rsidRPr="00253D7C">
        <w:rPr>
          <w:b/>
          <w:lang w:val="en-GB"/>
        </w:rPr>
        <w:t>Multidimensional:</w:t>
      </w:r>
      <w:r w:rsidRPr="00253D7C">
        <w:rPr>
          <w:lang w:val="en-GB"/>
        </w:rPr>
        <w:t xml:space="preserve"> in order to take into account the multidimensional nature of food and nutrition security and to tackle the root causes of hunger;</w:t>
      </w:r>
    </w:p>
    <w:p w14:paraId="0A447B2D" w14:textId="77777777" w:rsidR="00340DF5" w:rsidRPr="00253D7C" w:rsidRDefault="00340DF5" w:rsidP="00321144">
      <w:pPr>
        <w:pStyle w:val="ListParagraph"/>
        <w:numPr>
          <w:ilvl w:val="0"/>
          <w:numId w:val="13"/>
        </w:numPr>
        <w:ind w:left="709" w:hanging="491"/>
        <w:rPr>
          <w:lang w:val="en-GB"/>
        </w:rPr>
      </w:pPr>
      <w:r w:rsidRPr="00253D7C">
        <w:rPr>
          <w:b/>
          <w:lang w:val="en-GB"/>
        </w:rPr>
        <w:t>Targeted:</w:t>
      </w:r>
      <w:r w:rsidRPr="00253D7C">
        <w:rPr>
          <w:lang w:val="en-GB"/>
        </w:rPr>
        <w:t xml:space="preserve"> according to the needs of different social groups;</w:t>
      </w:r>
    </w:p>
    <w:p w14:paraId="00361EF4" w14:textId="77777777" w:rsidR="00340DF5" w:rsidRPr="00253D7C" w:rsidRDefault="00340DF5" w:rsidP="00321144">
      <w:pPr>
        <w:pStyle w:val="ListParagraph"/>
        <w:numPr>
          <w:ilvl w:val="0"/>
          <w:numId w:val="13"/>
        </w:numPr>
        <w:ind w:left="709" w:hanging="491"/>
        <w:rPr>
          <w:lang w:val="en-GB"/>
        </w:rPr>
      </w:pPr>
      <w:r w:rsidRPr="00253D7C">
        <w:rPr>
          <w:b/>
          <w:lang w:val="en-GB"/>
        </w:rPr>
        <w:t>Accountable:</w:t>
      </w:r>
      <w:r w:rsidRPr="00253D7C">
        <w:rPr>
          <w:lang w:val="en-GB"/>
        </w:rPr>
        <w:t xml:space="preserve"> clear objectives and monitoring should be fully integrated in policy design;</w:t>
      </w:r>
    </w:p>
    <w:p w14:paraId="374E338F" w14:textId="77777777" w:rsidR="00340DF5" w:rsidRPr="00253D7C" w:rsidRDefault="00340DF5" w:rsidP="00321144">
      <w:pPr>
        <w:pStyle w:val="ListParagraph"/>
        <w:numPr>
          <w:ilvl w:val="0"/>
          <w:numId w:val="13"/>
        </w:numPr>
        <w:ind w:left="709" w:hanging="491"/>
        <w:rPr>
          <w:lang w:val="en-GB"/>
        </w:rPr>
      </w:pPr>
      <w:r w:rsidRPr="00253D7C">
        <w:rPr>
          <w:b/>
          <w:lang w:val="en-GB"/>
        </w:rPr>
        <w:t>Focused on empowerment:</w:t>
      </w:r>
      <w:r w:rsidRPr="00253D7C">
        <w:rPr>
          <w:lang w:val="en-GB"/>
        </w:rPr>
        <w:t xml:space="preserve"> women are often key to the household nutritional status, so they </w:t>
      </w:r>
      <w:proofErr w:type="gramStart"/>
      <w:r w:rsidRPr="00253D7C">
        <w:rPr>
          <w:lang w:val="en-GB"/>
        </w:rPr>
        <w:t>should be assisted</w:t>
      </w:r>
      <w:proofErr w:type="gramEnd"/>
      <w:r w:rsidRPr="00253D7C">
        <w:rPr>
          <w:lang w:val="en-GB"/>
        </w:rPr>
        <w:t xml:space="preserve"> in this critical social role. </w:t>
      </w:r>
    </w:p>
    <w:p w14:paraId="4E1CC247" w14:textId="77777777" w:rsidR="00340DF5" w:rsidRPr="00253D7C" w:rsidRDefault="00340DF5" w:rsidP="00321144">
      <w:pPr>
        <w:pStyle w:val="ListParagraph"/>
        <w:numPr>
          <w:ilvl w:val="0"/>
          <w:numId w:val="13"/>
        </w:numPr>
        <w:ind w:left="709" w:hanging="491"/>
        <w:rPr>
          <w:lang w:val="en-GB"/>
        </w:rPr>
      </w:pPr>
      <w:r w:rsidRPr="00253D7C">
        <w:rPr>
          <w:b/>
          <w:lang w:val="en-GB"/>
        </w:rPr>
        <w:t>Focused on social protection</w:t>
      </w:r>
      <w:r w:rsidRPr="00253D7C">
        <w:rPr>
          <w:lang w:val="en-GB"/>
        </w:rPr>
        <w:t>: the development of safety nets is central to fight food insecurity</w:t>
      </w:r>
    </w:p>
    <w:p w14:paraId="4055F10A" w14:textId="77777777" w:rsidR="00340DF5" w:rsidRPr="00253D7C" w:rsidRDefault="00340DF5" w:rsidP="00321144">
      <w:pPr>
        <w:pStyle w:val="ListParagraph"/>
        <w:numPr>
          <w:ilvl w:val="0"/>
          <w:numId w:val="13"/>
        </w:numPr>
        <w:ind w:left="709" w:hanging="491"/>
        <w:rPr>
          <w:lang w:val="en-GB"/>
        </w:rPr>
      </w:pPr>
      <w:r w:rsidRPr="00253D7C">
        <w:rPr>
          <w:b/>
          <w:lang w:val="en-GB"/>
        </w:rPr>
        <w:t>Focused on nutritional education strategies</w:t>
      </w:r>
      <w:r w:rsidRPr="00253D7C">
        <w:rPr>
          <w:lang w:val="en-GB"/>
        </w:rPr>
        <w:t xml:space="preserve">: to facilitate the availability, affordability and acceptability of healthy lifestyle behaviors. </w:t>
      </w:r>
    </w:p>
    <w:p w14:paraId="3C0CDEE8" w14:textId="2000B963" w:rsidR="00340DF5" w:rsidRPr="00253D7C" w:rsidRDefault="00340DF5" w:rsidP="00447D57">
      <w:pPr>
        <w:pStyle w:val="ListParagraph"/>
        <w:numPr>
          <w:ilvl w:val="0"/>
          <w:numId w:val="13"/>
        </w:numPr>
        <w:ind w:left="709" w:hanging="491"/>
        <w:rPr>
          <w:lang w:val="en-GB"/>
        </w:rPr>
      </w:pPr>
      <w:r w:rsidRPr="00253D7C">
        <w:rPr>
          <w:b/>
          <w:lang w:val="en-GB"/>
        </w:rPr>
        <w:t>Focused on the reduction of highly-processed foods</w:t>
      </w:r>
      <w:r w:rsidRPr="00253D7C">
        <w:rPr>
          <w:lang w:val="en-GB"/>
        </w:rPr>
        <w:t xml:space="preserve">: to prevent diet-related diseases </w:t>
      </w:r>
    </w:p>
    <w:p w14:paraId="54D02EB1" w14:textId="77777777" w:rsidR="00340DF5" w:rsidRPr="00253D7C" w:rsidRDefault="00340DF5" w:rsidP="00340DF5">
      <w:pPr>
        <w:rPr>
          <w:lang w:val="en-GB"/>
        </w:rPr>
      </w:pPr>
    </w:p>
    <w:p w14:paraId="519C0FEC" w14:textId="77777777" w:rsidR="00340DF5" w:rsidRPr="00253D7C" w:rsidRDefault="00340DF5" w:rsidP="00340DF5">
      <w:pPr>
        <w:rPr>
          <w:lang w:val="en-GB"/>
        </w:rPr>
      </w:pPr>
      <w:r w:rsidRPr="00253D7C">
        <w:rPr>
          <w:lang w:val="en-GB"/>
        </w:rPr>
        <w:t>In order to assess the efficiency of policies, some contributions suggest, as important reference tools, the Global Strategic Framework (GSF)</w:t>
      </w:r>
      <w:r w:rsidRPr="00253D7C">
        <w:rPr>
          <w:rStyle w:val="FootnoteReference"/>
          <w:lang w:val="en-GB"/>
        </w:rPr>
        <w:footnoteReference w:id="13"/>
      </w:r>
      <w:r w:rsidRPr="00253D7C">
        <w:rPr>
          <w:lang w:val="en-GB"/>
        </w:rPr>
        <w:t>, developed by the Committee on Food Security (CFS)</w:t>
      </w:r>
      <w:r w:rsidRPr="00253D7C">
        <w:rPr>
          <w:rStyle w:val="FootnoteReference"/>
          <w:lang w:val="en-GB"/>
        </w:rPr>
        <w:footnoteReference w:id="14"/>
      </w:r>
      <w:r w:rsidRPr="00253D7C">
        <w:rPr>
          <w:lang w:val="en-GB"/>
        </w:rPr>
        <w:t xml:space="preserve"> and the “Key recommendations for Improving Nutrition through Agriculture” developed by FAO/UNSCN.</w:t>
      </w:r>
      <w:r w:rsidRPr="00253D7C">
        <w:rPr>
          <w:rStyle w:val="FootnoteReference"/>
          <w:lang w:val="en-GB"/>
        </w:rPr>
        <w:footnoteReference w:id="15"/>
      </w:r>
      <w:r w:rsidRPr="00253D7C">
        <w:rPr>
          <w:lang w:val="en-GB"/>
        </w:rPr>
        <w:t xml:space="preserve"> A cooperative, multi-stakeholder approach </w:t>
      </w:r>
      <w:proofErr w:type="gramStart"/>
      <w:r w:rsidRPr="00253D7C">
        <w:rPr>
          <w:lang w:val="en-GB"/>
        </w:rPr>
        <w:t>is needed</w:t>
      </w:r>
      <w:proofErr w:type="gramEnd"/>
      <w:r w:rsidRPr="00253D7C">
        <w:rPr>
          <w:lang w:val="en-GB"/>
        </w:rPr>
        <w:t xml:space="preserve"> in policy-making to address global and local challenges, which are often too hard to be solved single-handedly by one actor. A comprehensive approach as such can also attract more donors. </w:t>
      </w:r>
    </w:p>
    <w:p w14:paraId="6B1B9F7B" w14:textId="77777777" w:rsidR="002174FA" w:rsidRPr="00253D7C" w:rsidRDefault="002174FA" w:rsidP="00340DF5">
      <w:pPr>
        <w:rPr>
          <w:lang w:val="en-GB"/>
        </w:rPr>
      </w:pPr>
    </w:p>
    <w:p w14:paraId="1DC22E38" w14:textId="77777777" w:rsidR="00340DF5" w:rsidRPr="001261AF" w:rsidRDefault="00340DF5" w:rsidP="00340DF5">
      <w:pPr>
        <w:pStyle w:val="Heading2"/>
      </w:pPr>
      <w:bookmarkStart w:id="9" w:name="_Toc453781602"/>
      <w:r w:rsidRPr="001261AF">
        <w:t>Policy and programme proposal</w:t>
      </w:r>
      <w:bookmarkEnd w:id="9"/>
    </w:p>
    <w:p w14:paraId="3D73C9A0" w14:textId="77777777" w:rsidR="00340DF5" w:rsidRPr="00253D7C" w:rsidRDefault="00340DF5" w:rsidP="00340DF5">
      <w:pPr>
        <w:rPr>
          <w:lang w:val="en-GB"/>
        </w:rPr>
      </w:pPr>
      <w:r w:rsidRPr="00253D7C">
        <w:rPr>
          <w:lang w:val="en-GB"/>
        </w:rPr>
        <w:t xml:space="preserve">Here is a list of some of the most recurrent and important policy and/or programme proposals put forward in the three technical consultations, divided by the themes discussed above:  </w:t>
      </w:r>
    </w:p>
    <w:p w14:paraId="1E0ACA35" w14:textId="77777777" w:rsidR="00340DF5" w:rsidRPr="00253D7C" w:rsidRDefault="00340DF5" w:rsidP="00340DF5">
      <w:pPr>
        <w:spacing w:after="60"/>
        <w:rPr>
          <w:b/>
          <w:sz w:val="22"/>
          <w:lang w:val="en-GB"/>
        </w:rPr>
      </w:pPr>
      <w:r w:rsidRPr="00253D7C">
        <w:rPr>
          <w:b/>
          <w:sz w:val="22"/>
          <w:lang w:val="en-GB"/>
        </w:rPr>
        <w:t>Health, nutrition and basic rights</w:t>
      </w:r>
    </w:p>
    <w:p w14:paraId="1EFC06E2" w14:textId="77777777" w:rsidR="00340DF5" w:rsidRPr="00253D7C" w:rsidRDefault="00340DF5" w:rsidP="00321144">
      <w:pPr>
        <w:pStyle w:val="ListParagraph"/>
        <w:numPr>
          <w:ilvl w:val="0"/>
          <w:numId w:val="6"/>
        </w:numPr>
        <w:spacing w:after="60"/>
        <w:ind w:left="568" w:hanging="284"/>
        <w:rPr>
          <w:sz w:val="22"/>
          <w:lang w:val="en-GB"/>
        </w:rPr>
      </w:pPr>
      <w:r w:rsidRPr="00253D7C">
        <w:rPr>
          <w:sz w:val="22"/>
          <w:lang w:val="en-GB"/>
        </w:rPr>
        <w:lastRenderedPageBreak/>
        <w:t>Promoting  a human right to food approach in all relevant policies;</w:t>
      </w:r>
    </w:p>
    <w:p w14:paraId="45A0C559" w14:textId="77777777" w:rsidR="00340DF5" w:rsidRPr="00253D7C" w:rsidRDefault="00340DF5" w:rsidP="00321144">
      <w:pPr>
        <w:pStyle w:val="ListParagraph"/>
        <w:numPr>
          <w:ilvl w:val="0"/>
          <w:numId w:val="6"/>
        </w:numPr>
        <w:spacing w:after="60"/>
        <w:ind w:left="568" w:hanging="284"/>
        <w:rPr>
          <w:sz w:val="22"/>
          <w:lang w:val="en-GB"/>
        </w:rPr>
      </w:pPr>
      <w:r w:rsidRPr="00253D7C">
        <w:rPr>
          <w:sz w:val="22"/>
          <w:lang w:val="en-GB"/>
        </w:rPr>
        <w:t>Promoting access to clean water and reduce the incidence of water borne diseases;</w:t>
      </w:r>
    </w:p>
    <w:p w14:paraId="43BFB87B" w14:textId="77777777" w:rsidR="00340DF5" w:rsidRPr="00253D7C" w:rsidRDefault="00340DF5" w:rsidP="00321144">
      <w:pPr>
        <w:pStyle w:val="ListParagraph"/>
        <w:numPr>
          <w:ilvl w:val="0"/>
          <w:numId w:val="6"/>
        </w:numPr>
        <w:spacing w:after="60"/>
        <w:ind w:left="568" w:hanging="284"/>
        <w:rPr>
          <w:bCs/>
          <w:sz w:val="22"/>
          <w:lang w:val="en-GB"/>
        </w:rPr>
      </w:pPr>
      <w:r w:rsidRPr="00253D7C">
        <w:rPr>
          <w:sz w:val="22"/>
          <w:lang w:val="en-GB"/>
        </w:rPr>
        <w:t>Fostering collaboration between the health sector and agriculture, and involving nutritionist specialists at policy levels;</w:t>
      </w:r>
    </w:p>
    <w:p w14:paraId="2D1515A9" w14:textId="77777777" w:rsidR="00340DF5" w:rsidRPr="00253D7C" w:rsidRDefault="00340DF5" w:rsidP="00321144">
      <w:pPr>
        <w:pStyle w:val="ListParagraph"/>
        <w:numPr>
          <w:ilvl w:val="0"/>
          <w:numId w:val="6"/>
        </w:numPr>
        <w:spacing w:after="60"/>
        <w:ind w:left="568" w:hanging="284"/>
        <w:rPr>
          <w:sz w:val="22"/>
          <w:lang w:val="en-GB"/>
        </w:rPr>
      </w:pPr>
      <w:r w:rsidRPr="00253D7C">
        <w:rPr>
          <w:sz w:val="22"/>
          <w:lang w:val="en-GB"/>
        </w:rPr>
        <w:t xml:space="preserve">Eliminating health care fees for pregnant women - this would increase the access to health facilities and </w:t>
      </w:r>
      <w:proofErr w:type="gramStart"/>
      <w:r w:rsidRPr="00253D7C">
        <w:rPr>
          <w:sz w:val="22"/>
          <w:lang w:val="en-GB"/>
        </w:rPr>
        <w:t>as a consequence</w:t>
      </w:r>
      <w:proofErr w:type="gramEnd"/>
      <w:r w:rsidRPr="00253D7C">
        <w:rPr>
          <w:sz w:val="22"/>
          <w:lang w:val="en-GB"/>
        </w:rPr>
        <w:t>, reduce child mortality.</w:t>
      </w:r>
    </w:p>
    <w:p w14:paraId="1CECB91B" w14:textId="77777777" w:rsidR="00340DF5" w:rsidRPr="00253D7C" w:rsidRDefault="00340DF5" w:rsidP="00321144">
      <w:pPr>
        <w:pStyle w:val="ListParagraph"/>
        <w:numPr>
          <w:ilvl w:val="0"/>
          <w:numId w:val="6"/>
        </w:numPr>
        <w:spacing w:after="60"/>
        <w:ind w:left="568" w:hanging="284"/>
        <w:rPr>
          <w:sz w:val="22"/>
          <w:lang w:val="en-GB"/>
        </w:rPr>
      </w:pPr>
      <w:r w:rsidRPr="00253D7C">
        <w:rPr>
          <w:sz w:val="22"/>
          <w:lang w:val="en-GB"/>
        </w:rPr>
        <w:t xml:space="preserve">Protecting human's rights, at all stages of the food chain. </w:t>
      </w:r>
    </w:p>
    <w:p w14:paraId="408609F0" w14:textId="77777777" w:rsidR="00340DF5" w:rsidRPr="00253D7C" w:rsidRDefault="00340DF5" w:rsidP="00340DF5">
      <w:pPr>
        <w:spacing w:after="60"/>
        <w:rPr>
          <w:b/>
          <w:bCs/>
          <w:sz w:val="22"/>
          <w:lang w:val="en-GB"/>
        </w:rPr>
      </w:pPr>
      <w:r w:rsidRPr="00253D7C">
        <w:rPr>
          <w:b/>
          <w:bCs/>
          <w:sz w:val="22"/>
          <w:lang w:val="en-GB"/>
        </w:rPr>
        <w:t>Agriculture and Food Systems</w:t>
      </w:r>
    </w:p>
    <w:p w14:paraId="713820D0" w14:textId="77777777" w:rsidR="00340DF5" w:rsidRPr="00253D7C" w:rsidRDefault="00340DF5" w:rsidP="00321144">
      <w:pPr>
        <w:pStyle w:val="ListParagraph"/>
        <w:numPr>
          <w:ilvl w:val="0"/>
          <w:numId w:val="6"/>
        </w:numPr>
        <w:spacing w:after="60"/>
        <w:ind w:left="568" w:hanging="284"/>
        <w:rPr>
          <w:sz w:val="22"/>
          <w:lang w:val="en-GB"/>
        </w:rPr>
      </w:pPr>
      <w:r w:rsidRPr="00253D7C">
        <w:rPr>
          <w:sz w:val="22"/>
          <w:lang w:val="en-GB"/>
        </w:rPr>
        <w:t>Reducing post-harvest losses;</w:t>
      </w:r>
    </w:p>
    <w:p w14:paraId="114FC998" w14:textId="77777777" w:rsidR="00340DF5" w:rsidRPr="00253D7C" w:rsidRDefault="00340DF5" w:rsidP="00321144">
      <w:pPr>
        <w:pStyle w:val="ListParagraph"/>
        <w:numPr>
          <w:ilvl w:val="0"/>
          <w:numId w:val="6"/>
        </w:numPr>
        <w:spacing w:after="60"/>
        <w:ind w:left="568" w:hanging="284"/>
        <w:rPr>
          <w:sz w:val="22"/>
          <w:lang w:val="en-GB"/>
        </w:rPr>
      </w:pPr>
      <w:r w:rsidRPr="00253D7C">
        <w:rPr>
          <w:sz w:val="22"/>
          <w:lang w:val="en-GB"/>
        </w:rPr>
        <w:t>Promoting the use of nutrition-enhanced fertilizers;</w:t>
      </w:r>
    </w:p>
    <w:p w14:paraId="3CF593C7" w14:textId="77777777" w:rsidR="00340DF5" w:rsidRPr="00253D7C" w:rsidRDefault="00340DF5" w:rsidP="00321144">
      <w:pPr>
        <w:pStyle w:val="ListParagraph"/>
        <w:numPr>
          <w:ilvl w:val="0"/>
          <w:numId w:val="6"/>
        </w:numPr>
        <w:spacing w:after="60"/>
        <w:ind w:left="568" w:hanging="284"/>
        <w:rPr>
          <w:sz w:val="22"/>
          <w:lang w:val="en-GB"/>
        </w:rPr>
      </w:pPr>
      <w:r w:rsidRPr="00253D7C">
        <w:rPr>
          <w:sz w:val="22"/>
          <w:lang w:val="en-GB"/>
        </w:rPr>
        <w:t>Focusing on soil health to enhance crop production and nutrition, preservation of traditional and improved seeds, with a generational hand-over of traditions, their usage and historical practices;</w:t>
      </w:r>
    </w:p>
    <w:p w14:paraId="3432FEAD" w14:textId="77777777" w:rsidR="00340DF5" w:rsidRPr="00253D7C" w:rsidRDefault="00340DF5" w:rsidP="00321144">
      <w:pPr>
        <w:pStyle w:val="ListParagraph"/>
        <w:numPr>
          <w:ilvl w:val="0"/>
          <w:numId w:val="6"/>
        </w:numPr>
        <w:spacing w:after="60"/>
        <w:ind w:left="568" w:hanging="284"/>
        <w:rPr>
          <w:sz w:val="22"/>
          <w:lang w:val="en-GB"/>
        </w:rPr>
      </w:pPr>
      <w:r w:rsidRPr="00253D7C">
        <w:rPr>
          <w:sz w:val="22"/>
          <w:lang w:val="en-GB"/>
        </w:rPr>
        <w:t>Sustainable agricultural production (preservation of natural resources);</w:t>
      </w:r>
    </w:p>
    <w:p w14:paraId="23611455" w14:textId="77777777" w:rsidR="00340DF5" w:rsidRPr="00253D7C" w:rsidRDefault="00340DF5" w:rsidP="00321144">
      <w:pPr>
        <w:pStyle w:val="ListParagraph"/>
        <w:numPr>
          <w:ilvl w:val="0"/>
          <w:numId w:val="6"/>
        </w:numPr>
        <w:spacing w:after="60"/>
        <w:ind w:left="568" w:hanging="284"/>
        <w:rPr>
          <w:sz w:val="22"/>
          <w:lang w:val="en-GB"/>
        </w:rPr>
      </w:pPr>
      <w:r w:rsidRPr="00253D7C">
        <w:rPr>
          <w:sz w:val="22"/>
          <w:lang w:val="en-GB"/>
        </w:rPr>
        <w:t>Nutrition  interventions:  food  (bio)  fortiﬁcation  to  reduce  malnutrition  and  micronutrient deﬁciencies;</w:t>
      </w:r>
    </w:p>
    <w:p w14:paraId="5E55C06B" w14:textId="77777777" w:rsidR="00340DF5" w:rsidRPr="00253D7C" w:rsidRDefault="00340DF5" w:rsidP="00321144">
      <w:pPr>
        <w:pStyle w:val="ListParagraph"/>
        <w:numPr>
          <w:ilvl w:val="0"/>
          <w:numId w:val="6"/>
        </w:numPr>
        <w:spacing w:after="60"/>
        <w:ind w:left="568" w:hanging="284"/>
        <w:rPr>
          <w:sz w:val="22"/>
          <w:lang w:val="en-GB"/>
        </w:rPr>
      </w:pPr>
      <w:r w:rsidRPr="00253D7C">
        <w:rPr>
          <w:sz w:val="22"/>
          <w:lang w:val="en-GB"/>
        </w:rPr>
        <w:t>Fostering resilient agriculture;</w:t>
      </w:r>
    </w:p>
    <w:p w14:paraId="1AC3A3E9" w14:textId="77777777" w:rsidR="00340DF5" w:rsidRPr="00253D7C" w:rsidRDefault="00340DF5" w:rsidP="00321144">
      <w:pPr>
        <w:pStyle w:val="ListParagraph"/>
        <w:numPr>
          <w:ilvl w:val="0"/>
          <w:numId w:val="6"/>
        </w:numPr>
        <w:spacing w:after="60"/>
        <w:ind w:left="568" w:hanging="284"/>
        <w:rPr>
          <w:sz w:val="22"/>
          <w:lang w:val="en-GB"/>
        </w:rPr>
      </w:pPr>
      <w:r w:rsidRPr="00253D7C">
        <w:rPr>
          <w:sz w:val="22"/>
          <w:lang w:val="en-GB"/>
        </w:rPr>
        <w:t>Creating of enabling environment for local smallholders;</w:t>
      </w:r>
    </w:p>
    <w:p w14:paraId="5E73EFB8" w14:textId="77777777" w:rsidR="00340DF5" w:rsidRPr="00253D7C" w:rsidRDefault="00340DF5" w:rsidP="00321144">
      <w:pPr>
        <w:pStyle w:val="ListParagraph"/>
        <w:numPr>
          <w:ilvl w:val="0"/>
          <w:numId w:val="6"/>
        </w:numPr>
        <w:spacing w:after="60"/>
        <w:ind w:left="568" w:hanging="284"/>
        <w:rPr>
          <w:sz w:val="22"/>
          <w:lang w:val="en-GB"/>
        </w:rPr>
      </w:pPr>
      <w:r w:rsidRPr="00253D7C">
        <w:rPr>
          <w:sz w:val="22"/>
          <w:lang w:val="en-GB"/>
        </w:rPr>
        <w:t>Safeguarding natural resources, strengthening local market mechanisms;</w:t>
      </w:r>
    </w:p>
    <w:p w14:paraId="20C04A06" w14:textId="77777777" w:rsidR="00340DF5" w:rsidRPr="00253D7C" w:rsidRDefault="00340DF5" w:rsidP="00321144">
      <w:pPr>
        <w:pStyle w:val="ListParagraph"/>
        <w:numPr>
          <w:ilvl w:val="0"/>
          <w:numId w:val="6"/>
        </w:numPr>
        <w:spacing w:after="60"/>
        <w:ind w:left="568" w:hanging="284"/>
        <w:rPr>
          <w:sz w:val="22"/>
          <w:lang w:val="en-GB"/>
        </w:rPr>
      </w:pPr>
      <w:r w:rsidRPr="00253D7C">
        <w:rPr>
          <w:sz w:val="22"/>
          <w:lang w:val="en-GB"/>
        </w:rPr>
        <w:t xml:space="preserve">Decentralizing local food systems. </w:t>
      </w:r>
    </w:p>
    <w:p w14:paraId="0BE49C67" w14:textId="77777777" w:rsidR="00340DF5" w:rsidRPr="00253D7C" w:rsidRDefault="00340DF5" w:rsidP="00340DF5">
      <w:pPr>
        <w:spacing w:after="60"/>
        <w:rPr>
          <w:b/>
          <w:sz w:val="22"/>
          <w:lang w:val="en-GB"/>
        </w:rPr>
      </w:pPr>
      <w:r w:rsidRPr="00253D7C">
        <w:rPr>
          <w:b/>
          <w:sz w:val="22"/>
          <w:lang w:val="en-GB"/>
        </w:rPr>
        <w:t>Education</w:t>
      </w:r>
    </w:p>
    <w:p w14:paraId="5C50D530" w14:textId="77777777" w:rsidR="00340DF5" w:rsidRPr="00253D7C" w:rsidRDefault="00340DF5" w:rsidP="00321144">
      <w:pPr>
        <w:pStyle w:val="ListParagraph"/>
        <w:numPr>
          <w:ilvl w:val="0"/>
          <w:numId w:val="6"/>
        </w:numPr>
        <w:spacing w:after="60"/>
        <w:ind w:left="568" w:hanging="284"/>
        <w:rPr>
          <w:bCs/>
          <w:sz w:val="22"/>
          <w:lang w:val="en-GB"/>
        </w:rPr>
      </w:pPr>
      <w:r w:rsidRPr="00253D7C">
        <w:rPr>
          <w:sz w:val="22"/>
          <w:lang w:val="en-GB"/>
        </w:rPr>
        <w:t xml:space="preserve">Encouraging the link between local knowledge and advanced scientiﬁc knowledge and promoting Agricultural Research for Development (AR4D); </w:t>
      </w:r>
    </w:p>
    <w:p w14:paraId="240F6E00" w14:textId="77777777" w:rsidR="00340DF5" w:rsidRPr="00253D7C" w:rsidRDefault="00340DF5" w:rsidP="00321144">
      <w:pPr>
        <w:pStyle w:val="ListParagraph"/>
        <w:numPr>
          <w:ilvl w:val="0"/>
          <w:numId w:val="6"/>
        </w:numPr>
        <w:spacing w:after="60"/>
        <w:ind w:left="568" w:hanging="284"/>
        <w:rPr>
          <w:sz w:val="22"/>
          <w:lang w:val="en-GB"/>
        </w:rPr>
      </w:pPr>
      <w:r w:rsidRPr="00253D7C">
        <w:rPr>
          <w:sz w:val="22"/>
          <w:lang w:val="en-GB"/>
        </w:rPr>
        <w:t xml:space="preserve">Developing educational programmes on nutrition at all levels including trainings, capacity building and empowerment of smallholders especially women farmers. </w:t>
      </w:r>
    </w:p>
    <w:p w14:paraId="7EFBCE7D" w14:textId="77777777" w:rsidR="00340DF5" w:rsidRPr="00253D7C" w:rsidRDefault="00340DF5" w:rsidP="00340DF5">
      <w:pPr>
        <w:spacing w:after="60"/>
        <w:rPr>
          <w:b/>
          <w:bCs/>
          <w:sz w:val="22"/>
          <w:lang w:val="en-GB"/>
        </w:rPr>
      </w:pPr>
      <w:r w:rsidRPr="00253D7C">
        <w:rPr>
          <w:b/>
          <w:bCs/>
          <w:sz w:val="22"/>
          <w:lang w:val="en-GB"/>
        </w:rPr>
        <w:t>Social protection</w:t>
      </w:r>
    </w:p>
    <w:p w14:paraId="1D2D7F1C" w14:textId="77777777" w:rsidR="00340DF5" w:rsidRPr="00253D7C" w:rsidRDefault="00340DF5" w:rsidP="00321144">
      <w:pPr>
        <w:pStyle w:val="ListParagraph"/>
        <w:numPr>
          <w:ilvl w:val="0"/>
          <w:numId w:val="6"/>
        </w:numPr>
        <w:spacing w:after="60"/>
        <w:ind w:left="568" w:hanging="284"/>
        <w:rPr>
          <w:sz w:val="22"/>
          <w:lang w:val="en-GB"/>
        </w:rPr>
      </w:pPr>
      <w:r w:rsidRPr="00253D7C">
        <w:rPr>
          <w:sz w:val="22"/>
          <w:lang w:val="en-GB"/>
        </w:rPr>
        <w:t xml:space="preserve">Promoting cash-based transfer programmes to help vulnerable groups escape malnutrition; </w:t>
      </w:r>
    </w:p>
    <w:p w14:paraId="757205A6" w14:textId="77777777" w:rsidR="00340DF5" w:rsidRPr="00253D7C" w:rsidRDefault="00340DF5" w:rsidP="00321144">
      <w:pPr>
        <w:pStyle w:val="ListParagraph"/>
        <w:numPr>
          <w:ilvl w:val="0"/>
          <w:numId w:val="6"/>
        </w:numPr>
        <w:spacing w:after="60"/>
        <w:ind w:left="568" w:hanging="284"/>
        <w:rPr>
          <w:sz w:val="22"/>
          <w:lang w:val="en-GB"/>
        </w:rPr>
      </w:pPr>
      <w:r w:rsidRPr="00253D7C">
        <w:rPr>
          <w:sz w:val="22"/>
          <w:lang w:val="en-GB"/>
        </w:rPr>
        <w:t>Encouraging a wider use of school-feeding programs and national food gardens;</w:t>
      </w:r>
    </w:p>
    <w:p w14:paraId="324F9F27" w14:textId="77777777" w:rsidR="00340DF5" w:rsidRPr="00253D7C" w:rsidRDefault="00340DF5" w:rsidP="00321144">
      <w:pPr>
        <w:pStyle w:val="ListParagraph"/>
        <w:numPr>
          <w:ilvl w:val="0"/>
          <w:numId w:val="6"/>
        </w:numPr>
        <w:spacing w:after="60"/>
        <w:ind w:left="568" w:hanging="284"/>
        <w:rPr>
          <w:sz w:val="22"/>
          <w:lang w:val="en-GB"/>
        </w:rPr>
      </w:pPr>
      <w:r w:rsidRPr="00253D7C">
        <w:rPr>
          <w:sz w:val="22"/>
          <w:lang w:val="en-GB"/>
        </w:rPr>
        <w:t>Promoting legislation to support nutrition-sensitive social protection;</w:t>
      </w:r>
    </w:p>
    <w:p w14:paraId="339959BC" w14:textId="77777777" w:rsidR="00340DF5" w:rsidRPr="00253D7C" w:rsidRDefault="00340DF5" w:rsidP="00321144">
      <w:pPr>
        <w:pStyle w:val="ListParagraph"/>
        <w:numPr>
          <w:ilvl w:val="0"/>
          <w:numId w:val="6"/>
        </w:numPr>
        <w:spacing w:after="60"/>
        <w:ind w:left="568" w:hanging="284"/>
        <w:rPr>
          <w:sz w:val="22"/>
          <w:lang w:val="en-GB"/>
        </w:rPr>
      </w:pPr>
      <w:r w:rsidRPr="00253D7C">
        <w:rPr>
          <w:rFonts w:eastAsia="Times New Roman"/>
          <w:sz w:val="22"/>
          <w:lang w:val="en-GB"/>
        </w:rPr>
        <w:t>I</w:t>
      </w:r>
      <w:r w:rsidRPr="00253D7C">
        <w:rPr>
          <w:sz w:val="22"/>
          <w:lang w:val="en-GB"/>
        </w:rPr>
        <w:t>mproving access to credit;</w:t>
      </w:r>
    </w:p>
    <w:p w14:paraId="1D144E7A" w14:textId="77777777" w:rsidR="00340DF5" w:rsidRPr="00253D7C" w:rsidRDefault="00340DF5" w:rsidP="00321144">
      <w:pPr>
        <w:pStyle w:val="ListParagraph"/>
        <w:numPr>
          <w:ilvl w:val="0"/>
          <w:numId w:val="6"/>
        </w:numPr>
        <w:spacing w:after="60"/>
        <w:ind w:left="568" w:hanging="284"/>
        <w:rPr>
          <w:sz w:val="22"/>
          <w:lang w:val="en-GB"/>
        </w:rPr>
      </w:pPr>
      <w:r w:rsidRPr="00253D7C">
        <w:rPr>
          <w:sz w:val="22"/>
          <w:lang w:val="en-GB"/>
        </w:rPr>
        <w:t xml:space="preserve">Creating basic infrastructures such as water supplies and rural roads, which can e.g. facilitate access to markets; </w:t>
      </w:r>
    </w:p>
    <w:p w14:paraId="2F13553E" w14:textId="77777777" w:rsidR="00340DF5" w:rsidRPr="00253D7C" w:rsidRDefault="00340DF5" w:rsidP="00321144">
      <w:pPr>
        <w:pStyle w:val="ListParagraph"/>
        <w:numPr>
          <w:ilvl w:val="0"/>
          <w:numId w:val="6"/>
        </w:numPr>
        <w:spacing w:after="60"/>
        <w:ind w:left="568" w:hanging="284"/>
        <w:rPr>
          <w:sz w:val="22"/>
          <w:lang w:val="en-GB"/>
        </w:rPr>
      </w:pPr>
      <w:r w:rsidRPr="00253D7C">
        <w:rPr>
          <w:sz w:val="22"/>
          <w:lang w:val="en-GB"/>
        </w:rPr>
        <w:t xml:space="preserve">Establishing a free social security insurance for the most vulnerable. </w:t>
      </w:r>
    </w:p>
    <w:p w14:paraId="13BA0AD6" w14:textId="77777777" w:rsidR="00340DF5" w:rsidRPr="00253D7C" w:rsidRDefault="00340DF5" w:rsidP="00340DF5">
      <w:pPr>
        <w:spacing w:after="60"/>
        <w:rPr>
          <w:sz w:val="22"/>
          <w:lang w:val="en-GB"/>
        </w:rPr>
      </w:pPr>
      <w:r w:rsidRPr="00253D7C">
        <w:rPr>
          <w:b/>
          <w:bCs/>
          <w:sz w:val="22"/>
          <w:lang w:val="en-GB"/>
        </w:rPr>
        <w:t>Economic policies</w:t>
      </w:r>
    </w:p>
    <w:p w14:paraId="633E6904" w14:textId="77777777" w:rsidR="00340DF5" w:rsidRPr="00253D7C" w:rsidRDefault="00340DF5" w:rsidP="00321144">
      <w:pPr>
        <w:pStyle w:val="ListParagraph"/>
        <w:numPr>
          <w:ilvl w:val="0"/>
          <w:numId w:val="6"/>
        </w:numPr>
        <w:spacing w:after="60"/>
        <w:ind w:left="568" w:hanging="284"/>
        <w:rPr>
          <w:sz w:val="22"/>
          <w:lang w:val="en-GB"/>
        </w:rPr>
      </w:pPr>
      <w:r w:rsidRPr="00253D7C">
        <w:rPr>
          <w:sz w:val="22"/>
          <w:lang w:val="en-GB"/>
        </w:rPr>
        <w:t xml:space="preserve">Exploring innovative financing schemes to provide long-term, sustainable funding for direct nutrition interventions; </w:t>
      </w:r>
    </w:p>
    <w:p w14:paraId="6C4F9DE9" w14:textId="77777777" w:rsidR="00340DF5" w:rsidRPr="00253D7C" w:rsidRDefault="00340DF5" w:rsidP="00321144">
      <w:pPr>
        <w:pStyle w:val="ListParagraph"/>
        <w:numPr>
          <w:ilvl w:val="0"/>
          <w:numId w:val="6"/>
        </w:numPr>
        <w:spacing w:after="60"/>
        <w:ind w:left="568" w:hanging="284"/>
        <w:rPr>
          <w:bCs/>
          <w:sz w:val="22"/>
          <w:lang w:val="en-GB"/>
        </w:rPr>
      </w:pPr>
      <w:r w:rsidRPr="00253D7C">
        <w:rPr>
          <w:sz w:val="22"/>
          <w:lang w:val="en-GB"/>
        </w:rPr>
        <w:t xml:space="preserve">Reforming taxation / incentives for the production of nutritional food, thus lowering the price, improving access and reducing marketing of unhealthy foods; </w:t>
      </w:r>
    </w:p>
    <w:p w14:paraId="4569DD38" w14:textId="77777777" w:rsidR="00340DF5" w:rsidRPr="00253D7C" w:rsidRDefault="00340DF5" w:rsidP="00321144">
      <w:pPr>
        <w:pStyle w:val="ListParagraph"/>
        <w:numPr>
          <w:ilvl w:val="0"/>
          <w:numId w:val="6"/>
        </w:numPr>
        <w:spacing w:after="60"/>
        <w:ind w:left="568" w:hanging="284"/>
        <w:rPr>
          <w:sz w:val="22"/>
          <w:lang w:val="en-GB"/>
        </w:rPr>
      </w:pPr>
      <w:r w:rsidRPr="00253D7C">
        <w:rPr>
          <w:sz w:val="22"/>
          <w:lang w:val="en-GB"/>
        </w:rPr>
        <w:t xml:space="preserve">Addressing global trade rules; </w:t>
      </w:r>
    </w:p>
    <w:p w14:paraId="095884A4" w14:textId="77777777" w:rsidR="00340DF5" w:rsidRPr="00253D7C" w:rsidRDefault="00340DF5" w:rsidP="00321144">
      <w:pPr>
        <w:pStyle w:val="ListParagraph"/>
        <w:numPr>
          <w:ilvl w:val="0"/>
          <w:numId w:val="6"/>
        </w:numPr>
        <w:spacing w:after="60"/>
        <w:ind w:left="568" w:hanging="284"/>
        <w:rPr>
          <w:sz w:val="22"/>
          <w:lang w:val="en-GB"/>
        </w:rPr>
      </w:pPr>
      <w:r w:rsidRPr="00253D7C">
        <w:rPr>
          <w:sz w:val="22"/>
          <w:lang w:val="en-GB"/>
        </w:rPr>
        <w:t>Increasing cross-sectoral coordination among multiple stakeholders;</w:t>
      </w:r>
    </w:p>
    <w:p w14:paraId="23E52C25" w14:textId="77777777" w:rsidR="00340DF5" w:rsidRPr="00253D7C" w:rsidRDefault="00340DF5" w:rsidP="00321144">
      <w:pPr>
        <w:pStyle w:val="ListParagraph"/>
        <w:numPr>
          <w:ilvl w:val="0"/>
          <w:numId w:val="6"/>
        </w:numPr>
        <w:spacing w:after="60"/>
        <w:ind w:left="568" w:hanging="284"/>
        <w:rPr>
          <w:bCs/>
          <w:sz w:val="22"/>
          <w:lang w:val="en-GB"/>
        </w:rPr>
      </w:pPr>
      <w:r w:rsidRPr="00253D7C">
        <w:rPr>
          <w:sz w:val="22"/>
          <w:lang w:val="en-GB"/>
        </w:rPr>
        <w:t xml:space="preserve">Enabling partnerships between local and development agencies. </w:t>
      </w:r>
    </w:p>
    <w:p w14:paraId="29DB537F" w14:textId="77777777" w:rsidR="00340DF5" w:rsidRPr="00253D7C" w:rsidRDefault="00340DF5" w:rsidP="00340DF5">
      <w:pPr>
        <w:spacing w:after="60"/>
        <w:rPr>
          <w:b/>
          <w:sz w:val="22"/>
          <w:lang w:val="en-GB"/>
        </w:rPr>
      </w:pPr>
      <w:r w:rsidRPr="00253D7C">
        <w:rPr>
          <w:b/>
          <w:sz w:val="22"/>
          <w:lang w:val="en-GB"/>
        </w:rPr>
        <w:t>Transparency and monitoring</w:t>
      </w:r>
    </w:p>
    <w:p w14:paraId="5E1EF09F" w14:textId="77777777" w:rsidR="00340DF5" w:rsidRPr="00253D7C" w:rsidRDefault="00340DF5" w:rsidP="00321144">
      <w:pPr>
        <w:pStyle w:val="ListParagraph"/>
        <w:numPr>
          <w:ilvl w:val="0"/>
          <w:numId w:val="6"/>
        </w:numPr>
        <w:spacing w:after="60"/>
        <w:ind w:left="568" w:hanging="284"/>
        <w:rPr>
          <w:sz w:val="22"/>
          <w:lang w:val="en-GB"/>
        </w:rPr>
      </w:pPr>
      <w:r w:rsidRPr="00253D7C">
        <w:rPr>
          <w:sz w:val="22"/>
          <w:lang w:val="en-GB"/>
        </w:rPr>
        <w:t xml:space="preserve">Addressing corruption practices and the misuse or allocation of resources; </w:t>
      </w:r>
    </w:p>
    <w:p w14:paraId="6401FA85" w14:textId="77777777" w:rsidR="00340DF5" w:rsidRPr="00253D7C" w:rsidRDefault="00340DF5" w:rsidP="00321144">
      <w:pPr>
        <w:pStyle w:val="ListParagraph"/>
        <w:numPr>
          <w:ilvl w:val="0"/>
          <w:numId w:val="6"/>
        </w:numPr>
        <w:spacing w:after="60"/>
        <w:ind w:left="568" w:hanging="284"/>
        <w:rPr>
          <w:sz w:val="22"/>
          <w:lang w:val="en-GB"/>
        </w:rPr>
      </w:pPr>
      <w:r w:rsidRPr="00253D7C">
        <w:rPr>
          <w:sz w:val="22"/>
          <w:lang w:val="en-GB"/>
        </w:rPr>
        <w:t>Determining the appropriate indicators for monitoring and evaluation.</w:t>
      </w:r>
    </w:p>
    <w:p w14:paraId="3AF4BCB3" w14:textId="77777777" w:rsidR="00340DF5" w:rsidRPr="001261AF" w:rsidRDefault="00340DF5" w:rsidP="00340DF5">
      <w:pPr>
        <w:pStyle w:val="Heading2"/>
      </w:pPr>
      <w:bookmarkStart w:id="10" w:name="_Toc453781603"/>
      <w:r w:rsidRPr="001261AF">
        <w:lastRenderedPageBreak/>
        <w:t>Relevant Case Studies</w:t>
      </w:r>
      <w:bookmarkEnd w:id="10"/>
    </w:p>
    <w:p w14:paraId="59F7E695" w14:textId="77777777" w:rsidR="00340DF5" w:rsidRPr="00253D7C" w:rsidRDefault="00340DF5" w:rsidP="00340DF5">
      <w:pPr>
        <w:rPr>
          <w:lang w:val="en-GB"/>
        </w:rPr>
      </w:pPr>
      <w:r w:rsidRPr="001261AF">
        <w:rPr>
          <w:lang w:val="en-GB"/>
        </w:rPr>
        <w:t>A</w:t>
      </w:r>
      <w:r w:rsidRPr="00253D7C">
        <w:rPr>
          <w:lang w:val="en-GB"/>
        </w:rPr>
        <w:t xml:space="preserve"> number of examples of programmes and best practices </w:t>
      </w:r>
      <w:proofErr w:type="gramStart"/>
      <w:r w:rsidRPr="00253D7C">
        <w:rPr>
          <w:lang w:val="en-GB"/>
        </w:rPr>
        <w:t>were cited</w:t>
      </w:r>
      <w:proofErr w:type="gramEnd"/>
      <w:r w:rsidRPr="00253D7C">
        <w:rPr>
          <w:lang w:val="en-GB"/>
        </w:rPr>
        <w:t xml:space="preserve"> during the online discussions. Though some of these </w:t>
      </w:r>
      <w:proofErr w:type="gramStart"/>
      <w:r w:rsidRPr="00253D7C">
        <w:rPr>
          <w:lang w:val="en-GB"/>
        </w:rPr>
        <w:t>were just mentioned</w:t>
      </w:r>
      <w:proofErr w:type="gramEnd"/>
      <w:r w:rsidRPr="00253D7C">
        <w:rPr>
          <w:lang w:val="en-GB"/>
        </w:rPr>
        <w:t xml:space="preserve">, we investigated deeper to provide an overview of how specific and well-designed programmes can have concrete nutritional benefits. All information from these case studies </w:t>
      </w:r>
      <w:proofErr w:type="gramStart"/>
      <w:r w:rsidRPr="00253D7C">
        <w:rPr>
          <w:lang w:val="en-GB"/>
        </w:rPr>
        <w:t>was taken</w:t>
      </w:r>
      <w:proofErr w:type="gramEnd"/>
      <w:r w:rsidRPr="00253D7C">
        <w:rPr>
          <w:lang w:val="en-GB"/>
        </w:rPr>
        <w:t xml:space="preserve"> directly from the referenced websites, in footnotes below. </w:t>
      </w:r>
    </w:p>
    <w:p w14:paraId="1655CDE1" w14:textId="77777777" w:rsidR="00340DF5" w:rsidRPr="00253D7C" w:rsidRDefault="00340DF5" w:rsidP="00340DF5">
      <w:pPr>
        <w:rPr>
          <w:lang w:val="en-GB"/>
        </w:rPr>
      </w:pPr>
    </w:p>
    <w:p w14:paraId="74C7EBDB" w14:textId="77777777" w:rsidR="00340DF5" w:rsidRPr="00253D7C" w:rsidRDefault="00340DF5" w:rsidP="00321144">
      <w:pPr>
        <w:pStyle w:val="ListParagraph"/>
        <w:numPr>
          <w:ilvl w:val="0"/>
          <w:numId w:val="14"/>
        </w:numPr>
        <w:rPr>
          <w:b/>
          <w:lang w:val="en-GB"/>
        </w:rPr>
      </w:pPr>
      <w:r w:rsidRPr="00253D7C">
        <w:rPr>
          <w:b/>
          <w:lang w:val="en-GB"/>
        </w:rPr>
        <w:t>Integrated home gardening and farming systems for nutrition – South of Bangladesh</w:t>
      </w:r>
      <w:r w:rsidRPr="00253D7C">
        <w:rPr>
          <w:rStyle w:val="FootnoteReference"/>
          <w:b/>
          <w:lang w:val="en-GB"/>
        </w:rPr>
        <w:footnoteReference w:id="16"/>
      </w:r>
    </w:p>
    <w:p w14:paraId="34B01676" w14:textId="77777777" w:rsidR="00340DF5" w:rsidRPr="00253D7C" w:rsidRDefault="00340DF5" w:rsidP="00340DF5">
      <w:pPr>
        <w:pStyle w:val="Boxtext"/>
        <w:spacing w:after="60"/>
        <w:ind w:left="0"/>
        <w:jc w:val="both"/>
        <w:rPr>
          <w:rFonts w:ascii="Times New Roman" w:eastAsiaTheme="minorEastAsia" w:hAnsi="Times New Roman"/>
          <w:sz w:val="24"/>
          <w:lang w:eastAsia="en-CA"/>
        </w:rPr>
      </w:pPr>
      <w:r w:rsidRPr="00253D7C">
        <w:rPr>
          <w:rFonts w:ascii="Times New Roman" w:eastAsiaTheme="minorEastAsia" w:hAnsi="Times New Roman"/>
          <w:sz w:val="24"/>
          <w:lang w:eastAsia="en-CA"/>
        </w:rPr>
        <w:t xml:space="preserve">Ektee Bari Ektee Khamar i.e. One House One Farm (OHOF) is a poverty alleviation project through family farming of the Government of Bangladesh. </w:t>
      </w:r>
    </w:p>
    <w:p w14:paraId="625A87E7" w14:textId="77777777" w:rsidR="00340DF5" w:rsidRPr="00253D7C" w:rsidRDefault="00340DF5" w:rsidP="00340DF5">
      <w:pPr>
        <w:pStyle w:val="Boxtext"/>
        <w:spacing w:after="60"/>
        <w:ind w:left="0"/>
        <w:jc w:val="both"/>
        <w:rPr>
          <w:rFonts w:ascii="Times New Roman" w:eastAsiaTheme="minorEastAsia" w:hAnsi="Times New Roman"/>
          <w:b/>
          <w:sz w:val="24"/>
          <w:lang w:eastAsia="en-CA"/>
        </w:rPr>
      </w:pPr>
      <w:r w:rsidRPr="00253D7C">
        <w:rPr>
          <w:rFonts w:ascii="Times New Roman" w:eastAsiaTheme="minorEastAsia" w:hAnsi="Times New Roman"/>
          <w:b/>
          <w:sz w:val="24"/>
          <w:lang w:eastAsia="en-CA"/>
        </w:rPr>
        <w:t>Partners</w:t>
      </w:r>
    </w:p>
    <w:p w14:paraId="461C9D5B" w14:textId="77777777" w:rsidR="00340DF5" w:rsidRPr="00253D7C" w:rsidRDefault="00340DF5" w:rsidP="00340DF5">
      <w:pPr>
        <w:pStyle w:val="Boxtext"/>
        <w:spacing w:after="60"/>
        <w:ind w:left="0"/>
        <w:jc w:val="both"/>
        <w:rPr>
          <w:rFonts w:ascii="Times New Roman" w:eastAsiaTheme="minorEastAsia" w:hAnsi="Times New Roman"/>
          <w:sz w:val="24"/>
          <w:lang w:eastAsia="en-CA"/>
        </w:rPr>
      </w:pPr>
      <w:r w:rsidRPr="00253D7C">
        <w:rPr>
          <w:rFonts w:ascii="Times New Roman" w:eastAsiaTheme="minorEastAsia" w:hAnsi="Times New Roman"/>
          <w:i/>
          <w:iCs/>
          <w:sz w:val="24"/>
          <w:lang w:eastAsia="en-CA"/>
        </w:rPr>
        <w:t>Sponsored by:</w:t>
      </w:r>
      <w:r w:rsidRPr="00253D7C">
        <w:rPr>
          <w:rFonts w:ascii="Times New Roman" w:eastAsiaTheme="minorEastAsia" w:hAnsi="Times New Roman"/>
          <w:sz w:val="24"/>
          <w:lang w:eastAsia="en-CA"/>
        </w:rPr>
        <w:t xml:space="preserve"> Rural Development and Cooperative Division, Ministry of Local Government, Rural Development &amp; Cooperatives</w:t>
      </w:r>
    </w:p>
    <w:p w14:paraId="52CD903D" w14:textId="77777777" w:rsidR="00340DF5" w:rsidRPr="00253D7C" w:rsidRDefault="00340DF5" w:rsidP="00E663E4">
      <w:pPr>
        <w:pStyle w:val="Boxtext"/>
        <w:spacing w:after="60"/>
        <w:ind w:left="0"/>
        <w:rPr>
          <w:rFonts w:ascii="Times New Roman" w:eastAsiaTheme="minorEastAsia" w:hAnsi="Times New Roman"/>
          <w:sz w:val="24"/>
          <w:lang w:eastAsia="en-CA"/>
        </w:rPr>
      </w:pPr>
      <w:r w:rsidRPr="00253D7C">
        <w:rPr>
          <w:rFonts w:ascii="Times New Roman" w:eastAsiaTheme="minorEastAsia" w:hAnsi="Times New Roman"/>
          <w:i/>
          <w:iCs/>
          <w:sz w:val="24"/>
          <w:lang w:eastAsia="en-CA"/>
        </w:rPr>
        <w:t>Executing Agency:</w:t>
      </w:r>
      <w:r w:rsidRPr="00253D7C">
        <w:rPr>
          <w:rFonts w:ascii="Times New Roman" w:eastAsiaTheme="minorEastAsia" w:hAnsi="Times New Roman"/>
          <w:sz w:val="24"/>
          <w:lang w:eastAsia="en-CA"/>
        </w:rPr>
        <w:t xml:space="preserve"> Rural Development and Cooperative Division, Ministry of Local Government, Rural Development and Cooperatives with District Administration in particular Deputy Commissioner and his officials. Bangladesh Rural Development Board (BRDB) as the main support agency along with other departments like Co-operatives, Bangladesh Academy for Rural Development (BARD), Comilla, PDBF, SFDF and Rural Development Academy (RDA), Bogra.</w:t>
      </w:r>
    </w:p>
    <w:p w14:paraId="33234861" w14:textId="77777777" w:rsidR="00340DF5" w:rsidRPr="00253D7C" w:rsidRDefault="00340DF5" w:rsidP="00340DF5">
      <w:pPr>
        <w:pStyle w:val="Boxtext"/>
        <w:spacing w:after="60"/>
        <w:ind w:left="0"/>
        <w:jc w:val="both"/>
        <w:rPr>
          <w:rFonts w:ascii="Times New Roman" w:eastAsiaTheme="minorEastAsia" w:hAnsi="Times New Roman"/>
          <w:b/>
          <w:sz w:val="24"/>
          <w:lang w:eastAsia="en-CA"/>
        </w:rPr>
      </w:pPr>
      <w:r w:rsidRPr="00253D7C">
        <w:rPr>
          <w:rFonts w:ascii="Times New Roman" w:eastAsiaTheme="minorEastAsia" w:hAnsi="Times New Roman"/>
          <w:b/>
          <w:sz w:val="24"/>
          <w:lang w:eastAsia="en-CA"/>
        </w:rPr>
        <w:t>Objective</w:t>
      </w:r>
    </w:p>
    <w:p w14:paraId="6B9C915E" w14:textId="77777777" w:rsidR="00340DF5" w:rsidRPr="00253D7C" w:rsidRDefault="00340DF5" w:rsidP="00340DF5">
      <w:pPr>
        <w:pStyle w:val="Boxtext"/>
        <w:spacing w:after="60"/>
        <w:ind w:left="0"/>
        <w:jc w:val="both"/>
        <w:rPr>
          <w:rFonts w:ascii="Times New Roman" w:eastAsiaTheme="minorEastAsia" w:hAnsi="Times New Roman"/>
          <w:sz w:val="24"/>
          <w:lang w:eastAsia="en-CA"/>
        </w:rPr>
      </w:pPr>
      <w:r w:rsidRPr="00253D7C">
        <w:rPr>
          <w:rFonts w:ascii="Times New Roman" w:eastAsiaTheme="minorEastAsia" w:hAnsi="Times New Roman"/>
          <w:sz w:val="24"/>
          <w:lang w:eastAsia="en-CA"/>
        </w:rPr>
        <w:t xml:space="preserve">The goal of the project is poverty alleviation through e-financial inclusion (i.e. fund mobilization) followed by family farming livelihood and income generation of the under privileged and smallholders of the country. </w:t>
      </w:r>
    </w:p>
    <w:p w14:paraId="7081C512" w14:textId="77777777" w:rsidR="00340DF5" w:rsidRPr="00253D7C" w:rsidRDefault="00340DF5" w:rsidP="00340DF5">
      <w:pPr>
        <w:pStyle w:val="Boxtext"/>
        <w:spacing w:after="60"/>
        <w:ind w:left="0"/>
        <w:jc w:val="both"/>
        <w:rPr>
          <w:rFonts w:ascii="Times New Roman" w:eastAsiaTheme="minorEastAsia" w:hAnsi="Times New Roman"/>
          <w:b/>
          <w:sz w:val="24"/>
          <w:lang w:eastAsia="en-CA"/>
        </w:rPr>
      </w:pPr>
      <w:r w:rsidRPr="00253D7C">
        <w:rPr>
          <w:rFonts w:ascii="Times New Roman" w:eastAsiaTheme="minorEastAsia" w:hAnsi="Times New Roman"/>
          <w:b/>
          <w:sz w:val="24"/>
          <w:lang w:eastAsia="en-CA"/>
        </w:rPr>
        <w:t>Background</w:t>
      </w:r>
    </w:p>
    <w:p w14:paraId="3D72428B" w14:textId="77777777" w:rsidR="00340DF5" w:rsidRPr="00253D7C" w:rsidRDefault="00340DF5" w:rsidP="00E663E4">
      <w:pPr>
        <w:pStyle w:val="Boxtext"/>
        <w:spacing w:after="60"/>
        <w:ind w:left="0"/>
        <w:rPr>
          <w:rFonts w:ascii="Times New Roman" w:eastAsiaTheme="minorEastAsia" w:hAnsi="Times New Roman"/>
          <w:sz w:val="24"/>
          <w:lang w:eastAsia="en-CA"/>
        </w:rPr>
      </w:pPr>
      <w:r w:rsidRPr="00253D7C">
        <w:rPr>
          <w:rFonts w:ascii="Times New Roman" w:eastAsiaTheme="minorEastAsia" w:hAnsi="Times New Roman"/>
          <w:sz w:val="24"/>
          <w:lang w:eastAsia="en-CA"/>
        </w:rPr>
        <w:t xml:space="preserve">For the first time, the Government of Bangladesh is giving money to poor people and village organizations directly as a grant for their primary capital to use as a revolving fund. Secondly, the poor are taking decisions themselves, i.e. development is participatory and designed as a bottom up approach rather than top down. Thirdly, the total process of project management and fund management </w:t>
      </w:r>
      <w:proofErr w:type="gramStart"/>
      <w:r w:rsidRPr="00253D7C">
        <w:rPr>
          <w:rFonts w:ascii="Times New Roman" w:eastAsiaTheme="minorEastAsia" w:hAnsi="Times New Roman"/>
          <w:sz w:val="24"/>
          <w:lang w:eastAsia="en-CA"/>
        </w:rPr>
        <w:t>have been done</w:t>
      </w:r>
      <w:proofErr w:type="gramEnd"/>
      <w:r w:rsidRPr="00253D7C">
        <w:rPr>
          <w:rFonts w:ascii="Times New Roman" w:eastAsiaTheme="minorEastAsia" w:hAnsi="Times New Roman"/>
          <w:sz w:val="24"/>
          <w:lang w:eastAsia="en-CA"/>
        </w:rPr>
        <w:t xml:space="preserve"> electronically using ICT. The electronically digital monitoring reduced both delay and corruption, to ensure transparency and accountability. A huge investment </w:t>
      </w:r>
      <w:proofErr w:type="gramStart"/>
      <w:r w:rsidRPr="00253D7C">
        <w:rPr>
          <w:rFonts w:ascii="Times New Roman" w:eastAsiaTheme="minorEastAsia" w:hAnsi="Times New Roman"/>
          <w:sz w:val="24"/>
          <w:lang w:eastAsia="en-CA"/>
        </w:rPr>
        <w:t>was made</w:t>
      </w:r>
      <w:proofErr w:type="gramEnd"/>
      <w:r w:rsidRPr="00253D7C">
        <w:rPr>
          <w:rFonts w:ascii="Times New Roman" w:eastAsiaTheme="minorEastAsia" w:hAnsi="Times New Roman"/>
          <w:sz w:val="24"/>
          <w:lang w:eastAsia="en-CA"/>
        </w:rPr>
        <w:t xml:space="preserve"> in agriculture through household farming. Most interestingly, the mobilized fund lies with the account of the village cooperative. </w:t>
      </w:r>
    </w:p>
    <w:p w14:paraId="636FA3D6" w14:textId="77777777" w:rsidR="00340DF5" w:rsidRPr="00253D7C" w:rsidRDefault="00340DF5" w:rsidP="00340DF5">
      <w:pPr>
        <w:pStyle w:val="Boxtext"/>
        <w:spacing w:after="60"/>
        <w:ind w:left="0"/>
        <w:jc w:val="both"/>
        <w:rPr>
          <w:rFonts w:ascii="Times New Roman" w:eastAsiaTheme="minorEastAsia" w:hAnsi="Times New Roman"/>
          <w:b/>
          <w:sz w:val="24"/>
          <w:lang w:eastAsia="en-CA"/>
        </w:rPr>
      </w:pPr>
      <w:r w:rsidRPr="00253D7C">
        <w:rPr>
          <w:rFonts w:ascii="Times New Roman" w:eastAsiaTheme="minorEastAsia" w:hAnsi="Times New Roman"/>
          <w:b/>
          <w:sz w:val="24"/>
          <w:lang w:eastAsia="en-CA"/>
        </w:rPr>
        <w:t>Phased-Approach</w:t>
      </w:r>
    </w:p>
    <w:p w14:paraId="4CED44AC" w14:textId="77777777" w:rsidR="00340DF5" w:rsidRPr="00253D7C" w:rsidRDefault="00340DF5" w:rsidP="00321144">
      <w:pPr>
        <w:pStyle w:val="Boxtext"/>
        <w:numPr>
          <w:ilvl w:val="0"/>
          <w:numId w:val="15"/>
        </w:numPr>
        <w:spacing w:after="60"/>
        <w:ind w:left="1003" w:hanging="357"/>
        <w:jc w:val="both"/>
        <w:rPr>
          <w:rFonts w:ascii="Times New Roman" w:eastAsiaTheme="minorEastAsia" w:hAnsi="Times New Roman"/>
          <w:sz w:val="24"/>
          <w:lang w:eastAsia="en-CA"/>
        </w:rPr>
      </w:pPr>
      <w:r w:rsidRPr="00253D7C">
        <w:rPr>
          <w:rFonts w:ascii="Times New Roman" w:eastAsiaTheme="minorEastAsia" w:hAnsi="Times New Roman"/>
          <w:sz w:val="24"/>
          <w:lang w:eastAsia="en-CA"/>
        </w:rPr>
        <w:t>Assistance for capital formation of the poor farm families</w:t>
      </w:r>
    </w:p>
    <w:p w14:paraId="457064F5" w14:textId="77777777" w:rsidR="00340DF5" w:rsidRPr="00253D7C" w:rsidRDefault="00340DF5" w:rsidP="00321144">
      <w:pPr>
        <w:pStyle w:val="Boxtext"/>
        <w:numPr>
          <w:ilvl w:val="0"/>
          <w:numId w:val="15"/>
        </w:numPr>
        <w:spacing w:after="60"/>
        <w:ind w:left="1003" w:hanging="357"/>
        <w:jc w:val="both"/>
        <w:rPr>
          <w:rFonts w:ascii="Times New Roman" w:eastAsiaTheme="minorEastAsia" w:hAnsi="Times New Roman"/>
          <w:sz w:val="24"/>
          <w:lang w:eastAsia="en-CA"/>
        </w:rPr>
      </w:pPr>
      <w:r w:rsidRPr="00253D7C">
        <w:rPr>
          <w:rFonts w:ascii="Times New Roman" w:eastAsiaTheme="minorEastAsia" w:hAnsi="Times New Roman"/>
          <w:sz w:val="24"/>
          <w:lang w:eastAsia="en-CA"/>
        </w:rPr>
        <w:t>Sharpening their skill by training &amp; motivation</w:t>
      </w:r>
    </w:p>
    <w:p w14:paraId="03DDE91E" w14:textId="77777777" w:rsidR="00340DF5" w:rsidRPr="00253D7C" w:rsidRDefault="00340DF5" w:rsidP="00321144">
      <w:pPr>
        <w:pStyle w:val="Boxtext"/>
        <w:numPr>
          <w:ilvl w:val="0"/>
          <w:numId w:val="15"/>
        </w:numPr>
        <w:spacing w:after="60"/>
        <w:ind w:left="1003" w:hanging="357"/>
        <w:jc w:val="both"/>
        <w:rPr>
          <w:rFonts w:ascii="Times New Roman" w:eastAsiaTheme="minorEastAsia" w:hAnsi="Times New Roman"/>
          <w:sz w:val="24"/>
          <w:lang w:eastAsia="en-CA"/>
        </w:rPr>
      </w:pPr>
      <w:r w:rsidRPr="00253D7C">
        <w:rPr>
          <w:rFonts w:ascii="Times New Roman" w:eastAsiaTheme="minorEastAsia" w:hAnsi="Times New Roman"/>
          <w:sz w:val="24"/>
          <w:lang w:eastAsia="en-CA"/>
        </w:rPr>
        <w:t>Allow them to sit together at courtyard meeting</w:t>
      </w:r>
    </w:p>
    <w:p w14:paraId="7344DCC4" w14:textId="77777777" w:rsidR="00340DF5" w:rsidRPr="00253D7C" w:rsidRDefault="00340DF5" w:rsidP="00321144">
      <w:pPr>
        <w:pStyle w:val="Boxtext"/>
        <w:numPr>
          <w:ilvl w:val="0"/>
          <w:numId w:val="15"/>
        </w:numPr>
        <w:spacing w:after="60"/>
        <w:ind w:left="1003" w:hanging="357"/>
        <w:jc w:val="both"/>
        <w:rPr>
          <w:rFonts w:ascii="Times New Roman" w:eastAsiaTheme="minorEastAsia" w:hAnsi="Times New Roman"/>
          <w:sz w:val="24"/>
          <w:lang w:eastAsia="en-CA"/>
        </w:rPr>
      </w:pPr>
      <w:r w:rsidRPr="00253D7C">
        <w:rPr>
          <w:rFonts w:ascii="Times New Roman" w:eastAsiaTheme="minorEastAsia" w:hAnsi="Times New Roman"/>
          <w:sz w:val="24"/>
          <w:lang w:eastAsia="en-CA"/>
        </w:rPr>
        <w:t>Enable them to take decision independently</w:t>
      </w:r>
    </w:p>
    <w:p w14:paraId="33D6463D" w14:textId="77777777" w:rsidR="00340DF5" w:rsidRPr="00253D7C" w:rsidRDefault="00340DF5" w:rsidP="00321144">
      <w:pPr>
        <w:pStyle w:val="Boxtext"/>
        <w:numPr>
          <w:ilvl w:val="0"/>
          <w:numId w:val="15"/>
        </w:numPr>
        <w:spacing w:after="60"/>
        <w:ind w:left="1003" w:hanging="357"/>
        <w:jc w:val="both"/>
        <w:rPr>
          <w:rFonts w:ascii="Times New Roman" w:eastAsiaTheme="minorEastAsia" w:hAnsi="Times New Roman"/>
          <w:sz w:val="24"/>
          <w:lang w:eastAsia="en-CA"/>
        </w:rPr>
      </w:pPr>
      <w:r w:rsidRPr="00253D7C">
        <w:rPr>
          <w:rFonts w:ascii="Times New Roman" w:eastAsiaTheme="minorEastAsia" w:hAnsi="Times New Roman"/>
          <w:sz w:val="24"/>
          <w:lang w:eastAsia="en-CA"/>
        </w:rPr>
        <w:t>Enabling them to develop need based small family farms</w:t>
      </w:r>
    </w:p>
    <w:p w14:paraId="3E514F87" w14:textId="77777777" w:rsidR="00340DF5" w:rsidRPr="00253D7C" w:rsidRDefault="00340DF5" w:rsidP="00321144">
      <w:pPr>
        <w:pStyle w:val="Boxtext"/>
        <w:numPr>
          <w:ilvl w:val="0"/>
          <w:numId w:val="15"/>
        </w:numPr>
        <w:spacing w:after="60"/>
        <w:ind w:left="1003" w:hanging="357"/>
        <w:jc w:val="both"/>
        <w:rPr>
          <w:rFonts w:ascii="Times New Roman" w:eastAsiaTheme="minorEastAsia" w:hAnsi="Times New Roman"/>
          <w:sz w:val="24"/>
          <w:lang w:eastAsia="en-CA"/>
        </w:rPr>
      </w:pPr>
      <w:r w:rsidRPr="00253D7C">
        <w:rPr>
          <w:rFonts w:ascii="Times New Roman" w:eastAsiaTheme="minorEastAsia" w:hAnsi="Times New Roman"/>
          <w:sz w:val="24"/>
          <w:lang w:eastAsia="en-CA"/>
        </w:rPr>
        <w:t>Ensure marketing facilities for their product</w:t>
      </w:r>
    </w:p>
    <w:p w14:paraId="5064BED1" w14:textId="77777777" w:rsidR="00340DF5" w:rsidRPr="00253D7C" w:rsidRDefault="00340DF5" w:rsidP="00340DF5">
      <w:pPr>
        <w:pStyle w:val="Boxtext"/>
        <w:spacing w:before="120" w:after="60"/>
        <w:ind w:left="0"/>
        <w:jc w:val="both"/>
        <w:rPr>
          <w:rFonts w:ascii="Times New Roman" w:eastAsiaTheme="minorEastAsia" w:hAnsi="Times New Roman"/>
          <w:b/>
          <w:sz w:val="24"/>
          <w:lang w:eastAsia="en-CA"/>
        </w:rPr>
      </w:pPr>
      <w:r w:rsidRPr="00253D7C">
        <w:rPr>
          <w:rFonts w:ascii="Times New Roman" w:eastAsiaTheme="minorEastAsia" w:hAnsi="Times New Roman"/>
          <w:b/>
          <w:sz w:val="24"/>
          <w:lang w:eastAsia="en-CA"/>
        </w:rPr>
        <w:t>Benefits</w:t>
      </w:r>
    </w:p>
    <w:p w14:paraId="43F92A6C" w14:textId="77777777" w:rsidR="00340DF5" w:rsidRPr="00253D7C" w:rsidRDefault="00340DF5" w:rsidP="00E663E4">
      <w:pPr>
        <w:pStyle w:val="Boxtext"/>
        <w:spacing w:after="60"/>
        <w:ind w:left="0"/>
        <w:rPr>
          <w:rFonts w:ascii="Times New Roman" w:eastAsiaTheme="minorEastAsia" w:hAnsi="Times New Roman"/>
          <w:sz w:val="24"/>
          <w:lang w:eastAsia="en-CA"/>
        </w:rPr>
      </w:pPr>
      <w:r w:rsidRPr="00253D7C">
        <w:rPr>
          <w:rFonts w:ascii="Times New Roman" w:eastAsiaTheme="minorEastAsia" w:hAnsi="Times New Roman"/>
          <w:sz w:val="24"/>
          <w:lang w:eastAsia="en-CA"/>
        </w:rPr>
        <w:t xml:space="preserve">In rural areas, 75% of households reportedly have a home garden.  A range of 25 fruit crops, 29 vegetables, and 12 spices can be cultivated, even in small home gardens of less than 50 square-metres. Income from the home gardens </w:t>
      </w:r>
      <w:proofErr w:type="gramStart"/>
      <w:r w:rsidRPr="00253D7C">
        <w:rPr>
          <w:rFonts w:ascii="Times New Roman" w:eastAsiaTheme="minorEastAsia" w:hAnsi="Times New Roman"/>
          <w:sz w:val="24"/>
          <w:lang w:eastAsia="en-CA"/>
        </w:rPr>
        <w:t>is usually controlled</w:t>
      </w:r>
      <w:proofErr w:type="gramEnd"/>
      <w:r w:rsidRPr="00253D7C">
        <w:rPr>
          <w:rFonts w:ascii="Times New Roman" w:eastAsiaTheme="minorEastAsia" w:hAnsi="Times New Roman"/>
          <w:sz w:val="24"/>
          <w:lang w:eastAsia="en-CA"/>
        </w:rPr>
        <w:t xml:space="preserve"> by women and is more likely to be used for better diets, education, health care and other elements directly benefitting women and </w:t>
      </w:r>
      <w:r w:rsidRPr="00253D7C">
        <w:rPr>
          <w:rFonts w:ascii="Times New Roman" w:eastAsiaTheme="minorEastAsia" w:hAnsi="Times New Roman"/>
          <w:sz w:val="24"/>
          <w:lang w:eastAsia="en-CA"/>
        </w:rPr>
        <w:lastRenderedPageBreak/>
        <w:t xml:space="preserve">children. Estimates from the national Food Security and Nutritional Surveillance Project 2011-12, show that: 56% of households have only home gardens, 62% have backyard poultry and 42% of households with homestead </w:t>
      </w:r>
      <w:proofErr w:type="gramStart"/>
      <w:r w:rsidRPr="00253D7C">
        <w:rPr>
          <w:rFonts w:ascii="Times New Roman" w:eastAsiaTheme="minorEastAsia" w:hAnsi="Times New Roman"/>
          <w:sz w:val="24"/>
          <w:lang w:eastAsia="en-CA"/>
        </w:rPr>
        <w:t>gardens also</w:t>
      </w:r>
      <w:proofErr w:type="gramEnd"/>
      <w:r w:rsidRPr="00253D7C">
        <w:rPr>
          <w:rFonts w:ascii="Times New Roman" w:eastAsiaTheme="minorEastAsia" w:hAnsi="Times New Roman"/>
          <w:sz w:val="24"/>
          <w:lang w:eastAsia="en-CA"/>
        </w:rPr>
        <w:t xml:space="preserve"> have backyard poultry.  The same source also estimates that homestead gardening with backyard poultry decreased from 41% in February-May of 2010-11 to 35% in February-May of 2011-12. The current situation shows that integrated home gardening needs enhanced resilience to land degradation, water scarcity, bio-security (especially avian flu) and climate change, particularly in high risk areas such as in the Southern region in Bangladesh.  </w:t>
      </w:r>
    </w:p>
    <w:p w14:paraId="48DD4A8C" w14:textId="77777777" w:rsidR="00340DF5" w:rsidRPr="00253D7C" w:rsidRDefault="00340DF5" w:rsidP="00E663E4">
      <w:pPr>
        <w:pStyle w:val="Boxtext"/>
        <w:spacing w:after="60"/>
        <w:ind w:left="0"/>
        <w:rPr>
          <w:rFonts w:ascii="Times New Roman" w:eastAsiaTheme="minorEastAsia" w:hAnsi="Times New Roman"/>
          <w:sz w:val="24"/>
          <w:lang w:eastAsia="en-CA"/>
        </w:rPr>
      </w:pPr>
      <w:r w:rsidRPr="00253D7C">
        <w:rPr>
          <w:rFonts w:ascii="Times New Roman" w:eastAsiaTheme="minorEastAsia" w:hAnsi="Times New Roman"/>
          <w:sz w:val="24"/>
          <w:lang w:eastAsia="en-CA"/>
        </w:rPr>
        <w:t xml:space="preserve">Around a tenth of gardens in selected villages of the Southern districts were </w:t>
      </w:r>
      <w:proofErr w:type="gramStart"/>
      <w:r w:rsidRPr="00253D7C">
        <w:rPr>
          <w:rFonts w:ascii="Times New Roman" w:eastAsiaTheme="minorEastAsia" w:hAnsi="Times New Roman"/>
          <w:sz w:val="24"/>
          <w:lang w:eastAsia="en-CA"/>
        </w:rPr>
        <w:t>destroyed completely</w:t>
      </w:r>
      <w:proofErr w:type="gramEnd"/>
      <w:r w:rsidRPr="00253D7C">
        <w:rPr>
          <w:rFonts w:ascii="Times New Roman" w:eastAsiaTheme="minorEastAsia" w:hAnsi="Times New Roman"/>
          <w:sz w:val="24"/>
          <w:lang w:eastAsia="en-CA"/>
        </w:rPr>
        <w:t xml:space="preserve"> by soil salinity and seeds could not sprout. Amidst this situation, about half of the households implemented coping practices using organic compost, and a little over a third planted crops in pits leached with water. Mulching with rice straw, coconut coir and other locally available organic materials </w:t>
      </w:r>
      <w:proofErr w:type="gramStart"/>
      <w:r w:rsidRPr="00253D7C">
        <w:rPr>
          <w:rFonts w:ascii="Times New Roman" w:eastAsiaTheme="minorEastAsia" w:hAnsi="Times New Roman"/>
          <w:sz w:val="24"/>
          <w:lang w:eastAsia="en-CA"/>
        </w:rPr>
        <w:t>were used</w:t>
      </w:r>
      <w:proofErr w:type="gramEnd"/>
      <w:r w:rsidRPr="00253D7C">
        <w:rPr>
          <w:rFonts w:ascii="Times New Roman" w:eastAsiaTheme="minorEastAsia" w:hAnsi="Times New Roman"/>
          <w:sz w:val="24"/>
          <w:lang w:eastAsia="en-CA"/>
        </w:rPr>
        <w:t xml:space="preserve"> to increase water retention of the soil and develop compost.  Greater resilience </w:t>
      </w:r>
      <w:proofErr w:type="gramStart"/>
      <w:r w:rsidRPr="00253D7C">
        <w:rPr>
          <w:rFonts w:ascii="Times New Roman" w:eastAsiaTheme="minorEastAsia" w:hAnsi="Times New Roman"/>
          <w:sz w:val="24"/>
          <w:lang w:eastAsia="en-CA"/>
        </w:rPr>
        <w:t>was found</w:t>
      </w:r>
      <w:proofErr w:type="gramEnd"/>
      <w:r w:rsidRPr="00253D7C">
        <w:rPr>
          <w:rFonts w:ascii="Times New Roman" w:eastAsiaTheme="minorEastAsia" w:hAnsi="Times New Roman"/>
          <w:sz w:val="24"/>
          <w:lang w:eastAsia="en-CA"/>
        </w:rPr>
        <w:t xml:space="preserve"> in salinity among vegetable crops, which include Indian spinach (puishak), sweet gourd, okra and kangkong (kolmishak) which are good sources of micronutrients. It is essential that strategies and input resources have specific nutrition considerations integrated into agriculture extension while promoting integrated home gardening, particularly in </w:t>
      </w:r>
      <w:proofErr w:type="gramStart"/>
      <w:r w:rsidRPr="00253D7C">
        <w:rPr>
          <w:rFonts w:ascii="Times New Roman" w:eastAsiaTheme="minorEastAsia" w:hAnsi="Times New Roman"/>
          <w:sz w:val="24"/>
          <w:lang w:eastAsia="en-CA"/>
        </w:rPr>
        <w:t>flood affected</w:t>
      </w:r>
      <w:proofErr w:type="gramEnd"/>
      <w:r w:rsidRPr="00253D7C">
        <w:rPr>
          <w:rFonts w:ascii="Times New Roman" w:eastAsiaTheme="minorEastAsia" w:hAnsi="Times New Roman"/>
          <w:sz w:val="24"/>
          <w:lang w:eastAsia="en-CA"/>
        </w:rPr>
        <w:t xml:space="preserve"> areas. Households with larger plots of land </w:t>
      </w:r>
      <w:proofErr w:type="gramStart"/>
      <w:r w:rsidRPr="00253D7C">
        <w:rPr>
          <w:rFonts w:ascii="Times New Roman" w:eastAsiaTheme="minorEastAsia" w:hAnsi="Times New Roman"/>
          <w:sz w:val="24"/>
          <w:lang w:eastAsia="en-CA"/>
        </w:rPr>
        <w:t>are also seen</w:t>
      </w:r>
      <w:proofErr w:type="gramEnd"/>
      <w:r w:rsidRPr="00253D7C">
        <w:rPr>
          <w:rFonts w:ascii="Times New Roman" w:eastAsiaTheme="minorEastAsia" w:hAnsi="Times New Roman"/>
          <w:sz w:val="24"/>
          <w:lang w:eastAsia="en-CA"/>
        </w:rPr>
        <w:t xml:space="preserve"> to be moving from rice cultivation to shrimp cultivation, which is more remunerative and this has affected the day labour opportunities for poor households.  Households with better knowledge and means to adopt salinity coping practices were mostly the better off ones.  </w:t>
      </w:r>
    </w:p>
    <w:p w14:paraId="6C81CA7A" w14:textId="77777777" w:rsidR="00340DF5" w:rsidRPr="00253D7C" w:rsidRDefault="00340DF5" w:rsidP="00340DF5">
      <w:pPr>
        <w:pStyle w:val="Boxtext"/>
        <w:spacing w:after="60"/>
        <w:ind w:left="0"/>
        <w:jc w:val="both"/>
        <w:rPr>
          <w:rFonts w:ascii="Times New Roman" w:eastAsiaTheme="minorEastAsia" w:hAnsi="Times New Roman"/>
          <w:sz w:val="24"/>
          <w:lang w:eastAsia="en-CA"/>
        </w:rPr>
      </w:pPr>
    </w:p>
    <w:p w14:paraId="4A41A08F" w14:textId="77777777" w:rsidR="00340DF5" w:rsidRPr="00253D7C" w:rsidRDefault="00340DF5" w:rsidP="00E663E4">
      <w:pPr>
        <w:pStyle w:val="ListParagraph"/>
        <w:numPr>
          <w:ilvl w:val="0"/>
          <w:numId w:val="14"/>
        </w:numPr>
        <w:rPr>
          <w:b/>
          <w:lang w:val="en-GB"/>
        </w:rPr>
      </w:pPr>
      <w:r w:rsidRPr="00253D7C">
        <w:rPr>
          <w:b/>
          <w:lang w:val="en-GB"/>
        </w:rPr>
        <w:t>Food fortification</w:t>
      </w:r>
      <w:r w:rsidRPr="00253D7C">
        <w:rPr>
          <w:rStyle w:val="FootnoteReference"/>
          <w:b/>
          <w:lang w:val="en-GB"/>
        </w:rPr>
        <w:footnoteReference w:id="17"/>
      </w:r>
      <w:r w:rsidRPr="00253D7C">
        <w:rPr>
          <w:b/>
          <w:lang w:val="en-GB"/>
        </w:rPr>
        <w:t xml:space="preserve"> </w:t>
      </w:r>
    </w:p>
    <w:p w14:paraId="52B959B3" w14:textId="77777777" w:rsidR="00340DF5" w:rsidRPr="001261AF" w:rsidRDefault="00340DF5" w:rsidP="00340DF5">
      <w:pPr>
        <w:rPr>
          <w:lang w:val="en-GB"/>
        </w:rPr>
      </w:pPr>
      <w:r w:rsidRPr="001261AF">
        <w:rPr>
          <w:lang w:val="en-GB"/>
        </w:rPr>
        <w:t xml:space="preserve">The Food Fortification Programme </w:t>
      </w:r>
      <w:proofErr w:type="gramStart"/>
      <w:r w:rsidRPr="001261AF">
        <w:rPr>
          <w:lang w:val="en-GB"/>
        </w:rPr>
        <w:t>is designed</w:t>
      </w:r>
      <w:proofErr w:type="gramEnd"/>
      <w:r w:rsidRPr="001261AF">
        <w:rPr>
          <w:lang w:val="en-GB"/>
        </w:rPr>
        <w:t xml:space="preserve"> to eliminate micronutrient deficiencies through the addition of micronutrients to processed foods. Food fortification is one of the food-based approac</w:t>
      </w:r>
      <w:r w:rsidRPr="003D2139">
        <w:rPr>
          <w:lang w:val="en-GB"/>
        </w:rPr>
        <w:t xml:space="preserve">hes for the prevention of micronutrient malnutrition. It can be a very cost-effective method to ensure adequate intake of micronutrients. In fact, food fortification </w:t>
      </w:r>
      <w:proofErr w:type="gramStart"/>
      <w:r w:rsidRPr="003D2139">
        <w:rPr>
          <w:lang w:val="en-GB"/>
        </w:rPr>
        <w:t>has been recognized</w:t>
      </w:r>
      <w:proofErr w:type="gramEnd"/>
      <w:r w:rsidRPr="003D2139">
        <w:rPr>
          <w:lang w:val="en-GB"/>
        </w:rPr>
        <w:t xml:space="preserve"> as one of the important strategy to increase the micronutrient content</w:t>
      </w:r>
      <w:r w:rsidRPr="001261AF">
        <w:rPr>
          <w:lang w:val="en-GB"/>
        </w:rPr>
        <w:t xml:space="preserve"> of available foods, especially post farm gate level.</w:t>
      </w:r>
    </w:p>
    <w:p w14:paraId="2BB31A5F" w14:textId="77777777" w:rsidR="00340DF5" w:rsidRPr="001261AF" w:rsidRDefault="00340DF5" w:rsidP="00340DF5">
      <w:pPr>
        <w:rPr>
          <w:b/>
          <w:lang w:val="en-GB"/>
        </w:rPr>
      </w:pPr>
      <w:r w:rsidRPr="001261AF">
        <w:rPr>
          <w:b/>
          <w:lang w:val="en-GB"/>
        </w:rPr>
        <w:t>Intervention in Zambia</w:t>
      </w:r>
      <w:r w:rsidRPr="001261AF">
        <w:rPr>
          <w:rStyle w:val="FootnoteReference"/>
          <w:b/>
          <w:lang w:val="en-GB"/>
        </w:rPr>
        <w:footnoteReference w:id="18"/>
      </w:r>
      <w:r w:rsidRPr="001261AF">
        <w:rPr>
          <w:b/>
          <w:lang w:val="en-GB"/>
        </w:rPr>
        <w:t xml:space="preserve"> </w:t>
      </w:r>
    </w:p>
    <w:p w14:paraId="11076909" w14:textId="77777777" w:rsidR="00340DF5" w:rsidRPr="001261AF" w:rsidRDefault="00340DF5" w:rsidP="00340DF5">
      <w:pPr>
        <w:rPr>
          <w:lang w:val="en-GB"/>
        </w:rPr>
      </w:pPr>
      <w:r w:rsidRPr="001261AF">
        <w:rPr>
          <w:lang w:val="en-GB"/>
        </w:rPr>
        <w:t xml:space="preserve">Food vitamin and mineral deficiencies, also known as micronutrient malnutrition, represented a severe public health problem in Zambia For this </w:t>
      </w:r>
      <w:proofErr w:type="gramStart"/>
      <w:r w:rsidRPr="001261AF">
        <w:rPr>
          <w:lang w:val="en-GB"/>
        </w:rPr>
        <w:t>reason,</w:t>
      </w:r>
      <w:proofErr w:type="gramEnd"/>
      <w:r w:rsidRPr="001261AF">
        <w:rPr>
          <w:lang w:val="en-GB"/>
        </w:rPr>
        <w:t xml:space="preserve"> different types of food have been fortified with various nutrients as needed. For example, salt </w:t>
      </w:r>
      <w:proofErr w:type="gramStart"/>
      <w:r w:rsidRPr="001261AF">
        <w:rPr>
          <w:lang w:val="en-GB"/>
        </w:rPr>
        <w:t>is fortified</w:t>
      </w:r>
      <w:proofErr w:type="gramEnd"/>
      <w:r w:rsidRPr="001261AF">
        <w:rPr>
          <w:lang w:val="en-GB"/>
        </w:rPr>
        <w:t xml:space="preserve"> with iodine and sugar is fortified with vitamin A. Now, 77% of the population is consuming adequately iodized salt. Iodine deficiency disorders are currently under control due to the Universal Salt Iodations Programme. Plans are also under way to fortify maize meal with a multi-mix of vitamins and minerals. In promoting this intervention, one of the preliminary activities is to assess the level of utilization of fortified foods by households and determine if samples of fortified foods meet the government standards. </w:t>
      </w:r>
    </w:p>
    <w:p w14:paraId="64552C6C" w14:textId="77777777" w:rsidR="00340DF5" w:rsidRPr="001261AF" w:rsidRDefault="00340DF5" w:rsidP="00340DF5">
      <w:pPr>
        <w:rPr>
          <w:lang w:val="en-GB"/>
        </w:rPr>
      </w:pPr>
    </w:p>
    <w:p w14:paraId="3296273E" w14:textId="77777777" w:rsidR="00340DF5" w:rsidRPr="001261AF" w:rsidRDefault="00340DF5" w:rsidP="00340DF5">
      <w:pPr>
        <w:rPr>
          <w:lang w:val="en-GB"/>
        </w:rPr>
      </w:pPr>
    </w:p>
    <w:p w14:paraId="456C409A" w14:textId="77777777" w:rsidR="00340DF5" w:rsidRDefault="00340DF5" w:rsidP="00340DF5">
      <w:pPr>
        <w:rPr>
          <w:lang w:val="en-GB"/>
        </w:rPr>
      </w:pPr>
    </w:p>
    <w:p w14:paraId="64F72DEF" w14:textId="77777777" w:rsidR="001261AF" w:rsidRPr="001261AF" w:rsidRDefault="001261AF" w:rsidP="00340DF5">
      <w:pPr>
        <w:rPr>
          <w:lang w:val="en-GB"/>
        </w:rPr>
      </w:pPr>
    </w:p>
    <w:p w14:paraId="79AA096E" w14:textId="77777777" w:rsidR="00340DF5" w:rsidRPr="003D2139" w:rsidRDefault="00340DF5" w:rsidP="00340DF5">
      <w:pPr>
        <w:rPr>
          <w:lang w:val="en-GB"/>
        </w:rPr>
      </w:pPr>
    </w:p>
    <w:p w14:paraId="0B38B87A" w14:textId="77777777" w:rsidR="00340DF5" w:rsidRPr="001261AF" w:rsidRDefault="00340DF5" w:rsidP="00321144">
      <w:pPr>
        <w:pStyle w:val="ListParagraph"/>
        <w:numPr>
          <w:ilvl w:val="0"/>
          <w:numId w:val="14"/>
        </w:numPr>
        <w:spacing w:after="0"/>
        <w:jc w:val="both"/>
        <w:rPr>
          <w:rFonts w:cs="Arial"/>
          <w:b/>
          <w:szCs w:val="20"/>
          <w:lang w:val="en-GB"/>
        </w:rPr>
      </w:pPr>
      <w:r w:rsidRPr="003D2139">
        <w:rPr>
          <w:rFonts w:cs="Arial"/>
          <w:b/>
          <w:szCs w:val="20"/>
          <w:lang w:val="en-GB"/>
        </w:rPr>
        <w:lastRenderedPageBreak/>
        <w:t>One cow per poor family program (Girinka program) – Rwanda</w:t>
      </w:r>
      <w:r w:rsidRPr="001261AF">
        <w:rPr>
          <w:rStyle w:val="FootnoteReference"/>
          <w:rFonts w:cs="Arial"/>
          <w:b/>
          <w:lang w:val="en-GB"/>
        </w:rPr>
        <w:footnoteReference w:id="19"/>
      </w:r>
    </w:p>
    <w:p w14:paraId="1A09C902" w14:textId="77777777" w:rsidR="00340DF5" w:rsidRPr="001261AF" w:rsidRDefault="00340DF5" w:rsidP="00340DF5">
      <w:pPr>
        <w:spacing w:after="0"/>
        <w:rPr>
          <w:sz w:val="20"/>
          <w:szCs w:val="20"/>
          <w:lang w:val="en-GB"/>
        </w:rPr>
      </w:pPr>
    </w:p>
    <w:p w14:paraId="04711D68" w14:textId="77777777" w:rsidR="00340DF5" w:rsidRPr="003D2139" w:rsidRDefault="00340DF5" w:rsidP="00340DF5">
      <w:pPr>
        <w:pStyle w:val="Boxtext"/>
        <w:ind w:left="0"/>
        <w:rPr>
          <w:rFonts w:ascii="Times New Roman" w:eastAsiaTheme="minorEastAsia" w:hAnsi="Times New Roman" w:cs="Arial"/>
          <w:sz w:val="24"/>
          <w:szCs w:val="20"/>
          <w:lang w:eastAsia="en-CA"/>
        </w:rPr>
      </w:pPr>
      <w:r w:rsidRPr="003D2139">
        <w:rPr>
          <w:rFonts w:ascii="Times New Roman" w:eastAsiaTheme="minorEastAsia" w:hAnsi="Times New Roman" w:cs="Arial"/>
          <w:sz w:val="24"/>
          <w:szCs w:val="20"/>
          <w:lang w:eastAsia="en-CA"/>
        </w:rPr>
        <w:t xml:space="preserve">The word Girinka, which can be translated to ‘may you have a cow’, describes a centuries-old cultural practice in Rwanda whereby a cow was given by one person to another, either as a sign of respect and gratitude or as a marriage dowry. </w:t>
      </w:r>
    </w:p>
    <w:p w14:paraId="0281E3CB" w14:textId="77777777" w:rsidR="00340DF5" w:rsidRPr="001261AF" w:rsidRDefault="00340DF5" w:rsidP="00340DF5">
      <w:pPr>
        <w:pStyle w:val="Boxtext"/>
        <w:ind w:left="0"/>
        <w:rPr>
          <w:rFonts w:ascii="Times New Roman" w:eastAsiaTheme="minorEastAsia" w:hAnsi="Times New Roman" w:cs="Arial"/>
          <w:sz w:val="24"/>
          <w:szCs w:val="20"/>
          <w:lang w:eastAsia="en-CA"/>
        </w:rPr>
      </w:pPr>
      <w:r w:rsidRPr="001261AF">
        <w:rPr>
          <w:rFonts w:ascii="Times New Roman" w:eastAsiaTheme="minorEastAsia" w:hAnsi="Times New Roman" w:cs="Arial"/>
          <w:sz w:val="24"/>
          <w:szCs w:val="20"/>
          <w:lang w:eastAsia="en-CA"/>
        </w:rPr>
        <w:t xml:space="preserve">This program was developed in Rwanda and consisted in targeting poor households and providing them a cow </w:t>
      </w:r>
      <w:proofErr w:type="gramStart"/>
      <w:r w:rsidRPr="001261AF">
        <w:rPr>
          <w:rFonts w:ascii="Times New Roman" w:eastAsiaTheme="minorEastAsia" w:hAnsi="Times New Roman" w:cs="Arial"/>
          <w:sz w:val="24"/>
          <w:szCs w:val="20"/>
          <w:lang w:eastAsia="en-CA"/>
        </w:rPr>
        <w:t>for free</w:t>
      </w:r>
      <w:proofErr w:type="gramEnd"/>
      <w:r w:rsidRPr="001261AF">
        <w:rPr>
          <w:rFonts w:ascii="Times New Roman" w:eastAsiaTheme="minorEastAsia" w:hAnsi="Times New Roman" w:cs="Arial"/>
          <w:sz w:val="24"/>
          <w:szCs w:val="20"/>
          <w:lang w:eastAsia="en-CA"/>
        </w:rPr>
        <w:t xml:space="preserve">, on condition they give the first female calf to their neighbour, who will then do the same with their first calf and so on. Since its introduction in 2006, more than 198,000 households have received cows. Girinka has contributed to an increase in agricultural production in Rwanda - especially milk </w:t>
      </w:r>
      <w:proofErr w:type="gramStart"/>
      <w:r w:rsidRPr="001261AF">
        <w:rPr>
          <w:rFonts w:ascii="Times New Roman" w:eastAsiaTheme="minorEastAsia" w:hAnsi="Times New Roman" w:cs="Arial"/>
          <w:sz w:val="24"/>
          <w:szCs w:val="20"/>
          <w:lang w:eastAsia="en-CA"/>
        </w:rPr>
        <w:t>products which have helped</w:t>
      </w:r>
      <w:proofErr w:type="gramEnd"/>
      <w:r w:rsidRPr="001261AF">
        <w:rPr>
          <w:rFonts w:ascii="Times New Roman" w:eastAsiaTheme="minorEastAsia" w:hAnsi="Times New Roman" w:cs="Arial"/>
          <w:sz w:val="24"/>
          <w:szCs w:val="20"/>
          <w:lang w:eastAsia="en-CA"/>
        </w:rPr>
        <w:t xml:space="preserve"> reduce malnutrition and increase incomes. The program aims to provide 350,000 cows to poor families by 2017.7</w:t>
      </w:r>
    </w:p>
    <w:p w14:paraId="4C0CA163" w14:textId="77777777" w:rsidR="00340DF5" w:rsidRPr="001261AF" w:rsidRDefault="00340DF5" w:rsidP="00340DF5">
      <w:pPr>
        <w:pStyle w:val="Boxtext"/>
        <w:ind w:left="0"/>
        <w:contextualSpacing/>
        <w:rPr>
          <w:rFonts w:ascii="Times New Roman" w:eastAsiaTheme="minorEastAsia" w:hAnsi="Times New Roman" w:cs="Arial"/>
          <w:b/>
          <w:sz w:val="24"/>
          <w:szCs w:val="20"/>
          <w:lang w:eastAsia="en-CA"/>
        </w:rPr>
      </w:pPr>
      <w:r w:rsidRPr="001261AF">
        <w:rPr>
          <w:rFonts w:ascii="Times New Roman" w:eastAsiaTheme="minorEastAsia" w:hAnsi="Times New Roman" w:cs="Arial"/>
          <w:b/>
          <w:sz w:val="24"/>
          <w:szCs w:val="20"/>
          <w:lang w:eastAsia="en-CA"/>
        </w:rPr>
        <w:t>Partners</w:t>
      </w:r>
    </w:p>
    <w:p w14:paraId="1B98271D" w14:textId="77777777" w:rsidR="00340DF5" w:rsidRPr="001261AF" w:rsidRDefault="00340DF5" w:rsidP="00340DF5">
      <w:pPr>
        <w:pStyle w:val="Boxtext"/>
        <w:ind w:left="0"/>
        <w:contextualSpacing/>
        <w:rPr>
          <w:rFonts w:ascii="Times New Roman" w:eastAsiaTheme="minorEastAsia" w:hAnsi="Times New Roman" w:cs="Arial"/>
          <w:sz w:val="24"/>
          <w:szCs w:val="20"/>
          <w:lang w:eastAsia="en-CA"/>
        </w:rPr>
      </w:pPr>
      <w:r w:rsidRPr="001261AF">
        <w:rPr>
          <w:rFonts w:ascii="Times New Roman" w:eastAsiaTheme="minorEastAsia" w:hAnsi="Times New Roman" w:cs="Arial"/>
          <w:sz w:val="24"/>
          <w:szCs w:val="20"/>
          <w:lang w:eastAsia="en-CA"/>
        </w:rPr>
        <w:t xml:space="preserve">Funded by the Government of Rwanda, it actively involves Line Ministries, Local NGOs, </w:t>
      </w:r>
      <w:proofErr w:type="gramStart"/>
      <w:r w:rsidRPr="001261AF">
        <w:rPr>
          <w:rFonts w:ascii="Times New Roman" w:eastAsiaTheme="minorEastAsia" w:hAnsi="Times New Roman" w:cs="Arial"/>
          <w:sz w:val="24"/>
          <w:szCs w:val="20"/>
          <w:lang w:eastAsia="en-CA"/>
        </w:rPr>
        <w:t>International</w:t>
      </w:r>
      <w:proofErr w:type="gramEnd"/>
      <w:r w:rsidRPr="001261AF">
        <w:rPr>
          <w:rFonts w:ascii="Times New Roman" w:eastAsiaTheme="minorEastAsia" w:hAnsi="Times New Roman" w:cs="Arial"/>
          <w:sz w:val="24"/>
          <w:szCs w:val="20"/>
          <w:lang w:eastAsia="en-CA"/>
        </w:rPr>
        <w:t xml:space="preserve"> Organizations (Heifer International Pro-gram, Send a Cow, World Vision …)</w:t>
      </w:r>
    </w:p>
    <w:p w14:paraId="37214D57" w14:textId="77777777" w:rsidR="00340DF5" w:rsidRPr="001261AF" w:rsidRDefault="00340DF5" w:rsidP="00340DF5">
      <w:pPr>
        <w:pStyle w:val="Boxtext"/>
        <w:ind w:left="0"/>
        <w:contextualSpacing/>
        <w:rPr>
          <w:rFonts w:ascii="Times New Roman" w:eastAsiaTheme="minorEastAsia" w:hAnsi="Times New Roman" w:cs="Arial"/>
          <w:sz w:val="24"/>
          <w:szCs w:val="20"/>
          <w:lang w:eastAsia="en-CA"/>
        </w:rPr>
      </w:pPr>
    </w:p>
    <w:p w14:paraId="13A0D93A" w14:textId="77777777" w:rsidR="00340DF5" w:rsidRPr="001261AF" w:rsidRDefault="00340DF5" w:rsidP="00340DF5">
      <w:pPr>
        <w:pStyle w:val="Boxtext"/>
        <w:ind w:left="0"/>
        <w:contextualSpacing/>
        <w:rPr>
          <w:rFonts w:ascii="Times New Roman" w:eastAsiaTheme="minorEastAsia" w:hAnsi="Times New Roman" w:cs="Arial"/>
          <w:b/>
          <w:sz w:val="24"/>
          <w:szCs w:val="20"/>
          <w:lang w:eastAsia="en-CA"/>
        </w:rPr>
      </w:pPr>
      <w:r w:rsidRPr="001261AF">
        <w:rPr>
          <w:rFonts w:ascii="Times New Roman" w:eastAsiaTheme="minorEastAsia" w:hAnsi="Times New Roman" w:cs="Arial"/>
          <w:b/>
          <w:sz w:val="24"/>
          <w:szCs w:val="20"/>
          <w:lang w:eastAsia="en-CA"/>
        </w:rPr>
        <w:t>Objective</w:t>
      </w:r>
    </w:p>
    <w:p w14:paraId="1CBA38A6" w14:textId="77777777" w:rsidR="00340DF5" w:rsidRPr="001261AF" w:rsidRDefault="00340DF5" w:rsidP="00340DF5">
      <w:pPr>
        <w:pStyle w:val="Boxtext"/>
        <w:ind w:left="0"/>
        <w:contextualSpacing/>
        <w:rPr>
          <w:rFonts w:ascii="Times New Roman" w:eastAsiaTheme="minorEastAsia" w:hAnsi="Times New Roman" w:cs="Arial"/>
          <w:sz w:val="24"/>
          <w:szCs w:val="20"/>
          <w:lang w:eastAsia="en-CA"/>
        </w:rPr>
      </w:pPr>
      <w:r w:rsidRPr="001261AF">
        <w:rPr>
          <w:rFonts w:ascii="Times New Roman" w:eastAsiaTheme="minorEastAsia" w:hAnsi="Times New Roman" w:cs="Arial"/>
          <w:sz w:val="24"/>
          <w:szCs w:val="20"/>
          <w:lang w:eastAsia="en-CA"/>
        </w:rPr>
        <w:t xml:space="preserve">The program’s central aim is to reduce child malnutrition rates and increase household incomes of poor farmers. </w:t>
      </w:r>
    </w:p>
    <w:p w14:paraId="2F1C0316" w14:textId="77777777" w:rsidR="00340DF5" w:rsidRPr="001261AF" w:rsidRDefault="00340DF5" w:rsidP="00340DF5">
      <w:pPr>
        <w:pStyle w:val="Boxtext"/>
        <w:ind w:left="0"/>
        <w:contextualSpacing/>
        <w:rPr>
          <w:rFonts w:ascii="Times New Roman" w:eastAsiaTheme="minorEastAsia" w:hAnsi="Times New Roman" w:cs="Arial"/>
          <w:sz w:val="24"/>
          <w:szCs w:val="20"/>
          <w:lang w:eastAsia="en-CA"/>
        </w:rPr>
      </w:pPr>
    </w:p>
    <w:p w14:paraId="60AF211B" w14:textId="77777777" w:rsidR="00340DF5" w:rsidRPr="001261AF" w:rsidRDefault="00340DF5" w:rsidP="00340DF5">
      <w:pPr>
        <w:pStyle w:val="Boxtext"/>
        <w:ind w:left="0"/>
        <w:contextualSpacing/>
        <w:rPr>
          <w:rFonts w:ascii="Times New Roman" w:eastAsiaTheme="minorEastAsia" w:hAnsi="Times New Roman" w:cs="Arial"/>
          <w:b/>
          <w:sz w:val="24"/>
          <w:szCs w:val="20"/>
          <w:lang w:eastAsia="en-CA"/>
        </w:rPr>
      </w:pPr>
      <w:r w:rsidRPr="001261AF">
        <w:rPr>
          <w:rFonts w:ascii="Times New Roman" w:eastAsiaTheme="minorEastAsia" w:hAnsi="Times New Roman" w:cs="Arial"/>
          <w:b/>
          <w:sz w:val="24"/>
          <w:szCs w:val="20"/>
          <w:lang w:eastAsia="en-CA"/>
        </w:rPr>
        <w:t>Benefits</w:t>
      </w:r>
    </w:p>
    <w:p w14:paraId="3995F8E7" w14:textId="77777777" w:rsidR="00340DF5" w:rsidRPr="001261AF" w:rsidRDefault="00340DF5" w:rsidP="00340DF5">
      <w:pPr>
        <w:pStyle w:val="Boxtext"/>
        <w:ind w:left="0"/>
        <w:contextualSpacing/>
        <w:rPr>
          <w:rFonts w:ascii="Times New Roman" w:eastAsiaTheme="minorEastAsia" w:hAnsi="Times New Roman" w:cs="Arial"/>
          <w:sz w:val="24"/>
          <w:szCs w:val="20"/>
          <w:lang w:eastAsia="en-CA"/>
        </w:rPr>
      </w:pPr>
      <w:r w:rsidRPr="001261AF">
        <w:rPr>
          <w:rFonts w:ascii="Times New Roman" w:eastAsiaTheme="minorEastAsia" w:hAnsi="Times New Roman" w:cs="Arial"/>
          <w:sz w:val="24"/>
          <w:szCs w:val="20"/>
          <w:lang w:eastAsia="en-CA"/>
        </w:rPr>
        <w:t xml:space="preserve">Girinka has led to a number of significant changes in the lives of the poorest Rwandans. The impact of the program </w:t>
      </w:r>
      <w:proofErr w:type="gramStart"/>
      <w:r w:rsidRPr="001261AF">
        <w:rPr>
          <w:rFonts w:ascii="Times New Roman" w:eastAsiaTheme="minorEastAsia" w:hAnsi="Times New Roman" w:cs="Arial"/>
          <w:sz w:val="24"/>
          <w:szCs w:val="20"/>
          <w:lang w:eastAsia="en-CA"/>
        </w:rPr>
        <w:t>can be seen</w:t>
      </w:r>
      <w:proofErr w:type="gramEnd"/>
      <w:r w:rsidRPr="001261AF">
        <w:rPr>
          <w:rFonts w:ascii="Times New Roman" w:eastAsiaTheme="minorEastAsia" w:hAnsi="Times New Roman" w:cs="Arial"/>
          <w:sz w:val="24"/>
          <w:szCs w:val="20"/>
          <w:lang w:eastAsia="en-CA"/>
        </w:rPr>
        <w:t xml:space="preserve"> through the following results: </w:t>
      </w:r>
    </w:p>
    <w:p w14:paraId="497A8591" w14:textId="77777777" w:rsidR="00340DF5" w:rsidRPr="001261AF" w:rsidRDefault="00340DF5" w:rsidP="00340DF5">
      <w:pPr>
        <w:pStyle w:val="Boxtext"/>
        <w:ind w:left="0"/>
        <w:contextualSpacing/>
        <w:rPr>
          <w:rFonts w:ascii="Times New Roman" w:eastAsiaTheme="minorEastAsia" w:hAnsi="Times New Roman" w:cs="Arial"/>
          <w:sz w:val="24"/>
          <w:szCs w:val="20"/>
          <w:lang w:eastAsia="en-CA"/>
        </w:rPr>
      </w:pPr>
    </w:p>
    <w:p w14:paraId="7C62E8BC" w14:textId="77777777" w:rsidR="00340DF5" w:rsidRPr="001261AF" w:rsidRDefault="00340DF5" w:rsidP="00321144">
      <w:pPr>
        <w:pStyle w:val="Boxtext"/>
        <w:numPr>
          <w:ilvl w:val="0"/>
          <w:numId w:val="16"/>
        </w:numPr>
        <w:contextualSpacing/>
        <w:rPr>
          <w:rFonts w:ascii="Times New Roman" w:eastAsiaTheme="minorEastAsia" w:hAnsi="Times New Roman" w:cs="Arial"/>
          <w:sz w:val="24"/>
          <w:szCs w:val="20"/>
          <w:lang w:eastAsia="en-CA"/>
        </w:rPr>
      </w:pPr>
      <w:r w:rsidRPr="001261AF">
        <w:rPr>
          <w:rFonts w:ascii="Times New Roman" w:eastAsiaTheme="minorEastAsia" w:hAnsi="Times New Roman" w:cs="Arial"/>
          <w:i/>
          <w:sz w:val="24"/>
          <w:szCs w:val="20"/>
          <w:lang w:eastAsia="en-CA"/>
        </w:rPr>
        <w:t>Agricultural production</w:t>
      </w:r>
      <w:r w:rsidRPr="001261AF">
        <w:rPr>
          <w:rFonts w:ascii="Times New Roman" w:eastAsiaTheme="minorEastAsia" w:hAnsi="Times New Roman" w:cs="Arial"/>
          <w:sz w:val="24"/>
          <w:szCs w:val="20"/>
          <w:lang w:eastAsia="en-CA"/>
        </w:rPr>
        <w:t>: between 2000 and 2011, milk production increased seven fold allowing the Government of Rwanda to start a School feeding programme based on milk (One Cup of Milk per Child). Between 2009 and 2011, national milk production increased by 11.3%, rising to 372.6 million litres from 334.7 million litres. Over the same period, meat production increased by 9.9%, according to the Government of Rwanda</w:t>
      </w:r>
    </w:p>
    <w:p w14:paraId="79876510" w14:textId="77777777" w:rsidR="00340DF5" w:rsidRPr="001261AF" w:rsidRDefault="00340DF5" w:rsidP="00321144">
      <w:pPr>
        <w:pStyle w:val="Boxtext"/>
        <w:numPr>
          <w:ilvl w:val="0"/>
          <w:numId w:val="16"/>
        </w:numPr>
        <w:rPr>
          <w:rFonts w:ascii="Times New Roman" w:eastAsiaTheme="minorEastAsia" w:hAnsi="Times New Roman" w:cs="Arial"/>
          <w:sz w:val="24"/>
          <w:szCs w:val="20"/>
          <w:lang w:eastAsia="en-CA"/>
        </w:rPr>
      </w:pPr>
      <w:r w:rsidRPr="001261AF">
        <w:rPr>
          <w:rFonts w:ascii="Times New Roman" w:eastAsiaTheme="minorEastAsia" w:hAnsi="Times New Roman" w:cs="Arial"/>
          <w:i/>
          <w:sz w:val="24"/>
          <w:szCs w:val="20"/>
          <w:lang w:eastAsia="en-CA"/>
        </w:rPr>
        <w:t>Food security, income and diversification</w:t>
      </w:r>
      <w:r w:rsidRPr="001261AF">
        <w:rPr>
          <w:rFonts w:ascii="Times New Roman" w:eastAsiaTheme="minorEastAsia" w:hAnsi="Times New Roman" w:cs="Arial"/>
          <w:sz w:val="24"/>
          <w:szCs w:val="20"/>
          <w:lang w:eastAsia="en-CA"/>
        </w:rPr>
        <w:t xml:space="preserve">: according to a Comprehensive Food Security and Vulnerability Analysis and Nutrition Survey (CFSVA) in 2012, Rwanda experienced 7% decrease in food insecure households since 2006 at which time the figure was 28% according to the 2006 CFSVA. Moreover, most communities’ recipients of the cow produced enough milk to sell a part of it at the market, providing additional income generation. The manure produced by cows increased crop productivity, allowing smallholders </w:t>
      </w:r>
      <w:proofErr w:type="gramStart"/>
      <w:r w:rsidRPr="001261AF">
        <w:rPr>
          <w:rFonts w:ascii="Times New Roman" w:eastAsiaTheme="minorEastAsia" w:hAnsi="Times New Roman" w:cs="Arial"/>
          <w:sz w:val="24"/>
          <w:szCs w:val="20"/>
          <w:lang w:eastAsia="en-CA"/>
        </w:rPr>
        <w:t>to also plant</w:t>
      </w:r>
      <w:proofErr w:type="gramEnd"/>
      <w:r w:rsidRPr="001261AF">
        <w:rPr>
          <w:rFonts w:ascii="Times New Roman" w:eastAsiaTheme="minorEastAsia" w:hAnsi="Times New Roman" w:cs="Arial"/>
          <w:sz w:val="24"/>
          <w:szCs w:val="20"/>
          <w:lang w:eastAsia="en-CA"/>
        </w:rPr>
        <w:t xml:space="preserve"> crops offering sustenance and employment as well as a stable income and to diversify and increase crop production, leading to greater food security.</w:t>
      </w:r>
    </w:p>
    <w:p w14:paraId="5A3CFEE3" w14:textId="77777777" w:rsidR="00340DF5" w:rsidRPr="001261AF" w:rsidRDefault="00340DF5" w:rsidP="00321144">
      <w:pPr>
        <w:pStyle w:val="Boxtext"/>
        <w:numPr>
          <w:ilvl w:val="0"/>
          <w:numId w:val="16"/>
        </w:numPr>
        <w:rPr>
          <w:rFonts w:ascii="Times New Roman" w:eastAsiaTheme="minorEastAsia" w:hAnsi="Times New Roman" w:cs="Arial"/>
          <w:sz w:val="24"/>
          <w:szCs w:val="20"/>
          <w:lang w:eastAsia="en-CA"/>
        </w:rPr>
      </w:pPr>
      <w:r w:rsidRPr="001261AF">
        <w:rPr>
          <w:rFonts w:ascii="Times New Roman" w:eastAsiaTheme="minorEastAsia" w:hAnsi="Times New Roman" w:cs="Arial"/>
          <w:i/>
          <w:sz w:val="24"/>
          <w:szCs w:val="20"/>
          <w:lang w:eastAsia="en-CA"/>
        </w:rPr>
        <w:t>Livestock ownership</w:t>
      </w:r>
      <w:r w:rsidRPr="001261AF">
        <w:rPr>
          <w:rFonts w:ascii="Times New Roman" w:eastAsiaTheme="minorEastAsia" w:hAnsi="Times New Roman" w:cs="Arial"/>
          <w:sz w:val="24"/>
          <w:szCs w:val="20"/>
          <w:lang w:eastAsia="en-CA"/>
        </w:rPr>
        <w:t>: animal production and the integration of livestock into smallholder farming is a key contributor to food security. Animal products are a good source of proteins and lipids and, in times of crisis, livestock functions as a shock absorber, contributing to the resilience of poor households. Results of a 2012 nutrition survey showed that in comparison to 2005/2006, higher proportions of households are now able to afford cattle at 47% nationally (up from 34%).</w:t>
      </w:r>
    </w:p>
    <w:p w14:paraId="710B2FD7" w14:textId="77777777" w:rsidR="00340DF5" w:rsidRPr="001261AF" w:rsidRDefault="00340DF5" w:rsidP="00321144">
      <w:pPr>
        <w:pStyle w:val="Boxtext"/>
        <w:numPr>
          <w:ilvl w:val="0"/>
          <w:numId w:val="16"/>
        </w:numPr>
        <w:rPr>
          <w:rFonts w:ascii="Times New Roman" w:eastAsiaTheme="minorEastAsia" w:hAnsi="Times New Roman" w:cs="Arial"/>
          <w:sz w:val="24"/>
          <w:szCs w:val="20"/>
          <w:lang w:eastAsia="en-CA"/>
        </w:rPr>
      </w:pPr>
      <w:r w:rsidRPr="001261AF">
        <w:rPr>
          <w:rFonts w:ascii="Times New Roman" w:eastAsiaTheme="minorEastAsia" w:hAnsi="Times New Roman" w:cs="Arial"/>
          <w:i/>
          <w:sz w:val="24"/>
          <w:szCs w:val="20"/>
          <w:lang w:eastAsia="en-CA"/>
        </w:rPr>
        <w:t>Health outcomes</w:t>
      </w:r>
      <w:r w:rsidRPr="001261AF">
        <w:rPr>
          <w:rFonts w:ascii="Times New Roman" w:eastAsiaTheme="minorEastAsia" w:hAnsi="Times New Roman" w:cs="Arial"/>
          <w:sz w:val="24"/>
          <w:szCs w:val="20"/>
          <w:lang w:eastAsia="en-CA"/>
        </w:rPr>
        <w:t xml:space="preserve">: while Girinka </w:t>
      </w:r>
      <w:proofErr w:type="gramStart"/>
      <w:r w:rsidRPr="001261AF">
        <w:rPr>
          <w:rFonts w:ascii="Times New Roman" w:eastAsiaTheme="minorEastAsia" w:hAnsi="Times New Roman" w:cs="Arial"/>
          <w:sz w:val="24"/>
          <w:szCs w:val="20"/>
          <w:lang w:eastAsia="en-CA"/>
        </w:rPr>
        <w:t>cannot be credited</w:t>
      </w:r>
      <w:proofErr w:type="gramEnd"/>
      <w:r w:rsidRPr="001261AF">
        <w:rPr>
          <w:rFonts w:ascii="Times New Roman" w:eastAsiaTheme="minorEastAsia" w:hAnsi="Times New Roman" w:cs="Arial"/>
          <w:sz w:val="24"/>
          <w:szCs w:val="20"/>
          <w:lang w:eastAsia="en-CA"/>
        </w:rPr>
        <w:t xml:space="preserve"> with single-handedly improving health outcomes across Rwanda, the program has certainly played a part in reducing the level of malnutrition across the population, as well as among children under five. </w:t>
      </w:r>
      <w:r w:rsidRPr="001261AF">
        <w:rPr>
          <w:rFonts w:ascii="Times New Roman" w:eastAsiaTheme="minorEastAsia" w:hAnsi="Times New Roman" w:cs="Arial"/>
          <w:sz w:val="24"/>
          <w:szCs w:val="20"/>
          <w:lang w:eastAsia="en-CA"/>
        </w:rPr>
        <w:lastRenderedPageBreak/>
        <w:t xml:space="preserve">According to the 2010 Demographic Health Survey, the percentage of stunted children fell from 51% in 2005, to 44% in 2010, the percentage of wasted children fell from five percent to three percent and the percentage of underweight children fell from 18% to 11%. </w:t>
      </w:r>
    </w:p>
    <w:p w14:paraId="55374217" w14:textId="77777777" w:rsidR="00340DF5" w:rsidRPr="001261AF" w:rsidRDefault="00340DF5" w:rsidP="00321144">
      <w:pPr>
        <w:pStyle w:val="Boxtext"/>
        <w:numPr>
          <w:ilvl w:val="0"/>
          <w:numId w:val="16"/>
        </w:numPr>
        <w:rPr>
          <w:rFonts w:ascii="Times New Roman" w:eastAsiaTheme="minorEastAsia" w:hAnsi="Times New Roman" w:cs="Arial"/>
          <w:sz w:val="24"/>
          <w:szCs w:val="20"/>
          <w:lang w:eastAsia="en-CA"/>
        </w:rPr>
      </w:pPr>
      <w:r w:rsidRPr="001261AF">
        <w:rPr>
          <w:rFonts w:ascii="Times New Roman" w:eastAsiaTheme="minorEastAsia" w:hAnsi="Times New Roman" w:cs="Arial"/>
          <w:i/>
          <w:sz w:val="24"/>
          <w:szCs w:val="20"/>
          <w:lang w:eastAsia="en-CA"/>
        </w:rPr>
        <w:t>Social reconciliation and unity</w:t>
      </w:r>
      <w:r w:rsidRPr="001261AF">
        <w:rPr>
          <w:rFonts w:ascii="Times New Roman" w:eastAsiaTheme="minorEastAsia" w:hAnsi="Times New Roman" w:cs="Arial"/>
          <w:sz w:val="24"/>
          <w:szCs w:val="20"/>
          <w:lang w:eastAsia="en-CA"/>
        </w:rPr>
        <w:t xml:space="preserve">: Girinka has played a significant role in post-genocide reconstruction in Rwanda. During the colonial period, the cow was used to divide Rwandans along ethnic </w:t>
      </w:r>
      <w:proofErr w:type="gramStart"/>
      <w:r w:rsidRPr="001261AF">
        <w:rPr>
          <w:rFonts w:ascii="Times New Roman" w:eastAsiaTheme="minorEastAsia" w:hAnsi="Times New Roman" w:cs="Arial"/>
          <w:sz w:val="24"/>
          <w:szCs w:val="20"/>
          <w:lang w:eastAsia="en-CA"/>
        </w:rPr>
        <w:t>lines and cattle became a symbol of elitism</w:t>
      </w:r>
      <w:proofErr w:type="gramEnd"/>
      <w:r w:rsidRPr="001261AF">
        <w:rPr>
          <w:rFonts w:ascii="Times New Roman" w:eastAsiaTheme="minorEastAsia" w:hAnsi="Times New Roman" w:cs="Arial"/>
          <w:sz w:val="24"/>
          <w:szCs w:val="20"/>
          <w:lang w:eastAsia="en-CA"/>
        </w:rPr>
        <w:t xml:space="preserve"> and a commodity reserved only for a portion of the country’s people. According to a report by UNICEF, the 1994 Genocide against the Tutsi saw 90% of the country’s cattle killed. It is against this historical background, whereby cows </w:t>
      </w:r>
      <w:proofErr w:type="gramStart"/>
      <w:r w:rsidRPr="001261AF">
        <w:rPr>
          <w:rFonts w:ascii="Times New Roman" w:eastAsiaTheme="minorEastAsia" w:hAnsi="Times New Roman" w:cs="Arial"/>
          <w:sz w:val="24"/>
          <w:szCs w:val="20"/>
          <w:lang w:eastAsia="en-CA"/>
        </w:rPr>
        <w:t>were considered</w:t>
      </w:r>
      <w:proofErr w:type="gramEnd"/>
      <w:r w:rsidRPr="001261AF">
        <w:rPr>
          <w:rFonts w:ascii="Times New Roman" w:eastAsiaTheme="minorEastAsia" w:hAnsi="Times New Roman" w:cs="Arial"/>
          <w:sz w:val="24"/>
          <w:szCs w:val="20"/>
          <w:lang w:eastAsia="en-CA"/>
        </w:rPr>
        <w:t xml:space="preserve"> as only for the elite in society, that Girinka was introduced.</w:t>
      </w:r>
    </w:p>
    <w:p w14:paraId="43EF5747" w14:textId="77777777" w:rsidR="00340DF5" w:rsidRPr="001261AF" w:rsidRDefault="00340DF5" w:rsidP="00340DF5">
      <w:pPr>
        <w:pStyle w:val="Boxtext"/>
        <w:ind w:left="0"/>
        <w:rPr>
          <w:rFonts w:ascii="Times New Roman" w:eastAsiaTheme="minorEastAsia" w:hAnsi="Times New Roman" w:cs="Arial"/>
          <w:sz w:val="24"/>
          <w:szCs w:val="20"/>
          <w:lang w:eastAsia="en-CA"/>
        </w:rPr>
      </w:pPr>
      <w:r w:rsidRPr="001261AF">
        <w:rPr>
          <w:rFonts w:ascii="Times New Roman" w:eastAsiaTheme="minorEastAsia" w:hAnsi="Times New Roman" w:cs="Arial"/>
          <w:sz w:val="24"/>
          <w:szCs w:val="20"/>
          <w:lang w:eastAsia="en-CA"/>
        </w:rPr>
        <w:t xml:space="preserve">Girinka has changed what it means to own cattle in Rwanda. While the symbolism of prosperity </w:t>
      </w:r>
      <w:proofErr w:type="gramStart"/>
      <w:r w:rsidRPr="001261AF">
        <w:rPr>
          <w:rFonts w:ascii="Times New Roman" w:eastAsiaTheme="minorEastAsia" w:hAnsi="Times New Roman" w:cs="Arial"/>
          <w:sz w:val="24"/>
          <w:szCs w:val="20"/>
          <w:lang w:eastAsia="en-CA"/>
        </w:rPr>
        <w:t>is still attached</w:t>
      </w:r>
      <w:proofErr w:type="gramEnd"/>
      <w:r w:rsidRPr="001261AF">
        <w:rPr>
          <w:rFonts w:ascii="Times New Roman" w:eastAsiaTheme="minorEastAsia" w:hAnsi="Times New Roman" w:cs="Arial"/>
          <w:sz w:val="24"/>
          <w:szCs w:val="20"/>
          <w:lang w:eastAsia="en-CA"/>
        </w:rPr>
        <w:t xml:space="preserve"> to the cow, by giving cattle to the poorest in society, the program has helped to end the divisive perception surrounding owning cattle. The ‘pass on’ component of Girinka, whereby a recipient gifts the first born calf to a neighbour, has helped to rebuild social relationships destroyed during the 1994 Genocide against the Tutsi. This is because the giving of a cow to someone or ‘GutangaInka’, translated as ‘sealing a bond of friendship’ remains a cultural practice owned, understood and valued by Rwandans.</w:t>
      </w:r>
    </w:p>
    <w:p w14:paraId="4FF42059" w14:textId="77777777" w:rsidR="00340DF5" w:rsidRPr="001261AF" w:rsidRDefault="00340DF5" w:rsidP="00340DF5">
      <w:pPr>
        <w:pStyle w:val="Boxtext"/>
        <w:ind w:left="0"/>
        <w:rPr>
          <w:rFonts w:ascii="Times New Roman" w:eastAsiaTheme="minorEastAsia" w:hAnsi="Times New Roman" w:cs="Arial"/>
          <w:sz w:val="24"/>
          <w:szCs w:val="20"/>
          <w:lang w:eastAsia="en-CA"/>
        </w:rPr>
      </w:pPr>
      <w:r w:rsidRPr="001261AF">
        <w:rPr>
          <w:rFonts w:ascii="Times New Roman" w:eastAsiaTheme="minorEastAsia" w:hAnsi="Times New Roman" w:cs="Arial"/>
          <w:sz w:val="24"/>
          <w:szCs w:val="20"/>
          <w:lang w:eastAsia="en-CA"/>
        </w:rPr>
        <w:t xml:space="preserve">This is a very significant example as it </w:t>
      </w:r>
      <w:proofErr w:type="gramStart"/>
      <w:r w:rsidRPr="001261AF">
        <w:rPr>
          <w:rFonts w:ascii="Times New Roman" w:eastAsiaTheme="minorEastAsia" w:hAnsi="Times New Roman" w:cs="Arial"/>
          <w:sz w:val="24"/>
          <w:szCs w:val="20"/>
          <w:lang w:eastAsia="en-CA"/>
        </w:rPr>
        <w:t>impacts</w:t>
      </w:r>
      <w:proofErr w:type="gramEnd"/>
      <w:r w:rsidRPr="001261AF">
        <w:rPr>
          <w:rFonts w:ascii="Times New Roman" w:eastAsiaTheme="minorEastAsia" w:hAnsi="Times New Roman" w:cs="Arial"/>
          <w:sz w:val="24"/>
          <w:szCs w:val="20"/>
          <w:lang w:eastAsia="en-CA"/>
        </w:rPr>
        <w:t xml:space="preserve"> nutrition both directly (provision of livestock and dairy products), but also indirectly by creating a safety net, providing diversification, income and social bonds. The program has been crucial in addressing the fundamental needs of those parts of the country that are critically food insecure. This is also an excellent example of an innovative policy, with a multi-stakeholder cooperation.</w:t>
      </w:r>
    </w:p>
    <w:p w14:paraId="6389E333" w14:textId="77777777" w:rsidR="00340DF5" w:rsidRPr="001261AF" w:rsidRDefault="00340DF5" w:rsidP="00340DF5">
      <w:pPr>
        <w:pStyle w:val="Heading2"/>
      </w:pPr>
      <w:bookmarkStart w:id="11" w:name="_Toc453781604"/>
      <w:r w:rsidRPr="001261AF">
        <w:t>Missed Opportunities</w:t>
      </w:r>
      <w:bookmarkEnd w:id="11"/>
    </w:p>
    <w:p w14:paraId="3BDE18CF" w14:textId="7657F5A2" w:rsidR="00340DF5" w:rsidRPr="00253D7C" w:rsidRDefault="00340DF5" w:rsidP="00340DF5">
      <w:pPr>
        <w:rPr>
          <w:lang w:val="en-GB"/>
        </w:rPr>
      </w:pPr>
      <w:r w:rsidRPr="00253D7C">
        <w:rPr>
          <w:lang w:val="en-GB"/>
        </w:rPr>
        <w:t xml:space="preserve">Across the three technical online discussions, some of the contributors raised concerns on a number of missed opportunities: aspects of malnutrition that </w:t>
      </w:r>
      <w:proofErr w:type="gramStart"/>
      <w:r w:rsidRPr="00253D7C">
        <w:rPr>
          <w:lang w:val="en-GB"/>
        </w:rPr>
        <w:t>have been overlooked</w:t>
      </w:r>
      <w:proofErr w:type="gramEnd"/>
      <w:r w:rsidRPr="00253D7C">
        <w:rPr>
          <w:lang w:val="en-GB"/>
        </w:rPr>
        <w:t xml:space="preserve"> by the facilitators of the discussions or that have not been developed in adequate depth by the discussion. We have </w:t>
      </w:r>
      <w:r w:rsidR="001261AF" w:rsidRPr="001261AF">
        <w:rPr>
          <w:lang w:val="en-GB"/>
        </w:rPr>
        <w:t>analysed</w:t>
      </w:r>
      <w:r w:rsidRPr="00253D7C">
        <w:rPr>
          <w:lang w:val="en-GB"/>
        </w:rPr>
        <w:t xml:space="preserve"> them in the context of each of the three specific topics, but have also identified gaps from our own perspective, trying to identify missed opportunities of these electronic debates.</w:t>
      </w:r>
    </w:p>
    <w:p w14:paraId="526A8BA6" w14:textId="277743EF" w:rsidR="00340DF5" w:rsidRPr="00253D7C" w:rsidRDefault="00340DF5" w:rsidP="00340DF5">
      <w:pPr>
        <w:rPr>
          <w:lang w:val="en-GB"/>
        </w:rPr>
      </w:pPr>
      <w:r w:rsidRPr="00253D7C">
        <w:rPr>
          <w:lang w:val="en-GB"/>
        </w:rPr>
        <w:t xml:space="preserve">The </w:t>
      </w:r>
      <w:r w:rsidRPr="00253D7C">
        <w:rPr>
          <w:i/>
          <w:lang w:val="en-GB"/>
        </w:rPr>
        <w:t>Social Protection</w:t>
      </w:r>
      <w:r w:rsidRPr="00253D7C">
        <w:rPr>
          <w:lang w:val="en-GB"/>
        </w:rPr>
        <w:t xml:space="preserve"> discussion highlighted the classical themes related to aid, targeting, conditional transfers and programmes, the need to ensure that the right to food </w:t>
      </w:r>
      <w:proofErr w:type="gramStart"/>
      <w:r w:rsidRPr="00253D7C">
        <w:rPr>
          <w:lang w:val="en-GB"/>
        </w:rPr>
        <w:t>is adequately recognized</w:t>
      </w:r>
      <w:proofErr w:type="gramEnd"/>
      <w:r w:rsidRPr="00253D7C">
        <w:rPr>
          <w:lang w:val="en-GB"/>
        </w:rPr>
        <w:t xml:space="preserve"> as a basic human right worldwide, market regulations, innovation, etc. What was really missing was a breakdown of the four food security dimensions and an analysis of how different social protection schemes could intervene in the different dimensions and at the core fulcrums of the food systems chain. If such an analysis could be conducted in a context-specific way, it could provide a framework for action for countries to reach self-subsistence, develop coping mechanisms and food sovereignty in the </w:t>
      </w:r>
      <w:proofErr w:type="gramStart"/>
      <w:r w:rsidRPr="00253D7C">
        <w:rPr>
          <w:lang w:val="en-GB"/>
        </w:rPr>
        <w:t>long run</w:t>
      </w:r>
      <w:proofErr w:type="gramEnd"/>
      <w:r w:rsidRPr="00253D7C">
        <w:rPr>
          <w:lang w:val="en-GB"/>
        </w:rPr>
        <w:t xml:space="preserve">. Some contributors did raise the need to </w:t>
      </w:r>
      <w:r w:rsidR="001261AF" w:rsidRPr="001261AF">
        <w:rPr>
          <w:lang w:val="en-GB"/>
        </w:rPr>
        <w:t>analyse</w:t>
      </w:r>
      <w:r w:rsidRPr="00253D7C">
        <w:rPr>
          <w:lang w:val="en-GB"/>
        </w:rPr>
        <w:t xml:space="preserve"> structural causes of malnutrition, but failed to provide any usable synergies for policies.</w:t>
      </w:r>
    </w:p>
    <w:p w14:paraId="5C7C3FF6" w14:textId="77777777" w:rsidR="00340DF5" w:rsidRPr="001261AF" w:rsidRDefault="00340DF5" w:rsidP="00340DF5">
      <w:pPr>
        <w:rPr>
          <w:lang w:val="en-GB"/>
        </w:rPr>
      </w:pPr>
      <w:r w:rsidRPr="00253D7C">
        <w:rPr>
          <w:lang w:val="en-GB"/>
        </w:rPr>
        <w:t xml:space="preserve">The </w:t>
      </w:r>
      <w:r w:rsidRPr="00253D7C">
        <w:rPr>
          <w:i/>
          <w:lang w:val="en-GB"/>
        </w:rPr>
        <w:t>Nutrition-enhancing agriculture and food systems</w:t>
      </w:r>
      <w:r w:rsidRPr="00253D7C">
        <w:rPr>
          <w:lang w:val="en-GB"/>
        </w:rPr>
        <w:t xml:space="preserve"> online discussion focused on many of the classical debates around malnutrition. Given that the facilitators defined “nutrition-enhancing” as any action that can improve nutrition, including indirect actions (ranging from increasing women’s income to improved health care services), the most interesting aspect of this debate would have been an in-depth, result-based analysis of different agricultural practices (e.g. traditional practices, agro-ecology, innovative, more intensive methods) and different food-based approaches for nutrition enhancement. Despite the fact that some contributions highlighted the importance of agricultural diversiﬁcation and of dietary diversity for better nutritional outcomes, there is very little mention of this crucial aspect in the comments. Moreover, the discussion did not tackle the importance of innovation for </w:t>
      </w:r>
      <w:proofErr w:type="gramStart"/>
      <w:r w:rsidRPr="00253D7C">
        <w:rPr>
          <w:lang w:val="en-GB"/>
        </w:rPr>
        <w:t>enhancement,</w:t>
      </w:r>
      <w:proofErr w:type="gramEnd"/>
      <w:r w:rsidRPr="00253D7C">
        <w:rPr>
          <w:lang w:val="en-GB"/>
        </w:rPr>
        <w:t xml:space="preserve"> sustainability, how to enhance nutrition in the various </w:t>
      </w:r>
      <w:r w:rsidRPr="00253D7C">
        <w:rPr>
          <w:lang w:val="en-GB"/>
        </w:rPr>
        <w:lastRenderedPageBreak/>
        <w:t xml:space="preserve">hotspots of the food systems chain and how civil society can play a role in helping smallholders deploy nutrition-enhancing strategies. At the same time, only few comments suggest ideas on how to enhance food systems in a way to make them more responsive to nutrition: more inputs </w:t>
      </w:r>
      <w:proofErr w:type="gramStart"/>
      <w:r w:rsidRPr="00253D7C">
        <w:rPr>
          <w:lang w:val="en-GB"/>
        </w:rPr>
        <w:t>would have been welcomed</w:t>
      </w:r>
      <w:proofErr w:type="gramEnd"/>
      <w:r w:rsidRPr="00253D7C">
        <w:rPr>
          <w:lang w:val="en-GB"/>
        </w:rPr>
        <w:t xml:space="preserve"> given the centrality of this topic. To conclude, a provision of a higher number of successful stories / case studies would have provided ideas to better inform policy-making and serve as inspirational source for all the participants to the online discussion.</w:t>
      </w:r>
    </w:p>
    <w:p w14:paraId="25AEA659" w14:textId="2575F9DF" w:rsidR="00340DF5" w:rsidRPr="00253D7C" w:rsidRDefault="00340DF5" w:rsidP="00340DF5">
      <w:pPr>
        <w:rPr>
          <w:lang w:val="en-GB"/>
        </w:rPr>
      </w:pPr>
      <w:r w:rsidRPr="00253D7C">
        <w:rPr>
          <w:lang w:val="en-GB"/>
        </w:rPr>
        <w:t xml:space="preserve">The consultation on </w:t>
      </w:r>
      <w:r w:rsidRPr="00253D7C">
        <w:rPr>
          <w:i/>
          <w:lang w:val="en-GB"/>
        </w:rPr>
        <w:t>The Contribution of the Private Sector and Civil Society to improve nutrition</w:t>
      </w:r>
      <w:r w:rsidRPr="00253D7C">
        <w:rPr>
          <w:lang w:val="en-GB"/>
        </w:rPr>
        <w:t xml:space="preserve"> has underlined the critical issues related to the vagueness of terms associated with “private sector”: what does this term exactly refer </w:t>
      </w:r>
      <w:proofErr w:type="gramStart"/>
      <w:r w:rsidRPr="00253D7C">
        <w:rPr>
          <w:lang w:val="en-GB"/>
        </w:rPr>
        <w:t>to</w:t>
      </w:r>
      <w:proofErr w:type="gramEnd"/>
      <w:r w:rsidRPr="00253D7C">
        <w:rPr>
          <w:lang w:val="en-GB"/>
        </w:rPr>
        <w:t xml:space="preserve">? Does it encompass everything from big corporations to the smallholders? The discussion failed to provide an answer. This extremely important point plagued the whole discussion, which was unable to delineate an array of concrete actions for the Private Sector in addressing malnutrition, while the roles of the Civil Society were </w:t>
      </w:r>
      <w:r w:rsidR="001261AF" w:rsidRPr="001261AF">
        <w:rPr>
          <w:lang w:val="en-GB"/>
        </w:rPr>
        <w:t>analysed</w:t>
      </w:r>
      <w:r w:rsidRPr="00253D7C">
        <w:rPr>
          <w:lang w:val="en-GB"/>
        </w:rPr>
        <w:t xml:space="preserve"> </w:t>
      </w:r>
      <w:proofErr w:type="gramStart"/>
      <w:r w:rsidRPr="00253D7C">
        <w:rPr>
          <w:lang w:val="en-GB"/>
        </w:rPr>
        <w:t>to</w:t>
      </w:r>
      <w:proofErr w:type="gramEnd"/>
      <w:r w:rsidRPr="00253D7C">
        <w:rPr>
          <w:lang w:val="en-GB"/>
        </w:rPr>
        <w:t xml:space="preserve"> much greater depth.</w:t>
      </w:r>
    </w:p>
    <w:p w14:paraId="38305FFA" w14:textId="39FFB5E1" w:rsidR="00340DF5" w:rsidRPr="00253D7C" w:rsidRDefault="00340DF5" w:rsidP="00340DF5">
      <w:pPr>
        <w:rPr>
          <w:lang w:val="en-GB"/>
        </w:rPr>
      </w:pPr>
      <w:r w:rsidRPr="00253D7C">
        <w:rPr>
          <w:lang w:val="en-GB"/>
        </w:rPr>
        <w:t xml:space="preserve">Finally, as an overarching consideration, all three discussions have remained very narrow in their scope and development. In our view, they have also failed to address some of the global challenges (urbanization, climate change, sustainability), and how the specific topics </w:t>
      </w:r>
      <w:r w:rsidR="001261AF" w:rsidRPr="001261AF">
        <w:rPr>
          <w:lang w:val="en-GB"/>
        </w:rPr>
        <w:t>analysed</w:t>
      </w:r>
      <w:r w:rsidRPr="00253D7C">
        <w:rPr>
          <w:lang w:val="en-GB"/>
        </w:rPr>
        <w:t xml:space="preserve"> could contribute in improving nutrition in face of these challenges.</w:t>
      </w:r>
    </w:p>
    <w:p w14:paraId="32DEC3C7" w14:textId="21F158B9" w:rsidR="00340DF5" w:rsidRPr="00253D7C" w:rsidRDefault="00340DF5" w:rsidP="00C5309B">
      <w:pPr>
        <w:rPr>
          <w:lang w:val="en-GB"/>
        </w:rPr>
      </w:pPr>
      <w:r w:rsidRPr="00253D7C">
        <w:rPr>
          <w:lang w:val="en-GB"/>
        </w:rPr>
        <w:t xml:space="preserve">In general, </w:t>
      </w:r>
      <w:r w:rsidR="001261AF" w:rsidRPr="001261AF">
        <w:rPr>
          <w:lang w:val="en-GB"/>
        </w:rPr>
        <w:t>we have</w:t>
      </w:r>
      <w:r w:rsidRPr="00253D7C">
        <w:rPr>
          <w:lang w:val="en-GB"/>
        </w:rPr>
        <w:t xml:space="preserve"> seen that these electronic consultations are a great tool to raise technical concerns, issues and providing useful references and experiences. However, given the proper nature of these open platforms where anyone can contribute, they often lack coherence and structure. In our opinion, this is one of the main gaps: though facilitators have sometimes tried to summarize the various inputs or provide an altogether new analysis/document (an example is in the Social Protection discussion), this </w:t>
      </w:r>
      <w:proofErr w:type="gramStart"/>
      <w:r w:rsidRPr="00253D7C">
        <w:rPr>
          <w:lang w:val="en-GB"/>
        </w:rPr>
        <w:t>was done</w:t>
      </w:r>
      <w:proofErr w:type="gramEnd"/>
      <w:r w:rsidRPr="00253D7C">
        <w:rPr>
          <w:lang w:val="en-GB"/>
        </w:rPr>
        <w:t xml:space="preserve"> in a relatively superficial way and defied, in someway, the whole exercise. According to the facilitators, given that these discussions </w:t>
      </w:r>
      <w:proofErr w:type="gramStart"/>
      <w:r w:rsidRPr="00253D7C">
        <w:rPr>
          <w:lang w:val="en-GB"/>
        </w:rPr>
        <w:t>were initiated</w:t>
      </w:r>
      <w:proofErr w:type="gramEnd"/>
      <w:r w:rsidRPr="00253D7C">
        <w:rPr>
          <w:lang w:val="en-GB"/>
        </w:rPr>
        <w:t xml:space="preserve"> to “feed into and inform [the Second International Conference on Nutrition (ICN2)]”, it would have made a lot of sense to do a comprehensive summary of the outcomes and link them to the actual ICN2 discussions, to illustrate to the participants the effect of their contributions.</w:t>
      </w:r>
    </w:p>
    <w:p w14:paraId="2709677C" w14:textId="77777777" w:rsidR="00340DF5" w:rsidRPr="00253D7C" w:rsidRDefault="00340DF5" w:rsidP="00340DF5">
      <w:pPr>
        <w:snapToGrid/>
        <w:spacing w:after="160" w:line="256" w:lineRule="auto"/>
        <w:rPr>
          <w:lang w:val="en-GB"/>
        </w:rPr>
      </w:pPr>
      <w:r w:rsidRPr="00253D7C">
        <w:rPr>
          <w:lang w:val="en-GB"/>
        </w:rPr>
        <w:br w:type="page"/>
      </w:r>
    </w:p>
    <w:p w14:paraId="2ED3D0BF" w14:textId="77777777" w:rsidR="00340DF5" w:rsidRPr="00253D7C" w:rsidRDefault="00340DF5" w:rsidP="00644E41">
      <w:pPr>
        <w:pStyle w:val="Heading1"/>
        <w:rPr>
          <w:lang w:val="en-GB"/>
        </w:rPr>
      </w:pPr>
      <w:bookmarkStart w:id="12" w:name="_Toc453781605"/>
      <w:r w:rsidRPr="00253D7C">
        <w:rPr>
          <w:lang w:val="en-GB"/>
        </w:rPr>
        <w:lastRenderedPageBreak/>
        <w:t>Political summary</w:t>
      </w:r>
      <w:bookmarkEnd w:id="12"/>
      <w:r w:rsidR="003232CF" w:rsidRPr="00253D7C">
        <w:rPr>
          <w:lang w:val="en-GB"/>
        </w:rPr>
        <w:t xml:space="preserve"> </w:t>
      </w:r>
    </w:p>
    <w:p w14:paraId="0EFBFAEB" w14:textId="77777777" w:rsidR="0015755A" w:rsidRPr="00253D7C" w:rsidRDefault="0015755A" w:rsidP="0015755A">
      <w:pPr>
        <w:rPr>
          <w:lang w:val="en-GB"/>
        </w:rPr>
      </w:pPr>
      <w:r w:rsidRPr="00253D7C">
        <w:rPr>
          <w:lang w:val="en-GB"/>
        </w:rPr>
        <w:t>At the beginning of 2014, building on the results of the preparatory processes</w:t>
      </w:r>
      <w:r w:rsidRPr="001261AF">
        <w:rPr>
          <w:lang w:val="en-GB" w:eastAsia="zh-CN"/>
        </w:rPr>
        <w:t xml:space="preserve">, </w:t>
      </w:r>
      <w:r w:rsidRPr="00253D7C">
        <w:rPr>
          <w:lang w:val="en-GB"/>
        </w:rPr>
        <w:t xml:space="preserve">the FAO and WHO Secretariats began drafting the zero draft of the RDN. </w:t>
      </w:r>
      <w:r w:rsidRPr="001261AF">
        <w:rPr>
          <w:lang w:val="en-GB" w:eastAsia="zh-CN"/>
        </w:rPr>
        <w:t>The technical discourse helped to indicate new areas of focus and action for member countries, especially in increasing the acknowledgement of ag</w:t>
      </w:r>
      <w:r w:rsidRPr="003D2139">
        <w:rPr>
          <w:lang w:val="en-GB" w:eastAsia="zh-CN"/>
        </w:rPr>
        <w:t>riculture and food systems, education, information and communication, the roles of the Private Sector and the Civil Society, women’s empowerment, social protection and safety nets, and transparency and monitoring policies</w:t>
      </w:r>
      <w:r w:rsidRPr="003D2139">
        <w:rPr>
          <w:lang w:val="en-GB"/>
        </w:rPr>
        <w:t xml:space="preserve">. </w:t>
      </w:r>
      <w:r w:rsidRPr="00253D7C">
        <w:rPr>
          <w:lang w:val="en-GB"/>
        </w:rPr>
        <w:t>When the actual phase of negotiation among the FAO/WHO members began, the FSN</w:t>
      </w:r>
      <w:r w:rsidR="00447D57" w:rsidRPr="00253D7C">
        <w:rPr>
          <w:lang w:val="en-GB"/>
        </w:rPr>
        <w:t xml:space="preserve"> Forum</w:t>
      </w:r>
      <w:r w:rsidRPr="00253D7C">
        <w:rPr>
          <w:lang w:val="en-GB"/>
        </w:rPr>
        <w:t xml:space="preserve"> platform opened online discussions to member states </w:t>
      </w:r>
      <w:r w:rsidR="00447D57" w:rsidRPr="00253D7C">
        <w:rPr>
          <w:lang w:val="en-GB"/>
        </w:rPr>
        <w:t xml:space="preserve">and the </w:t>
      </w:r>
      <w:proofErr w:type="gramStart"/>
      <w:r w:rsidR="00447D57" w:rsidRPr="00253D7C">
        <w:rPr>
          <w:lang w:val="en-GB"/>
        </w:rPr>
        <w:t>general public</w:t>
      </w:r>
      <w:proofErr w:type="gramEnd"/>
      <w:r w:rsidR="00447D57" w:rsidRPr="00253D7C">
        <w:rPr>
          <w:lang w:val="en-GB"/>
        </w:rPr>
        <w:t xml:space="preserve"> </w:t>
      </w:r>
      <w:r w:rsidRPr="00253D7C">
        <w:rPr>
          <w:lang w:val="en-GB"/>
        </w:rPr>
        <w:t xml:space="preserve">for review and remarks. In February 2014, the </w:t>
      </w:r>
      <w:proofErr w:type="gramStart"/>
      <w:r w:rsidRPr="00253D7C">
        <w:rPr>
          <w:lang w:val="en-GB"/>
        </w:rPr>
        <w:t>first Zero Draft of the Rome Declaration was presented by the ICN2 Secretariat</w:t>
      </w:r>
      <w:proofErr w:type="gramEnd"/>
      <w:r w:rsidRPr="00253D7C">
        <w:rPr>
          <w:lang w:val="en-GB"/>
        </w:rPr>
        <w:t xml:space="preserve"> and the FSN</w:t>
      </w:r>
      <w:r w:rsidR="00447D57" w:rsidRPr="00253D7C">
        <w:rPr>
          <w:lang w:val="en-GB"/>
        </w:rPr>
        <w:t xml:space="preserve"> Forum</w:t>
      </w:r>
      <w:r w:rsidRPr="00253D7C">
        <w:rPr>
          <w:lang w:val="en-GB"/>
        </w:rPr>
        <w:t xml:space="preserve"> published on its online platform the first of the three political discussions. In May, after another round of negotiations, a revised draft </w:t>
      </w:r>
      <w:proofErr w:type="gramStart"/>
      <w:r w:rsidRPr="00253D7C">
        <w:rPr>
          <w:lang w:val="en-GB"/>
        </w:rPr>
        <w:t>was presented</w:t>
      </w:r>
      <w:proofErr w:type="gramEnd"/>
      <w:r w:rsidRPr="00253D7C">
        <w:rPr>
          <w:lang w:val="en-GB"/>
        </w:rPr>
        <w:t xml:space="preserve"> and the second online discussion was launched. When the discussions on the RDN were exhausted, a draft of the FFA </w:t>
      </w:r>
      <w:proofErr w:type="gramStart"/>
      <w:r w:rsidRPr="00253D7C">
        <w:rPr>
          <w:lang w:val="en-GB"/>
        </w:rPr>
        <w:t>was presented</w:t>
      </w:r>
      <w:proofErr w:type="gramEnd"/>
      <w:r w:rsidRPr="00253D7C">
        <w:rPr>
          <w:lang w:val="en-GB"/>
        </w:rPr>
        <w:t xml:space="preserve"> by the Secretariats and the FSN forum opened the last and final discussion on this draft.  </w:t>
      </w:r>
    </w:p>
    <w:p w14:paraId="73D5C071" w14:textId="77777777" w:rsidR="0015755A" w:rsidRPr="00253D7C" w:rsidRDefault="0015755A" w:rsidP="0015755A">
      <w:pPr>
        <w:spacing w:line="276" w:lineRule="auto"/>
        <w:jc w:val="both"/>
        <w:rPr>
          <w:lang w:val="en-GB"/>
        </w:rPr>
      </w:pPr>
      <w:r w:rsidRPr="00253D7C">
        <w:rPr>
          <w:lang w:val="en-GB"/>
        </w:rPr>
        <w:t xml:space="preserve">Hence, stakeholders </w:t>
      </w:r>
      <w:proofErr w:type="gramStart"/>
      <w:r w:rsidRPr="00253D7C">
        <w:rPr>
          <w:lang w:val="en-GB"/>
        </w:rPr>
        <w:t>were called upon</w:t>
      </w:r>
      <w:proofErr w:type="gramEnd"/>
      <w:r w:rsidRPr="00253D7C">
        <w:rPr>
          <w:lang w:val="en-GB"/>
        </w:rPr>
        <w:t xml:space="preserve"> to comment on the following three discussions: </w:t>
      </w:r>
    </w:p>
    <w:p w14:paraId="6A449C4B" w14:textId="77777777" w:rsidR="0015755A" w:rsidRPr="00253D7C" w:rsidRDefault="0015755A" w:rsidP="0015755A">
      <w:pPr>
        <w:numPr>
          <w:ilvl w:val="0"/>
          <w:numId w:val="18"/>
        </w:numPr>
        <w:spacing w:after="60"/>
        <w:ind w:left="714" w:hanging="357"/>
        <w:jc w:val="both"/>
        <w:rPr>
          <w:lang w:val="en-GB"/>
        </w:rPr>
      </w:pPr>
      <w:r w:rsidRPr="00253D7C">
        <w:rPr>
          <w:color w:val="000000"/>
          <w:szCs w:val="24"/>
          <w:lang w:val="en-GB"/>
        </w:rPr>
        <w:t>“</w:t>
      </w:r>
      <w:r w:rsidRPr="00253D7C">
        <w:rPr>
          <w:i/>
          <w:color w:val="000000"/>
          <w:szCs w:val="24"/>
          <w:lang w:val="en-GB"/>
        </w:rPr>
        <w:t>Invitation to an open discussion on the political outcome document of the ICN2</w:t>
      </w:r>
      <w:r w:rsidRPr="00253D7C">
        <w:rPr>
          <w:color w:val="000000"/>
          <w:szCs w:val="24"/>
          <w:lang w:val="en-GB"/>
        </w:rPr>
        <w:t>”</w:t>
      </w:r>
    </w:p>
    <w:p w14:paraId="652CE327" w14:textId="77777777" w:rsidR="0015755A" w:rsidRPr="00253D7C" w:rsidRDefault="0015755A" w:rsidP="0015755A">
      <w:pPr>
        <w:numPr>
          <w:ilvl w:val="0"/>
          <w:numId w:val="18"/>
        </w:numPr>
        <w:spacing w:after="60"/>
        <w:ind w:left="714" w:hanging="357"/>
        <w:jc w:val="both"/>
        <w:rPr>
          <w:lang w:val="en-GB"/>
        </w:rPr>
      </w:pPr>
      <w:r w:rsidRPr="00253D7C">
        <w:rPr>
          <w:color w:val="000000"/>
          <w:szCs w:val="24"/>
          <w:lang w:val="en-GB"/>
        </w:rPr>
        <w:t>“</w:t>
      </w:r>
      <w:r w:rsidRPr="00253D7C">
        <w:rPr>
          <w:i/>
          <w:color w:val="000000"/>
          <w:szCs w:val="24"/>
          <w:lang w:val="en-GB"/>
        </w:rPr>
        <w:t>Invitation to comment on the revised draft of the political outcome document of the ICN2</w:t>
      </w:r>
      <w:r w:rsidRPr="00253D7C">
        <w:rPr>
          <w:color w:val="000000"/>
          <w:szCs w:val="24"/>
          <w:lang w:val="en-GB"/>
        </w:rPr>
        <w:t>”</w:t>
      </w:r>
    </w:p>
    <w:p w14:paraId="06133D51" w14:textId="77777777" w:rsidR="0015755A" w:rsidRPr="00253D7C" w:rsidRDefault="0015755A" w:rsidP="0015755A">
      <w:pPr>
        <w:numPr>
          <w:ilvl w:val="0"/>
          <w:numId w:val="18"/>
        </w:numPr>
        <w:spacing w:after="60"/>
        <w:ind w:left="714" w:hanging="357"/>
        <w:jc w:val="both"/>
        <w:rPr>
          <w:lang w:val="en-GB"/>
        </w:rPr>
      </w:pPr>
      <w:r w:rsidRPr="00253D7C">
        <w:rPr>
          <w:i/>
          <w:color w:val="000000"/>
          <w:szCs w:val="24"/>
          <w:lang w:val="en-GB"/>
        </w:rPr>
        <w:t>“Invitation to an open discussion on the ICN2 Framework for Action zero draft to implement the Rome Declaration on Nutrition”</w:t>
      </w:r>
    </w:p>
    <w:p w14:paraId="2B24005A" w14:textId="7BAD896B" w:rsidR="0015755A" w:rsidRPr="00253D7C" w:rsidRDefault="0015755A" w:rsidP="0015755A">
      <w:pPr>
        <w:spacing w:before="240"/>
        <w:rPr>
          <w:lang w:val="en-GB"/>
        </w:rPr>
      </w:pPr>
      <w:r w:rsidRPr="00253D7C">
        <w:rPr>
          <w:lang w:val="en-GB"/>
        </w:rPr>
        <w:t xml:space="preserve">It </w:t>
      </w:r>
      <w:proofErr w:type="gramStart"/>
      <w:r w:rsidRPr="00253D7C">
        <w:rPr>
          <w:lang w:val="en-GB"/>
        </w:rPr>
        <w:t>should be noted</w:t>
      </w:r>
      <w:proofErr w:type="gramEnd"/>
      <w:r w:rsidRPr="00253D7C">
        <w:rPr>
          <w:lang w:val="en-GB"/>
        </w:rPr>
        <w:t xml:space="preserve"> that the final documents that were presented for approval during ICN2, and which were adopted by unanimous consensus, differed substantially from the initial drafts submitted for online discussion. However, these modifications were not all due to the electronic consultations. In fact, in addition to the online debates, regional representatives participated in seven meetings of the JWG to negotiate the RDN, a two-day meeting to negotiate the FFA draft and two meetings of an Open-ended Working Group (Geneva 22-23 Sept., Rome 10-12 Oct.) to finalize both documents. However, a large number of comments </w:t>
      </w:r>
      <w:r w:rsidR="001261AF" w:rsidRPr="001261AF">
        <w:rPr>
          <w:lang w:val="en-GB"/>
        </w:rPr>
        <w:t>analysed</w:t>
      </w:r>
      <w:r w:rsidRPr="00253D7C">
        <w:rPr>
          <w:lang w:val="en-GB"/>
        </w:rPr>
        <w:t xml:space="preserve"> in our exercise </w:t>
      </w:r>
      <w:proofErr w:type="gramStart"/>
      <w:r w:rsidRPr="00253D7C">
        <w:rPr>
          <w:lang w:val="en-GB"/>
        </w:rPr>
        <w:t>were based</w:t>
      </w:r>
      <w:proofErr w:type="gramEnd"/>
      <w:r w:rsidRPr="00253D7C">
        <w:rPr>
          <w:lang w:val="en-GB"/>
        </w:rPr>
        <w:t xml:space="preserve"> on the initial drafts and find no correspondence in the final documents. </w:t>
      </w:r>
      <w:r w:rsidRPr="00253D7C">
        <w:rPr>
          <w:color w:val="000000"/>
          <w:szCs w:val="24"/>
          <w:lang w:val="en-GB"/>
        </w:rPr>
        <w:t xml:space="preserve">Moreover, </w:t>
      </w:r>
      <w:r w:rsidRPr="00253D7C">
        <w:rPr>
          <w:lang w:val="en-GB"/>
        </w:rPr>
        <w:t>contributions did not always tackle directly the proposed questions, addressing most of the times more critical and complicated political issues.</w:t>
      </w:r>
    </w:p>
    <w:p w14:paraId="1F2E51D1" w14:textId="4B7DC18F" w:rsidR="0015755A" w:rsidRPr="00253D7C" w:rsidRDefault="0015755A" w:rsidP="0015755A">
      <w:pPr>
        <w:rPr>
          <w:lang w:val="en-GB"/>
        </w:rPr>
      </w:pPr>
      <w:r w:rsidRPr="00253D7C">
        <w:rPr>
          <w:lang w:val="en-GB"/>
        </w:rPr>
        <w:t xml:space="preserve">This is the reason why the class decided not to follow the questions proposed in the online discussions when </w:t>
      </w:r>
      <w:r w:rsidR="001261AF" w:rsidRPr="001261AF">
        <w:rPr>
          <w:lang w:val="en-GB"/>
        </w:rPr>
        <w:t>analysing</w:t>
      </w:r>
      <w:r w:rsidRPr="00253D7C">
        <w:rPr>
          <w:lang w:val="en-GB"/>
        </w:rPr>
        <w:t xml:space="preserve"> the comments, but to structure the study in order to highlight the political differences between the four main participant actors: Civil Society and NGOs, Research Institutes and Universities, Private Sector and Governments and International non-governmental organizations. Furthermore, we organized their contributions following the three thematic areas considered in the technical discussions and further concerns. </w:t>
      </w:r>
    </w:p>
    <w:p w14:paraId="4F057F97" w14:textId="77777777" w:rsidR="0015755A" w:rsidRPr="001261AF" w:rsidRDefault="0015755A" w:rsidP="002174FA">
      <w:pPr>
        <w:pStyle w:val="Heading2"/>
      </w:pPr>
      <w:bookmarkStart w:id="13" w:name="_Toc453781606"/>
      <w:r w:rsidRPr="001261AF">
        <w:t>Zero and Revised drafts of the Rome Declaration for Nutrition</w:t>
      </w:r>
      <w:bookmarkEnd w:id="13"/>
    </w:p>
    <w:p w14:paraId="20FC9455" w14:textId="77777777" w:rsidR="0015755A" w:rsidRPr="001261AF" w:rsidRDefault="0015755A" w:rsidP="0015755A">
      <w:pPr>
        <w:rPr>
          <w:iCs/>
          <w:lang w:val="en-GB" w:eastAsia="zh-CN"/>
        </w:rPr>
      </w:pPr>
      <w:r w:rsidRPr="003D2139">
        <w:rPr>
          <w:iCs/>
          <w:lang w:val="en-GB" w:eastAsia="zh-CN"/>
        </w:rPr>
        <w:t xml:space="preserve">In our view, it suffices to say that the RDN recognizes many important points such as the multidimensionality (causes and threats) associated with malnutrition, entitlements of all people in ending all forms of malnutrition and the reshaping of an equitable food system.  Thus, </w:t>
      </w:r>
      <w:r w:rsidRPr="001261AF">
        <w:rPr>
          <w:lang w:val="en-GB" w:eastAsia="zh-CN"/>
        </w:rPr>
        <w:t>the following section only summarizes</w:t>
      </w:r>
      <w:r w:rsidRPr="001261AF">
        <w:rPr>
          <w:b/>
          <w:lang w:val="en-GB" w:eastAsia="zh-CN"/>
        </w:rPr>
        <w:t xml:space="preserve"> </w:t>
      </w:r>
      <w:r w:rsidRPr="001261AF">
        <w:rPr>
          <w:lang w:val="en-GB" w:eastAsia="zh-CN"/>
        </w:rPr>
        <w:t xml:space="preserve">the commentary by the four main stakeholder groups in response to the </w:t>
      </w:r>
      <w:r w:rsidRPr="001261AF">
        <w:rPr>
          <w:i/>
          <w:lang w:val="en-GB" w:eastAsia="zh-CN"/>
        </w:rPr>
        <w:t>Invitation to an</w:t>
      </w:r>
      <w:r w:rsidRPr="001261AF">
        <w:rPr>
          <w:lang w:val="en-GB" w:eastAsia="zh-CN"/>
        </w:rPr>
        <w:t xml:space="preserve"> </w:t>
      </w:r>
      <w:r w:rsidRPr="001261AF">
        <w:rPr>
          <w:i/>
          <w:iCs/>
          <w:lang w:val="en-GB" w:eastAsia="zh-CN"/>
        </w:rPr>
        <w:t>open discussion on the political outcome document of the ICN2</w:t>
      </w:r>
      <w:r w:rsidRPr="001261AF">
        <w:rPr>
          <w:lang w:val="en-GB" w:eastAsia="zh-CN"/>
        </w:rPr>
        <w:t xml:space="preserve"> and the </w:t>
      </w:r>
      <w:r w:rsidRPr="001261AF">
        <w:rPr>
          <w:i/>
          <w:iCs/>
          <w:lang w:val="en-GB" w:eastAsia="zh-CN"/>
        </w:rPr>
        <w:t xml:space="preserve">Invitation to comment on the revised draft of the political outcome document of the ICN2. </w:t>
      </w:r>
    </w:p>
    <w:p w14:paraId="14D33781" w14:textId="0E66FB1B" w:rsidR="0015755A" w:rsidRPr="001261AF" w:rsidRDefault="0015755A" w:rsidP="0015755A">
      <w:pPr>
        <w:rPr>
          <w:lang w:val="en-GB" w:eastAsia="zh-CN"/>
        </w:rPr>
      </w:pPr>
      <w:r w:rsidRPr="001261AF">
        <w:rPr>
          <w:bCs/>
          <w:lang w:val="en-GB" w:eastAsia="zh-CN"/>
        </w:rPr>
        <w:t>The Civil Society</w:t>
      </w:r>
      <w:r w:rsidRPr="001261AF">
        <w:rPr>
          <w:lang w:val="en-GB" w:eastAsia="zh-CN"/>
        </w:rPr>
        <w:t xml:space="preserve"> suggests </w:t>
      </w:r>
      <w:r w:rsidR="001261AF" w:rsidRPr="001261AF">
        <w:rPr>
          <w:lang w:val="en-GB" w:eastAsia="zh-CN"/>
        </w:rPr>
        <w:t>defining</w:t>
      </w:r>
      <w:r w:rsidRPr="001261AF">
        <w:rPr>
          <w:lang w:val="en-GB" w:eastAsia="zh-CN"/>
        </w:rPr>
        <w:t xml:space="preserve"> vulnerable groups such as women and indigenous people, as this would allow greater ownership in decision-making for gender and culturally sensitive food </w:t>
      </w:r>
      <w:r w:rsidRPr="001261AF">
        <w:rPr>
          <w:lang w:val="en-GB" w:eastAsia="zh-CN"/>
        </w:rPr>
        <w:lastRenderedPageBreak/>
        <w:t>production.</w:t>
      </w:r>
      <w:r w:rsidRPr="001261AF">
        <w:rPr>
          <w:vertAlign w:val="superscript"/>
          <w:lang w:val="en-GB" w:eastAsia="zh-CN"/>
        </w:rPr>
        <w:footnoteReference w:id="20"/>
      </w:r>
      <w:r w:rsidRPr="001261AF">
        <w:rPr>
          <w:lang w:val="en-GB" w:eastAsia="zh-CN"/>
        </w:rPr>
        <w:t xml:space="preserve"> The enabling environment needs to be stronger in order to trace the food supply ch</w:t>
      </w:r>
      <w:r w:rsidRPr="003D2139">
        <w:rPr>
          <w:lang w:val="en-GB" w:eastAsia="zh-CN"/>
        </w:rPr>
        <w:t xml:space="preserve">ain so that nutrition-related decisions made by consumers </w:t>
      </w:r>
      <w:proofErr w:type="gramStart"/>
      <w:r w:rsidRPr="003D2139">
        <w:rPr>
          <w:lang w:val="en-GB" w:eastAsia="zh-CN"/>
        </w:rPr>
        <w:t>are based</w:t>
      </w:r>
      <w:proofErr w:type="gramEnd"/>
      <w:r w:rsidRPr="003D2139">
        <w:rPr>
          <w:lang w:val="en-GB" w:eastAsia="zh-CN"/>
        </w:rPr>
        <w:t xml:space="preserve"> on transparency. In addition, land reform is a crucial aspect to access resources, especially in the form of agro-ecological </w:t>
      </w:r>
      <w:proofErr w:type="gramStart"/>
      <w:r w:rsidRPr="003D2139">
        <w:rPr>
          <w:lang w:val="en-GB" w:eastAsia="zh-CN"/>
        </w:rPr>
        <w:t>production which</w:t>
      </w:r>
      <w:proofErr w:type="gramEnd"/>
      <w:r w:rsidRPr="003D2139">
        <w:rPr>
          <w:lang w:val="en-GB" w:eastAsia="zh-CN"/>
        </w:rPr>
        <w:t xml:space="preserve"> is based off of less external (industrial) inp</w:t>
      </w:r>
      <w:r w:rsidRPr="001261AF">
        <w:rPr>
          <w:lang w:val="en-GB" w:eastAsia="zh-CN"/>
        </w:rPr>
        <w:t>uts and accounts for social, environmental and health externalities.</w:t>
      </w:r>
      <w:r w:rsidRPr="001261AF">
        <w:rPr>
          <w:vertAlign w:val="superscript"/>
          <w:lang w:val="en-GB" w:eastAsia="zh-CN"/>
        </w:rPr>
        <w:footnoteReference w:id="21"/>
      </w:r>
      <w:r w:rsidRPr="001261AF">
        <w:rPr>
          <w:lang w:val="en-GB" w:eastAsia="zh-CN"/>
        </w:rPr>
        <w:t xml:space="preserve"> </w:t>
      </w:r>
    </w:p>
    <w:p w14:paraId="0605134D" w14:textId="77777777" w:rsidR="0015755A" w:rsidRPr="001261AF" w:rsidRDefault="0015755A" w:rsidP="0015755A">
      <w:pPr>
        <w:rPr>
          <w:lang w:val="en-GB" w:eastAsia="zh-CN"/>
        </w:rPr>
      </w:pPr>
      <w:r w:rsidRPr="003D2139">
        <w:rPr>
          <w:bCs/>
          <w:lang w:val="en-GB" w:eastAsia="zh-CN"/>
        </w:rPr>
        <w:t>Research institutes and universities</w:t>
      </w:r>
      <w:r w:rsidRPr="003D2139">
        <w:rPr>
          <w:lang w:val="en-GB" w:eastAsia="zh-CN"/>
        </w:rPr>
        <w:t xml:space="preserve"> suggest </w:t>
      </w:r>
      <w:proofErr w:type="gramStart"/>
      <w:r w:rsidRPr="003D2139">
        <w:rPr>
          <w:lang w:val="en-GB" w:eastAsia="zh-CN"/>
        </w:rPr>
        <w:t>to place</w:t>
      </w:r>
      <w:proofErr w:type="gramEnd"/>
      <w:r w:rsidRPr="003D2139">
        <w:rPr>
          <w:lang w:val="en-GB" w:eastAsia="zh-CN"/>
        </w:rPr>
        <w:t xml:space="preserve"> emphasis on the multidimensionality of malnutrition and causal links.</w:t>
      </w:r>
      <w:r w:rsidRPr="001261AF">
        <w:rPr>
          <w:vertAlign w:val="superscript"/>
          <w:lang w:val="en-GB" w:eastAsia="zh-CN"/>
        </w:rPr>
        <w:footnoteReference w:id="22"/>
      </w:r>
      <w:r w:rsidRPr="001261AF">
        <w:rPr>
          <w:lang w:val="en-GB" w:eastAsia="zh-CN"/>
        </w:rPr>
        <w:t xml:space="preserve"> Social food systems that engage local populations (including women) in leveraging traditional and indigenous crops would support the adoption of sustainable and nutritious diets, including establishing markets for smallholder and family farmers. Parties are also encouraged to recall the </w:t>
      </w:r>
      <w:r w:rsidRPr="001261AF">
        <w:rPr>
          <w:i/>
          <w:lang w:val="en-GB" w:eastAsia="zh-CN"/>
        </w:rPr>
        <w:t>International Covenant on Economic, Social and Cultural Rights</w:t>
      </w:r>
      <w:r w:rsidRPr="001261AF">
        <w:rPr>
          <w:lang w:val="en-GB" w:eastAsia="zh-CN"/>
        </w:rPr>
        <w:t xml:space="preserve"> and the </w:t>
      </w:r>
      <w:r w:rsidRPr="001261AF">
        <w:rPr>
          <w:i/>
          <w:lang w:val="en-GB" w:eastAsia="zh-CN"/>
        </w:rPr>
        <w:t>Voluntary Guidelines to support the Progressive Realization of the Right to Adequate Food in the Context of National Food Security</w:t>
      </w:r>
      <w:r w:rsidRPr="001261AF">
        <w:rPr>
          <w:lang w:val="en-GB" w:eastAsia="zh-CN"/>
        </w:rPr>
        <w:t>.</w:t>
      </w:r>
      <w:r w:rsidRPr="001261AF">
        <w:rPr>
          <w:vertAlign w:val="superscript"/>
          <w:lang w:val="en-GB" w:eastAsia="zh-CN"/>
        </w:rPr>
        <w:footnoteReference w:id="23"/>
      </w:r>
      <w:r w:rsidRPr="001261AF">
        <w:rPr>
          <w:lang w:val="en-GB" w:eastAsia="zh-CN"/>
        </w:rPr>
        <w:t xml:space="preserve"> Practical policy recommendations would be to extend nutrition education in a specific institutional setting as well as communication that encourages consumption/behavioural change.</w:t>
      </w:r>
      <w:r w:rsidRPr="001261AF">
        <w:rPr>
          <w:vertAlign w:val="superscript"/>
          <w:lang w:val="en-GB" w:eastAsia="zh-CN"/>
        </w:rPr>
        <w:footnoteReference w:id="24"/>
      </w:r>
      <w:r w:rsidRPr="001261AF">
        <w:rPr>
          <w:lang w:val="en-GB" w:eastAsia="zh-CN"/>
        </w:rPr>
        <w:t xml:space="preserve"> </w:t>
      </w:r>
    </w:p>
    <w:p w14:paraId="0BC236BC" w14:textId="1FBBEA04" w:rsidR="0015755A" w:rsidRPr="001261AF" w:rsidRDefault="00962517" w:rsidP="0015755A">
      <w:pPr>
        <w:rPr>
          <w:lang w:val="en-GB" w:eastAsia="zh-CN"/>
        </w:rPr>
      </w:pPr>
      <w:r w:rsidRPr="001261AF">
        <w:rPr>
          <w:bCs/>
          <w:lang w:val="en-GB" w:eastAsia="zh-CN"/>
        </w:rPr>
        <w:t>The Private S</w:t>
      </w:r>
      <w:r w:rsidR="0015755A" w:rsidRPr="001261AF">
        <w:rPr>
          <w:bCs/>
          <w:lang w:val="en-GB" w:eastAsia="zh-CN"/>
        </w:rPr>
        <w:t>ector</w:t>
      </w:r>
      <w:r w:rsidR="0015755A" w:rsidRPr="001261AF">
        <w:rPr>
          <w:lang w:val="en-GB" w:eastAsia="zh-CN"/>
        </w:rPr>
        <w:t xml:space="preserve"> encourages focus on the social roles of women to claim economic independence in order to combat malnutrition, where environmental and health externalities </w:t>
      </w:r>
      <w:proofErr w:type="gramStart"/>
      <w:r w:rsidR="0015755A" w:rsidRPr="001261AF">
        <w:rPr>
          <w:lang w:val="en-GB" w:eastAsia="zh-CN"/>
        </w:rPr>
        <w:t>should be configured</w:t>
      </w:r>
      <w:proofErr w:type="gramEnd"/>
      <w:r w:rsidR="0015755A" w:rsidRPr="001261AF">
        <w:rPr>
          <w:lang w:val="en-GB" w:eastAsia="zh-CN"/>
        </w:rPr>
        <w:t xml:space="preserve"> in the production of food.</w:t>
      </w:r>
      <w:r w:rsidR="0015755A" w:rsidRPr="001261AF">
        <w:rPr>
          <w:vertAlign w:val="superscript"/>
          <w:lang w:val="en-GB" w:eastAsia="zh-CN"/>
        </w:rPr>
        <w:footnoteReference w:id="25"/>
      </w:r>
      <w:r w:rsidR="0015755A" w:rsidRPr="001261AF">
        <w:rPr>
          <w:lang w:val="en-GB" w:eastAsia="zh-CN"/>
        </w:rPr>
        <w:t xml:space="preserve"> There is </w:t>
      </w:r>
      <w:proofErr w:type="gramStart"/>
      <w:r w:rsidR="0015755A" w:rsidRPr="001261AF">
        <w:rPr>
          <w:lang w:val="en-GB" w:eastAsia="zh-CN"/>
        </w:rPr>
        <w:t>a</w:t>
      </w:r>
      <w:proofErr w:type="gramEnd"/>
      <w:r w:rsidR="0015755A" w:rsidRPr="001261AF">
        <w:rPr>
          <w:lang w:val="en-GB" w:eastAsia="zh-CN"/>
        </w:rPr>
        <w:t xml:space="preserve"> urgency for food industries to make their products healthier and this can be done by promoting investments in applied research and cooperation with universities and research </w:t>
      </w:r>
      <w:r w:rsidR="001261AF" w:rsidRPr="001261AF">
        <w:rPr>
          <w:lang w:val="en-GB" w:eastAsia="zh-CN"/>
        </w:rPr>
        <w:t>centres</w:t>
      </w:r>
      <w:r w:rsidR="0015755A" w:rsidRPr="001261AF">
        <w:rPr>
          <w:lang w:val="en-GB" w:eastAsia="zh-CN"/>
        </w:rPr>
        <w:t xml:space="preserve">. </w:t>
      </w:r>
    </w:p>
    <w:p w14:paraId="34BA81E5" w14:textId="77777777" w:rsidR="0015755A" w:rsidRPr="001261AF" w:rsidRDefault="0015755A" w:rsidP="0015755A">
      <w:pPr>
        <w:rPr>
          <w:lang w:val="en-GB" w:eastAsia="zh-CN"/>
        </w:rPr>
      </w:pPr>
      <w:r w:rsidRPr="001261AF">
        <w:rPr>
          <w:bCs/>
          <w:lang w:val="en-GB" w:eastAsia="zh-CN"/>
        </w:rPr>
        <w:t>Governments and international NGOs</w:t>
      </w:r>
      <w:r w:rsidRPr="001261AF">
        <w:rPr>
          <w:lang w:val="en-GB" w:eastAsia="zh-CN"/>
        </w:rPr>
        <w:t xml:space="preserve"> point out the lack of mention on nutrition in emergencies, how HIV and infectious diseases affect nutritional absorption and </w:t>
      </w:r>
      <w:proofErr w:type="gramStart"/>
      <w:r w:rsidRPr="001261AF">
        <w:rPr>
          <w:lang w:val="en-GB" w:eastAsia="zh-CN"/>
        </w:rPr>
        <w:t>gender-mainstreaming</w:t>
      </w:r>
      <w:proofErr w:type="gramEnd"/>
      <w:r w:rsidRPr="001261AF">
        <w:rPr>
          <w:lang w:val="en-GB" w:eastAsia="zh-CN"/>
        </w:rPr>
        <w:t xml:space="preserve">. They recommend </w:t>
      </w:r>
      <w:proofErr w:type="gramStart"/>
      <w:r w:rsidRPr="001261AF">
        <w:rPr>
          <w:lang w:val="en-GB" w:eastAsia="zh-CN"/>
        </w:rPr>
        <w:t>to reference</w:t>
      </w:r>
      <w:proofErr w:type="gramEnd"/>
      <w:r w:rsidRPr="001261AF">
        <w:rPr>
          <w:lang w:val="en-GB" w:eastAsia="zh-CN"/>
        </w:rPr>
        <w:t xml:space="preserve"> the </w:t>
      </w:r>
      <w:r w:rsidRPr="001261AF">
        <w:rPr>
          <w:i/>
          <w:lang w:val="en-GB" w:eastAsia="zh-CN"/>
        </w:rPr>
        <w:t>Convention on the Elimination of all forms of Discrimination Against Women</w:t>
      </w:r>
      <w:r w:rsidRPr="001261AF">
        <w:rPr>
          <w:lang w:val="en-GB" w:eastAsia="zh-CN"/>
        </w:rPr>
        <w:t xml:space="preserve"> (CEDAW) as a rights-based document. The right to adequate food and nutrition should be used as a core obligation of the state to “respect, protect and fulfil” the protection of the most vulnerable groups. Moreover, a grievance mechanism </w:t>
      </w:r>
      <w:proofErr w:type="gramStart"/>
      <w:r w:rsidRPr="001261AF">
        <w:rPr>
          <w:lang w:val="en-GB" w:eastAsia="zh-CN"/>
        </w:rPr>
        <w:t>is strongly suggested</w:t>
      </w:r>
      <w:proofErr w:type="gramEnd"/>
      <w:r w:rsidRPr="001261AF">
        <w:rPr>
          <w:lang w:val="en-GB" w:eastAsia="zh-CN"/>
        </w:rPr>
        <w:t xml:space="preserve"> to look at human rights’ violations that cause malnutrition - such as women’s rights, children’s rights, and people's access to natural resources.  There also needs to be a clearer articulation on how to integrate nutrition into agricultural programming. This </w:t>
      </w:r>
      <w:proofErr w:type="gramStart"/>
      <w:r w:rsidRPr="001261AF">
        <w:rPr>
          <w:lang w:val="en-GB" w:eastAsia="zh-CN"/>
        </w:rPr>
        <w:t>can be done</w:t>
      </w:r>
      <w:proofErr w:type="gramEnd"/>
      <w:r w:rsidRPr="001261AF">
        <w:rPr>
          <w:lang w:val="en-GB" w:eastAsia="zh-CN"/>
        </w:rPr>
        <w:t xml:space="preserve"> through advocacy for fund mobilization to scale up programmes. Moreover, nutrition focal points </w:t>
      </w:r>
      <w:proofErr w:type="gramStart"/>
      <w:r w:rsidRPr="001261AF">
        <w:rPr>
          <w:lang w:val="en-GB" w:eastAsia="zh-CN"/>
        </w:rPr>
        <w:t>should be assigned</w:t>
      </w:r>
      <w:proofErr w:type="gramEnd"/>
      <w:r w:rsidRPr="001261AF">
        <w:rPr>
          <w:lang w:val="en-GB" w:eastAsia="zh-CN"/>
        </w:rPr>
        <w:t xml:space="preserve"> to take leadership to ensure multi-stakeholder participation in programming at n</w:t>
      </w:r>
      <w:r w:rsidR="00962517" w:rsidRPr="001261AF">
        <w:rPr>
          <w:lang w:val="en-GB" w:eastAsia="zh-CN"/>
        </w:rPr>
        <w:t>ational level. Finally, the Private S</w:t>
      </w:r>
      <w:r w:rsidRPr="001261AF">
        <w:rPr>
          <w:lang w:val="en-GB" w:eastAsia="zh-CN"/>
        </w:rPr>
        <w:t xml:space="preserve">ector has the responsibility to provide accurate nutrition information and this </w:t>
      </w:r>
      <w:proofErr w:type="gramStart"/>
      <w:r w:rsidRPr="001261AF">
        <w:rPr>
          <w:lang w:val="en-GB" w:eastAsia="zh-CN"/>
        </w:rPr>
        <w:t>should be provided</w:t>
      </w:r>
      <w:proofErr w:type="gramEnd"/>
      <w:r w:rsidRPr="001261AF">
        <w:rPr>
          <w:lang w:val="en-GB" w:eastAsia="zh-CN"/>
        </w:rPr>
        <w:t xml:space="preserve"> through participatory methods.</w:t>
      </w:r>
      <w:r w:rsidRPr="001261AF">
        <w:rPr>
          <w:vertAlign w:val="superscript"/>
          <w:lang w:val="en-GB" w:eastAsia="zh-CN"/>
        </w:rPr>
        <w:footnoteReference w:id="26"/>
      </w:r>
    </w:p>
    <w:p w14:paraId="7215FF7C" w14:textId="77777777" w:rsidR="0015755A" w:rsidRPr="001261AF" w:rsidRDefault="0015755A" w:rsidP="002174FA">
      <w:pPr>
        <w:pStyle w:val="Heading2"/>
        <w:rPr>
          <w:shd w:val="clear" w:color="auto" w:fill="FFFFFF"/>
        </w:rPr>
      </w:pPr>
      <w:bookmarkStart w:id="14" w:name="_Toc453781607"/>
      <w:r w:rsidRPr="001261AF">
        <w:rPr>
          <w:shd w:val="clear" w:color="auto" w:fill="FFFFFF"/>
        </w:rPr>
        <w:t>Zero version of the Framework for Action</w:t>
      </w:r>
      <w:bookmarkEnd w:id="14"/>
    </w:p>
    <w:p w14:paraId="50F73B52" w14:textId="77777777" w:rsidR="0015755A" w:rsidRPr="003D2139" w:rsidRDefault="0015755A" w:rsidP="0015755A">
      <w:pPr>
        <w:rPr>
          <w:lang w:val="en-GB" w:eastAsia="zh-CN"/>
        </w:rPr>
      </w:pPr>
      <w:r w:rsidRPr="001261AF">
        <w:rPr>
          <w:lang w:val="en-GB" w:eastAsia="zh-CN"/>
        </w:rPr>
        <w:t xml:space="preserve">To begin, it is necessary to state that this document </w:t>
      </w:r>
      <w:proofErr w:type="gramStart"/>
      <w:r w:rsidRPr="001261AF">
        <w:rPr>
          <w:lang w:val="en-GB" w:eastAsia="zh-CN"/>
        </w:rPr>
        <w:t>is based</w:t>
      </w:r>
      <w:proofErr w:type="gramEnd"/>
      <w:r w:rsidRPr="001261AF">
        <w:rPr>
          <w:lang w:val="en-GB" w:eastAsia="zh-CN"/>
        </w:rPr>
        <w:t xml:space="preserve"> on voluntary suggestions, which serves to guide the implementation of national commitments under the RDN. The FFA only builds on existing commitments, goals and targets of the Declaration, representing a set of policy strategies and options which governments, acting with other stakeholders, may include in national nutrition, </w:t>
      </w:r>
      <w:r w:rsidRPr="001261AF">
        <w:rPr>
          <w:lang w:val="en-GB" w:eastAsia="zh-CN"/>
        </w:rPr>
        <w:lastRenderedPageBreak/>
        <w:t>health, agricultural, development and investment plans,</w:t>
      </w:r>
      <w:r w:rsidRPr="001261AF">
        <w:rPr>
          <w:vertAlign w:val="superscript"/>
          <w:lang w:val="en-GB" w:eastAsia="zh-CN"/>
        </w:rPr>
        <w:footnoteReference w:id="27"/>
      </w:r>
      <w:r w:rsidRPr="001261AF">
        <w:rPr>
          <w:lang w:val="en-GB" w:eastAsia="zh-CN"/>
        </w:rPr>
        <w:t xml:space="preserve"> considering all international agreements to achieve commitments at country level. Moreover, the analysis </w:t>
      </w:r>
      <w:proofErr w:type="gramStart"/>
      <w:r w:rsidRPr="001261AF">
        <w:rPr>
          <w:lang w:val="en-GB" w:eastAsia="zh-CN"/>
        </w:rPr>
        <w:t>is link</w:t>
      </w:r>
      <w:r w:rsidRPr="003D2139">
        <w:rPr>
          <w:lang w:val="en-GB" w:eastAsia="zh-CN"/>
        </w:rPr>
        <w:t>ed</w:t>
      </w:r>
      <w:proofErr w:type="gramEnd"/>
      <w:r w:rsidRPr="003D2139">
        <w:rPr>
          <w:lang w:val="en-GB" w:eastAsia="zh-CN"/>
        </w:rPr>
        <w:t xml:space="preserve"> to the three thematic areas analysed in the technical summary of this paper.</w:t>
      </w:r>
    </w:p>
    <w:p w14:paraId="37AB9B9F" w14:textId="2717F56D" w:rsidR="0015755A" w:rsidRPr="001261AF" w:rsidRDefault="0015755A" w:rsidP="0015755A">
      <w:pPr>
        <w:rPr>
          <w:lang w:val="en-GB" w:eastAsia="zh-CN"/>
        </w:rPr>
      </w:pPr>
      <w:r w:rsidRPr="001261AF">
        <w:rPr>
          <w:lang w:val="en-GB" w:eastAsia="zh-CN"/>
        </w:rPr>
        <w:t>The Civil Society’s sentiment is that the FFA is realized at an opportune moment along with the post-2015 development agenda (SDGs), providing all member states opportunities to set people-</w:t>
      </w:r>
      <w:r w:rsidR="001261AF" w:rsidRPr="001261AF">
        <w:rPr>
          <w:lang w:val="en-GB" w:eastAsia="zh-CN"/>
        </w:rPr>
        <w:t>centred</w:t>
      </w:r>
      <w:r w:rsidRPr="001261AF">
        <w:rPr>
          <w:lang w:val="en-GB" w:eastAsia="zh-CN"/>
        </w:rPr>
        <w:t xml:space="preserve"> and nutrition-</w:t>
      </w:r>
      <w:r w:rsidR="001261AF" w:rsidRPr="001261AF">
        <w:rPr>
          <w:lang w:val="en-GB" w:eastAsia="zh-CN"/>
        </w:rPr>
        <w:t>centred</w:t>
      </w:r>
      <w:r w:rsidRPr="001261AF">
        <w:rPr>
          <w:lang w:val="en-GB" w:eastAsia="zh-CN"/>
        </w:rPr>
        <w:t xml:space="preserve"> programmes in cost-effective ways for mid-term and long-term national agendas. Actions for “vulnerable” groups of people and “priority” food groups include credit and cash transfers for pro-poor growth, price reductions, and continued civil society participation and accountability.  </w:t>
      </w:r>
    </w:p>
    <w:p w14:paraId="4D7DECA4" w14:textId="71714343" w:rsidR="0015755A" w:rsidRPr="001261AF" w:rsidRDefault="0015755A" w:rsidP="00447D57">
      <w:pPr>
        <w:rPr>
          <w:lang w:val="en-GB" w:eastAsia="zh-CN"/>
        </w:rPr>
      </w:pPr>
      <w:r w:rsidRPr="001261AF">
        <w:rPr>
          <w:lang w:val="en-GB" w:eastAsia="zh-CN"/>
        </w:rPr>
        <w:t xml:space="preserve">More specifically, for thematic area 1, </w:t>
      </w:r>
      <w:r w:rsidRPr="001261AF">
        <w:rPr>
          <w:i/>
          <w:iCs/>
          <w:lang w:val="en-GB" w:eastAsia="zh-CN"/>
        </w:rPr>
        <w:t>Concern Worldwide</w:t>
      </w:r>
      <w:r w:rsidRPr="001261AF">
        <w:rPr>
          <w:lang w:val="en-GB" w:eastAsia="zh-CN"/>
        </w:rPr>
        <w:t xml:space="preserve"> raises specific nutrition-related issues that concern women in pre-pregnancy, pregnancy, lactation, early life of the child as well as non-communicable diseases. Among the vari</w:t>
      </w:r>
      <w:r w:rsidR="00962517" w:rsidRPr="001261AF">
        <w:rPr>
          <w:lang w:val="en-GB" w:eastAsia="zh-CN"/>
        </w:rPr>
        <w:t>ous stakeholders involved, the Private S</w:t>
      </w:r>
      <w:r w:rsidRPr="001261AF">
        <w:rPr>
          <w:lang w:val="en-GB" w:eastAsia="zh-CN"/>
        </w:rPr>
        <w:t xml:space="preserve">ector is encouraged by this organization to play a key role both in terms of responsibilities and influence in consumption patterns in the 1000-day framework. Regarding to thematic area 2, </w:t>
      </w:r>
      <w:r w:rsidRPr="001261AF">
        <w:rPr>
          <w:i/>
          <w:iCs/>
          <w:lang w:val="en-GB" w:eastAsia="zh-CN"/>
        </w:rPr>
        <w:t xml:space="preserve">FIAN International </w:t>
      </w:r>
      <w:r w:rsidRPr="001261AF">
        <w:rPr>
          <w:lang w:val="en-GB" w:eastAsia="zh-CN"/>
        </w:rPr>
        <w:t xml:space="preserve">suggests that national ministries support small-scale farmers with access to credits and subsidies to reach greater potential of sustainable, biodiverse and labour-intensive agriculture. Another priority is to elaborate the concept and definitions of agroecology so that regulations </w:t>
      </w:r>
      <w:proofErr w:type="gramStart"/>
      <w:r w:rsidRPr="001261AF">
        <w:rPr>
          <w:lang w:val="en-GB" w:eastAsia="zh-CN"/>
        </w:rPr>
        <w:t>are better administered</w:t>
      </w:r>
      <w:proofErr w:type="gramEnd"/>
      <w:r w:rsidRPr="001261AF">
        <w:rPr>
          <w:lang w:val="en-GB" w:eastAsia="zh-CN"/>
        </w:rPr>
        <w:t xml:space="preserve">. Lastly, on thematic area 3, </w:t>
      </w:r>
      <w:proofErr w:type="gramStart"/>
      <w:r w:rsidRPr="001261AF">
        <w:rPr>
          <w:lang w:val="en-GB" w:eastAsia="zh-CN"/>
        </w:rPr>
        <w:t xml:space="preserve">a scenario is presented by </w:t>
      </w:r>
      <w:r w:rsidRPr="001261AF">
        <w:rPr>
          <w:i/>
          <w:iCs/>
          <w:lang w:val="en-GB" w:eastAsia="zh-CN"/>
        </w:rPr>
        <w:t>International Baby Food Action Network</w:t>
      </w:r>
      <w:proofErr w:type="gramEnd"/>
      <w:r w:rsidRPr="001261AF">
        <w:rPr>
          <w:lang w:val="en-GB" w:eastAsia="zh-CN"/>
        </w:rPr>
        <w:t xml:space="preserve"> on the primary commercial an</w:t>
      </w:r>
      <w:r w:rsidR="00962517" w:rsidRPr="001261AF">
        <w:rPr>
          <w:lang w:val="en-GB" w:eastAsia="zh-CN"/>
        </w:rPr>
        <w:t>d profit-driven motives of the P</w:t>
      </w:r>
      <w:r w:rsidRPr="001261AF">
        <w:rPr>
          <w:lang w:val="en-GB" w:eastAsia="zh-CN"/>
        </w:rPr>
        <w:t>rivate</w:t>
      </w:r>
      <w:r w:rsidR="00962517" w:rsidRPr="001261AF">
        <w:rPr>
          <w:lang w:val="en-GB" w:eastAsia="zh-CN"/>
        </w:rPr>
        <w:t xml:space="preserve"> S</w:t>
      </w:r>
      <w:r w:rsidRPr="001261AF">
        <w:rPr>
          <w:lang w:val="en-GB" w:eastAsia="zh-CN"/>
        </w:rPr>
        <w:t>ector, in particular large transnational corporations, when involved in policy-making. Therefore, the network suggests multi-stakeholder evaluation, monitor</w:t>
      </w:r>
      <w:r w:rsidR="00962517" w:rsidRPr="001261AF">
        <w:rPr>
          <w:lang w:val="en-GB" w:eastAsia="zh-CN"/>
        </w:rPr>
        <w:t>ing and accountability between Private S</w:t>
      </w:r>
      <w:r w:rsidRPr="001261AF">
        <w:rPr>
          <w:lang w:val="en-GB" w:eastAsia="zh-CN"/>
        </w:rPr>
        <w:t xml:space="preserve">ector and </w:t>
      </w:r>
      <w:r w:rsidR="00447D57" w:rsidRPr="001261AF">
        <w:rPr>
          <w:lang w:val="en-GB" w:eastAsia="zh-CN"/>
        </w:rPr>
        <w:t>C</w:t>
      </w:r>
      <w:r w:rsidRPr="001261AF">
        <w:rPr>
          <w:lang w:val="en-GB" w:eastAsia="zh-CN"/>
        </w:rPr>
        <w:t xml:space="preserve">ivil </w:t>
      </w:r>
      <w:r w:rsidR="00447D57" w:rsidRPr="001261AF">
        <w:rPr>
          <w:lang w:val="en-GB" w:eastAsia="zh-CN"/>
        </w:rPr>
        <w:t>S</w:t>
      </w:r>
      <w:r w:rsidRPr="001261AF">
        <w:rPr>
          <w:lang w:val="en-GB" w:eastAsia="zh-CN"/>
        </w:rPr>
        <w:t xml:space="preserve">ociety with the support. Importance </w:t>
      </w:r>
      <w:proofErr w:type="gramStart"/>
      <w:r w:rsidRPr="001261AF">
        <w:rPr>
          <w:lang w:val="en-GB" w:eastAsia="zh-CN"/>
        </w:rPr>
        <w:t>should be directed</w:t>
      </w:r>
      <w:proofErr w:type="gramEnd"/>
      <w:r w:rsidRPr="001261AF">
        <w:rPr>
          <w:lang w:val="en-GB" w:eastAsia="zh-CN"/>
        </w:rPr>
        <w:t xml:space="preserve"> towards the structural qualities of the nation’s health, and the realisation that epidemic diseases are symptoms of sick societies. </w:t>
      </w:r>
    </w:p>
    <w:p w14:paraId="72EC2D29" w14:textId="77777777" w:rsidR="0015755A" w:rsidRPr="001261AF" w:rsidRDefault="0015755A" w:rsidP="0015755A">
      <w:pPr>
        <w:contextualSpacing/>
        <w:rPr>
          <w:lang w:val="en-GB" w:eastAsia="zh-CN"/>
        </w:rPr>
      </w:pPr>
      <w:r w:rsidRPr="001261AF">
        <w:rPr>
          <w:lang w:val="en-GB" w:eastAsia="zh-CN"/>
        </w:rPr>
        <w:t xml:space="preserve">For Research Institutions and Universities, national level actions </w:t>
      </w:r>
      <w:proofErr w:type="gramStart"/>
      <w:r w:rsidRPr="001261AF">
        <w:rPr>
          <w:lang w:val="en-GB" w:eastAsia="zh-CN"/>
        </w:rPr>
        <w:t>are seen to be prioritized</w:t>
      </w:r>
      <w:proofErr w:type="gramEnd"/>
      <w:r w:rsidRPr="001261AF">
        <w:rPr>
          <w:lang w:val="en-GB" w:eastAsia="zh-CN"/>
        </w:rPr>
        <w:t xml:space="preserve"> on evidence-based data, which enables the understanding of what healthy diets consist of for nutrition practitioners and policy planners. Academia also suggests </w:t>
      </w:r>
      <w:proofErr w:type="gramStart"/>
      <w:r w:rsidRPr="001261AF">
        <w:rPr>
          <w:lang w:val="en-GB" w:eastAsia="zh-CN"/>
        </w:rPr>
        <w:t>to remove</w:t>
      </w:r>
      <w:proofErr w:type="gramEnd"/>
      <w:r w:rsidRPr="001261AF">
        <w:rPr>
          <w:lang w:val="en-GB" w:eastAsia="zh-CN"/>
        </w:rPr>
        <w:t xml:space="preserve"> the WHO recommendations on sugars</w:t>
      </w:r>
      <w:r w:rsidRPr="001261AF">
        <w:rPr>
          <w:vertAlign w:val="superscript"/>
          <w:lang w:val="en-GB" w:eastAsia="zh-CN"/>
        </w:rPr>
        <w:footnoteReference w:id="28"/>
      </w:r>
      <w:r w:rsidRPr="001261AF">
        <w:rPr>
          <w:lang w:val="en-GB" w:eastAsia="zh-CN"/>
        </w:rPr>
        <w:t xml:space="preserve"> since the document is still under draft revision in international deliberation. In addition, independent accountability bodies are encouraged to be set up to assure liability, for example </w:t>
      </w:r>
      <w:proofErr w:type="gramStart"/>
      <w:r w:rsidRPr="001261AF">
        <w:rPr>
          <w:lang w:val="en-GB" w:eastAsia="zh-CN"/>
        </w:rPr>
        <w:t>an</w:t>
      </w:r>
      <w:proofErr w:type="gramEnd"/>
      <w:r w:rsidRPr="001261AF">
        <w:rPr>
          <w:lang w:val="en-GB" w:eastAsia="zh-CN"/>
        </w:rPr>
        <w:t xml:space="preserve"> International Panel on Nutrition.</w:t>
      </w:r>
      <w:r w:rsidRPr="001261AF">
        <w:rPr>
          <w:lang w:val="en-GB" w:eastAsia="zh-CN"/>
        </w:rPr>
        <w:br/>
      </w:r>
    </w:p>
    <w:p w14:paraId="698D7913" w14:textId="212E44EC" w:rsidR="0015755A" w:rsidRPr="001261AF" w:rsidRDefault="0015755A" w:rsidP="00447D57">
      <w:pPr>
        <w:rPr>
          <w:lang w:val="en-GB" w:eastAsia="zh-CN"/>
        </w:rPr>
      </w:pPr>
      <w:r w:rsidRPr="003D2139">
        <w:rPr>
          <w:lang w:val="en-GB" w:eastAsia="zh-CN"/>
        </w:rPr>
        <w:t xml:space="preserve">Under thematic area 1, </w:t>
      </w:r>
      <w:r w:rsidRPr="003D2139">
        <w:rPr>
          <w:i/>
          <w:iCs/>
          <w:lang w:val="en-GB" w:eastAsia="zh-CN"/>
        </w:rPr>
        <w:t>Community Eye Health Research</w:t>
      </w:r>
      <w:r w:rsidRPr="001261AF">
        <w:rPr>
          <w:lang w:val="en-GB" w:eastAsia="zh-CN"/>
        </w:rPr>
        <w:t xml:space="preserve"> </w:t>
      </w:r>
      <w:r w:rsidRPr="001261AF">
        <w:rPr>
          <w:i/>
          <w:iCs/>
          <w:lang w:val="en-GB" w:eastAsia="zh-CN"/>
        </w:rPr>
        <w:t>Center</w:t>
      </w:r>
      <w:r w:rsidRPr="001261AF">
        <w:rPr>
          <w:lang w:val="en-GB" w:eastAsia="zh-CN"/>
        </w:rPr>
        <w:t xml:space="preserve"> mentions that gender-sensitive intervention should focus on developing nutrition-sensitivity education programmes for the early intake of nutrient dense foods. Availability of locally grown nutrient dense foods at an affordable price is always possible and proper steps to </w:t>
      </w:r>
      <w:proofErr w:type="gramStart"/>
      <w:r w:rsidRPr="001261AF">
        <w:rPr>
          <w:lang w:val="en-GB" w:eastAsia="zh-CN"/>
        </w:rPr>
        <w:t>be taken</w:t>
      </w:r>
      <w:proofErr w:type="gramEnd"/>
      <w:r w:rsidRPr="001261AF">
        <w:rPr>
          <w:lang w:val="en-GB" w:eastAsia="zh-CN"/>
        </w:rPr>
        <w:t xml:space="preserve"> towards making such foods available. These price considerations increase the accessibility of healthy foods to the vulnerable population and thus enables them to make healthy dietary choices. For thematic area 2, </w:t>
      </w:r>
      <w:r w:rsidRPr="001261AF">
        <w:rPr>
          <w:i/>
          <w:iCs/>
          <w:lang w:val="en-GB" w:eastAsia="zh-CN"/>
        </w:rPr>
        <w:t xml:space="preserve">World Cancer Research Fund International </w:t>
      </w:r>
      <w:r w:rsidRPr="001261AF">
        <w:rPr>
          <w:lang w:val="en-GB" w:eastAsia="zh-CN"/>
        </w:rPr>
        <w:t xml:space="preserve">suggests using WHO's comprehensive </w:t>
      </w:r>
      <w:r w:rsidRPr="001261AF">
        <w:rPr>
          <w:i/>
          <w:iCs/>
          <w:lang w:val="en-GB" w:eastAsia="zh-CN"/>
        </w:rPr>
        <w:t>Implementation Plan on Maternal, Infant and Young Child Nutrition</w:t>
      </w:r>
      <w:r w:rsidRPr="001261AF">
        <w:rPr>
          <w:lang w:val="en-GB" w:eastAsia="zh-CN"/>
        </w:rPr>
        <w:t xml:space="preserve"> and the </w:t>
      </w:r>
      <w:r w:rsidRPr="001261AF">
        <w:rPr>
          <w:i/>
          <w:iCs/>
          <w:lang w:val="en-GB" w:eastAsia="zh-CN"/>
        </w:rPr>
        <w:t>WHO Global Action Plan for the Prevention and Control of Non communicable Diseases 2013-2020</w:t>
      </w:r>
      <w:r w:rsidRPr="001261AF">
        <w:rPr>
          <w:i/>
          <w:iCs/>
          <w:vertAlign w:val="superscript"/>
          <w:lang w:val="en-GB" w:eastAsia="zh-CN"/>
        </w:rPr>
        <w:footnoteReference w:id="29"/>
      </w:r>
      <w:r w:rsidRPr="001261AF">
        <w:rPr>
          <w:lang w:val="en-GB" w:eastAsia="zh-CN"/>
        </w:rPr>
        <w:t xml:space="preserve"> as a secondary reference to complement the FFA. In this document, specific references </w:t>
      </w:r>
      <w:proofErr w:type="gramStart"/>
      <w:r w:rsidRPr="001261AF">
        <w:rPr>
          <w:lang w:val="en-GB" w:eastAsia="zh-CN"/>
        </w:rPr>
        <w:t>are made</w:t>
      </w:r>
      <w:proofErr w:type="gramEnd"/>
      <w:r w:rsidRPr="001261AF">
        <w:rPr>
          <w:lang w:val="en-GB" w:eastAsia="zh-CN"/>
        </w:rPr>
        <w:t xml:space="preserve"> to the significance of food systems that add to solutions, which is not typically found in existing political and technical documents. This </w:t>
      </w:r>
      <w:proofErr w:type="gramStart"/>
      <w:r w:rsidRPr="001261AF">
        <w:rPr>
          <w:lang w:val="en-GB" w:eastAsia="zh-CN"/>
        </w:rPr>
        <w:t>can also be done</w:t>
      </w:r>
      <w:proofErr w:type="gramEnd"/>
      <w:r w:rsidRPr="001261AF">
        <w:rPr>
          <w:lang w:val="en-GB" w:eastAsia="zh-CN"/>
        </w:rPr>
        <w:t xml:space="preserve"> by creating and improving tools for gathering better and more freque</w:t>
      </w:r>
      <w:r w:rsidRPr="003D2139">
        <w:rPr>
          <w:lang w:val="en-GB" w:eastAsia="zh-CN"/>
        </w:rPr>
        <w:t xml:space="preserve">nt data, particularly on undernutrition rates, micronutrients, diet quality (including metrics relevant to obesity and non-communicable diseases) and local availability and affordability of diverse nutritious foods. This </w:t>
      </w:r>
      <w:r w:rsidRPr="003D2139">
        <w:rPr>
          <w:lang w:val="en-GB" w:eastAsia="zh-CN"/>
        </w:rPr>
        <w:lastRenderedPageBreak/>
        <w:t xml:space="preserve">data is essential to monitor the problem of malnutrition in all its forms, as the basis for solutions, and to monitor and evaluate impact. Regarding thematic area </w:t>
      </w:r>
      <w:proofErr w:type="gramStart"/>
      <w:r w:rsidRPr="003D2139">
        <w:rPr>
          <w:lang w:val="en-GB" w:eastAsia="zh-CN"/>
        </w:rPr>
        <w:t>3;</w:t>
      </w:r>
      <w:proofErr w:type="gramEnd"/>
      <w:r w:rsidRPr="003D2139">
        <w:rPr>
          <w:lang w:val="en-GB" w:eastAsia="zh-CN"/>
        </w:rPr>
        <w:t xml:space="preserve"> national level priority actions need to consider a cross-governmental and inter-sectoral governance mechanism, including the </w:t>
      </w:r>
      <w:r w:rsidRPr="001261AF">
        <w:rPr>
          <w:lang w:val="en-GB" w:eastAsia="zh-CN"/>
        </w:rPr>
        <w:t xml:space="preserve">engagement of local and intermediate levels of government, with a mandate of providing leadership. As referenced by </w:t>
      </w:r>
      <w:r w:rsidRPr="001261AF">
        <w:rPr>
          <w:i/>
          <w:iCs/>
          <w:lang w:val="en-GB" w:eastAsia="zh-CN"/>
        </w:rPr>
        <w:t>World Cancer Research Fund International</w:t>
      </w:r>
      <w:r w:rsidRPr="001261AF">
        <w:rPr>
          <w:lang w:val="en-GB" w:eastAsia="zh-CN"/>
        </w:rPr>
        <w:t xml:space="preserve">, a multi-stakeholder platform with safeguards will provide solutions to potential conflicts of interest that includes civil society and engagement with local communities. This reference </w:t>
      </w:r>
      <w:proofErr w:type="gramStart"/>
      <w:r w:rsidRPr="001261AF">
        <w:rPr>
          <w:lang w:val="en-GB" w:eastAsia="zh-CN"/>
        </w:rPr>
        <w:t>is closely related</w:t>
      </w:r>
      <w:proofErr w:type="gramEnd"/>
      <w:r w:rsidRPr="001261AF">
        <w:rPr>
          <w:lang w:val="en-GB" w:eastAsia="zh-CN"/>
        </w:rPr>
        <w:t xml:space="preserve"> to to the sentiment of </w:t>
      </w:r>
      <w:r w:rsidR="00447D57" w:rsidRPr="001261AF">
        <w:rPr>
          <w:lang w:val="en-GB" w:eastAsia="zh-CN"/>
        </w:rPr>
        <w:t xml:space="preserve">an </w:t>
      </w:r>
      <w:r w:rsidRPr="001261AF">
        <w:rPr>
          <w:lang w:val="en-GB" w:eastAsia="zh-CN"/>
        </w:rPr>
        <w:t xml:space="preserve">International Panel on Nutrition. </w:t>
      </w:r>
    </w:p>
    <w:p w14:paraId="736ABF6A" w14:textId="77777777" w:rsidR="0015755A" w:rsidRPr="001261AF" w:rsidRDefault="0015755A" w:rsidP="0015755A">
      <w:pPr>
        <w:rPr>
          <w:lang w:val="en-GB" w:eastAsia="zh-CN"/>
        </w:rPr>
      </w:pPr>
      <w:r w:rsidRPr="001261AF">
        <w:rPr>
          <w:lang w:val="en-GB" w:eastAsia="zh-CN"/>
        </w:rPr>
        <w:t>Private Sector comments refer to the lack of clarity on the concept of “global nutrition governance” and the fact that similar platforms, mechanisms, processes, and activities are already in place, running the risk of redundant and duplicati</w:t>
      </w:r>
      <w:r w:rsidR="00962517" w:rsidRPr="001261AF">
        <w:rPr>
          <w:lang w:val="en-GB" w:eastAsia="zh-CN"/>
        </w:rPr>
        <w:t>ve processes. In addition, the Private S</w:t>
      </w:r>
      <w:r w:rsidRPr="001261AF">
        <w:rPr>
          <w:lang w:val="en-GB" w:eastAsia="zh-CN"/>
        </w:rPr>
        <w:t xml:space="preserve">ector sees that there is a negative association with trade and </w:t>
      </w:r>
      <w:proofErr w:type="gramStart"/>
      <w:r w:rsidRPr="001261AF">
        <w:rPr>
          <w:lang w:val="en-GB" w:eastAsia="zh-CN"/>
        </w:rPr>
        <w:t>investments,</w:t>
      </w:r>
      <w:proofErr w:type="gramEnd"/>
      <w:r w:rsidRPr="001261AF">
        <w:rPr>
          <w:lang w:val="en-GB" w:eastAsia="zh-CN"/>
        </w:rPr>
        <w:t xml:space="preserve"> thus stresses a multi-stakeholder approach. </w:t>
      </w:r>
    </w:p>
    <w:p w14:paraId="613E4CD4" w14:textId="77777777" w:rsidR="0015755A" w:rsidRPr="001261AF" w:rsidRDefault="0015755A" w:rsidP="0015755A">
      <w:pPr>
        <w:rPr>
          <w:lang w:val="en-GB" w:eastAsia="zh-CN"/>
        </w:rPr>
      </w:pPr>
      <w:r w:rsidRPr="001261AF">
        <w:rPr>
          <w:lang w:val="en-GB" w:eastAsia="zh-CN"/>
        </w:rPr>
        <w:t xml:space="preserve">The </w:t>
      </w:r>
      <w:r w:rsidRPr="001261AF">
        <w:rPr>
          <w:i/>
          <w:iCs/>
          <w:lang w:val="en-GB" w:eastAsia="zh-CN"/>
        </w:rPr>
        <w:t>US Council for International Business</w:t>
      </w:r>
      <w:r w:rsidRPr="001261AF">
        <w:rPr>
          <w:lang w:val="en-GB" w:eastAsia="zh-CN"/>
        </w:rPr>
        <w:t xml:space="preserve"> suggests specifically for thematic area 1 the importance of nutrition education such as food labels and nutrition programs </w:t>
      </w:r>
      <w:proofErr w:type="gramStart"/>
      <w:r w:rsidRPr="001261AF">
        <w:rPr>
          <w:lang w:val="en-GB" w:eastAsia="zh-CN"/>
        </w:rPr>
        <w:t>are needed</w:t>
      </w:r>
      <w:proofErr w:type="gramEnd"/>
      <w:r w:rsidRPr="001261AF">
        <w:rPr>
          <w:lang w:val="en-GB" w:eastAsia="zh-CN"/>
        </w:rPr>
        <w:t xml:space="preserve"> for consumer education. Women’s roles </w:t>
      </w:r>
      <w:proofErr w:type="gramStart"/>
      <w:r w:rsidRPr="001261AF">
        <w:rPr>
          <w:lang w:val="en-GB" w:eastAsia="zh-CN"/>
        </w:rPr>
        <w:t>should be supported</w:t>
      </w:r>
      <w:proofErr w:type="gramEnd"/>
      <w:r w:rsidRPr="001261AF">
        <w:rPr>
          <w:lang w:val="en-GB" w:eastAsia="zh-CN"/>
        </w:rPr>
        <w:t xml:space="preserve"> by policies aiming at empowerment in economic and social circumstances in becoming farmers, traders and business owners. </w:t>
      </w:r>
      <w:r w:rsidRPr="001261AF">
        <w:rPr>
          <w:lang w:val="en-GB" w:eastAsia="zh-CN"/>
        </w:rPr>
        <w:br/>
        <w:t xml:space="preserve">As for thematic area 2, micronutrient fertilization, in particular zinc, selenium and iodine, </w:t>
      </w:r>
      <w:proofErr w:type="gramStart"/>
      <w:r w:rsidRPr="001261AF">
        <w:rPr>
          <w:lang w:val="en-GB" w:eastAsia="zh-CN"/>
        </w:rPr>
        <w:t>is suggested</w:t>
      </w:r>
      <w:proofErr w:type="gramEnd"/>
      <w:r w:rsidRPr="001261AF">
        <w:rPr>
          <w:lang w:val="en-GB" w:eastAsia="zh-CN"/>
        </w:rPr>
        <w:t xml:space="preserve"> by </w:t>
      </w:r>
      <w:r w:rsidRPr="001261AF">
        <w:rPr>
          <w:i/>
          <w:lang w:val="en-GB" w:eastAsia="zh-CN"/>
        </w:rPr>
        <w:t>International Fertilizer Industry Association</w:t>
      </w:r>
      <w:r w:rsidRPr="001261AF">
        <w:rPr>
          <w:lang w:val="en-GB" w:eastAsia="zh-CN"/>
        </w:rPr>
        <w:t xml:space="preserve"> to be integrated along the value chain for affordable and sustainable solution to eradicate deficiencies globally. For the consideration of thematic a</w:t>
      </w:r>
      <w:r w:rsidR="00962517" w:rsidRPr="001261AF">
        <w:rPr>
          <w:lang w:val="en-GB" w:eastAsia="zh-CN"/>
        </w:rPr>
        <w:t>rea 3, the contribution of the Private S</w:t>
      </w:r>
      <w:r w:rsidRPr="001261AF">
        <w:rPr>
          <w:lang w:val="en-GB" w:eastAsia="zh-CN"/>
        </w:rPr>
        <w:t>ector an</w:t>
      </w:r>
      <w:r w:rsidR="00962517" w:rsidRPr="001261AF">
        <w:rPr>
          <w:lang w:val="en-GB" w:eastAsia="zh-CN"/>
        </w:rPr>
        <w:t>d Civil S</w:t>
      </w:r>
      <w:r w:rsidRPr="001261AF">
        <w:rPr>
          <w:lang w:val="en-GB" w:eastAsia="zh-CN"/>
        </w:rPr>
        <w:t xml:space="preserve">ociety, the </w:t>
      </w:r>
      <w:r w:rsidRPr="001261AF">
        <w:rPr>
          <w:i/>
          <w:iCs/>
          <w:lang w:val="en-GB" w:eastAsia="zh-CN"/>
        </w:rPr>
        <w:t xml:space="preserve">US Council for international Business </w:t>
      </w:r>
      <w:r w:rsidR="00962517" w:rsidRPr="001261AF">
        <w:rPr>
          <w:lang w:val="en-GB" w:eastAsia="zh-CN"/>
        </w:rPr>
        <w:t>suggests that the Private S</w:t>
      </w:r>
      <w:r w:rsidRPr="001261AF">
        <w:rPr>
          <w:lang w:val="en-GB" w:eastAsia="zh-CN"/>
        </w:rPr>
        <w:t xml:space="preserve">ector’s role in strategies, actions and common goals </w:t>
      </w:r>
      <w:proofErr w:type="gramStart"/>
      <w:r w:rsidRPr="001261AF">
        <w:rPr>
          <w:lang w:val="en-GB" w:eastAsia="zh-CN"/>
        </w:rPr>
        <w:t>should be considered</w:t>
      </w:r>
      <w:proofErr w:type="gramEnd"/>
      <w:r w:rsidRPr="001261AF">
        <w:rPr>
          <w:lang w:val="en-GB" w:eastAsia="zh-CN"/>
        </w:rPr>
        <w:t xml:space="preserve"> in implementation processes so that their contributions are not denigrated in the food industry. </w:t>
      </w:r>
    </w:p>
    <w:p w14:paraId="2E163CA8" w14:textId="244177C0" w:rsidR="0015755A" w:rsidRPr="001261AF" w:rsidRDefault="0015755A" w:rsidP="001261AF">
      <w:pPr>
        <w:rPr>
          <w:lang w:val="en-GB" w:eastAsia="zh-CN"/>
        </w:rPr>
      </w:pPr>
      <w:r w:rsidRPr="001261AF">
        <w:rPr>
          <w:lang w:val="en-GB" w:eastAsia="zh-CN"/>
        </w:rPr>
        <w:t xml:space="preserve">For the last actor, the </w:t>
      </w:r>
      <w:r w:rsidRPr="001261AF">
        <w:rPr>
          <w:i/>
          <w:iCs/>
          <w:lang w:val="en-GB" w:eastAsia="zh-CN"/>
        </w:rPr>
        <w:t xml:space="preserve">INGOs and Governments, </w:t>
      </w:r>
      <w:r w:rsidRPr="001261AF">
        <w:rPr>
          <w:lang w:val="en-GB" w:eastAsia="zh-CN"/>
        </w:rPr>
        <w:t xml:space="preserve">a broad range of programming suggestions come from FAO and WFP in the field as it is highly related to context. It </w:t>
      </w:r>
      <w:proofErr w:type="gramStart"/>
      <w:r w:rsidRPr="001261AF">
        <w:rPr>
          <w:lang w:val="en-GB" w:eastAsia="zh-CN"/>
        </w:rPr>
        <w:t>is understood</w:t>
      </w:r>
      <w:proofErr w:type="gramEnd"/>
      <w:r w:rsidRPr="001261AF">
        <w:rPr>
          <w:lang w:val="en-GB" w:eastAsia="zh-CN"/>
        </w:rPr>
        <w:t xml:space="preserve"> to be self-evident that INGOs and Governments work multilaterally or bilaterally with governments, thus there is no mention of one particular Government in specificity. In addition, all INGOs insist on better data collection and knowledge management systems in order to assure better targeting. </w:t>
      </w:r>
      <w:r w:rsidRPr="001261AF">
        <w:rPr>
          <w:lang w:val="en-GB" w:eastAsia="zh-CN"/>
        </w:rPr>
        <w:br/>
        <w:t xml:space="preserve">Specifically, for thematic area 1, WFP headquarters encourages more social protection measures in access to land, while FAO headquarters suggests </w:t>
      </w:r>
      <w:proofErr w:type="gramStart"/>
      <w:r w:rsidRPr="001261AF">
        <w:rPr>
          <w:lang w:val="en-GB" w:eastAsia="zh-CN"/>
        </w:rPr>
        <w:t>to target</w:t>
      </w:r>
      <w:proofErr w:type="gramEnd"/>
      <w:r w:rsidRPr="001261AF">
        <w:rPr>
          <w:lang w:val="en-GB" w:eastAsia="zh-CN"/>
        </w:rPr>
        <w:t xml:space="preserve"> programs addressing gender inequalities. </w:t>
      </w:r>
      <w:r w:rsidRPr="001261AF">
        <w:rPr>
          <w:lang w:val="en-GB" w:eastAsia="zh-CN"/>
        </w:rPr>
        <w:br/>
        <w:t xml:space="preserve">For theme 2, </w:t>
      </w:r>
      <w:r w:rsidRPr="001261AF">
        <w:rPr>
          <w:i/>
          <w:iCs/>
          <w:lang w:val="en-GB" w:eastAsia="zh-CN"/>
        </w:rPr>
        <w:t>FAO in Afghanistan</w:t>
      </w:r>
      <w:r w:rsidRPr="001261AF">
        <w:rPr>
          <w:lang w:val="en-GB" w:eastAsia="zh-CN"/>
        </w:rPr>
        <w:t xml:space="preserve"> provides a picture of how food systems in subsistence agriculture make the backbone of the economy in many communities that are in rural terrains, </w:t>
      </w:r>
      <w:r w:rsidR="001261AF" w:rsidRPr="001261AF">
        <w:rPr>
          <w:lang w:val="en-GB" w:eastAsia="zh-CN"/>
        </w:rPr>
        <w:t>thus,</w:t>
      </w:r>
      <w:r w:rsidRPr="001261AF">
        <w:rPr>
          <w:lang w:val="en-GB" w:eastAsia="zh-CN"/>
        </w:rPr>
        <w:t xml:space="preserve"> there is a need to better organize and classify in relevant information to increase efficiency in the supply chain. In addition, capacity building for strengthening nut</w:t>
      </w:r>
      <w:r w:rsidRPr="003D2139">
        <w:rPr>
          <w:lang w:val="en-GB" w:eastAsia="zh-CN"/>
        </w:rPr>
        <w:t xml:space="preserve">rition education in food systems </w:t>
      </w:r>
      <w:proofErr w:type="gramStart"/>
      <w:r w:rsidRPr="003D2139">
        <w:rPr>
          <w:lang w:val="en-GB" w:eastAsia="zh-CN"/>
        </w:rPr>
        <w:t>is regarded</w:t>
      </w:r>
      <w:proofErr w:type="gramEnd"/>
      <w:r w:rsidRPr="003D2139">
        <w:rPr>
          <w:lang w:val="en-GB" w:eastAsia="zh-CN"/>
        </w:rPr>
        <w:t xml:space="preserve"> by these organizations as a top priority. All actions taken in programming </w:t>
      </w:r>
      <w:proofErr w:type="gramStart"/>
      <w:r w:rsidRPr="003D2139">
        <w:rPr>
          <w:lang w:val="en-GB" w:eastAsia="zh-CN"/>
        </w:rPr>
        <w:t>should be balanced</w:t>
      </w:r>
      <w:proofErr w:type="gramEnd"/>
      <w:r w:rsidRPr="003D2139">
        <w:rPr>
          <w:lang w:val="en-GB" w:eastAsia="zh-CN"/>
        </w:rPr>
        <w:t xml:space="preserve"> with political commitment. In regards</w:t>
      </w:r>
      <w:r w:rsidR="00962517" w:rsidRPr="001261AF">
        <w:rPr>
          <w:lang w:val="en-GB" w:eastAsia="zh-CN"/>
        </w:rPr>
        <w:t xml:space="preserve"> to 3: The contribution of the Private Sector and Civil S</w:t>
      </w:r>
      <w:r w:rsidRPr="001261AF">
        <w:rPr>
          <w:lang w:val="en-GB" w:eastAsia="zh-CN"/>
        </w:rPr>
        <w:t xml:space="preserve">ociety to improve nutrition, there is no specific mention by these international institutions </w:t>
      </w:r>
      <w:r w:rsidR="001261AF" w:rsidRPr="001261AF">
        <w:rPr>
          <w:lang w:val="en-GB" w:eastAsia="zh-CN"/>
        </w:rPr>
        <w:t xml:space="preserve">as a </w:t>
      </w:r>
      <w:r w:rsidRPr="001261AF">
        <w:rPr>
          <w:lang w:val="en-GB" w:eastAsia="zh-CN"/>
        </w:rPr>
        <w:t>multistake</w:t>
      </w:r>
      <w:r w:rsidR="001261AF" w:rsidRPr="001261AF">
        <w:rPr>
          <w:lang w:val="en-GB" w:eastAsia="zh-CN"/>
        </w:rPr>
        <w:t>r approach</w:t>
      </w:r>
      <w:r w:rsidRPr="001261AF">
        <w:rPr>
          <w:lang w:val="en-GB" w:eastAsia="zh-CN"/>
        </w:rPr>
        <w:t xml:space="preserve"> assumes the participation of all actors in defining policy measures.  </w:t>
      </w:r>
    </w:p>
    <w:p w14:paraId="2621B221" w14:textId="77777777" w:rsidR="0015755A" w:rsidRPr="001261AF" w:rsidRDefault="0015755A" w:rsidP="0015755A">
      <w:pPr>
        <w:pStyle w:val="Heading2"/>
      </w:pPr>
      <w:bookmarkStart w:id="15" w:name="_Toc453781608"/>
      <w:r w:rsidRPr="001261AF">
        <w:t>Conclusion</w:t>
      </w:r>
      <w:bookmarkEnd w:id="15"/>
      <w:r w:rsidRPr="001261AF">
        <w:t xml:space="preserve"> </w:t>
      </w:r>
    </w:p>
    <w:p w14:paraId="75BB5F32" w14:textId="77777777" w:rsidR="0015755A" w:rsidRPr="001261AF" w:rsidRDefault="0015755A" w:rsidP="0015755A">
      <w:pPr>
        <w:rPr>
          <w:lang w:val="en-GB" w:eastAsia="zh-CN"/>
        </w:rPr>
      </w:pPr>
      <w:r w:rsidRPr="001261AF">
        <w:rPr>
          <w:lang w:val="en-GB" w:eastAsia="zh-CN"/>
        </w:rPr>
        <w:t xml:space="preserve">Overall, the FSN online platform provided a participatory process that shared information with </w:t>
      </w:r>
      <w:proofErr w:type="gramStart"/>
      <w:r w:rsidRPr="001261AF">
        <w:rPr>
          <w:lang w:val="en-GB" w:eastAsia="zh-CN"/>
        </w:rPr>
        <w:t>stakeholders</w:t>
      </w:r>
      <w:proofErr w:type="gramEnd"/>
      <w:r w:rsidRPr="001261AF">
        <w:rPr>
          <w:lang w:val="en-GB" w:eastAsia="zh-CN"/>
        </w:rPr>
        <w:t xml:space="preserve"> pre-ICN2, encouraging discussion on concerns of opposition prior to the finalization of the RDN and FFA. It is only semi-participatory in the sense that member states’ comments and individual comments were unaccounted for in the final consensus process. In addi</w:t>
      </w:r>
      <w:r w:rsidR="00962517" w:rsidRPr="001261AF">
        <w:rPr>
          <w:lang w:val="en-GB" w:eastAsia="zh-CN"/>
        </w:rPr>
        <w:t>tion, many points highlighted in</w:t>
      </w:r>
      <w:r w:rsidRPr="001261AF">
        <w:rPr>
          <w:lang w:val="en-GB" w:eastAsia="zh-CN"/>
        </w:rPr>
        <w:t xml:space="preserve"> the draft documents </w:t>
      </w:r>
      <w:proofErr w:type="gramStart"/>
      <w:r w:rsidRPr="001261AF">
        <w:rPr>
          <w:lang w:val="en-GB" w:eastAsia="zh-CN"/>
        </w:rPr>
        <w:t>were considered</w:t>
      </w:r>
      <w:proofErr w:type="gramEnd"/>
      <w:r w:rsidRPr="001261AF">
        <w:rPr>
          <w:lang w:val="en-GB" w:eastAsia="zh-CN"/>
        </w:rPr>
        <w:t xml:space="preserve"> moot and deleted. The negligence of definitions and non-clarification in the roles that actors should carry out in country-level actions was considered </w:t>
      </w:r>
      <w:proofErr w:type="gramStart"/>
      <w:r w:rsidRPr="001261AF">
        <w:rPr>
          <w:lang w:val="en-GB" w:eastAsia="zh-CN"/>
        </w:rPr>
        <w:t>to be a</w:t>
      </w:r>
      <w:proofErr w:type="gramEnd"/>
      <w:r w:rsidRPr="001261AF">
        <w:rPr>
          <w:lang w:val="en-GB" w:eastAsia="zh-CN"/>
        </w:rPr>
        <w:t xml:space="preserve"> main area of concern by all stakeholders. However, it is to </w:t>
      </w:r>
      <w:proofErr w:type="gramStart"/>
      <w:r w:rsidRPr="001261AF">
        <w:rPr>
          <w:lang w:val="en-GB" w:eastAsia="zh-CN"/>
        </w:rPr>
        <w:t>be reminded</w:t>
      </w:r>
      <w:proofErr w:type="gramEnd"/>
      <w:r w:rsidRPr="001261AF">
        <w:rPr>
          <w:lang w:val="en-GB" w:eastAsia="zh-CN"/>
        </w:rPr>
        <w:t xml:space="preserve"> that the RDN is a political document and therefore, cann</w:t>
      </w:r>
      <w:r w:rsidR="00962517" w:rsidRPr="001261AF">
        <w:rPr>
          <w:lang w:val="en-GB" w:eastAsia="zh-CN"/>
        </w:rPr>
        <w:t xml:space="preserve">ot include precise </w:t>
      </w:r>
      <w:r w:rsidRPr="001261AF">
        <w:rPr>
          <w:lang w:val="en-GB" w:eastAsia="zh-CN"/>
        </w:rPr>
        <w:t xml:space="preserve">context-specific </w:t>
      </w:r>
      <w:r w:rsidR="00962517" w:rsidRPr="001261AF">
        <w:rPr>
          <w:lang w:val="en-GB" w:eastAsia="zh-CN"/>
        </w:rPr>
        <w:t>elements</w:t>
      </w:r>
      <w:r w:rsidRPr="001261AF">
        <w:rPr>
          <w:lang w:val="en-GB" w:eastAsia="zh-CN"/>
        </w:rPr>
        <w:t xml:space="preserve">. For </w:t>
      </w:r>
      <w:r w:rsidRPr="001261AF">
        <w:rPr>
          <w:lang w:val="en-GB" w:eastAsia="zh-CN"/>
        </w:rPr>
        <w:lastRenderedPageBreak/>
        <w:t xml:space="preserve">example, by not defining clearly who the “vulnerable groups” are, or what “highly nutritious diets” consists of, as well as what “global nutrition governance” implies – many risks are created to negatively impact the evidence base for informing good public policies. More importantly, it also runs the risk of marginalizing certain population groups when targeting investments in the different sectors. </w:t>
      </w:r>
    </w:p>
    <w:p w14:paraId="303FFEBF" w14:textId="7E9BCF6C" w:rsidR="0015755A" w:rsidRPr="001261AF" w:rsidRDefault="0015755A" w:rsidP="00447D57">
      <w:pPr>
        <w:spacing w:after="240"/>
        <w:rPr>
          <w:lang w:val="en-GB" w:eastAsia="zh-CN"/>
        </w:rPr>
      </w:pPr>
      <w:r w:rsidRPr="001261AF">
        <w:rPr>
          <w:lang w:val="en-GB" w:eastAsia="zh-CN"/>
        </w:rPr>
        <w:t xml:space="preserve">In the following, we try to highlight the interests of all actors’ comments by underlining potential rationales and areas of potential conflict in “why” </w:t>
      </w:r>
      <w:proofErr w:type="gramStart"/>
      <w:r w:rsidRPr="001261AF">
        <w:rPr>
          <w:lang w:val="en-GB" w:eastAsia="zh-CN"/>
        </w:rPr>
        <w:t>investments for certain</w:t>
      </w:r>
      <w:proofErr w:type="gramEnd"/>
      <w:r w:rsidRPr="001261AF">
        <w:rPr>
          <w:lang w:val="en-GB" w:eastAsia="zh-CN"/>
        </w:rPr>
        <w:t xml:space="preserve"> portions of the population are of greater focus and “why” certain sectors are promoted or neglected. In our view, </w:t>
      </w:r>
      <w:r w:rsidR="00447D57" w:rsidRPr="001261AF">
        <w:rPr>
          <w:lang w:val="en-GB" w:eastAsia="zh-CN"/>
        </w:rPr>
        <w:t xml:space="preserve">an </w:t>
      </w:r>
      <w:r w:rsidRPr="001261AF">
        <w:rPr>
          <w:lang w:val="en-GB" w:eastAsia="zh-CN"/>
        </w:rPr>
        <w:t xml:space="preserve">International Panel on Nutrition could serve as an ideal international governance mechanism that is to assure a fully inclusive space for the participation, accountability, transparency, monitoring and evaluation to re-inforce programming and policy implementation. </w:t>
      </w:r>
    </w:p>
    <w:p w14:paraId="221CA959" w14:textId="3A7157CC" w:rsidR="0015755A" w:rsidRPr="001261AF" w:rsidRDefault="0015755A" w:rsidP="00447D57">
      <w:pPr>
        <w:spacing w:after="240"/>
        <w:rPr>
          <w:lang w:val="en-GB" w:eastAsia="zh-CN"/>
        </w:rPr>
      </w:pPr>
      <w:r w:rsidRPr="001261AF">
        <w:rPr>
          <w:lang w:val="en-GB" w:eastAsia="zh-CN"/>
        </w:rPr>
        <w:t>The two main actors with the greatest potential conflicts are</w:t>
      </w:r>
      <w:r w:rsidR="00962517" w:rsidRPr="001261AF">
        <w:rPr>
          <w:lang w:val="en-GB" w:eastAsia="zh-CN"/>
        </w:rPr>
        <w:t xml:space="preserve"> the Civil Society and Private Sector. With regard to </w:t>
      </w:r>
      <w:proofErr w:type="gramStart"/>
      <w:r w:rsidR="00962517" w:rsidRPr="001261AF">
        <w:rPr>
          <w:lang w:val="en-GB" w:eastAsia="zh-CN"/>
        </w:rPr>
        <w:t>C</w:t>
      </w:r>
      <w:r w:rsidRPr="001261AF">
        <w:rPr>
          <w:lang w:val="en-GB" w:eastAsia="zh-CN"/>
        </w:rPr>
        <w:t>ivil</w:t>
      </w:r>
      <w:proofErr w:type="gramEnd"/>
      <w:r w:rsidRPr="001261AF">
        <w:rPr>
          <w:lang w:val="en-GB" w:eastAsia="zh-CN"/>
        </w:rPr>
        <w:t xml:space="preserve"> society, mostly all organizations allude to the concept of equal distribution in incentives (i.e. credits) and increased investments in the capabilities of the “vulnerable populations.” Credits and investments in their view, most likely serve as empowerment tools as well as safety nets. The effort is made to </w:t>
      </w:r>
      <w:r w:rsidR="00447D57" w:rsidRPr="001261AF">
        <w:rPr>
          <w:lang w:val="en-GB" w:eastAsia="zh-CN"/>
        </w:rPr>
        <w:t xml:space="preserve">stress </w:t>
      </w:r>
      <w:r w:rsidRPr="001261AF">
        <w:rPr>
          <w:lang w:val="en-GB" w:eastAsia="zh-CN"/>
        </w:rPr>
        <w:t xml:space="preserve">the role that smallholders, indigenous peoples, women, and youth play in the capital formation of a country’s agriculture sector, </w:t>
      </w:r>
      <w:proofErr w:type="gramStart"/>
      <w:r w:rsidRPr="001261AF">
        <w:rPr>
          <w:lang w:val="en-GB" w:eastAsia="zh-CN"/>
        </w:rPr>
        <w:t>provided that</w:t>
      </w:r>
      <w:proofErr w:type="gramEnd"/>
      <w:r w:rsidRPr="001261AF">
        <w:rPr>
          <w:lang w:val="en-GB" w:eastAsia="zh-CN"/>
        </w:rPr>
        <w:t xml:space="preserve"> nutrition-sensitive and gender-sensitive programmes are targeted to educate and inform these actors for effectual decision-making. This is especially important when in deliberatio</w:t>
      </w:r>
      <w:r w:rsidR="00962517" w:rsidRPr="001261AF">
        <w:rPr>
          <w:lang w:val="en-GB" w:eastAsia="zh-CN"/>
        </w:rPr>
        <w:t>n with other actors such as G</w:t>
      </w:r>
      <w:r w:rsidRPr="001261AF">
        <w:rPr>
          <w:lang w:val="en-GB" w:eastAsia="zh-CN"/>
        </w:rPr>
        <w:t>overnment</w:t>
      </w:r>
      <w:r w:rsidR="00962517" w:rsidRPr="001261AF">
        <w:rPr>
          <w:lang w:val="en-GB" w:eastAsia="zh-CN"/>
        </w:rPr>
        <w:t>s</w:t>
      </w:r>
      <w:r w:rsidRPr="001261AF">
        <w:rPr>
          <w:lang w:val="en-GB" w:eastAsia="zh-CN"/>
        </w:rPr>
        <w:t xml:space="preserve"> and </w:t>
      </w:r>
      <w:r w:rsidR="00962517" w:rsidRPr="001261AF">
        <w:rPr>
          <w:lang w:val="en-GB" w:eastAsia="zh-CN"/>
        </w:rPr>
        <w:t>the Private Sector. However, some Civil S</w:t>
      </w:r>
      <w:r w:rsidRPr="001261AF">
        <w:rPr>
          <w:lang w:val="en-GB" w:eastAsia="zh-CN"/>
        </w:rPr>
        <w:t>ociety organizations also recognize the r</w:t>
      </w:r>
      <w:r w:rsidR="00962517" w:rsidRPr="001261AF">
        <w:rPr>
          <w:lang w:val="en-GB" w:eastAsia="zh-CN"/>
        </w:rPr>
        <w:t>oles of the Private S</w:t>
      </w:r>
      <w:r w:rsidRPr="001261AF">
        <w:rPr>
          <w:lang w:val="en-GB" w:eastAsia="zh-CN"/>
        </w:rPr>
        <w:t xml:space="preserve">ector, such as the importance of unpacking what healthy diets consist of in conjunction with the promotion of consumption-behaviour changes. Most actors agree that there can be consistent cooperation if national and international mechanisms are coherent and aligned. </w:t>
      </w:r>
    </w:p>
    <w:p w14:paraId="40998B81" w14:textId="77777777" w:rsidR="0015755A" w:rsidRPr="001261AF" w:rsidRDefault="00962517" w:rsidP="0015755A">
      <w:pPr>
        <w:spacing w:after="240"/>
        <w:rPr>
          <w:lang w:val="en-GB" w:eastAsia="zh-CN"/>
        </w:rPr>
      </w:pPr>
      <w:r w:rsidRPr="001261AF">
        <w:rPr>
          <w:lang w:val="en-GB" w:eastAsia="zh-CN"/>
        </w:rPr>
        <w:t>From the Private S</w:t>
      </w:r>
      <w:r w:rsidR="0015755A" w:rsidRPr="001261AF">
        <w:rPr>
          <w:lang w:val="en-GB" w:eastAsia="zh-CN"/>
        </w:rPr>
        <w:t xml:space="preserve">ector, it is noticeable that the idea of trade and investments </w:t>
      </w:r>
      <w:proofErr w:type="gramStart"/>
      <w:r w:rsidR="0015755A" w:rsidRPr="001261AF">
        <w:rPr>
          <w:lang w:val="en-GB" w:eastAsia="zh-CN"/>
        </w:rPr>
        <w:t>is still considered</w:t>
      </w:r>
      <w:proofErr w:type="gramEnd"/>
      <w:r w:rsidR="0015755A" w:rsidRPr="001261AF">
        <w:rPr>
          <w:lang w:val="en-GB" w:eastAsia="zh-CN"/>
        </w:rPr>
        <w:t xml:space="preserve"> pejorative to most civil society actors. Howeve</w:t>
      </w:r>
      <w:r w:rsidRPr="001261AF">
        <w:rPr>
          <w:lang w:val="en-GB" w:eastAsia="zh-CN"/>
        </w:rPr>
        <w:t xml:space="preserve">r, this suggestion is made </w:t>
      </w:r>
      <w:r w:rsidR="0015755A" w:rsidRPr="001261AF">
        <w:rPr>
          <w:lang w:val="en-GB" w:eastAsia="zh-CN"/>
        </w:rPr>
        <w:t xml:space="preserve">to be avoided as it cannot be claimed that trade and private investments are negative determinants for the promotion of nutrition-sensitive agriculture, healthy food systems and healthy societies. Their perspectives to illuminate the idea of pro-poor growth, where absolute growth through trade revenues </w:t>
      </w:r>
      <w:proofErr w:type="gramStart"/>
      <w:r w:rsidR="0015755A" w:rsidRPr="001261AF">
        <w:rPr>
          <w:lang w:val="en-GB" w:eastAsia="zh-CN"/>
        </w:rPr>
        <w:t>can be used</w:t>
      </w:r>
      <w:proofErr w:type="gramEnd"/>
      <w:r w:rsidR="0015755A" w:rsidRPr="001261AF">
        <w:rPr>
          <w:lang w:val="en-GB" w:eastAsia="zh-CN"/>
        </w:rPr>
        <w:t xml:space="preserve"> in synergies to stabilize poor countries </w:t>
      </w:r>
      <w:r w:rsidR="0015755A" w:rsidRPr="001261AF">
        <w:rPr>
          <w:i/>
          <w:lang w:val="en-GB" w:eastAsia="zh-CN"/>
        </w:rPr>
        <w:t xml:space="preserve">while </w:t>
      </w:r>
      <w:r w:rsidR="0015755A" w:rsidRPr="001261AF">
        <w:rPr>
          <w:lang w:val="en-GB" w:eastAsia="zh-CN"/>
        </w:rPr>
        <w:t xml:space="preserve">focusing on individual human development. </w:t>
      </w:r>
    </w:p>
    <w:p w14:paraId="5D89BB56" w14:textId="294206CD" w:rsidR="0015755A" w:rsidRPr="001261AF" w:rsidRDefault="0015755A" w:rsidP="0015755A">
      <w:pPr>
        <w:spacing w:after="240"/>
        <w:rPr>
          <w:lang w:val="en-GB" w:eastAsia="zh-CN"/>
        </w:rPr>
      </w:pPr>
      <w:r w:rsidRPr="001261AF">
        <w:rPr>
          <w:lang w:val="en-GB" w:eastAsia="zh-CN"/>
        </w:rPr>
        <w:t xml:space="preserve">As for the research institutions, inclusion of data analysis </w:t>
      </w:r>
      <w:proofErr w:type="gramStart"/>
      <w:r w:rsidRPr="001261AF">
        <w:rPr>
          <w:lang w:val="en-GB" w:eastAsia="zh-CN"/>
        </w:rPr>
        <w:t>is founded</w:t>
      </w:r>
      <w:proofErr w:type="gramEnd"/>
      <w:r w:rsidRPr="001261AF">
        <w:rPr>
          <w:lang w:val="en-GB" w:eastAsia="zh-CN"/>
        </w:rPr>
        <w:t xml:space="preserve"> on interests of academic validity and funding for researching adequate solutions on what – for example – agroecological practices consist of and why the potential socio-economic-ecological benefits would outweigh the initial investments. In addition, the INGOs and Governments, being the public interest entities that they are willing to increase the collection of data-driven evidence, transfer of knowledge, and increasing inclusive dialogue spaces for better policy-decisions. </w:t>
      </w:r>
    </w:p>
    <w:p w14:paraId="07E4CC87" w14:textId="77777777" w:rsidR="0015755A" w:rsidRPr="001261AF" w:rsidRDefault="0015755A" w:rsidP="0015755A">
      <w:pPr>
        <w:rPr>
          <w:lang w:val="en-GB"/>
        </w:rPr>
      </w:pPr>
    </w:p>
    <w:p w14:paraId="6F871B4D" w14:textId="77777777" w:rsidR="0015755A" w:rsidRPr="001261AF" w:rsidRDefault="0015755A">
      <w:pPr>
        <w:snapToGrid/>
        <w:spacing w:after="160" w:line="259" w:lineRule="auto"/>
        <w:rPr>
          <w:lang w:val="en-GB"/>
        </w:rPr>
      </w:pPr>
    </w:p>
    <w:p w14:paraId="2D2F4505" w14:textId="77777777" w:rsidR="0015755A" w:rsidRPr="001261AF" w:rsidRDefault="0015755A">
      <w:pPr>
        <w:snapToGrid/>
        <w:spacing w:after="160" w:line="259" w:lineRule="auto"/>
        <w:rPr>
          <w:lang w:val="en-GB" w:eastAsia="zh-CN"/>
        </w:rPr>
      </w:pPr>
      <w:r w:rsidRPr="001261AF">
        <w:rPr>
          <w:lang w:val="en-GB" w:eastAsia="zh-CN"/>
        </w:rPr>
        <w:br w:type="page"/>
      </w:r>
    </w:p>
    <w:p w14:paraId="0977A7F6" w14:textId="77777777" w:rsidR="007434B7" w:rsidRPr="00253D7C" w:rsidRDefault="00F14AAF" w:rsidP="0033542A">
      <w:pPr>
        <w:pStyle w:val="Heading1"/>
        <w:rPr>
          <w:lang w:val="en-GB"/>
        </w:rPr>
      </w:pPr>
      <w:bookmarkStart w:id="16" w:name="_Toc453781609"/>
      <w:r w:rsidRPr="00253D7C">
        <w:rPr>
          <w:lang w:val="en-GB"/>
        </w:rPr>
        <w:lastRenderedPageBreak/>
        <w:t>Food for thought</w:t>
      </w:r>
      <w:bookmarkEnd w:id="16"/>
    </w:p>
    <w:p w14:paraId="4E73455C" w14:textId="77777777" w:rsidR="00B179A8" w:rsidRPr="001261AF" w:rsidRDefault="00B179A8" w:rsidP="00B179A8">
      <w:pPr>
        <w:pStyle w:val="Heading2"/>
      </w:pPr>
      <w:bookmarkStart w:id="17" w:name="_Toc453781610"/>
      <w:r w:rsidRPr="001261AF">
        <w:t>Malnutrition is multidimensional</w:t>
      </w:r>
      <w:bookmarkEnd w:id="17"/>
    </w:p>
    <w:p w14:paraId="3738AEB8" w14:textId="32A5BAE5" w:rsidR="00D04C9B" w:rsidRPr="001261AF" w:rsidRDefault="00C15DCE" w:rsidP="002174FA">
      <w:pPr>
        <w:rPr>
          <w:lang w:val="en-GB" w:eastAsia="zh-CN"/>
        </w:rPr>
      </w:pPr>
      <w:r w:rsidRPr="003D2139">
        <w:rPr>
          <w:lang w:val="en-GB" w:eastAsia="zh-CN"/>
        </w:rPr>
        <w:t xml:space="preserve">FAO defines malnutrition in a multidimensional manner, stating that it is </w:t>
      </w:r>
      <w:r w:rsidRPr="001261AF">
        <w:rPr>
          <w:i/>
          <w:iCs/>
          <w:lang w:val="en-GB" w:eastAsia="zh-CN"/>
        </w:rPr>
        <w:t xml:space="preserve">“an </w:t>
      </w:r>
      <w:r w:rsidRPr="001261AF">
        <w:rPr>
          <w:i/>
          <w:iCs/>
          <w:shd w:val="clear" w:color="auto" w:fill="FFFFFF"/>
          <w:lang w:val="en-GB" w:eastAsia="zh-CN"/>
        </w:rPr>
        <w:t>abnormal physiological condition caused by inadequate, unbalanced or excessive consumption of macronutrients and/or micronutrients. Malnutrition includes undernutrition and overnutrition as well as micronutrient deficiencies</w:t>
      </w:r>
      <w:r w:rsidR="002174FA" w:rsidRPr="001261AF">
        <w:rPr>
          <w:i/>
          <w:iCs/>
          <w:shd w:val="clear" w:color="auto" w:fill="FFFFFF"/>
          <w:lang w:val="en-GB" w:eastAsia="zh-CN"/>
        </w:rPr>
        <w:t>.”</w:t>
      </w:r>
      <w:r w:rsidR="002174FA" w:rsidRPr="001261AF">
        <w:rPr>
          <w:rStyle w:val="FootnoteReference"/>
          <w:i/>
          <w:iCs/>
          <w:shd w:val="clear" w:color="auto" w:fill="FFFFFF"/>
          <w:lang w:val="en-GB" w:eastAsia="zh-CN"/>
        </w:rPr>
        <w:footnoteReference w:id="30"/>
      </w:r>
      <w:r w:rsidR="00D04C9B" w:rsidRPr="001261AF">
        <w:rPr>
          <w:i/>
          <w:iCs/>
          <w:shd w:val="clear" w:color="auto" w:fill="FFFFFF"/>
          <w:lang w:val="en-GB" w:eastAsia="zh-CN"/>
        </w:rPr>
        <w:t xml:space="preserve"> </w:t>
      </w:r>
      <w:r w:rsidR="00D04C9B" w:rsidRPr="001261AF">
        <w:rPr>
          <w:shd w:val="clear" w:color="auto" w:fill="FFFFFF"/>
          <w:lang w:val="en-GB" w:eastAsia="zh-CN"/>
        </w:rPr>
        <w:t>C</w:t>
      </w:r>
      <w:r w:rsidRPr="001261AF">
        <w:rPr>
          <w:lang w:val="en-GB" w:eastAsia="zh-CN"/>
        </w:rPr>
        <w:t xml:space="preserve">ontributors from the FSN platform are in agreeance with this definition, noting that the immediate causes of malnutrition are multidimensional and should not be </w:t>
      </w:r>
      <w:r w:rsidR="001261AF" w:rsidRPr="003D2139">
        <w:rPr>
          <w:lang w:val="en-GB" w:eastAsia="zh-CN"/>
        </w:rPr>
        <w:t>analysed</w:t>
      </w:r>
      <w:r w:rsidRPr="001261AF">
        <w:rPr>
          <w:lang w:val="en-GB" w:eastAsia="zh-CN"/>
        </w:rPr>
        <w:t xml:space="preserve"> solely from the consumption/diet perspective. </w:t>
      </w:r>
    </w:p>
    <w:p w14:paraId="14938996" w14:textId="77777777" w:rsidR="00C15DCE" w:rsidRPr="001261AF" w:rsidRDefault="00C15DCE" w:rsidP="00D04C9B">
      <w:pPr>
        <w:rPr>
          <w:szCs w:val="24"/>
          <w:lang w:val="en-GB" w:eastAsia="zh-CN"/>
        </w:rPr>
      </w:pPr>
      <w:r w:rsidRPr="001261AF">
        <w:rPr>
          <w:lang w:val="en-GB" w:eastAsia="zh-CN"/>
        </w:rPr>
        <w:t xml:space="preserve">Food systems </w:t>
      </w:r>
      <w:r w:rsidR="00D04C9B" w:rsidRPr="001261AF">
        <w:rPr>
          <w:lang w:val="en-GB" w:eastAsia="zh-CN"/>
        </w:rPr>
        <w:t>–</w:t>
      </w:r>
      <w:r w:rsidRPr="001261AF">
        <w:rPr>
          <w:lang w:val="en-GB" w:eastAsia="zh-CN"/>
        </w:rPr>
        <w:t xml:space="preserve"> understood as the resources, environment, people, institutions and processes with which food is produced, processed, stored, distributed, prepared and consumed – determine the quantity as well as the quality of the food supply in terms of nutritional content, diversity and safety. Therefore, contributors agree that improving nutritional aspects along the whole value chain is a key strategy to enhance nutrition sensitive food systems. This </w:t>
      </w:r>
      <w:proofErr w:type="gramStart"/>
      <w:r w:rsidRPr="001261AF">
        <w:rPr>
          <w:lang w:val="en-GB" w:eastAsia="zh-CN"/>
        </w:rPr>
        <w:t>could be achieved</w:t>
      </w:r>
      <w:proofErr w:type="gramEnd"/>
      <w:r w:rsidRPr="001261AF">
        <w:rPr>
          <w:lang w:val="en-GB" w:eastAsia="zh-CN"/>
        </w:rPr>
        <w:t xml:space="preserve"> by setting explicit nutrition objectives, improving equity and targeting, gender sensitivity and environmental sustainability. Furthermore, the enhancement</w:t>
      </w:r>
      <w:r w:rsidR="00447D57" w:rsidRPr="001261AF">
        <w:rPr>
          <w:lang w:val="en-GB" w:eastAsia="zh-CN"/>
        </w:rPr>
        <w:t xml:space="preserve"> of</w:t>
      </w:r>
      <w:r w:rsidRPr="001261AF">
        <w:rPr>
          <w:lang w:val="en-GB" w:eastAsia="zh-CN"/>
        </w:rPr>
        <w:t xml:space="preserve"> social protection and safety nets</w:t>
      </w:r>
      <w:r w:rsidR="00D04C9B" w:rsidRPr="001261AF">
        <w:rPr>
          <w:lang w:val="en-GB" w:eastAsia="zh-CN"/>
        </w:rPr>
        <w:t xml:space="preserve"> </w:t>
      </w:r>
      <w:proofErr w:type="gramStart"/>
      <w:r w:rsidR="00D04C9B" w:rsidRPr="001261AF">
        <w:rPr>
          <w:lang w:val="en-GB" w:eastAsia="zh-CN"/>
        </w:rPr>
        <w:t>is considered</w:t>
      </w:r>
      <w:proofErr w:type="gramEnd"/>
      <w:r w:rsidRPr="001261AF">
        <w:rPr>
          <w:lang w:val="en-GB" w:eastAsia="zh-CN"/>
        </w:rPr>
        <w:t xml:space="preserve"> by </w:t>
      </w:r>
      <w:r w:rsidR="00D04C9B" w:rsidRPr="001261AF">
        <w:rPr>
          <w:lang w:val="en-GB" w:eastAsia="zh-CN"/>
        </w:rPr>
        <w:t>a wide majority of the contributors</w:t>
      </w:r>
      <w:r w:rsidRPr="001261AF">
        <w:rPr>
          <w:lang w:val="en-GB" w:eastAsia="zh-CN"/>
        </w:rPr>
        <w:t xml:space="preserve"> as another key tool to reduce poverty and build food security with specific focus on reduction and elimination of stunting and acute malnutrition. </w:t>
      </w:r>
    </w:p>
    <w:p w14:paraId="7B11F091" w14:textId="77777777" w:rsidR="00C15DCE" w:rsidRPr="001261AF" w:rsidRDefault="00C15DCE" w:rsidP="00C15DCE">
      <w:pPr>
        <w:rPr>
          <w:szCs w:val="24"/>
          <w:lang w:val="en-GB" w:eastAsia="zh-CN"/>
        </w:rPr>
      </w:pPr>
      <w:r w:rsidRPr="001261AF">
        <w:rPr>
          <w:lang w:val="en-GB" w:eastAsia="zh-CN"/>
        </w:rPr>
        <w:t xml:space="preserve">These multidimensional causes require integrated actions across sectors to address the malnutrition challenge. Better political and policy coherence, alignment, coordination and cooperation among food, agriculture, health and other sectors </w:t>
      </w:r>
      <w:proofErr w:type="gramStart"/>
      <w:r w:rsidRPr="001261AF">
        <w:rPr>
          <w:lang w:val="en-GB" w:eastAsia="zh-CN"/>
        </w:rPr>
        <w:t>are needed</w:t>
      </w:r>
      <w:proofErr w:type="gramEnd"/>
      <w:r w:rsidRPr="001261AF">
        <w:rPr>
          <w:lang w:val="en-GB" w:eastAsia="zh-CN"/>
        </w:rPr>
        <w:t xml:space="preserve"> to improve global nutrition. Contributors highlight the need for an accountable cross-governmental and inter-sectoral governance mechanism with safeguards that would provide solutions to potential conflicts of interests that also includes civil society and engagement with local communities. </w:t>
      </w:r>
    </w:p>
    <w:p w14:paraId="7A46E9E7" w14:textId="1AFFBD08" w:rsidR="00D04C9B" w:rsidRPr="001261AF" w:rsidRDefault="00C15DCE" w:rsidP="00D04C9B">
      <w:pPr>
        <w:rPr>
          <w:lang w:val="en-GB" w:eastAsia="zh-CN"/>
        </w:rPr>
      </w:pPr>
      <w:r w:rsidRPr="001261AF">
        <w:rPr>
          <w:lang w:val="en-GB" w:eastAsia="zh-CN"/>
        </w:rPr>
        <w:t>All stakeholders are reminded to respect human</w:t>
      </w:r>
      <w:r w:rsidR="00D04C9B" w:rsidRPr="001261AF">
        <w:rPr>
          <w:lang w:val="en-GB" w:eastAsia="zh-CN"/>
        </w:rPr>
        <w:t xml:space="preserve"> rights, focusing primarily on </w:t>
      </w:r>
      <w:r w:rsidRPr="001261AF">
        <w:rPr>
          <w:lang w:val="en-GB" w:eastAsia="zh-CN"/>
        </w:rPr>
        <w:t xml:space="preserve">“The right to adequate food and nutrition,” which should be used as a core obligation of the states to “respect, protect and </w:t>
      </w:r>
      <w:r w:rsidR="001261AF" w:rsidRPr="001261AF">
        <w:rPr>
          <w:lang w:val="en-GB" w:eastAsia="zh-CN"/>
        </w:rPr>
        <w:t>fulfil</w:t>
      </w:r>
      <w:r w:rsidRPr="001261AF">
        <w:rPr>
          <w:lang w:val="en-GB" w:eastAsia="zh-CN"/>
        </w:rPr>
        <w:t xml:space="preserve">” the protection of the most vulnerable groups. Moreover, a grievance mechanism </w:t>
      </w:r>
      <w:proofErr w:type="gramStart"/>
      <w:r w:rsidRPr="001261AF">
        <w:rPr>
          <w:lang w:val="en-GB" w:eastAsia="zh-CN"/>
        </w:rPr>
        <w:t>is strongly suggested</w:t>
      </w:r>
      <w:proofErr w:type="gramEnd"/>
      <w:r w:rsidRPr="001261AF">
        <w:rPr>
          <w:lang w:val="en-GB" w:eastAsia="zh-CN"/>
        </w:rPr>
        <w:t xml:space="preserve"> to look at human rights violations that cause malnutrition </w:t>
      </w:r>
      <w:r w:rsidR="00D04C9B" w:rsidRPr="001261AF">
        <w:rPr>
          <w:lang w:val="en-GB" w:eastAsia="zh-CN"/>
        </w:rPr>
        <w:t>–</w:t>
      </w:r>
      <w:r w:rsidRPr="001261AF">
        <w:rPr>
          <w:lang w:val="en-GB" w:eastAsia="zh-CN"/>
        </w:rPr>
        <w:t xml:space="preserve"> such as women’s rights, children’s rights, and people's access to natural resources. Contributors recognise that women’s nutritional status plays a pivotal role in the nutrition of children within the </w:t>
      </w:r>
      <w:r w:rsidR="00D04C9B" w:rsidRPr="001261AF">
        <w:rPr>
          <w:lang w:val="en-GB" w:eastAsia="zh-CN"/>
        </w:rPr>
        <w:t>critical</w:t>
      </w:r>
      <w:r w:rsidRPr="001261AF">
        <w:rPr>
          <w:lang w:val="en-GB" w:eastAsia="zh-CN"/>
        </w:rPr>
        <w:t xml:space="preserve"> 1000-day window. Directly improving their nutrition while in adolescence, pregnancy and during the breastfeeding period </w:t>
      </w:r>
      <w:proofErr w:type="gramStart"/>
      <w:r w:rsidRPr="001261AF">
        <w:rPr>
          <w:lang w:val="en-GB" w:eastAsia="zh-CN"/>
        </w:rPr>
        <w:t>is crucially related</w:t>
      </w:r>
      <w:proofErr w:type="gramEnd"/>
      <w:r w:rsidRPr="001261AF">
        <w:rPr>
          <w:lang w:val="en-GB" w:eastAsia="zh-CN"/>
        </w:rPr>
        <w:t xml:space="preserve"> to infant’s well-being and avoids stunting and wasting. Gender-sensitive interventions should therefore focus on developing nutrition sensitivity for the reinforcement of intake i</w:t>
      </w:r>
      <w:r w:rsidR="00D04C9B" w:rsidRPr="001261AF">
        <w:rPr>
          <w:lang w:val="en-GB" w:eastAsia="zh-CN"/>
        </w:rPr>
        <w:t xml:space="preserve">n nutrient dense foods. </w:t>
      </w:r>
    </w:p>
    <w:p w14:paraId="0D882D3F" w14:textId="77777777" w:rsidR="00C15DCE" w:rsidRPr="001261AF" w:rsidRDefault="00D04C9B" w:rsidP="00D04C9B">
      <w:pPr>
        <w:rPr>
          <w:szCs w:val="24"/>
          <w:lang w:val="en-GB" w:eastAsia="zh-CN"/>
        </w:rPr>
      </w:pPr>
      <w:r w:rsidRPr="001261AF">
        <w:rPr>
          <w:lang w:val="en-GB" w:eastAsia="zh-CN"/>
        </w:rPr>
        <w:t>Thus, I</w:t>
      </w:r>
      <w:r w:rsidR="00C15DCE" w:rsidRPr="001261AF">
        <w:rPr>
          <w:lang w:val="en-GB" w:eastAsia="zh-CN"/>
        </w:rPr>
        <w:t xml:space="preserve">GOs recall the commitments of </w:t>
      </w:r>
      <w:r w:rsidR="00C15DCE" w:rsidRPr="001261AF">
        <w:rPr>
          <w:i/>
          <w:iCs/>
          <w:lang w:val="en-GB" w:eastAsia="zh-CN"/>
        </w:rPr>
        <w:t xml:space="preserve">The Convention on the Elimination of all Forms of Discrimination </w:t>
      </w:r>
      <w:proofErr w:type="gramStart"/>
      <w:r w:rsidR="00C15DCE" w:rsidRPr="001261AF">
        <w:rPr>
          <w:i/>
          <w:iCs/>
          <w:lang w:val="en-GB" w:eastAsia="zh-CN"/>
        </w:rPr>
        <w:t>Against</w:t>
      </w:r>
      <w:proofErr w:type="gramEnd"/>
      <w:r w:rsidR="00C15DCE" w:rsidRPr="001261AF">
        <w:rPr>
          <w:i/>
          <w:iCs/>
          <w:lang w:val="en-GB" w:eastAsia="zh-CN"/>
        </w:rPr>
        <w:t xml:space="preserve"> Women. </w:t>
      </w:r>
      <w:r w:rsidR="00C15DCE" w:rsidRPr="001261AF">
        <w:rPr>
          <w:lang w:val="en-GB" w:eastAsia="zh-CN"/>
        </w:rPr>
        <w:t xml:space="preserve">Contributors suggest to take into consideration already existing platforms and schemes such as </w:t>
      </w:r>
      <w:proofErr w:type="gramStart"/>
      <w:r w:rsidR="00C15DCE" w:rsidRPr="001261AF">
        <w:rPr>
          <w:lang w:val="en-GB" w:eastAsia="zh-CN"/>
        </w:rPr>
        <w:t>WHO’s</w:t>
      </w:r>
      <w:proofErr w:type="gramEnd"/>
      <w:r w:rsidR="00C15DCE" w:rsidRPr="001261AF">
        <w:rPr>
          <w:lang w:val="en-GB" w:eastAsia="zh-CN"/>
        </w:rPr>
        <w:t xml:space="preserve"> comprehensive </w:t>
      </w:r>
      <w:r w:rsidR="00C15DCE" w:rsidRPr="001261AF">
        <w:rPr>
          <w:i/>
          <w:iCs/>
          <w:lang w:val="en-GB" w:eastAsia="zh-CN"/>
        </w:rPr>
        <w:t>Implementation Plan on Maternal, Infant and Young Child Nutrition</w:t>
      </w:r>
      <w:r w:rsidR="00C15DCE" w:rsidRPr="001261AF">
        <w:rPr>
          <w:lang w:val="en-GB" w:eastAsia="zh-CN"/>
        </w:rPr>
        <w:t xml:space="preserve"> and the </w:t>
      </w:r>
      <w:r w:rsidR="00C15DCE" w:rsidRPr="001261AF">
        <w:rPr>
          <w:i/>
          <w:iCs/>
          <w:lang w:val="en-GB" w:eastAsia="zh-CN"/>
        </w:rPr>
        <w:t>WHO Global Action Plan for the Prevention and Control of Noncommunicable Diseases 2013-2020</w:t>
      </w:r>
      <w:r w:rsidR="00C15DCE" w:rsidRPr="001261AF">
        <w:rPr>
          <w:lang w:val="en-GB" w:eastAsia="zh-CN"/>
        </w:rPr>
        <w:t xml:space="preserve"> as a secondary references to complement FFA.</w:t>
      </w:r>
    </w:p>
    <w:p w14:paraId="3C3C73C6" w14:textId="77777777" w:rsidR="00C15DCE" w:rsidRPr="001261AF" w:rsidRDefault="00C15DCE" w:rsidP="00C15DCE">
      <w:pPr>
        <w:rPr>
          <w:szCs w:val="24"/>
          <w:lang w:val="en-GB" w:eastAsia="zh-CN"/>
        </w:rPr>
      </w:pPr>
      <w:r w:rsidRPr="001261AF">
        <w:rPr>
          <w:lang w:val="en-GB" w:eastAsia="zh-CN"/>
        </w:rPr>
        <w:t xml:space="preserve">Contributors agree that nutrition related </w:t>
      </w:r>
      <w:proofErr w:type="gramStart"/>
      <w:r w:rsidRPr="001261AF">
        <w:rPr>
          <w:lang w:val="en-GB" w:eastAsia="zh-CN"/>
        </w:rPr>
        <w:t>decisions should be made by consumers based on transparency</w:t>
      </w:r>
      <w:proofErr w:type="gramEnd"/>
      <w:r w:rsidRPr="001261AF">
        <w:rPr>
          <w:lang w:val="en-GB" w:eastAsia="zh-CN"/>
        </w:rPr>
        <w:t xml:space="preserve"> and that there is a need for a synergy between nutrition and communication programmes. Food industries </w:t>
      </w:r>
      <w:proofErr w:type="gramStart"/>
      <w:r w:rsidRPr="001261AF">
        <w:rPr>
          <w:lang w:val="en-GB" w:eastAsia="zh-CN"/>
        </w:rPr>
        <w:t>are urged</w:t>
      </w:r>
      <w:proofErr w:type="gramEnd"/>
      <w:r w:rsidRPr="001261AF">
        <w:rPr>
          <w:lang w:val="en-GB" w:eastAsia="zh-CN"/>
        </w:rPr>
        <w:t xml:space="preserve"> to act on their responsibility to provide accurate nutrition information. Furthermore, civil society contributors urge food industries to make their products healthier promoting investments in applied research undertaking steps to increase availability of locally grown nutrient dense foods at an affordable price</w:t>
      </w:r>
      <w:r w:rsidR="00D04C9B" w:rsidRPr="001261AF">
        <w:rPr>
          <w:lang w:val="en-GB" w:eastAsia="zh-CN"/>
        </w:rPr>
        <w:t>.</w:t>
      </w:r>
    </w:p>
    <w:p w14:paraId="76323B02" w14:textId="77777777" w:rsidR="00C15DCE" w:rsidRPr="001261AF" w:rsidRDefault="00C15DCE" w:rsidP="00D04C9B">
      <w:pPr>
        <w:rPr>
          <w:lang w:val="en-GB" w:eastAsia="zh-CN"/>
        </w:rPr>
      </w:pPr>
      <w:r w:rsidRPr="001261AF">
        <w:rPr>
          <w:lang w:val="en-GB" w:eastAsia="zh-CN"/>
        </w:rPr>
        <w:lastRenderedPageBreak/>
        <w:t xml:space="preserve">In order to promote the prioritization of nutrition-sensitive policies by the agriculture sector, a series of constraints </w:t>
      </w:r>
      <w:proofErr w:type="gramStart"/>
      <w:r w:rsidRPr="001261AF">
        <w:rPr>
          <w:lang w:val="en-GB" w:eastAsia="zh-CN"/>
        </w:rPr>
        <w:t>were highlighted</w:t>
      </w:r>
      <w:proofErr w:type="gramEnd"/>
      <w:r w:rsidRPr="001261AF">
        <w:rPr>
          <w:lang w:val="en-GB" w:eastAsia="zh-CN"/>
        </w:rPr>
        <w:t xml:space="preserve"> including essentially the absence of adequate information and monitoring systems for nutrition in the agriculture sector. This </w:t>
      </w:r>
      <w:proofErr w:type="gramStart"/>
      <w:r w:rsidRPr="001261AF">
        <w:rPr>
          <w:lang w:val="en-GB" w:eastAsia="zh-CN"/>
        </w:rPr>
        <w:t>could be addressed</w:t>
      </w:r>
      <w:proofErr w:type="gramEnd"/>
      <w:r w:rsidRPr="001261AF">
        <w:rPr>
          <w:lang w:val="en-GB" w:eastAsia="zh-CN"/>
        </w:rPr>
        <w:t xml:space="preserve"> by creating and improving systems and tools for gathering better and more frequent data</w:t>
      </w:r>
      <w:r w:rsidR="00D04C9B" w:rsidRPr="001261AF">
        <w:rPr>
          <w:lang w:val="en-GB" w:eastAsia="zh-CN"/>
        </w:rPr>
        <w:t>, particularly on under</w:t>
      </w:r>
      <w:r w:rsidRPr="001261AF">
        <w:rPr>
          <w:lang w:val="en-GB" w:eastAsia="zh-CN"/>
        </w:rPr>
        <w:t xml:space="preserve">nutrition rates, micronutrients, diet quality (including metrics relevant to obesity and </w:t>
      </w:r>
      <w:r w:rsidR="00D04C9B" w:rsidRPr="001261AF">
        <w:rPr>
          <w:lang w:val="en-GB" w:eastAsia="zh-CN"/>
        </w:rPr>
        <w:t>NCDs</w:t>
      </w:r>
      <w:r w:rsidRPr="001261AF">
        <w:rPr>
          <w:lang w:val="en-GB" w:eastAsia="zh-CN"/>
        </w:rPr>
        <w:t xml:space="preserve">) and local availability and affordability of diverse nutritious foods. </w:t>
      </w:r>
    </w:p>
    <w:p w14:paraId="000EB1E5" w14:textId="77777777" w:rsidR="00D04C9B" w:rsidRPr="001261AF" w:rsidRDefault="00D04C9B" w:rsidP="00D04C9B">
      <w:pPr>
        <w:rPr>
          <w:lang w:val="en-GB" w:eastAsia="zh-CN"/>
        </w:rPr>
      </w:pPr>
      <w:r w:rsidRPr="001261AF">
        <w:rPr>
          <w:lang w:val="en-GB" w:eastAsia="zh-CN"/>
        </w:rPr>
        <w:t xml:space="preserve">Indeed, from the above analyses, the extremely complex and context-specific nature of malnutrition </w:t>
      </w:r>
      <w:proofErr w:type="gramStart"/>
      <w:r w:rsidRPr="001261AF">
        <w:rPr>
          <w:lang w:val="en-GB" w:eastAsia="zh-CN"/>
        </w:rPr>
        <w:t>is clearly elucidated</w:t>
      </w:r>
      <w:proofErr w:type="gramEnd"/>
      <w:r w:rsidRPr="001261AF">
        <w:rPr>
          <w:lang w:val="en-GB" w:eastAsia="zh-CN"/>
        </w:rPr>
        <w:t xml:space="preserve">. </w:t>
      </w:r>
      <w:proofErr w:type="gramStart"/>
      <w:r w:rsidRPr="001261AF">
        <w:rPr>
          <w:lang w:val="en-GB" w:eastAsia="zh-CN"/>
        </w:rPr>
        <w:t>A wide spectrum of interrelated causes can be found, addressing malnutrition from a food systems approach, ranging from the inadequate availability of, and access to safe, diverse, nutritious food, lack of access to clean water, poor sanitation and inadequate health care, inappropriate child feeding practices, lack of adequate social protection programmes and safety nets or the lack of nutrition education, inappropriate enabling environment and adequate policies, etc.</w:t>
      </w:r>
      <w:proofErr w:type="gramEnd"/>
      <w:r w:rsidRPr="001261AF">
        <w:rPr>
          <w:lang w:val="en-GB" w:eastAsia="zh-CN"/>
        </w:rPr>
        <w:t xml:space="preserve"> </w:t>
      </w:r>
    </w:p>
    <w:p w14:paraId="4ECB3C89" w14:textId="77777777" w:rsidR="00B179A8" w:rsidRPr="001261AF" w:rsidRDefault="00B179A8" w:rsidP="005F57F7">
      <w:pPr>
        <w:rPr>
          <w:lang w:val="en-GB" w:eastAsia="zh-CN"/>
        </w:rPr>
      </w:pPr>
      <w:r w:rsidRPr="001261AF">
        <w:rPr>
          <w:lang w:val="en-GB" w:eastAsia="zh-CN"/>
        </w:rPr>
        <w:t xml:space="preserve">The RDN and FFA set the ambitious goal to capture all or most of these aspects, building on the technical suggestions and the comments to the draft versions of the documents. Here below we provide our analysis of the </w:t>
      </w:r>
      <w:r w:rsidR="005F57F7" w:rsidRPr="001261AF">
        <w:rPr>
          <w:lang w:val="en-GB" w:eastAsia="zh-CN"/>
        </w:rPr>
        <w:t>outcome</w:t>
      </w:r>
      <w:r w:rsidRPr="001261AF">
        <w:rPr>
          <w:lang w:val="en-GB" w:eastAsia="zh-CN"/>
        </w:rPr>
        <w:t xml:space="preserve"> of this process.</w:t>
      </w:r>
    </w:p>
    <w:p w14:paraId="65DE4343" w14:textId="77777777" w:rsidR="00B179A8" w:rsidRPr="001261AF" w:rsidRDefault="00B179A8" w:rsidP="00B179A8">
      <w:pPr>
        <w:pStyle w:val="Heading2"/>
      </w:pPr>
      <w:bookmarkStart w:id="18" w:name="_Toc453781611"/>
      <w:r w:rsidRPr="001261AF">
        <w:t>Effectiveness of non-binding agreements</w:t>
      </w:r>
      <w:bookmarkEnd w:id="18"/>
    </w:p>
    <w:p w14:paraId="1AC7539C" w14:textId="6003AD94" w:rsidR="005F57F7" w:rsidRPr="001261AF" w:rsidRDefault="00B179A8" w:rsidP="005F57F7">
      <w:pPr>
        <w:rPr>
          <w:lang w:val="en-GB" w:eastAsia="zh-CN"/>
        </w:rPr>
      </w:pPr>
      <w:r w:rsidRPr="001261AF">
        <w:rPr>
          <w:lang w:val="en-GB" w:eastAsia="zh-CN"/>
        </w:rPr>
        <w:t>Both the RDN and the FFA are non-binding agreements. The existing literature on the effectiveness of binding versus non</w:t>
      </w:r>
      <w:r w:rsidR="00FC0B95" w:rsidRPr="001261AF">
        <w:rPr>
          <w:lang w:val="en-GB" w:eastAsia="zh-CN"/>
        </w:rPr>
        <w:t>-</w:t>
      </w:r>
      <w:r w:rsidRPr="001261AF">
        <w:rPr>
          <w:lang w:val="en-GB" w:eastAsia="zh-CN"/>
        </w:rPr>
        <w:t>binding agreements</w:t>
      </w:r>
      <w:r w:rsidR="00FC0B95" w:rsidRPr="001261AF">
        <w:rPr>
          <w:lang w:val="en-GB" w:eastAsia="zh-CN"/>
        </w:rPr>
        <w:t xml:space="preserve"> and treaties</w:t>
      </w:r>
      <w:r w:rsidRPr="001261AF">
        <w:rPr>
          <w:lang w:val="en-GB" w:eastAsia="zh-CN"/>
        </w:rPr>
        <w:t xml:space="preserve"> offers contradictory theoretical as well as empirical results.</w:t>
      </w:r>
      <w:r w:rsidR="00C6518C" w:rsidRPr="001261AF">
        <w:rPr>
          <w:lang w:val="en-GB" w:eastAsia="zh-CN"/>
        </w:rPr>
        <w:t xml:space="preserve"> Notably, a</w:t>
      </w:r>
      <w:r w:rsidR="00C6518C" w:rsidRPr="00253D7C">
        <w:rPr>
          <w:lang w:val="en-GB"/>
        </w:rPr>
        <w:t xml:space="preserve"> large-scale research project from </w:t>
      </w:r>
      <w:r w:rsidR="00FC0B95" w:rsidRPr="00253D7C">
        <w:rPr>
          <w:lang w:val="en-GB"/>
        </w:rPr>
        <w:t xml:space="preserve">Raustiala &amp; </w:t>
      </w:r>
      <w:r w:rsidR="00C6518C" w:rsidRPr="00253D7C">
        <w:rPr>
          <w:lang w:val="en-GB"/>
        </w:rPr>
        <w:t xml:space="preserve">Victor (1998) on the effectiveness of international environmental commitments argues that non-binding agreements have proven more effective in changing the </w:t>
      </w:r>
      <w:r w:rsidR="001261AF" w:rsidRPr="001261AF">
        <w:rPr>
          <w:lang w:val="en-GB"/>
        </w:rPr>
        <w:t>behaviour</w:t>
      </w:r>
      <w:r w:rsidR="00C6518C" w:rsidRPr="00253D7C">
        <w:rPr>
          <w:lang w:val="en-GB"/>
        </w:rPr>
        <w:t xml:space="preserve"> of relevant actors.</w:t>
      </w:r>
      <w:r w:rsidR="00C6518C" w:rsidRPr="00253D7C">
        <w:rPr>
          <w:rStyle w:val="FootnoteReference"/>
          <w:lang w:val="en-GB"/>
        </w:rPr>
        <w:footnoteReference w:id="31"/>
      </w:r>
      <w:r w:rsidR="00C6518C" w:rsidRPr="001261AF">
        <w:rPr>
          <w:lang w:val="en-GB" w:eastAsia="zh-CN"/>
        </w:rPr>
        <w:t xml:space="preserve"> </w:t>
      </w:r>
      <w:r w:rsidR="00C6518C" w:rsidRPr="001261AF">
        <w:rPr>
          <w:i/>
          <w:iCs/>
          <w:lang w:val="en-GB" w:eastAsia="zh-CN"/>
        </w:rPr>
        <w:t xml:space="preserve">In general, compliance with nonbinding commitments seems to be low, but </w:t>
      </w:r>
      <w:r w:rsidR="00C6518C" w:rsidRPr="001261AF">
        <w:rPr>
          <w:b/>
          <w:bCs/>
          <w:i/>
          <w:iCs/>
          <w:lang w:val="en-GB" w:eastAsia="zh-CN"/>
        </w:rPr>
        <w:t>the influence of these commitments on the behavior</w:t>
      </w:r>
      <w:r w:rsidR="00C6518C" w:rsidRPr="001261AF">
        <w:rPr>
          <w:i/>
          <w:iCs/>
          <w:lang w:val="en-GB" w:eastAsia="zh-CN"/>
        </w:rPr>
        <w:t xml:space="preserve"> of relevant actors appears to be high. States do not comply completely with nonbinding agreements, but do change their behavior significantly. Compliance and effectiveness seem to be “inversely related”</w:t>
      </w:r>
      <w:r w:rsidR="00FC0B95" w:rsidRPr="001261AF">
        <w:rPr>
          <w:lang w:val="en-GB" w:eastAsia="zh-CN"/>
        </w:rPr>
        <w:t>.</w:t>
      </w:r>
      <w:r w:rsidR="00C6518C" w:rsidRPr="001261AF">
        <w:rPr>
          <w:rStyle w:val="FootnoteReference"/>
          <w:lang w:val="en-GB" w:eastAsia="zh-CN"/>
        </w:rPr>
        <w:footnoteReference w:id="32"/>
      </w:r>
      <w:r w:rsidR="005F57F7" w:rsidRPr="001261AF">
        <w:rPr>
          <w:lang w:val="en-GB" w:eastAsia="zh-CN"/>
        </w:rPr>
        <w:t xml:space="preserve"> </w:t>
      </w:r>
      <w:r w:rsidR="00C6518C" w:rsidRPr="001261AF">
        <w:rPr>
          <w:lang w:val="en-GB" w:eastAsia="zh-CN"/>
        </w:rPr>
        <w:t xml:space="preserve">However, empirically, the rather </w:t>
      </w:r>
      <w:r w:rsidR="005F57F7" w:rsidRPr="001261AF">
        <w:rPr>
          <w:lang w:val="en-GB" w:eastAsia="zh-CN"/>
        </w:rPr>
        <w:t>“</w:t>
      </w:r>
      <w:r w:rsidR="00C6518C" w:rsidRPr="001261AF">
        <w:rPr>
          <w:lang w:val="en-GB" w:eastAsia="zh-CN"/>
        </w:rPr>
        <w:t>simple</w:t>
      </w:r>
      <w:r w:rsidR="005F57F7" w:rsidRPr="001261AF">
        <w:rPr>
          <w:lang w:val="en-GB" w:eastAsia="zh-CN"/>
        </w:rPr>
        <w:t>”</w:t>
      </w:r>
      <w:r w:rsidR="00C6518C" w:rsidRPr="001261AF">
        <w:rPr>
          <w:lang w:val="en-GB" w:eastAsia="zh-CN"/>
        </w:rPr>
        <w:t xml:space="preserve"> question whether non</w:t>
      </w:r>
      <w:r w:rsidR="005F57F7" w:rsidRPr="001261AF">
        <w:rPr>
          <w:lang w:val="en-GB" w:eastAsia="zh-CN"/>
        </w:rPr>
        <w:t>-</w:t>
      </w:r>
      <w:r w:rsidR="00C6518C" w:rsidRPr="001261AF">
        <w:rPr>
          <w:lang w:val="en-GB" w:eastAsia="zh-CN"/>
        </w:rPr>
        <w:t xml:space="preserve">binding agreements </w:t>
      </w:r>
      <w:r w:rsidR="005F57F7" w:rsidRPr="001261AF">
        <w:rPr>
          <w:lang w:val="en-GB" w:eastAsia="zh-CN"/>
        </w:rPr>
        <w:t xml:space="preserve">have proved to be </w:t>
      </w:r>
      <w:r w:rsidR="00C6518C" w:rsidRPr="001261AF">
        <w:rPr>
          <w:lang w:val="en-GB" w:eastAsia="zh-CN"/>
        </w:rPr>
        <w:t>more effective in solving international probl</w:t>
      </w:r>
      <w:r w:rsidR="00C6518C" w:rsidRPr="003D2139">
        <w:rPr>
          <w:lang w:val="en-GB" w:eastAsia="zh-CN"/>
        </w:rPr>
        <w:t xml:space="preserve">ems than binding treaties remains open. </w:t>
      </w:r>
    </w:p>
    <w:p w14:paraId="6BDF3B38" w14:textId="77777777" w:rsidR="00C6518C" w:rsidRPr="001261AF" w:rsidRDefault="00FC0B95" w:rsidP="005F57F7">
      <w:pPr>
        <w:rPr>
          <w:lang w:val="en-GB" w:eastAsia="zh-CN"/>
        </w:rPr>
      </w:pPr>
      <w:r w:rsidRPr="001261AF">
        <w:rPr>
          <w:lang w:val="en-GB" w:eastAsia="zh-CN"/>
        </w:rPr>
        <w:t xml:space="preserve">Given the targets and actions proposed in the RDN and FFA, </w:t>
      </w:r>
      <w:r w:rsidR="005F57F7" w:rsidRPr="001261AF">
        <w:rPr>
          <w:lang w:val="en-GB" w:eastAsia="zh-CN"/>
        </w:rPr>
        <w:t xml:space="preserve">the final assessment of this </w:t>
      </w:r>
      <w:r w:rsidRPr="001261AF">
        <w:rPr>
          <w:lang w:val="en-GB" w:eastAsia="zh-CN"/>
        </w:rPr>
        <w:t>UN Decade of Action on Nutrition (</w:t>
      </w:r>
      <w:r w:rsidR="005F57F7" w:rsidRPr="001261AF">
        <w:rPr>
          <w:lang w:val="en-GB" w:eastAsia="zh-CN"/>
        </w:rPr>
        <w:t>see</w:t>
      </w:r>
      <w:r w:rsidRPr="001261AF">
        <w:rPr>
          <w:lang w:val="en-GB" w:eastAsia="zh-CN"/>
        </w:rPr>
        <w:t xml:space="preserve"> Recs. 58 and 59, FFA), as well as the proposed </w:t>
      </w:r>
      <w:r w:rsidR="005F57F7" w:rsidRPr="001261AF">
        <w:rPr>
          <w:lang w:val="en-GB" w:eastAsia="zh-CN"/>
        </w:rPr>
        <w:t>bi</w:t>
      </w:r>
      <w:r w:rsidRPr="001261AF">
        <w:rPr>
          <w:lang w:val="en-GB" w:eastAsia="zh-CN"/>
        </w:rPr>
        <w:t xml:space="preserve">annual </w:t>
      </w:r>
      <w:r w:rsidR="005F57F7" w:rsidRPr="001261AF">
        <w:rPr>
          <w:lang w:val="en-GB" w:eastAsia="zh-CN"/>
        </w:rPr>
        <w:t xml:space="preserve">monitoring and reporting at FAO and WHO governing body meetings and regional conferences (see Rec 60, FFA) </w:t>
      </w:r>
      <w:r w:rsidRPr="001261AF">
        <w:rPr>
          <w:lang w:val="en-GB" w:eastAsia="zh-CN"/>
        </w:rPr>
        <w:t xml:space="preserve">will </w:t>
      </w:r>
      <w:r w:rsidR="005F57F7" w:rsidRPr="001261AF">
        <w:rPr>
          <w:lang w:val="en-GB" w:eastAsia="zh-CN"/>
        </w:rPr>
        <w:t xml:space="preserve">hopefully prove </w:t>
      </w:r>
      <w:r w:rsidRPr="001261AF">
        <w:rPr>
          <w:lang w:val="en-GB" w:eastAsia="zh-CN"/>
        </w:rPr>
        <w:t xml:space="preserve">Raustiala and Victor’s positive prediction </w:t>
      </w:r>
      <w:r w:rsidR="005F57F7" w:rsidRPr="001261AF">
        <w:rPr>
          <w:lang w:val="en-GB" w:eastAsia="zh-CN"/>
        </w:rPr>
        <w:t>true.</w:t>
      </w:r>
    </w:p>
    <w:p w14:paraId="6DEFD258" w14:textId="77777777" w:rsidR="007434B7" w:rsidRPr="001261AF" w:rsidRDefault="00810957" w:rsidP="00810957">
      <w:pPr>
        <w:pStyle w:val="Heading2"/>
      </w:pPr>
      <w:bookmarkStart w:id="19" w:name="_Toc453781612"/>
      <w:r w:rsidRPr="001261AF">
        <w:t xml:space="preserve">What </w:t>
      </w:r>
      <w:proofErr w:type="gramStart"/>
      <w:r w:rsidRPr="001261AF">
        <w:t>has been left out</w:t>
      </w:r>
      <w:proofErr w:type="gramEnd"/>
      <w:r w:rsidRPr="001261AF">
        <w:t>?</w:t>
      </w:r>
      <w:bookmarkEnd w:id="19"/>
    </w:p>
    <w:p w14:paraId="246575AD" w14:textId="77777777" w:rsidR="00DD68DA" w:rsidRPr="00253D7C" w:rsidRDefault="00DD68DA" w:rsidP="00F14AAF">
      <w:pPr>
        <w:rPr>
          <w:rFonts w:asciiTheme="majorBidi" w:eastAsiaTheme="majorEastAsia" w:hAnsiTheme="majorBidi" w:cstheme="majorBidi"/>
          <w:b/>
          <w:bCs/>
          <w:color w:val="2E74B5" w:themeColor="accent1" w:themeShade="BF"/>
          <w:sz w:val="28"/>
          <w:szCs w:val="24"/>
          <w:lang w:val="en-GB"/>
        </w:rPr>
      </w:pPr>
      <w:r w:rsidRPr="00253D7C">
        <w:rPr>
          <w:lang w:val="en-GB"/>
        </w:rPr>
        <w:t xml:space="preserve">The RDN and FFA are clearly strong political statements, where not much </w:t>
      </w:r>
      <w:proofErr w:type="gramStart"/>
      <w:r w:rsidRPr="00253D7C">
        <w:rPr>
          <w:lang w:val="en-GB"/>
        </w:rPr>
        <w:t>is left out,</w:t>
      </w:r>
      <w:proofErr w:type="gramEnd"/>
      <w:r w:rsidRPr="00253D7C">
        <w:rPr>
          <w:lang w:val="en-GB"/>
        </w:rPr>
        <w:t xml:space="preserve"> given also the non-binding nature of the documents. Indeed, it is hard to </w:t>
      </w:r>
      <w:proofErr w:type="gramStart"/>
      <w:r w:rsidRPr="00253D7C">
        <w:rPr>
          <w:lang w:val="en-GB"/>
        </w:rPr>
        <w:t>pin-point</w:t>
      </w:r>
      <w:proofErr w:type="gramEnd"/>
      <w:r w:rsidRPr="00253D7C">
        <w:rPr>
          <w:lang w:val="en-GB"/>
        </w:rPr>
        <w:t xml:space="preserve"> any clamorous omission or shortfall. </w:t>
      </w:r>
      <w:r w:rsidR="005972F0" w:rsidRPr="00253D7C">
        <w:rPr>
          <w:lang w:val="en-GB"/>
        </w:rPr>
        <w:t xml:space="preserve">Rather than illustrating all the points where the RDN and FFA match the proposals submitted by participants, </w:t>
      </w:r>
      <w:r w:rsidRPr="00253D7C">
        <w:rPr>
          <w:lang w:val="en-GB"/>
        </w:rPr>
        <w:t xml:space="preserve">we decided to focus only on what we have identified as omissions or elements for improvement. Some of these shortfalls are directly related to comments and proposals provided during the electronic </w:t>
      </w:r>
      <w:proofErr w:type="gramStart"/>
      <w:r w:rsidRPr="00253D7C">
        <w:rPr>
          <w:lang w:val="en-GB"/>
        </w:rPr>
        <w:t>consultations which</w:t>
      </w:r>
      <w:proofErr w:type="gramEnd"/>
      <w:r w:rsidRPr="00253D7C">
        <w:rPr>
          <w:lang w:val="en-GB"/>
        </w:rPr>
        <w:t xml:space="preserve"> in the end didn’t make it in the final documents. Others derive from our collective understanding of the complex nature of malnutrition and how we feel it </w:t>
      </w:r>
      <w:proofErr w:type="gramStart"/>
      <w:r w:rsidRPr="00253D7C">
        <w:rPr>
          <w:lang w:val="en-GB"/>
        </w:rPr>
        <w:t>could be further addressed</w:t>
      </w:r>
      <w:proofErr w:type="gramEnd"/>
      <w:r w:rsidRPr="00253D7C">
        <w:rPr>
          <w:lang w:val="en-GB"/>
        </w:rPr>
        <w:t>.</w:t>
      </w:r>
    </w:p>
    <w:p w14:paraId="6360437D" w14:textId="77777777" w:rsidR="00E663E4" w:rsidRPr="00253D7C" w:rsidRDefault="00DD68DA" w:rsidP="00DD68DA">
      <w:pPr>
        <w:rPr>
          <w:lang w:val="en-GB"/>
        </w:rPr>
      </w:pPr>
      <w:r w:rsidRPr="00253D7C">
        <w:rPr>
          <w:lang w:val="en-GB"/>
        </w:rPr>
        <w:t xml:space="preserve">As a first exercise, given the breadth of topics, we tried to </w:t>
      </w:r>
      <w:proofErr w:type="gramStart"/>
      <w:r w:rsidRPr="00253D7C">
        <w:rPr>
          <w:lang w:val="en-GB"/>
        </w:rPr>
        <w:t>cross-check</w:t>
      </w:r>
      <w:proofErr w:type="gramEnd"/>
      <w:r w:rsidRPr="00253D7C">
        <w:rPr>
          <w:lang w:val="en-GB"/>
        </w:rPr>
        <w:t xml:space="preserve"> all the issues and proposals raised by participants of the online discussions with the two final documents </w:t>
      </w:r>
      <w:r w:rsidR="00F14AAF" w:rsidRPr="00253D7C">
        <w:rPr>
          <w:lang w:val="en-GB"/>
        </w:rPr>
        <w:t xml:space="preserve">emerging </w:t>
      </w:r>
      <w:r w:rsidRPr="00253D7C">
        <w:rPr>
          <w:lang w:val="en-GB"/>
        </w:rPr>
        <w:t>from ICN2.</w:t>
      </w:r>
    </w:p>
    <w:p w14:paraId="7F0A03D9" w14:textId="77777777" w:rsidR="00DD68DA" w:rsidRPr="00253D7C" w:rsidRDefault="00DD68DA" w:rsidP="00E663E4">
      <w:pPr>
        <w:rPr>
          <w:lang w:val="en-GB"/>
        </w:rPr>
      </w:pPr>
      <w:r w:rsidRPr="00253D7C">
        <w:rPr>
          <w:lang w:val="en-GB"/>
        </w:rPr>
        <w:lastRenderedPageBreak/>
        <w:t>The below list highlights the most important proposals</w:t>
      </w:r>
      <w:r w:rsidR="00E86621" w:rsidRPr="00253D7C">
        <w:rPr>
          <w:lang w:val="en-GB"/>
        </w:rPr>
        <w:t xml:space="preserve"> and concepts</w:t>
      </w:r>
      <w:r w:rsidRPr="00253D7C">
        <w:rPr>
          <w:lang w:val="en-GB"/>
        </w:rPr>
        <w:t xml:space="preserve"> that </w:t>
      </w:r>
      <w:proofErr w:type="gramStart"/>
      <w:r w:rsidR="00E663E4" w:rsidRPr="00253D7C">
        <w:rPr>
          <w:lang w:val="en-GB"/>
        </w:rPr>
        <w:t>were not adequately retained</w:t>
      </w:r>
      <w:proofErr w:type="gramEnd"/>
      <w:r w:rsidRPr="00253D7C">
        <w:rPr>
          <w:lang w:val="en-GB"/>
        </w:rPr>
        <w:t>:</w:t>
      </w:r>
    </w:p>
    <w:p w14:paraId="3E429C2F" w14:textId="0826E029" w:rsidR="00AC134D" w:rsidRPr="001261AF" w:rsidRDefault="00AC134D" w:rsidP="00E663E4">
      <w:pPr>
        <w:pStyle w:val="BULLL"/>
        <w:rPr>
          <w:lang w:val="en-GB"/>
        </w:rPr>
      </w:pPr>
      <w:r w:rsidRPr="001261AF">
        <w:rPr>
          <w:lang w:val="en-GB"/>
        </w:rPr>
        <w:t>I</w:t>
      </w:r>
      <w:r w:rsidR="00E86621" w:rsidRPr="001261AF">
        <w:rPr>
          <w:lang w:val="en-GB"/>
        </w:rPr>
        <w:t xml:space="preserve">n the </w:t>
      </w:r>
      <w:r w:rsidRPr="001261AF">
        <w:rPr>
          <w:lang w:val="en-GB"/>
        </w:rPr>
        <w:t xml:space="preserve">zero draft </w:t>
      </w:r>
      <w:r w:rsidR="00E86621" w:rsidRPr="001261AF">
        <w:rPr>
          <w:lang w:val="en-GB"/>
        </w:rPr>
        <w:t>FFA discussion</w:t>
      </w:r>
      <w:r w:rsidRPr="001261AF">
        <w:rPr>
          <w:lang w:val="en-GB"/>
        </w:rPr>
        <w:t>,</w:t>
      </w:r>
      <w:r w:rsidR="00E86621" w:rsidRPr="001261AF">
        <w:rPr>
          <w:lang w:val="en-GB"/>
        </w:rPr>
        <w:t xml:space="preserve"> </w:t>
      </w:r>
      <w:r w:rsidRPr="001261AF">
        <w:rPr>
          <w:lang w:val="en-GB"/>
        </w:rPr>
        <w:t xml:space="preserve">a number of participants, notably </w:t>
      </w:r>
      <w:r w:rsidR="00E86621" w:rsidRPr="001261AF">
        <w:rPr>
          <w:lang w:val="en-GB"/>
        </w:rPr>
        <w:t>1,000 Days Partnership, El Poder del Consumidor, World Publ</w:t>
      </w:r>
      <w:r w:rsidRPr="003D2139">
        <w:rPr>
          <w:lang w:val="en-GB"/>
        </w:rPr>
        <w:t xml:space="preserve">ic Health Nutrition Association, referred to the </w:t>
      </w:r>
      <w:r w:rsidR="001261AF" w:rsidRPr="001261AF">
        <w:rPr>
          <w:lang w:val="en-GB"/>
        </w:rPr>
        <w:t>importance</w:t>
      </w:r>
      <w:r w:rsidRPr="001261AF">
        <w:rPr>
          <w:lang w:val="en-GB"/>
        </w:rPr>
        <w:t xml:space="preserve"> of p</w:t>
      </w:r>
      <w:r w:rsidRPr="00253D7C">
        <w:rPr>
          <w:lang w:val="en-GB"/>
        </w:rPr>
        <w:t xml:space="preserve">articipatory processes for nutrition enhancement. </w:t>
      </w:r>
      <w:r w:rsidR="00E663E4" w:rsidRPr="00253D7C">
        <w:rPr>
          <w:lang w:val="en-GB"/>
        </w:rPr>
        <w:t xml:space="preserve">Indeed, also the technical consultations often mentioned participatory approaches in a wide variety of areas, from research to breeding practices. </w:t>
      </w:r>
      <w:r w:rsidRPr="00253D7C">
        <w:rPr>
          <w:lang w:val="en-GB"/>
        </w:rPr>
        <w:t xml:space="preserve">However, participation has been mentioned only in the </w:t>
      </w:r>
      <w:r w:rsidRPr="00253D7C">
        <w:rPr>
          <w:i/>
          <w:lang w:val="en-GB"/>
        </w:rPr>
        <w:t>Water, sanitation and hygiene</w:t>
      </w:r>
      <w:r w:rsidRPr="00253D7C">
        <w:rPr>
          <w:iCs/>
          <w:lang w:val="en-GB"/>
        </w:rPr>
        <w:t xml:space="preserve"> Recommendations</w:t>
      </w:r>
      <w:r w:rsidR="00E663E4" w:rsidRPr="00253D7C">
        <w:rPr>
          <w:lang w:val="en-GB"/>
        </w:rPr>
        <w:t xml:space="preserve"> (Recs. 50 and 51);</w:t>
      </w:r>
      <w:r w:rsidRPr="00253D7C">
        <w:rPr>
          <w:lang w:val="en-GB"/>
        </w:rPr>
        <w:t xml:space="preserve"> </w:t>
      </w:r>
      <w:r w:rsidR="00810957" w:rsidRPr="001261AF">
        <w:rPr>
          <w:lang w:val="en-GB"/>
        </w:rPr>
        <w:t xml:space="preserve"> </w:t>
      </w:r>
    </w:p>
    <w:p w14:paraId="1C6E96C3" w14:textId="77777777" w:rsidR="00D827EE" w:rsidRPr="00253D7C" w:rsidRDefault="00353A69" w:rsidP="00E40B9E">
      <w:pPr>
        <w:pStyle w:val="BULLL"/>
        <w:ind w:left="714" w:hanging="357"/>
        <w:rPr>
          <w:lang w:val="en-GB"/>
        </w:rPr>
      </w:pPr>
      <w:r w:rsidRPr="00253D7C">
        <w:rPr>
          <w:lang w:val="en-GB"/>
        </w:rPr>
        <w:t>Civil society is explicitly mentioned only</w:t>
      </w:r>
      <w:r w:rsidR="002D3856" w:rsidRPr="00253D7C">
        <w:rPr>
          <w:lang w:val="en-GB"/>
        </w:rPr>
        <w:t xml:space="preserve"> once in the RDN (in </w:t>
      </w:r>
      <w:r w:rsidRPr="00253D7C">
        <w:rPr>
          <w:lang w:val="en-GB"/>
        </w:rPr>
        <w:t xml:space="preserve">the recognition that cooperation among various stakeholders and in the commitment to achieve </w:t>
      </w:r>
      <w:r w:rsidR="00D827EE" w:rsidRPr="00253D7C">
        <w:rPr>
          <w:lang w:val="en-GB"/>
        </w:rPr>
        <w:t>universal access to safe drinking water</w:t>
      </w:r>
      <w:r w:rsidR="002D3856" w:rsidRPr="00253D7C">
        <w:rPr>
          <w:lang w:val="en-GB"/>
        </w:rPr>
        <w:t>) and again only once in the FFA (Rec. 51)</w:t>
      </w:r>
      <w:r w:rsidR="00D827EE" w:rsidRPr="00253D7C">
        <w:rPr>
          <w:lang w:val="en-GB"/>
        </w:rPr>
        <w:t xml:space="preserve">. This is quite in contrast with the importance given to this </w:t>
      </w:r>
      <w:r w:rsidR="002D3856" w:rsidRPr="00253D7C">
        <w:rPr>
          <w:lang w:val="en-GB"/>
        </w:rPr>
        <w:t>specific actor</w:t>
      </w:r>
      <w:r w:rsidR="00D827EE" w:rsidRPr="00253D7C">
        <w:rPr>
          <w:lang w:val="en-GB"/>
        </w:rPr>
        <w:t xml:space="preserve"> (one full discussion on the role of PS and CS) and with the overwhelming number of comments that indicated the role of CS in a wide variety of areas for nutrition enhancement</w:t>
      </w:r>
      <w:r w:rsidR="00B17F9B" w:rsidRPr="00253D7C">
        <w:rPr>
          <w:lang w:val="en-GB"/>
        </w:rPr>
        <w:t>;</w:t>
      </w:r>
    </w:p>
    <w:p w14:paraId="599A6897" w14:textId="77777777" w:rsidR="00851C69" w:rsidRPr="00253D7C" w:rsidRDefault="00851C69" w:rsidP="00E40B9E">
      <w:pPr>
        <w:pStyle w:val="BULLL"/>
        <w:ind w:left="714" w:hanging="357"/>
        <w:rPr>
          <w:rFonts w:eastAsia="Times New Roman"/>
          <w:szCs w:val="24"/>
          <w:lang w:val="en-GB"/>
        </w:rPr>
      </w:pPr>
      <w:r w:rsidRPr="00253D7C">
        <w:rPr>
          <w:rFonts w:eastAsia="Times New Roman"/>
          <w:szCs w:val="24"/>
          <w:lang w:val="en-GB"/>
        </w:rPr>
        <w:t xml:space="preserve">In its comment on the first draft of the </w:t>
      </w:r>
      <w:r w:rsidR="00B17F9B" w:rsidRPr="00253D7C">
        <w:rPr>
          <w:rFonts w:eastAsia="Times New Roman"/>
          <w:szCs w:val="24"/>
          <w:lang w:val="en-GB"/>
        </w:rPr>
        <w:t>RDN,</w:t>
      </w:r>
      <w:r w:rsidRPr="00253D7C">
        <w:rPr>
          <w:rFonts w:eastAsia="Times New Roman"/>
          <w:szCs w:val="24"/>
          <w:lang w:val="en-GB"/>
        </w:rPr>
        <w:t xml:space="preserve"> </w:t>
      </w:r>
      <w:r w:rsidR="00B17F9B" w:rsidRPr="00253D7C">
        <w:rPr>
          <w:rFonts w:eastAsia="Times New Roman"/>
          <w:szCs w:val="24"/>
          <w:lang w:val="en-GB"/>
        </w:rPr>
        <w:t>Civil S</w:t>
      </w:r>
      <w:r w:rsidRPr="00253D7C">
        <w:rPr>
          <w:rFonts w:eastAsia="Times New Roman"/>
          <w:szCs w:val="24"/>
          <w:lang w:val="en-GB"/>
        </w:rPr>
        <w:t xml:space="preserve">ociety stated </w:t>
      </w:r>
      <w:r w:rsidR="000A2CD7" w:rsidRPr="00253D7C">
        <w:rPr>
          <w:rFonts w:eastAsia="Times New Roman"/>
          <w:szCs w:val="24"/>
          <w:lang w:val="en-GB"/>
        </w:rPr>
        <w:t>that the accountability of the Private S</w:t>
      </w:r>
      <w:r w:rsidRPr="00253D7C">
        <w:rPr>
          <w:rFonts w:eastAsia="Times New Roman"/>
          <w:szCs w:val="24"/>
          <w:lang w:val="en-GB"/>
        </w:rPr>
        <w:t xml:space="preserve">ector is not mentioned at all, nor the importance of </w:t>
      </w:r>
      <w:r w:rsidR="00B17F9B" w:rsidRPr="00253D7C">
        <w:rPr>
          <w:rFonts w:eastAsia="Times New Roman"/>
          <w:szCs w:val="24"/>
          <w:lang w:val="en-GB"/>
        </w:rPr>
        <w:t xml:space="preserve">addressing possible </w:t>
      </w:r>
      <w:r w:rsidRPr="00253D7C">
        <w:rPr>
          <w:rFonts w:eastAsia="Times New Roman"/>
          <w:szCs w:val="24"/>
          <w:lang w:val="en-GB"/>
        </w:rPr>
        <w:t>conflict of interests regarding industry involvement and partnerships</w:t>
      </w:r>
      <w:r w:rsidR="00F240F6" w:rsidRPr="00253D7C">
        <w:rPr>
          <w:rFonts w:eastAsia="Times New Roman"/>
          <w:szCs w:val="24"/>
          <w:lang w:val="en-GB"/>
        </w:rPr>
        <w:t xml:space="preserve">. We understand that, politically speaking, there is reason to avoid the language of “public-private partnerships” in documents such as the </w:t>
      </w:r>
      <w:proofErr w:type="gramStart"/>
      <w:r w:rsidR="00F240F6" w:rsidRPr="00253D7C">
        <w:rPr>
          <w:rFonts w:eastAsia="Times New Roman"/>
          <w:szCs w:val="24"/>
          <w:lang w:val="en-GB"/>
        </w:rPr>
        <w:t>RDN,</w:t>
      </w:r>
      <w:proofErr w:type="gramEnd"/>
      <w:r w:rsidR="00F240F6" w:rsidRPr="00253D7C">
        <w:rPr>
          <w:rFonts w:eastAsia="Times New Roman"/>
          <w:szCs w:val="24"/>
          <w:lang w:val="en-GB"/>
        </w:rPr>
        <w:t xml:space="preserve"> however mentions of this should have been included in the </w:t>
      </w:r>
      <w:r w:rsidRPr="00253D7C">
        <w:rPr>
          <w:rFonts w:eastAsia="Times New Roman"/>
          <w:szCs w:val="24"/>
          <w:lang w:val="en-GB"/>
        </w:rPr>
        <w:t>FFA.</w:t>
      </w:r>
    </w:p>
    <w:p w14:paraId="13AB5A13" w14:textId="77777777" w:rsidR="00851C69" w:rsidRPr="00253D7C" w:rsidRDefault="00851C69" w:rsidP="00E40B9E">
      <w:pPr>
        <w:pStyle w:val="BULLL"/>
        <w:ind w:left="714" w:hanging="357"/>
        <w:rPr>
          <w:rFonts w:eastAsia="Times New Roman"/>
          <w:szCs w:val="24"/>
          <w:lang w:val="en-GB"/>
        </w:rPr>
      </w:pPr>
      <w:r w:rsidRPr="00253D7C">
        <w:rPr>
          <w:rFonts w:eastAsia="Times New Roman"/>
          <w:szCs w:val="24"/>
          <w:lang w:val="en-GB"/>
        </w:rPr>
        <w:t xml:space="preserve">Civil society </w:t>
      </w:r>
      <w:r w:rsidR="00F240F6" w:rsidRPr="00253D7C">
        <w:rPr>
          <w:rFonts w:eastAsia="Times New Roman"/>
          <w:szCs w:val="24"/>
          <w:lang w:val="en-GB"/>
        </w:rPr>
        <w:t xml:space="preserve">called for </w:t>
      </w:r>
      <w:r w:rsidRPr="00253D7C">
        <w:rPr>
          <w:rFonts w:eastAsia="Times New Roman"/>
          <w:szCs w:val="24"/>
          <w:lang w:val="en-GB"/>
        </w:rPr>
        <w:t xml:space="preserve">a clear commitment from countries to promote land reforms </w:t>
      </w:r>
      <w:r w:rsidR="00F240F6" w:rsidRPr="00253D7C">
        <w:rPr>
          <w:rFonts w:eastAsia="Times New Roman"/>
          <w:szCs w:val="24"/>
          <w:lang w:val="en-GB"/>
        </w:rPr>
        <w:t xml:space="preserve">stating </w:t>
      </w:r>
      <w:r w:rsidRPr="00253D7C">
        <w:rPr>
          <w:rFonts w:eastAsia="Times New Roman"/>
          <w:szCs w:val="24"/>
          <w:lang w:val="en-GB"/>
        </w:rPr>
        <w:t xml:space="preserve">that the lack of land reforms is the basic hurdle behind access to resources and therefore to food. </w:t>
      </w:r>
      <w:r w:rsidR="00F240F6" w:rsidRPr="00253D7C">
        <w:rPr>
          <w:rFonts w:eastAsia="Times New Roman"/>
          <w:szCs w:val="24"/>
          <w:lang w:val="en-GB"/>
        </w:rPr>
        <w:t>No mention of land tenure and rights is present in neither RDN nor the FFA, though clearly this is a central issue in the agricultural systems</w:t>
      </w:r>
      <w:r w:rsidRPr="00253D7C">
        <w:rPr>
          <w:rFonts w:eastAsia="Times New Roman"/>
          <w:szCs w:val="24"/>
          <w:lang w:val="en-GB"/>
        </w:rPr>
        <w:t>.</w:t>
      </w:r>
    </w:p>
    <w:p w14:paraId="2FAB4FFD" w14:textId="752BDA3A" w:rsidR="00851C69" w:rsidRPr="00253D7C" w:rsidRDefault="00E663E4" w:rsidP="00E663E4">
      <w:pPr>
        <w:pStyle w:val="BULLL"/>
        <w:rPr>
          <w:lang w:val="en-GB"/>
        </w:rPr>
      </w:pPr>
      <w:r w:rsidRPr="00253D7C">
        <w:rPr>
          <w:rFonts w:eastAsia="Times New Roman"/>
          <w:szCs w:val="24"/>
          <w:lang w:val="en-GB"/>
        </w:rPr>
        <w:t>Devarao Shivaram Trust</w:t>
      </w:r>
      <w:r w:rsidRPr="00253D7C">
        <w:rPr>
          <w:lang w:val="en-GB"/>
        </w:rPr>
        <w:t xml:space="preserve"> and other contributors to the technical debates </w:t>
      </w:r>
      <w:r w:rsidR="00F240F6" w:rsidRPr="00253D7C">
        <w:rPr>
          <w:lang w:val="en-GB"/>
        </w:rPr>
        <w:t xml:space="preserve">indicated </w:t>
      </w:r>
      <w:r w:rsidR="0040188D" w:rsidRPr="00253D7C">
        <w:rPr>
          <w:lang w:val="en-GB"/>
        </w:rPr>
        <w:t xml:space="preserve">the need to promote synergies between the local knowledge systems and research institutions. In </w:t>
      </w:r>
      <w:r w:rsidR="001261AF" w:rsidRPr="001261AF">
        <w:rPr>
          <w:lang w:val="en-GB"/>
        </w:rPr>
        <w:t>particular,</w:t>
      </w:r>
      <w:r w:rsidR="0040188D" w:rsidRPr="00253D7C">
        <w:rPr>
          <w:lang w:val="en-GB"/>
        </w:rPr>
        <w:t xml:space="preserve"> the Barilla Center of Food and Nutrition, commenting on the draft of the RDN, highlighted how the</w:t>
      </w:r>
      <w:r w:rsidR="00F240F6" w:rsidRPr="00253D7C">
        <w:rPr>
          <w:lang w:val="en-GB"/>
        </w:rPr>
        <w:t xml:space="preserve"> </w:t>
      </w:r>
      <w:r w:rsidR="00851C69" w:rsidRPr="00253D7C">
        <w:rPr>
          <w:lang w:val="en-GB"/>
        </w:rPr>
        <w:t xml:space="preserve">food industry </w:t>
      </w:r>
      <w:r w:rsidR="0040188D" w:rsidRPr="00253D7C">
        <w:rPr>
          <w:lang w:val="en-GB"/>
        </w:rPr>
        <w:t xml:space="preserve">can promote </w:t>
      </w:r>
      <w:r w:rsidR="00851C69" w:rsidRPr="00253D7C">
        <w:rPr>
          <w:lang w:val="en-GB"/>
        </w:rPr>
        <w:t xml:space="preserve">investments in applied research and cooperation with universities and research </w:t>
      </w:r>
      <w:r w:rsidR="001261AF" w:rsidRPr="001261AF">
        <w:rPr>
          <w:lang w:val="en-GB"/>
        </w:rPr>
        <w:t>centres</w:t>
      </w:r>
      <w:r w:rsidR="00851C69" w:rsidRPr="00253D7C">
        <w:rPr>
          <w:lang w:val="en-GB"/>
        </w:rPr>
        <w:t xml:space="preserve"> to make products healthier and provide meaningful nutrition information</w:t>
      </w:r>
      <w:r w:rsidR="0040188D" w:rsidRPr="00253D7C">
        <w:rPr>
          <w:lang w:val="en-GB"/>
        </w:rPr>
        <w:t xml:space="preserve">. Though research is mentioned </w:t>
      </w:r>
      <w:r w:rsidR="0040188D" w:rsidRPr="00253D7C">
        <w:rPr>
          <w:i/>
          <w:iCs/>
          <w:lang w:val="en-GB"/>
        </w:rPr>
        <w:t>en passant</w:t>
      </w:r>
      <w:r w:rsidR="0040188D" w:rsidRPr="00253D7C">
        <w:rPr>
          <w:lang w:val="en-GB"/>
        </w:rPr>
        <w:t xml:space="preserve"> both in RDN and FFA, it is certainly not central to the debate yet and no recognition of </w:t>
      </w:r>
      <w:r w:rsidR="0025485F" w:rsidRPr="00253D7C">
        <w:rPr>
          <w:lang w:val="en-GB"/>
        </w:rPr>
        <w:t xml:space="preserve">the need to connect </w:t>
      </w:r>
      <w:r w:rsidR="0040188D" w:rsidRPr="00253D7C">
        <w:rPr>
          <w:lang w:val="en-GB"/>
        </w:rPr>
        <w:t xml:space="preserve">different </w:t>
      </w:r>
      <w:r w:rsidR="0025485F" w:rsidRPr="00253D7C">
        <w:rPr>
          <w:lang w:val="en-GB"/>
        </w:rPr>
        <w:t xml:space="preserve">typologies </w:t>
      </w:r>
      <w:r w:rsidR="0040188D" w:rsidRPr="00253D7C">
        <w:rPr>
          <w:lang w:val="en-GB"/>
        </w:rPr>
        <w:t>of knowledge</w:t>
      </w:r>
      <w:r w:rsidR="0025485F" w:rsidRPr="00253D7C">
        <w:rPr>
          <w:lang w:val="en-GB"/>
        </w:rPr>
        <w:t xml:space="preserve"> systems;</w:t>
      </w:r>
    </w:p>
    <w:p w14:paraId="5A286284" w14:textId="77777777" w:rsidR="00851C69" w:rsidRPr="00253D7C" w:rsidRDefault="0025485F" w:rsidP="00E40B9E">
      <w:pPr>
        <w:pStyle w:val="BULLL"/>
        <w:ind w:left="714" w:hanging="357"/>
        <w:rPr>
          <w:rFonts w:eastAsia="Times New Roman"/>
          <w:szCs w:val="24"/>
          <w:lang w:val="en-GB"/>
        </w:rPr>
      </w:pPr>
      <w:r w:rsidRPr="00253D7C">
        <w:rPr>
          <w:rFonts w:eastAsia="Times New Roman"/>
          <w:szCs w:val="24"/>
          <w:lang w:val="en-GB"/>
        </w:rPr>
        <w:t>The Civil society strongly highlighted</w:t>
      </w:r>
      <w:r w:rsidR="00851C69" w:rsidRPr="00253D7C">
        <w:rPr>
          <w:rFonts w:eastAsia="Times New Roman"/>
          <w:szCs w:val="24"/>
          <w:lang w:val="en-GB"/>
        </w:rPr>
        <w:t xml:space="preserve"> that there is no reference to the 1,000 days window in the </w:t>
      </w:r>
      <w:r w:rsidRPr="00253D7C">
        <w:rPr>
          <w:rFonts w:eastAsia="Times New Roman"/>
          <w:szCs w:val="24"/>
          <w:lang w:val="en-GB"/>
        </w:rPr>
        <w:t>draft of the FFA</w:t>
      </w:r>
      <w:r w:rsidR="00851C69" w:rsidRPr="00253D7C">
        <w:rPr>
          <w:rFonts w:eastAsia="Times New Roman"/>
          <w:szCs w:val="24"/>
          <w:lang w:val="en-GB"/>
        </w:rPr>
        <w:t xml:space="preserve">. Although this </w:t>
      </w:r>
      <w:proofErr w:type="gramStart"/>
      <w:r w:rsidR="00851C69" w:rsidRPr="00253D7C">
        <w:rPr>
          <w:rFonts w:eastAsia="Times New Roman"/>
          <w:szCs w:val="24"/>
          <w:lang w:val="en-GB"/>
        </w:rPr>
        <w:t>is mentioned</w:t>
      </w:r>
      <w:proofErr w:type="gramEnd"/>
      <w:r w:rsidR="00851C69" w:rsidRPr="00253D7C">
        <w:rPr>
          <w:rFonts w:eastAsia="Times New Roman"/>
          <w:szCs w:val="24"/>
          <w:lang w:val="en-GB"/>
        </w:rPr>
        <w:t xml:space="preserve"> in the </w:t>
      </w:r>
      <w:r w:rsidRPr="00253D7C">
        <w:rPr>
          <w:rFonts w:eastAsia="Times New Roman"/>
          <w:szCs w:val="24"/>
          <w:lang w:val="en-GB"/>
        </w:rPr>
        <w:t>RDN</w:t>
      </w:r>
      <w:r w:rsidR="00851C69" w:rsidRPr="00253D7C">
        <w:rPr>
          <w:rFonts w:eastAsia="Times New Roman"/>
          <w:szCs w:val="24"/>
          <w:lang w:val="en-GB"/>
        </w:rPr>
        <w:t>, we believe that this reference should also be made in the re</w:t>
      </w:r>
      <w:r w:rsidRPr="00253D7C">
        <w:rPr>
          <w:rFonts w:eastAsia="Times New Roman"/>
          <w:szCs w:val="24"/>
          <w:lang w:val="en-GB"/>
        </w:rPr>
        <w:t xml:space="preserve">commended actions of the FFA. This time frame could consist in an operational </w:t>
      </w:r>
      <w:r w:rsidR="00851C69" w:rsidRPr="00253D7C">
        <w:rPr>
          <w:rFonts w:eastAsia="Times New Roman"/>
          <w:szCs w:val="24"/>
          <w:lang w:val="en-GB"/>
        </w:rPr>
        <w:t>guideline for governments</w:t>
      </w:r>
      <w:r w:rsidRPr="00253D7C">
        <w:rPr>
          <w:rFonts w:eastAsia="Times New Roman"/>
          <w:szCs w:val="24"/>
          <w:lang w:val="en-GB"/>
        </w:rPr>
        <w:t xml:space="preserve"> to tackle generational malnutrition; </w:t>
      </w:r>
    </w:p>
    <w:p w14:paraId="5A585857" w14:textId="2E5FD56A" w:rsidR="00851C69" w:rsidRPr="00253D7C" w:rsidRDefault="00851C69" w:rsidP="00447D57">
      <w:pPr>
        <w:pStyle w:val="BULLL"/>
        <w:ind w:left="714" w:hanging="357"/>
        <w:rPr>
          <w:rFonts w:eastAsia="Times New Roman"/>
          <w:szCs w:val="24"/>
          <w:lang w:val="en-GB"/>
        </w:rPr>
      </w:pPr>
      <w:r w:rsidRPr="00253D7C">
        <w:rPr>
          <w:rFonts w:eastAsia="Times New Roman"/>
          <w:szCs w:val="24"/>
          <w:lang w:val="en-GB"/>
        </w:rPr>
        <w:t>FIAN International highlighted the fact that</w:t>
      </w:r>
      <w:r w:rsidR="002D3856" w:rsidRPr="00253D7C">
        <w:rPr>
          <w:rFonts w:eastAsia="Times New Roman"/>
          <w:szCs w:val="24"/>
          <w:lang w:val="en-GB"/>
        </w:rPr>
        <w:t xml:space="preserve"> equity </w:t>
      </w:r>
      <w:proofErr w:type="gramStart"/>
      <w:r w:rsidR="002D3856" w:rsidRPr="00253D7C">
        <w:rPr>
          <w:rFonts w:eastAsia="Times New Roman"/>
          <w:szCs w:val="24"/>
          <w:lang w:val="en-GB"/>
        </w:rPr>
        <w:t xml:space="preserve">should </w:t>
      </w:r>
      <w:r w:rsidR="00447D57" w:rsidRPr="00253D7C">
        <w:rPr>
          <w:rFonts w:eastAsia="Times New Roman"/>
          <w:szCs w:val="24"/>
          <w:lang w:val="en-GB"/>
        </w:rPr>
        <w:t xml:space="preserve">be </w:t>
      </w:r>
      <w:r w:rsidR="002D3856" w:rsidRPr="00253D7C">
        <w:rPr>
          <w:rFonts w:eastAsia="Times New Roman"/>
          <w:szCs w:val="24"/>
          <w:lang w:val="en-GB"/>
        </w:rPr>
        <w:t>at the center</w:t>
      </w:r>
      <w:r w:rsidRPr="00253D7C">
        <w:rPr>
          <w:rFonts w:eastAsia="Times New Roman"/>
          <w:szCs w:val="24"/>
          <w:lang w:val="en-GB"/>
        </w:rPr>
        <w:t xml:space="preserve"> of the actions to creating enabling</w:t>
      </w:r>
      <w:proofErr w:type="gramEnd"/>
      <w:r w:rsidRPr="00253D7C">
        <w:rPr>
          <w:rFonts w:eastAsia="Times New Roman"/>
          <w:szCs w:val="24"/>
          <w:lang w:val="en-GB"/>
        </w:rPr>
        <w:t xml:space="preserve"> environments to improve nutrition in all sectors.</w:t>
      </w:r>
      <w:r w:rsidR="0025485F" w:rsidRPr="00253D7C">
        <w:rPr>
          <w:rFonts w:eastAsia="Times New Roman"/>
          <w:szCs w:val="24"/>
          <w:lang w:val="en-GB"/>
        </w:rPr>
        <w:t xml:space="preserve"> The concept of equity and its importance for enhancing nutrition is not clearly stated in the RDN and FFA</w:t>
      </w:r>
      <w:r w:rsidR="00E40B9E" w:rsidRPr="00253D7C">
        <w:rPr>
          <w:rFonts w:eastAsia="Times New Roman"/>
          <w:szCs w:val="24"/>
          <w:lang w:val="en-GB"/>
        </w:rPr>
        <w:t xml:space="preserve">; </w:t>
      </w:r>
    </w:p>
    <w:p w14:paraId="0A41DB26" w14:textId="77777777" w:rsidR="00D827EE" w:rsidRPr="00253D7C" w:rsidRDefault="00565DF5" w:rsidP="00E40B9E">
      <w:pPr>
        <w:pStyle w:val="BULLL"/>
        <w:ind w:left="714" w:hanging="357"/>
        <w:rPr>
          <w:lang w:val="en-GB"/>
        </w:rPr>
      </w:pPr>
      <w:r w:rsidRPr="00253D7C">
        <w:rPr>
          <w:lang w:val="en-GB"/>
        </w:rPr>
        <w:t xml:space="preserve">In commenting the first draft of the RDN, </w:t>
      </w:r>
      <w:r w:rsidR="002D3856" w:rsidRPr="00253D7C">
        <w:rPr>
          <w:lang w:val="en-GB"/>
        </w:rPr>
        <w:t xml:space="preserve">Akershus University College and </w:t>
      </w:r>
      <w:r w:rsidRPr="00253D7C">
        <w:rPr>
          <w:lang w:val="en-GB"/>
        </w:rPr>
        <w:t xml:space="preserve">Population Education Resource Centre both make mention of the link between corruption and malnutrition. Indeed corruption </w:t>
      </w:r>
      <w:proofErr w:type="gramStart"/>
      <w:r w:rsidRPr="00253D7C">
        <w:rPr>
          <w:lang w:val="en-GB"/>
        </w:rPr>
        <w:t>has been flagged</w:t>
      </w:r>
      <w:proofErr w:type="gramEnd"/>
      <w:r w:rsidRPr="00253D7C">
        <w:rPr>
          <w:lang w:val="en-GB"/>
        </w:rPr>
        <w:t xml:space="preserve"> as a very important driver of malnutrition, also highlighted in the discussion on the importance of social protection and the role of PS and CS. Though the final RDN and FFA underline the importance of accountability, there is no recognition of the importance to fight corruption as a way to tackle malnutrition; </w:t>
      </w:r>
    </w:p>
    <w:p w14:paraId="1B80F69B" w14:textId="2D8AFE2E" w:rsidR="00565DF5" w:rsidRPr="00253D7C" w:rsidRDefault="00565DF5" w:rsidP="00E40B9E">
      <w:pPr>
        <w:pStyle w:val="BULLL"/>
        <w:ind w:left="714" w:hanging="357"/>
        <w:rPr>
          <w:lang w:val="en-GB"/>
        </w:rPr>
      </w:pPr>
      <w:r w:rsidRPr="00253D7C">
        <w:rPr>
          <w:lang w:val="en-GB"/>
        </w:rPr>
        <w:t xml:space="preserve">The technical discussions have </w:t>
      </w:r>
      <w:r w:rsidR="000516AD" w:rsidRPr="00253D7C">
        <w:rPr>
          <w:lang w:val="en-GB"/>
        </w:rPr>
        <w:t xml:space="preserve">often referred to the indigenous people, their specific challenges and their importance for traditional food practices and knowledge hand-over, there is no recognition of this in the RDN. </w:t>
      </w:r>
      <w:r w:rsidR="001261AF" w:rsidRPr="001261AF">
        <w:rPr>
          <w:lang w:val="en-GB"/>
        </w:rPr>
        <w:t>However,</w:t>
      </w:r>
      <w:r w:rsidRPr="00253D7C">
        <w:rPr>
          <w:lang w:val="en-GB"/>
        </w:rPr>
        <w:t xml:space="preserve"> in the FFA</w:t>
      </w:r>
      <w:r w:rsidR="000516AD" w:rsidRPr="00253D7C">
        <w:rPr>
          <w:lang w:val="en-GB"/>
        </w:rPr>
        <w:t xml:space="preserve"> indigenous people </w:t>
      </w:r>
      <w:proofErr w:type="gramStart"/>
      <w:r w:rsidR="000516AD" w:rsidRPr="00253D7C">
        <w:rPr>
          <w:lang w:val="en-GB"/>
        </w:rPr>
        <w:t xml:space="preserve">are </w:t>
      </w:r>
      <w:r w:rsidR="000516AD" w:rsidRPr="00253D7C">
        <w:rPr>
          <w:lang w:val="en-GB"/>
        </w:rPr>
        <w:lastRenderedPageBreak/>
        <w:t>mentioned</w:t>
      </w:r>
      <w:proofErr w:type="gramEnd"/>
      <w:r w:rsidR="000516AD" w:rsidRPr="00253D7C">
        <w:rPr>
          <w:lang w:val="en-GB"/>
        </w:rPr>
        <w:t xml:space="preserve"> in the CFS definition of smallholders,</w:t>
      </w:r>
      <w:r w:rsidR="000516AD" w:rsidRPr="00253D7C">
        <w:rPr>
          <w:rStyle w:val="FootnoteReference"/>
          <w:lang w:val="en-GB"/>
        </w:rPr>
        <w:footnoteReference w:id="33"/>
      </w:r>
      <w:r w:rsidR="000516AD" w:rsidRPr="00253D7C">
        <w:rPr>
          <w:lang w:val="en-GB"/>
        </w:rPr>
        <w:t xml:space="preserve"> no recognition of their specific role in improving local nutrition.</w:t>
      </w:r>
    </w:p>
    <w:p w14:paraId="3D815BD2" w14:textId="77777777" w:rsidR="00A700CB" w:rsidRPr="001261AF" w:rsidRDefault="00A700CB" w:rsidP="004159B1">
      <w:pPr>
        <w:pStyle w:val="BULLL"/>
        <w:rPr>
          <w:lang w:val="en-GB"/>
        </w:rPr>
      </w:pPr>
      <w:r w:rsidRPr="001261AF">
        <w:rPr>
          <w:lang w:val="en-GB"/>
        </w:rPr>
        <w:t xml:space="preserve">El Poder del Consumidor highlighted a number of critical elements missing from the FFA draft, notably: </w:t>
      </w:r>
    </w:p>
    <w:p w14:paraId="26AC5404" w14:textId="77777777" w:rsidR="00A700CB" w:rsidRPr="00253D7C" w:rsidRDefault="00A700CB" w:rsidP="00321144">
      <w:pPr>
        <w:pStyle w:val="ListParagraph"/>
        <w:numPr>
          <w:ilvl w:val="1"/>
          <w:numId w:val="4"/>
        </w:numPr>
        <w:rPr>
          <w:i/>
          <w:iCs/>
          <w:lang w:val="en-GB"/>
        </w:rPr>
      </w:pPr>
      <w:r w:rsidRPr="00253D7C">
        <w:rPr>
          <w:i/>
          <w:iCs/>
          <w:lang w:val="en-GB"/>
        </w:rPr>
        <w:t>Accountability mechanisms overall and conflict of interest management;</w:t>
      </w:r>
    </w:p>
    <w:p w14:paraId="3C1FF74B" w14:textId="77777777" w:rsidR="00A700CB" w:rsidRPr="00253D7C" w:rsidRDefault="00A700CB" w:rsidP="00321144">
      <w:pPr>
        <w:pStyle w:val="ListParagraph"/>
        <w:numPr>
          <w:ilvl w:val="1"/>
          <w:numId w:val="4"/>
        </w:numPr>
        <w:rPr>
          <w:lang w:val="en-GB"/>
        </w:rPr>
      </w:pPr>
      <w:r w:rsidRPr="00253D7C">
        <w:rPr>
          <w:i/>
          <w:iCs/>
          <w:lang w:val="en-GB"/>
        </w:rPr>
        <w:t>Genetically modified organisms</w:t>
      </w:r>
      <w:r w:rsidRPr="00253D7C">
        <w:rPr>
          <w:lang w:val="en-GB"/>
        </w:rPr>
        <w:t xml:space="preserve"> (GMOs); </w:t>
      </w:r>
    </w:p>
    <w:p w14:paraId="315EC9EB" w14:textId="77777777" w:rsidR="00A700CB" w:rsidRPr="00253D7C" w:rsidRDefault="00A700CB" w:rsidP="00321144">
      <w:pPr>
        <w:pStyle w:val="ListParagraph"/>
        <w:numPr>
          <w:ilvl w:val="1"/>
          <w:numId w:val="4"/>
        </w:numPr>
        <w:rPr>
          <w:i/>
          <w:iCs/>
          <w:lang w:val="en-GB"/>
        </w:rPr>
      </w:pPr>
      <w:r w:rsidRPr="00253D7C">
        <w:rPr>
          <w:i/>
          <w:iCs/>
          <w:lang w:val="en-GB"/>
        </w:rPr>
        <w:t xml:space="preserve">Sovereignty; </w:t>
      </w:r>
    </w:p>
    <w:p w14:paraId="1C7515C3" w14:textId="77777777" w:rsidR="00A700CB" w:rsidRPr="00253D7C" w:rsidRDefault="00A700CB" w:rsidP="00321144">
      <w:pPr>
        <w:pStyle w:val="ListParagraph"/>
        <w:numPr>
          <w:ilvl w:val="1"/>
          <w:numId w:val="4"/>
        </w:numPr>
        <w:rPr>
          <w:i/>
          <w:iCs/>
          <w:lang w:val="en-GB"/>
        </w:rPr>
      </w:pPr>
      <w:r w:rsidRPr="00253D7C">
        <w:rPr>
          <w:i/>
          <w:iCs/>
          <w:lang w:val="en-GB"/>
        </w:rPr>
        <w:t xml:space="preserve">Protection of biodiversity; </w:t>
      </w:r>
    </w:p>
    <w:p w14:paraId="52D0A810" w14:textId="4845E6CE" w:rsidR="00A700CB" w:rsidRPr="00253D7C" w:rsidRDefault="00A700CB" w:rsidP="00321144">
      <w:pPr>
        <w:pStyle w:val="ListParagraph"/>
        <w:numPr>
          <w:ilvl w:val="1"/>
          <w:numId w:val="4"/>
        </w:numPr>
        <w:spacing w:after="120"/>
        <w:ind w:left="1434" w:hanging="357"/>
        <w:rPr>
          <w:i/>
          <w:iCs/>
          <w:lang w:val="en-GB"/>
        </w:rPr>
      </w:pPr>
      <w:r w:rsidRPr="00253D7C">
        <w:rPr>
          <w:i/>
          <w:iCs/>
          <w:lang w:val="en-GB"/>
        </w:rPr>
        <w:t xml:space="preserve">Protection of native seeds and </w:t>
      </w:r>
      <w:r w:rsidR="001261AF" w:rsidRPr="001261AF">
        <w:rPr>
          <w:i/>
          <w:iCs/>
          <w:lang w:val="en-GB"/>
        </w:rPr>
        <w:t>centres</w:t>
      </w:r>
      <w:r w:rsidRPr="00253D7C">
        <w:rPr>
          <w:i/>
          <w:iCs/>
          <w:lang w:val="en-GB"/>
        </w:rPr>
        <w:t xml:space="preserve"> of origin. </w:t>
      </w:r>
    </w:p>
    <w:p w14:paraId="29CC5FEE" w14:textId="77777777" w:rsidR="00A700CB" w:rsidRPr="00253D7C" w:rsidRDefault="00A700CB" w:rsidP="00A700CB">
      <w:pPr>
        <w:pStyle w:val="BULLL"/>
        <w:numPr>
          <w:ilvl w:val="0"/>
          <w:numId w:val="0"/>
        </w:numPr>
        <w:ind w:left="720"/>
        <w:rPr>
          <w:lang w:val="en-GB"/>
        </w:rPr>
      </w:pPr>
      <w:r w:rsidRPr="00253D7C">
        <w:rPr>
          <w:lang w:val="en-GB"/>
        </w:rPr>
        <w:t>It is sad to report that, with the sole exception accountability, mentioned in Recs. 5 and 58 (FFA) and just one single mention of conflict of interest in Rec. 3 (FFA), all the other points</w:t>
      </w:r>
      <w:r w:rsidR="00E86621" w:rsidRPr="00253D7C">
        <w:rPr>
          <w:lang w:val="en-GB"/>
        </w:rPr>
        <w:t xml:space="preserve"> above</w:t>
      </w:r>
      <w:r w:rsidRPr="00253D7C">
        <w:rPr>
          <w:lang w:val="en-GB"/>
        </w:rPr>
        <w:t xml:space="preserve"> have been completely ignored. In our view, it would have been fundamental to acknowledge the importance of promoting food sovereignty, protecting biodiversity, native seeds and soil. </w:t>
      </w:r>
      <w:proofErr w:type="gramStart"/>
      <w:r w:rsidRPr="00253D7C">
        <w:rPr>
          <w:lang w:val="en-GB"/>
        </w:rPr>
        <w:t>With regards to</w:t>
      </w:r>
      <w:proofErr w:type="gramEnd"/>
      <w:r w:rsidRPr="00253D7C">
        <w:rPr>
          <w:lang w:val="en-GB"/>
        </w:rPr>
        <w:t xml:space="preserve"> GMOs, at least the FFA should have mentioned the need for further scientific investigation, research and assessments on the impacts of GMOs on human health and the role the can play in enhancing nutrition, while helping address other global challenges as climate change.</w:t>
      </w:r>
    </w:p>
    <w:p w14:paraId="2088F971" w14:textId="77777777" w:rsidR="00A700CB" w:rsidRPr="00253D7C" w:rsidRDefault="00A700CB" w:rsidP="004159B1">
      <w:pPr>
        <w:pStyle w:val="BULLL"/>
        <w:numPr>
          <w:ilvl w:val="0"/>
          <w:numId w:val="0"/>
        </w:numPr>
        <w:rPr>
          <w:lang w:val="en-GB"/>
        </w:rPr>
      </w:pPr>
    </w:p>
    <w:p w14:paraId="41D61E92" w14:textId="77777777" w:rsidR="00DD68DA" w:rsidRPr="001261AF" w:rsidRDefault="00A74A8E" w:rsidP="002834C4">
      <w:pPr>
        <w:pStyle w:val="Heading2"/>
      </w:pPr>
      <w:bookmarkStart w:id="20" w:name="_Toc453781613"/>
      <w:r w:rsidRPr="001261AF">
        <w:t>Improving the</w:t>
      </w:r>
      <w:r w:rsidR="00284F8B" w:rsidRPr="001261AF">
        <w:t xml:space="preserve"> process</w:t>
      </w:r>
      <w:bookmarkEnd w:id="20"/>
    </w:p>
    <w:p w14:paraId="4E5F9B8F" w14:textId="77777777" w:rsidR="00284F8B" w:rsidRPr="00253D7C" w:rsidRDefault="00284F8B" w:rsidP="00284F8B">
      <w:pPr>
        <w:rPr>
          <w:lang w:val="en-GB"/>
        </w:rPr>
      </w:pPr>
      <w:r w:rsidRPr="00253D7C">
        <w:rPr>
          <w:lang w:val="en-GB"/>
        </w:rPr>
        <w:t xml:space="preserve">We have seen how the RDN and FFA have omitted some very important elements emerged during the </w:t>
      </w:r>
      <w:proofErr w:type="gramStart"/>
      <w:r w:rsidRPr="00253D7C">
        <w:rPr>
          <w:lang w:val="en-GB"/>
        </w:rPr>
        <w:t>6</w:t>
      </w:r>
      <w:proofErr w:type="gramEnd"/>
      <w:r w:rsidRPr="00253D7C">
        <w:rPr>
          <w:lang w:val="en-GB"/>
        </w:rPr>
        <w:t xml:space="preserve"> online discussions. This is quite striking, as the whole exercise </w:t>
      </w:r>
      <w:proofErr w:type="gramStart"/>
      <w:r w:rsidRPr="00253D7C">
        <w:rPr>
          <w:lang w:val="en-GB"/>
        </w:rPr>
        <w:t>had been devised</w:t>
      </w:r>
      <w:proofErr w:type="gramEnd"/>
      <w:r w:rsidRPr="00253D7C">
        <w:rPr>
          <w:lang w:val="en-GB"/>
        </w:rPr>
        <w:t xml:space="preserve"> to allow a semi-participatory approach to policy making. These omissions underline how strong political and economic interests are at stake when devising these agreements, even if not binding. </w:t>
      </w:r>
    </w:p>
    <w:p w14:paraId="44DF9298" w14:textId="7E7E07FD" w:rsidR="00A74A8E" w:rsidRPr="00253D7C" w:rsidRDefault="00284F8B" w:rsidP="00A74A8E">
      <w:pPr>
        <w:rPr>
          <w:lang w:val="en-GB"/>
        </w:rPr>
      </w:pPr>
      <w:r w:rsidRPr="00253D7C">
        <w:rPr>
          <w:lang w:val="en-GB"/>
        </w:rPr>
        <w:t xml:space="preserve">However, they also pose a question on the process. More </w:t>
      </w:r>
      <w:r w:rsidR="001261AF" w:rsidRPr="001261AF">
        <w:rPr>
          <w:lang w:val="en-GB"/>
        </w:rPr>
        <w:t>specifically,</w:t>
      </w:r>
      <w:r w:rsidR="00A74A8E" w:rsidRPr="00253D7C">
        <w:rPr>
          <w:lang w:val="en-GB"/>
        </w:rPr>
        <w:t xml:space="preserve"> it is not clear how</w:t>
      </w:r>
      <w:r w:rsidRPr="00253D7C">
        <w:rPr>
          <w:lang w:val="en-GB"/>
        </w:rPr>
        <w:t xml:space="preserve"> the </w:t>
      </w:r>
      <w:r w:rsidR="00A74A8E" w:rsidRPr="00253D7C">
        <w:rPr>
          <w:lang w:val="en-GB"/>
        </w:rPr>
        <w:t xml:space="preserve">salient elements of the </w:t>
      </w:r>
      <w:r w:rsidR="008671C8" w:rsidRPr="00253D7C">
        <w:rPr>
          <w:lang w:val="en-GB"/>
        </w:rPr>
        <w:t>first three</w:t>
      </w:r>
      <w:r w:rsidRPr="00253D7C">
        <w:rPr>
          <w:lang w:val="en-GB"/>
        </w:rPr>
        <w:t xml:space="preserve"> </w:t>
      </w:r>
      <w:r w:rsidR="00A74A8E" w:rsidRPr="00253D7C">
        <w:rPr>
          <w:lang w:val="en-GB"/>
        </w:rPr>
        <w:t xml:space="preserve">technical consultations </w:t>
      </w:r>
      <w:proofErr w:type="gramStart"/>
      <w:r w:rsidR="00A74A8E" w:rsidRPr="00253D7C">
        <w:rPr>
          <w:lang w:val="en-GB"/>
        </w:rPr>
        <w:t>were synthesized</w:t>
      </w:r>
      <w:proofErr w:type="gramEnd"/>
      <w:r w:rsidR="00A74A8E" w:rsidRPr="00253D7C">
        <w:rPr>
          <w:lang w:val="en-GB"/>
        </w:rPr>
        <w:t xml:space="preserve"> </w:t>
      </w:r>
      <w:r w:rsidR="008671C8" w:rsidRPr="00253D7C">
        <w:rPr>
          <w:lang w:val="en-GB"/>
        </w:rPr>
        <w:t xml:space="preserve">in a usable way to inform the three </w:t>
      </w:r>
      <w:r w:rsidR="00A74A8E" w:rsidRPr="00253D7C">
        <w:rPr>
          <w:lang w:val="en-GB"/>
        </w:rPr>
        <w:t xml:space="preserve">political discussions. There is a time span of around 6 months between the </w:t>
      </w:r>
      <w:proofErr w:type="gramStart"/>
      <w:r w:rsidR="00A74A8E" w:rsidRPr="00253D7C">
        <w:rPr>
          <w:lang w:val="en-GB"/>
        </w:rPr>
        <w:t>2</w:t>
      </w:r>
      <w:proofErr w:type="gramEnd"/>
      <w:r w:rsidR="00A74A8E" w:rsidRPr="00253D7C">
        <w:rPr>
          <w:lang w:val="en-GB"/>
        </w:rPr>
        <w:t xml:space="preserve"> sets of consultations. As we understand, </w:t>
      </w:r>
      <w:proofErr w:type="gramStart"/>
      <w:r w:rsidR="00A74A8E" w:rsidRPr="00253D7C">
        <w:rPr>
          <w:lang w:val="en-GB"/>
        </w:rPr>
        <w:t>this time has been used by the Secretariats of FAO and WHO to draft the zero versions of the RDN and FFA</w:t>
      </w:r>
      <w:proofErr w:type="gramEnd"/>
      <w:r w:rsidR="00A74A8E" w:rsidRPr="00253D7C">
        <w:rPr>
          <w:lang w:val="en-GB"/>
        </w:rPr>
        <w:t>. However, when releasing these for debates, it would have made a lot of sense to produce a synthesis of the mai</w:t>
      </w:r>
      <w:r w:rsidR="008671C8" w:rsidRPr="00253D7C">
        <w:rPr>
          <w:lang w:val="en-GB"/>
        </w:rPr>
        <w:t xml:space="preserve">n outcomes emerged from these three </w:t>
      </w:r>
      <w:r w:rsidR="00A74A8E" w:rsidRPr="00253D7C">
        <w:rPr>
          <w:lang w:val="en-GB"/>
        </w:rPr>
        <w:t xml:space="preserve">debates. It is not enough to provide the full proceedings, which amount to 164 comments (and around 190 pages) as background elements and expect GVTs, IGOs and all other stakeholders </w:t>
      </w:r>
      <w:proofErr w:type="gramStart"/>
      <w:r w:rsidR="00A74A8E" w:rsidRPr="00253D7C">
        <w:rPr>
          <w:lang w:val="en-GB"/>
        </w:rPr>
        <w:t>to actually read</w:t>
      </w:r>
      <w:proofErr w:type="gramEnd"/>
      <w:r w:rsidR="00A74A8E" w:rsidRPr="00253D7C">
        <w:rPr>
          <w:lang w:val="en-GB"/>
        </w:rPr>
        <w:t xml:space="preserve"> them. A coherent and structured summary </w:t>
      </w:r>
      <w:proofErr w:type="gramStart"/>
      <w:r w:rsidR="00A74A8E" w:rsidRPr="00253D7C">
        <w:rPr>
          <w:lang w:val="en-GB"/>
        </w:rPr>
        <w:t>should have been made</w:t>
      </w:r>
      <w:proofErr w:type="gramEnd"/>
      <w:r w:rsidR="00A74A8E" w:rsidRPr="00253D7C">
        <w:rPr>
          <w:lang w:val="en-GB"/>
        </w:rPr>
        <w:t xml:space="preserve"> available.</w:t>
      </w:r>
    </w:p>
    <w:p w14:paraId="50079C4C" w14:textId="77777777" w:rsidR="00A74A8E" w:rsidRPr="00253D7C" w:rsidRDefault="00A74A8E" w:rsidP="00D01237">
      <w:pPr>
        <w:rPr>
          <w:lang w:val="en-GB"/>
        </w:rPr>
      </w:pPr>
      <w:r w:rsidRPr="00253D7C">
        <w:rPr>
          <w:lang w:val="en-GB"/>
        </w:rPr>
        <w:t>Moreover, from our scrutiny it appeared that the CFS and its stakeholders</w:t>
      </w:r>
      <w:r w:rsidR="004A1B8E" w:rsidRPr="00253D7C">
        <w:rPr>
          <w:lang w:val="en-GB"/>
        </w:rPr>
        <w:t xml:space="preserve"> had not been adequately involved in the process since the beginning. </w:t>
      </w:r>
      <w:proofErr w:type="gramStart"/>
      <w:r w:rsidR="004A1B8E" w:rsidRPr="00253D7C">
        <w:rPr>
          <w:lang w:val="en-GB"/>
        </w:rPr>
        <w:t>FIAN expressed</w:t>
      </w:r>
      <w:r w:rsidRPr="00253D7C">
        <w:rPr>
          <w:lang w:val="en-GB"/>
        </w:rPr>
        <w:t xml:space="preserve"> concern</w:t>
      </w:r>
      <w:r w:rsidR="003A1554" w:rsidRPr="00253D7C">
        <w:rPr>
          <w:lang w:val="en-GB"/>
        </w:rPr>
        <w:t>s</w:t>
      </w:r>
      <w:r w:rsidRPr="00253D7C">
        <w:rPr>
          <w:lang w:val="en-GB"/>
        </w:rPr>
        <w:t xml:space="preserve"> on the lack of participatory, transparent and coherent governance of international nutrition initiatives</w:t>
      </w:r>
      <w:r w:rsidR="00D01237" w:rsidRPr="00253D7C">
        <w:rPr>
          <w:lang w:val="en-GB"/>
        </w:rPr>
        <w:t xml:space="preserve">, alluding at the possibility that was done intentionally from GVTs </w:t>
      </w:r>
      <w:r w:rsidR="00D01237" w:rsidRPr="00253D7C">
        <w:rPr>
          <w:i/>
          <w:iCs/>
          <w:lang w:val="en-GB"/>
        </w:rPr>
        <w:t>in order to exclude public interest civil society organizations from any effective participation in the elaboration process of the outcome documents of ICN 2, and the eventual governance of the follow up, in total opposition to the CFS reform process</w:t>
      </w:r>
      <w:r w:rsidR="00D01237" w:rsidRPr="00253D7C">
        <w:rPr>
          <w:lang w:val="en-GB"/>
        </w:rPr>
        <w:t>.</w:t>
      </w:r>
      <w:r w:rsidR="00D01237" w:rsidRPr="00253D7C">
        <w:rPr>
          <w:rStyle w:val="FootnoteReference"/>
          <w:lang w:val="en-GB"/>
        </w:rPr>
        <w:footnoteReference w:id="34"/>
      </w:r>
      <w:proofErr w:type="gramEnd"/>
    </w:p>
    <w:p w14:paraId="4F03E999" w14:textId="77777777" w:rsidR="00E663E4" w:rsidRPr="00253D7C" w:rsidRDefault="00E663E4">
      <w:pPr>
        <w:snapToGrid/>
        <w:spacing w:after="160" w:line="259" w:lineRule="auto"/>
        <w:rPr>
          <w:rFonts w:eastAsiaTheme="majorEastAsia"/>
          <w:smallCaps/>
          <w:color w:val="2E74B5" w:themeColor="accent1" w:themeShade="BF"/>
          <w:sz w:val="40"/>
          <w:szCs w:val="36"/>
          <w:lang w:val="en-GB"/>
        </w:rPr>
      </w:pPr>
      <w:r w:rsidRPr="00253D7C">
        <w:rPr>
          <w:lang w:val="en-GB"/>
        </w:rPr>
        <w:br w:type="page"/>
      </w:r>
    </w:p>
    <w:p w14:paraId="64257230" w14:textId="77777777" w:rsidR="007434B7" w:rsidRPr="00253D7C" w:rsidRDefault="00810957" w:rsidP="0033542A">
      <w:pPr>
        <w:pStyle w:val="Heading1"/>
        <w:rPr>
          <w:lang w:val="en-GB"/>
        </w:rPr>
      </w:pPr>
      <w:bookmarkStart w:id="21" w:name="_Toc453781614"/>
      <w:r w:rsidRPr="00253D7C">
        <w:rPr>
          <w:lang w:val="en-GB"/>
        </w:rPr>
        <w:lastRenderedPageBreak/>
        <w:t>Further r</w:t>
      </w:r>
      <w:r w:rsidR="00915B84" w:rsidRPr="00253D7C">
        <w:rPr>
          <w:lang w:val="en-GB"/>
        </w:rPr>
        <w:t>ecommendations</w:t>
      </w:r>
      <w:bookmarkEnd w:id="21"/>
    </w:p>
    <w:p w14:paraId="0B9A92F4" w14:textId="77777777" w:rsidR="00915B84" w:rsidRPr="00253D7C" w:rsidRDefault="004A1B8E" w:rsidP="002174FA">
      <w:pPr>
        <w:rPr>
          <w:lang w:val="en-GB"/>
        </w:rPr>
      </w:pPr>
      <w:r w:rsidRPr="00253D7C">
        <w:rPr>
          <w:lang w:val="en-GB"/>
        </w:rPr>
        <w:t xml:space="preserve">As we have seen, the online debates have captured a huge number of aspects related to nutrition, actions and programmes that can tackle various dimensions of food insecurity, addressing structural or temporary causes. Many of them </w:t>
      </w:r>
      <w:proofErr w:type="gramStart"/>
      <w:r w:rsidRPr="00253D7C">
        <w:rPr>
          <w:lang w:val="en-GB"/>
        </w:rPr>
        <w:t>have been mentioned</w:t>
      </w:r>
      <w:proofErr w:type="gramEnd"/>
      <w:r w:rsidRPr="00253D7C">
        <w:rPr>
          <w:lang w:val="en-GB"/>
        </w:rPr>
        <w:t xml:space="preserve"> in the RDN and/or F</w:t>
      </w:r>
      <w:r w:rsidR="00810957" w:rsidRPr="00253D7C">
        <w:rPr>
          <w:lang w:val="en-GB"/>
        </w:rPr>
        <w:t xml:space="preserve">FA, but some have been omitted. Some of the omissions are incredibly striking and we hope they </w:t>
      </w:r>
      <w:proofErr w:type="gramStart"/>
      <w:r w:rsidR="00810957" w:rsidRPr="00253D7C">
        <w:rPr>
          <w:lang w:val="en-GB"/>
        </w:rPr>
        <w:t>shall be taken</w:t>
      </w:r>
      <w:proofErr w:type="gramEnd"/>
      <w:r w:rsidR="00810957" w:rsidRPr="00253D7C">
        <w:rPr>
          <w:lang w:val="en-GB"/>
        </w:rPr>
        <w:t xml:space="preserve"> into consideration in future debates and political commitments. Unfortunately, </w:t>
      </w:r>
      <w:r w:rsidRPr="00253D7C">
        <w:rPr>
          <w:lang w:val="en-GB"/>
        </w:rPr>
        <w:t>this is not the end of the story. What we are proposing here,</w:t>
      </w:r>
      <w:r w:rsidR="00810957" w:rsidRPr="00253D7C">
        <w:rPr>
          <w:lang w:val="en-GB"/>
        </w:rPr>
        <w:t xml:space="preserve"> is a number of considerations</w:t>
      </w:r>
      <w:r w:rsidRPr="00253D7C">
        <w:rPr>
          <w:lang w:val="en-GB"/>
        </w:rPr>
        <w:t xml:space="preserve"> </w:t>
      </w:r>
      <w:r w:rsidR="00810957" w:rsidRPr="00253D7C">
        <w:rPr>
          <w:lang w:val="en-GB"/>
        </w:rPr>
        <w:t xml:space="preserve">we think </w:t>
      </w:r>
      <w:r w:rsidR="00915B84" w:rsidRPr="00253D7C">
        <w:rPr>
          <w:lang w:val="en-GB"/>
        </w:rPr>
        <w:t>should be taken into account for further tackling th</w:t>
      </w:r>
      <w:r w:rsidR="00810957" w:rsidRPr="00253D7C">
        <w:rPr>
          <w:lang w:val="en-GB"/>
        </w:rPr>
        <w:t>e complex issue of malnutrition</w:t>
      </w:r>
      <w:r w:rsidR="005E00D2" w:rsidRPr="00253D7C">
        <w:rPr>
          <w:lang w:val="en-GB"/>
        </w:rPr>
        <w:t xml:space="preserve"> in </w:t>
      </w:r>
      <w:proofErr w:type="gramStart"/>
      <w:r w:rsidR="005E00D2" w:rsidRPr="00253D7C">
        <w:rPr>
          <w:lang w:val="en-GB"/>
        </w:rPr>
        <w:t xml:space="preserve">policy </w:t>
      </w:r>
      <w:r w:rsidR="001104CE" w:rsidRPr="00253D7C">
        <w:rPr>
          <w:lang w:val="en-GB"/>
        </w:rPr>
        <w:t>making</w:t>
      </w:r>
      <w:proofErr w:type="gramEnd"/>
      <w:r w:rsidR="001104CE" w:rsidRPr="00253D7C">
        <w:rPr>
          <w:lang w:val="en-GB"/>
        </w:rPr>
        <w:t>.</w:t>
      </w:r>
      <w:r w:rsidR="0015755A" w:rsidRPr="00253D7C">
        <w:rPr>
          <w:lang w:val="en-GB"/>
        </w:rPr>
        <w:t xml:space="preserve"> It should be clear that the below do not derive from the examination of the online debates</w:t>
      </w:r>
      <w:r w:rsidR="002174FA" w:rsidRPr="00253D7C">
        <w:rPr>
          <w:lang w:val="en-GB"/>
        </w:rPr>
        <w:t xml:space="preserve"> or the ICN2 </w:t>
      </w:r>
      <w:proofErr w:type="gramStart"/>
      <w:r w:rsidR="002174FA" w:rsidRPr="00253D7C">
        <w:rPr>
          <w:lang w:val="en-GB"/>
        </w:rPr>
        <w:t>documents</w:t>
      </w:r>
      <w:r w:rsidR="0015755A" w:rsidRPr="00253D7C">
        <w:rPr>
          <w:lang w:val="en-GB"/>
        </w:rPr>
        <w:t>,</w:t>
      </w:r>
      <w:proofErr w:type="gramEnd"/>
      <w:r w:rsidR="0015755A" w:rsidRPr="00253D7C">
        <w:rPr>
          <w:lang w:val="en-GB"/>
        </w:rPr>
        <w:t xml:space="preserve"> they are our </w:t>
      </w:r>
      <w:r w:rsidR="002174FA" w:rsidRPr="00253D7C">
        <w:rPr>
          <w:lang w:val="en-GB"/>
        </w:rPr>
        <w:t xml:space="preserve">original </w:t>
      </w:r>
      <w:r w:rsidR="0015755A" w:rsidRPr="00253D7C">
        <w:rPr>
          <w:lang w:val="en-GB"/>
        </w:rPr>
        <w:t xml:space="preserve">attempt to propose alternative </w:t>
      </w:r>
      <w:r w:rsidR="002174FA" w:rsidRPr="00253D7C">
        <w:rPr>
          <w:lang w:val="en-GB"/>
        </w:rPr>
        <w:t>views on the subject matter.</w:t>
      </w:r>
    </w:p>
    <w:p w14:paraId="44044340" w14:textId="77777777" w:rsidR="00C076B9" w:rsidRPr="00253D7C" w:rsidRDefault="00C076B9" w:rsidP="00C076B9">
      <w:pPr>
        <w:pStyle w:val="ListParagraph"/>
        <w:numPr>
          <w:ilvl w:val="0"/>
          <w:numId w:val="3"/>
        </w:numPr>
        <w:rPr>
          <w:lang w:val="en-GB"/>
        </w:rPr>
      </w:pPr>
      <w:r w:rsidRPr="00253D7C">
        <w:rPr>
          <w:b/>
          <w:bCs/>
          <w:lang w:val="en-GB"/>
        </w:rPr>
        <w:t xml:space="preserve">Malnourished does not have to mean passive. </w:t>
      </w:r>
      <w:r w:rsidRPr="00253D7C">
        <w:rPr>
          <w:lang w:val="en-GB"/>
        </w:rPr>
        <w:t>There is the need to adopt a more “human development” approach when talking about vulnerable and malnourished groups. Though we understand the need to address their nutritional and health issues immediately, policy makers should not forget the important lessons coming from the writings of Amartya Sen. Passive recipients are less prone to exit their condition. Empowerment emerges when people are dignified and enabled to exercise their agency.</w:t>
      </w:r>
    </w:p>
    <w:p w14:paraId="7294D952" w14:textId="522FE324" w:rsidR="00E86621" w:rsidRPr="00253D7C" w:rsidRDefault="003A1554" w:rsidP="001104CE">
      <w:pPr>
        <w:pStyle w:val="ListParagraph"/>
        <w:numPr>
          <w:ilvl w:val="0"/>
          <w:numId w:val="3"/>
        </w:numPr>
        <w:rPr>
          <w:lang w:val="en-GB"/>
        </w:rPr>
      </w:pPr>
      <w:r w:rsidRPr="00253D7C">
        <w:rPr>
          <w:b/>
          <w:bCs/>
          <w:lang w:val="en-GB"/>
        </w:rPr>
        <w:t>R</w:t>
      </w:r>
      <w:r w:rsidR="004A1B8E" w:rsidRPr="00253D7C">
        <w:rPr>
          <w:b/>
          <w:bCs/>
          <w:lang w:val="en-GB"/>
        </w:rPr>
        <w:t xml:space="preserve">esearch in </w:t>
      </w:r>
      <w:r w:rsidRPr="00253D7C">
        <w:rPr>
          <w:b/>
          <w:bCs/>
          <w:lang w:val="en-GB"/>
        </w:rPr>
        <w:t xml:space="preserve">nutrition-related </w:t>
      </w:r>
      <w:r w:rsidR="004A1B8E" w:rsidRPr="00253D7C">
        <w:rPr>
          <w:b/>
          <w:bCs/>
          <w:lang w:val="en-GB"/>
        </w:rPr>
        <w:t>psychology domains.</w:t>
      </w:r>
      <w:r w:rsidR="004A1B8E" w:rsidRPr="00253D7C">
        <w:rPr>
          <w:lang w:val="en-GB"/>
        </w:rPr>
        <w:t xml:space="preserve"> As recent studies in </w:t>
      </w:r>
      <w:r w:rsidR="001261AF" w:rsidRPr="001261AF">
        <w:rPr>
          <w:lang w:val="en-GB"/>
        </w:rPr>
        <w:t>behavioural</w:t>
      </w:r>
      <w:r w:rsidR="004A1B8E" w:rsidRPr="00253D7C">
        <w:rPr>
          <w:lang w:val="en-GB"/>
        </w:rPr>
        <w:t xml:space="preserve"> economics have shown,</w:t>
      </w:r>
      <w:r w:rsidR="00761748" w:rsidRPr="00253D7C">
        <w:rPr>
          <w:rStyle w:val="FootnoteReference"/>
          <w:lang w:val="en-GB"/>
        </w:rPr>
        <w:footnoteReference w:id="35"/>
      </w:r>
      <w:r w:rsidR="004A1B8E" w:rsidRPr="00253D7C">
        <w:rPr>
          <w:lang w:val="en-GB"/>
        </w:rPr>
        <w:t xml:space="preserve"> </w:t>
      </w:r>
      <w:r w:rsidR="001261AF" w:rsidRPr="001261AF">
        <w:rPr>
          <w:lang w:val="en-GB"/>
        </w:rPr>
        <w:t>behaviour</w:t>
      </w:r>
      <w:r w:rsidR="00761748" w:rsidRPr="00253D7C">
        <w:rPr>
          <w:lang w:val="en-GB"/>
        </w:rPr>
        <w:t xml:space="preserve"> is a very complex phenomenon</w:t>
      </w:r>
      <w:r w:rsidR="001104CE" w:rsidRPr="00253D7C">
        <w:rPr>
          <w:lang w:val="en-GB"/>
        </w:rPr>
        <w:t xml:space="preserve"> with non-obvious dynamics</w:t>
      </w:r>
      <w:r w:rsidR="00761748" w:rsidRPr="00253D7C">
        <w:rPr>
          <w:lang w:val="en-GB"/>
        </w:rPr>
        <w:t xml:space="preserve">. We encourage research studies that </w:t>
      </w:r>
      <w:r w:rsidR="001104CE" w:rsidRPr="00253D7C">
        <w:rPr>
          <w:lang w:val="en-GB"/>
        </w:rPr>
        <w:t xml:space="preserve">investigate how </w:t>
      </w:r>
      <w:r w:rsidR="001261AF" w:rsidRPr="001261AF">
        <w:rPr>
          <w:lang w:val="en-GB"/>
        </w:rPr>
        <w:t>behavioural</w:t>
      </w:r>
      <w:r w:rsidR="001104CE" w:rsidRPr="00253D7C">
        <w:rPr>
          <w:lang w:val="en-GB"/>
        </w:rPr>
        <w:t xml:space="preserve"> mechanisms relate to nutrition in order to better understand</w:t>
      </w:r>
      <w:r w:rsidR="00761748" w:rsidRPr="00253D7C">
        <w:rPr>
          <w:lang w:val="en-GB"/>
        </w:rPr>
        <w:t xml:space="preserve"> relationships between consumption patterns and marketing strategies;</w:t>
      </w:r>
    </w:p>
    <w:p w14:paraId="53620E48" w14:textId="27A96ABA" w:rsidR="00761748" w:rsidRPr="00253D7C" w:rsidRDefault="00761748" w:rsidP="00BB67DF">
      <w:pPr>
        <w:pStyle w:val="ListParagraph"/>
        <w:numPr>
          <w:ilvl w:val="0"/>
          <w:numId w:val="3"/>
        </w:numPr>
        <w:rPr>
          <w:lang w:val="en-GB"/>
        </w:rPr>
      </w:pPr>
      <w:r w:rsidRPr="00253D7C">
        <w:rPr>
          <w:b/>
          <w:bCs/>
          <w:lang w:val="en-GB"/>
        </w:rPr>
        <w:t>Establishing multiple definitions of “health diets”.</w:t>
      </w:r>
      <w:r w:rsidRPr="00253D7C">
        <w:rPr>
          <w:lang w:val="en-GB"/>
        </w:rPr>
        <w:t xml:space="preserve"> There is growing recognition of the importance of healthy diets, also mentioned in the RDN and FFA, but the</w:t>
      </w:r>
      <w:r w:rsidR="00BB67DF" w:rsidRPr="00253D7C">
        <w:rPr>
          <w:lang w:val="en-GB"/>
        </w:rPr>
        <w:t xml:space="preserve">re is still a </w:t>
      </w:r>
      <w:r w:rsidR="001261AF" w:rsidRPr="001261AF">
        <w:rPr>
          <w:lang w:val="en-GB"/>
        </w:rPr>
        <w:t>lively debate</w:t>
      </w:r>
      <w:r w:rsidR="00BB67DF" w:rsidRPr="00253D7C">
        <w:rPr>
          <w:lang w:val="en-GB"/>
        </w:rPr>
        <w:t xml:space="preserve"> in the </w:t>
      </w:r>
      <w:r w:rsidRPr="00253D7C">
        <w:rPr>
          <w:lang w:val="en-GB"/>
        </w:rPr>
        <w:t xml:space="preserve">literature </w:t>
      </w:r>
      <w:r w:rsidR="00BB67DF" w:rsidRPr="00253D7C">
        <w:rPr>
          <w:lang w:val="en-GB"/>
        </w:rPr>
        <w:t xml:space="preserve">on the </w:t>
      </w:r>
      <w:r w:rsidRPr="00253D7C">
        <w:rPr>
          <w:lang w:val="en-GB"/>
        </w:rPr>
        <w:t xml:space="preserve">definition of this concept. We believe that a unique definition is probably not possible or useful, but a range of </w:t>
      </w:r>
      <w:proofErr w:type="gramStart"/>
      <w:r w:rsidRPr="00253D7C">
        <w:rPr>
          <w:lang w:val="en-GB"/>
        </w:rPr>
        <w:t>concepts,</w:t>
      </w:r>
      <w:proofErr w:type="gramEnd"/>
      <w:r w:rsidRPr="00253D7C">
        <w:rPr>
          <w:lang w:val="en-GB"/>
        </w:rPr>
        <w:t xml:space="preserve"> or multiple definitions should be agreed upon internationally. </w:t>
      </w:r>
    </w:p>
    <w:p w14:paraId="73CAC4C8" w14:textId="77777777" w:rsidR="00761748" w:rsidRPr="00253D7C" w:rsidRDefault="003A1554" w:rsidP="00321144">
      <w:pPr>
        <w:pStyle w:val="ListParagraph"/>
        <w:numPr>
          <w:ilvl w:val="0"/>
          <w:numId w:val="3"/>
        </w:numPr>
        <w:rPr>
          <w:lang w:val="en-GB"/>
        </w:rPr>
      </w:pPr>
      <w:r w:rsidRPr="00253D7C">
        <w:rPr>
          <w:b/>
          <w:bCs/>
          <w:lang w:val="en-GB"/>
        </w:rPr>
        <w:t>Understanding the shift between different types of malnutrition.</w:t>
      </w:r>
      <w:r w:rsidRPr="00253D7C">
        <w:rPr>
          <w:lang w:val="en-GB"/>
        </w:rPr>
        <w:t xml:space="preserve"> </w:t>
      </w:r>
      <w:r w:rsidR="00761748" w:rsidRPr="00253D7C">
        <w:rPr>
          <w:lang w:val="en-GB"/>
        </w:rPr>
        <w:t>The triple-bur</w:t>
      </w:r>
      <w:r w:rsidRPr="00253D7C">
        <w:rPr>
          <w:lang w:val="en-GB"/>
        </w:rPr>
        <w:t xml:space="preserve">den of nutrition is well known. </w:t>
      </w:r>
      <w:r w:rsidR="00761748" w:rsidRPr="00253D7C">
        <w:rPr>
          <w:lang w:val="en-GB"/>
        </w:rPr>
        <w:t>What is less understood are the patt</w:t>
      </w:r>
      <w:r w:rsidRPr="00253D7C">
        <w:rPr>
          <w:lang w:val="en-GB"/>
        </w:rPr>
        <w:t xml:space="preserve">erns of transitions between the different forms of </w:t>
      </w:r>
      <w:proofErr w:type="gramStart"/>
      <w:r w:rsidRPr="00253D7C">
        <w:rPr>
          <w:lang w:val="en-GB"/>
        </w:rPr>
        <w:t>malnutrition.</w:t>
      </w:r>
      <w:proofErr w:type="gramEnd"/>
      <w:r w:rsidRPr="00253D7C">
        <w:rPr>
          <w:lang w:val="en-GB"/>
        </w:rPr>
        <w:t xml:space="preserve"> In our statistical </w:t>
      </w:r>
      <w:proofErr w:type="gramStart"/>
      <w:r w:rsidRPr="00253D7C">
        <w:rPr>
          <w:lang w:val="en-GB"/>
        </w:rPr>
        <w:t>analysis</w:t>
      </w:r>
      <w:proofErr w:type="gramEnd"/>
      <w:r w:rsidRPr="00253D7C">
        <w:rPr>
          <w:lang w:val="en-GB"/>
        </w:rPr>
        <w:t xml:space="preserve"> we have hinted at a possible correlation between abandoning social protection schemes (with often as a result of economic growth, privatization, etc.) and the </w:t>
      </w:r>
      <w:r w:rsidR="00BB67DF" w:rsidRPr="00253D7C">
        <w:rPr>
          <w:lang w:val="en-GB"/>
        </w:rPr>
        <w:t>increase in obesity. While this is a very simplistic, non-scientific correlation, we encourage studies that understand the root causes for shifts in types of malnutrition.</w:t>
      </w:r>
    </w:p>
    <w:p w14:paraId="44EC2AB0" w14:textId="77777777" w:rsidR="00BB67DF" w:rsidRPr="00253D7C" w:rsidRDefault="00BB67DF" w:rsidP="00BB67DF">
      <w:pPr>
        <w:pStyle w:val="ListParagraph"/>
        <w:numPr>
          <w:ilvl w:val="0"/>
          <w:numId w:val="3"/>
        </w:numPr>
        <w:rPr>
          <w:lang w:val="en-GB"/>
        </w:rPr>
      </w:pPr>
      <w:r w:rsidRPr="00253D7C">
        <w:rPr>
          <w:b/>
          <w:bCs/>
          <w:lang w:val="en-GB"/>
        </w:rPr>
        <w:t>Regulation can also be good.</w:t>
      </w:r>
      <w:r w:rsidRPr="00253D7C">
        <w:rPr>
          <w:lang w:val="en-GB"/>
        </w:rPr>
        <w:t xml:space="preserve"> Not surprisingly, the term “regulation” appears very little in the FFA (Recs. 15, 40, 53). Though regulations slightly defy the concept of non-binding agreements, it could be good to explore more regulatory actions in different domains, in order to enhance accountability and liability. Too much is at stake when discussing the health of generations.</w:t>
      </w:r>
    </w:p>
    <w:p w14:paraId="332E697F" w14:textId="77777777" w:rsidR="004B0A28" w:rsidRPr="00253D7C" w:rsidRDefault="00BB67DF" w:rsidP="002174FA">
      <w:pPr>
        <w:pStyle w:val="ListParagraph"/>
        <w:numPr>
          <w:ilvl w:val="0"/>
          <w:numId w:val="3"/>
        </w:numPr>
        <w:rPr>
          <w:lang w:val="en-GB"/>
        </w:rPr>
      </w:pPr>
      <w:r w:rsidRPr="00253D7C">
        <w:rPr>
          <w:b/>
          <w:bCs/>
          <w:lang w:val="en-GB"/>
        </w:rPr>
        <w:t>Challenging the old concept of “modern” food systems.</w:t>
      </w:r>
      <w:r w:rsidRPr="00253D7C">
        <w:rPr>
          <w:lang w:val="en-GB"/>
        </w:rPr>
        <w:t xml:space="preserve"> It </w:t>
      </w:r>
      <w:proofErr w:type="gramStart"/>
      <w:r w:rsidRPr="00253D7C">
        <w:rPr>
          <w:lang w:val="en-GB"/>
        </w:rPr>
        <w:t>is recognized</w:t>
      </w:r>
      <w:proofErr w:type="gramEnd"/>
      <w:r w:rsidRPr="00253D7C">
        <w:rPr>
          <w:lang w:val="en-GB"/>
        </w:rPr>
        <w:t xml:space="preserve"> that </w:t>
      </w:r>
      <w:r w:rsidR="00810957" w:rsidRPr="00253D7C">
        <w:rPr>
          <w:lang w:val="en-GB"/>
        </w:rPr>
        <w:t xml:space="preserve">current food systems, especially </w:t>
      </w:r>
      <w:r w:rsidRPr="00253D7C">
        <w:rPr>
          <w:lang w:val="en-GB"/>
        </w:rPr>
        <w:t>intensive corporate systems have often failed to deliver what is needed, bringing about a number of negative externalities, including malnutrition and unhealt</w:t>
      </w:r>
      <w:r w:rsidR="00810957" w:rsidRPr="00253D7C">
        <w:rPr>
          <w:lang w:val="en-GB"/>
        </w:rPr>
        <w:t xml:space="preserve">hy consumption patterns. These need to be seriously challenged, through research, innovative strategies, ICT, etc. in order to come up with one or more new paradigms. </w:t>
      </w:r>
      <w:r w:rsidR="00AB2267" w:rsidRPr="00253D7C">
        <w:rPr>
          <w:lang w:val="en-GB"/>
        </w:rPr>
        <w:t xml:space="preserve">Research and innovative practices </w:t>
      </w:r>
      <w:proofErr w:type="gramStart"/>
      <w:r w:rsidR="00AB2267" w:rsidRPr="00253D7C">
        <w:rPr>
          <w:lang w:val="en-GB"/>
        </w:rPr>
        <w:t>should be applied</w:t>
      </w:r>
      <w:proofErr w:type="gramEnd"/>
      <w:r w:rsidR="00AB2267" w:rsidRPr="00253D7C">
        <w:rPr>
          <w:lang w:val="en-GB"/>
        </w:rPr>
        <w:t xml:space="preserve"> at all levels of food systems, from planting crops all the way to monitoring and accountability of GVTs, PS, etc. New paradigms </w:t>
      </w:r>
      <w:r w:rsidR="001104CE" w:rsidRPr="00253D7C">
        <w:rPr>
          <w:lang w:val="en-GB"/>
        </w:rPr>
        <w:t xml:space="preserve">should </w:t>
      </w:r>
      <w:r w:rsidR="00AB2267" w:rsidRPr="00253D7C">
        <w:rPr>
          <w:lang w:val="en-GB"/>
        </w:rPr>
        <w:t xml:space="preserve">integrate </w:t>
      </w:r>
      <w:r w:rsidR="001104CE" w:rsidRPr="00253D7C">
        <w:rPr>
          <w:lang w:val="en-GB"/>
        </w:rPr>
        <w:t xml:space="preserve">high technology with ancient practices to promote </w:t>
      </w:r>
      <w:r w:rsidR="00C076B9" w:rsidRPr="00253D7C">
        <w:rPr>
          <w:lang w:val="en-GB"/>
        </w:rPr>
        <w:t>a truly holistic and contemporary model.</w:t>
      </w:r>
    </w:p>
    <w:sectPr w:rsidR="004B0A28" w:rsidRPr="00253D7C" w:rsidSect="00D310A9">
      <w:footerReference w:type="default" r:id="rId12"/>
      <w:pgSz w:w="11906" w:h="16838"/>
      <w:pgMar w:top="1417" w:right="1134" w:bottom="1134" w:left="1134" w:header="708" w:footer="5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BA8A3" w14:textId="77777777" w:rsidR="001C718E" w:rsidRDefault="001C718E" w:rsidP="0070344C">
      <w:r>
        <w:separator/>
      </w:r>
    </w:p>
    <w:p w14:paraId="14F147B7" w14:textId="77777777" w:rsidR="001C718E" w:rsidRDefault="001C718E" w:rsidP="0070344C"/>
  </w:endnote>
  <w:endnote w:type="continuationSeparator" w:id="0">
    <w:p w14:paraId="79266B94" w14:textId="77777777" w:rsidR="001C718E" w:rsidRDefault="001C718E" w:rsidP="0070344C">
      <w:r>
        <w:continuationSeparator/>
      </w:r>
    </w:p>
    <w:p w14:paraId="51FA0300" w14:textId="77777777" w:rsidR="001C718E" w:rsidRDefault="001C718E" w:rsidP="007034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208507"/>
      <w:docPartObj>
        <w:docPartGallery w:val="Page Numbers (Bottom of Page)"/>
        <w:docPartUnique/>
      </w:docPartObj>
    </w:sdtPr>
    <w:sdtEndPr/>
    <w:sdtContent>
      <w:p w14:paraId="09348FE1" w14:textId="77777777" w:rsidR="001C718E" w:rsidRDefault="001C718E" w:rsidP="00A7427B">
        <w:pPr>
          <w:pStyle w:val="Footer"/>
          <w:jc w:val="center"/>
        </w:pPr>
        <w:r>
          <w:rPr>
            <w:lang w:val="en-CA"/>
          </w:rPr>
          <w:fldChar w:fldCharType="begin"/>
        </w:r>
        <w:r>
          <w:instrText>PAGE   \* MERGEFORMAT</w:instrText>
        </w:r>
        <w:r>
          <w:rPr>
            <w:lang w:val="en-CA"/>
          </w:rPr>
          <w:fldChar w:fldCharType="separate"/>
        </w:r>
        <w:r w:rsidR="00DB47CF" w:rsidRPr="00DB47CF">
          <w:rPr>
            <w:noProof/>
            <w:lang w:val="it-IT"/>
          </w:rPr>
          <w:t>22</w:t>
        </w:r>
        <w:r>
          <w:rPr>
            <w:noProof/>
            <w:lang w:val="it-IT"/>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5CF94" w14:textId="77777777" w:rsidR="001C718E" w:rsidRDefault="001C718E" w:rsidP="0070344C">
      <w:r>
        <w:separator/>
      </w:r>
    </w:p>
  </w:footnote>
  <w:footnote w:type="continuationSeparator" w:id="0">
    <w:p w14:paraId="5C38C3CC" w14:textId="77777777" w:rsidR="001C718E" w:rsidRDefault="001C718E" w:rsidP="0070344C">
      <w:r>
        <w:continuationSeparator/>
      </w:r>
    </w:p>
    <w:p w14:paraId="08BC627F" w14:textId="77777777" w:rsidR="001C718E" w:rsidRDefault="001C718E" w:rsidP="0070344C"/>
  </w:footnote>
  <w:footnote w:id="1">
    <w:p w14:paraId="789DD68F" w14:textId="77777777" w:rsidR="001C718E" w:rsidRDefault="001C718E" w:rsidP="002D5773">
      <w:pPr>
        <w:pStyle w:val="fffffoootttnnoo"/>
        <w:rPr>
          <w:lang w:val="en-GB"/>
        </w:rPr>
      </w:pPr>
      <w:r>
        <w:rPr>
          <w:rStyle w:val="FootnoteReference"/>
        </w:rPr>
        <w:footnoteRef/>
      </w:r>
      <w:r>
        <w:t xml:space="preserve"> </w:t>
      </w:r>
      <w:r>
        <w:rPr>
          <w:lang w:val="en-GB"/>
        </w:rPr>
        <w:t xml:space="preserve">The final document can be consulted here: </w:t>
      </w:r>
      <w:hyperlink r:id="rId1" w:history="1">
        <w:r>
          <w:rPr>
            <w:rStyle w:val="Hyperlink"/>
          </w:rPr>
          <w:t>http://www.fao.org/3/a-ml542e.pdf</w:t>
        </w:r>
      </w:hyperlink>
    </w:p>
  </w:footnote>
  <w:footnote w:id="2">
    <w:p w14:paraId="5A3D1E23" w14:textId="77777777" w:rsidR="001C718E" w:rsidRDefault="001C718E" w:rsidP="002D5773">
      <w:pPr>
        <w:pStyle w:val="fffffoootttnnoo"/>
        <w:rPr>
          <w:lang w:val="en-GB"/>
        </w:rPr>
      </w:pPr>
      <w:r>
        <w:rPr>
          <w:rStyle w:val="FootnoteReference"/>
        </w:rPr>
        <w:footnoteRef/>
      </w:r>
      <w:r>
        <w:t xml:space="preserve"> </w:t>
      </w:r>
      <w:r>
        <w:rPr>
          <w:lang w:val="en-GB"/>
        </w:rPr>
        <w:t xml:space="preserve">The final document can be consulted here: </w:t>
      </w:r>
      <w:hyperlink r:id="rId2" w:history="1">
        <w:r>
          <w:rPr>
            <w:rStyle w:val="Hyperlink"/>
          </w:rPr>
          <w:t>http://www.fao.org/3/a-mm215e.pdf</w:t>
        </w:r>
      </w:hyperlink>
      <w:r>
        <w:rPr>
          <w:rStyle w:val="Hyperlink"/>
        </w:rPr>
        <w:t xml:space="preserve"> </w:t>
      </w:r>
    </w:p>
  </w:footnote>
  <w:footnote w:id="3">
    <w:p w14:paraId="75BA1E05" w14:textId="77777777" w:rsidR="001C718E" w:rsidRDefault="001C718E" w:rsidP="002D5773">
      <w:pPr>
        <w:pStyle w:val="fffffoootttnnoo"/>
        <w:rPr>
          <w:lang w:val="en-GB"/>
        </w:rPr>
      </w:pPr>
      <w:r>
        <w:rPr>
          <w:rStyle w:val="FootnoteReference"/>
        </w:rPr>
        <w:footnoteRef/>
      </w:r>
      <w:r>
        <w:t xml:space="preserve"> </w:t>
      </w:r>
      <w:r>
        <w:rPr>
          <w:lang w:val="en-GB"/>
        </w:rPr>
        <w:t>A total of 164 Members of FAO and WHO, including 162 Member States, one WHO Associate Member (Puerto Rico) and the European Union, as well as three observers (The Holy See, Sovereign Order of Malta and Palestine)</w:t>
      </w:r>
    </w:p>
  </w:footnote>
  <w:footnote w:id="4">
    <w:p w14:paraId="001EA8F2" w14:textId="77777777" w:rsidR="001C718E" w:rsidRDefault="001C718E" w:rsidP="002D5773">
      <w:pPr>
        <w:pStyle w:val="fffffoootttnnoo"/>
      </w:pPr>
      <w:r>
        <w:rPr>
          <w:rStyle w:val="FootnoteReference"/>
        </w:rPr>
        <w:footnoteRef/>
      </w:r>
      <w:r>
        <w:t xml:space="preserve"> This term also refers to the European Union and other concerned international organizations. </w:t>
      </w:r>
    </w:p>
  </w:footnote>
  <w:footnote w:id="5">
    <w:p w14:paraId="3343FA98" w14:textId="77777777" w:rsidR="001C718E" w:rsidRDefault="001C718E" w:rsidP="002D5773">
      <w:pPr>
        <w:pStyle w:val="fffffoootttnnoo"/>
      </w:pPr>
      <w:r>
        <w:rPr>
          <w:rStyle w:val="FootnoteReference"/>
        </w:rPr>
        <w:footnoteRef/>
      </w:r>
      <w:r>
        <w:t xml:space="preserve"> For more information, see the following link: </w:t>
      </w:r>
      <w:hyperlink r:id="rId3" w:history="1">
        <w:r w:rsidRPr="00CC6FF3">
          <w:rPr>
            <w:rStyle w:val="Hyperlink"/>
          </w:rPr>
          <w:t>http://www.fao.org/3/a-at607e.pdf</w:t>
        </w:r>
      </w:hyperlink>
      <w:r>
        <w:t xml:space="preserve"> </w:t>
      </w:r>
    </w:p>
  </w:footnote>
  <w:footnote w:id="6">
    <w:p w14:paraId="51F17947" w14:textId="77777777" w:rsidR="001C718E" w:rsidRDefault="001C718E" w:rsidP="002D5773">
      <w:pPr>
        <w:pStyle w:val="fffffoootttnnoo"/>
      </w:pPr>
      <w:r>
        <w:rPr>
          <w:rStyle w:val="FootnoteReference"/>
        </w:rPr>
        <w:footnoteRef/>
      </w:r>
      <w:r>
        <w:t xml:space="preserve"> The Global Forum on Food Security and Nutrition can be consulted here: </w:t>
      </w:r>
      <w:hyperlink r:id="rId4" w:history="1">
        <w:r>
          <w:rPr>
            <w:rStyle w:val="Hyperlink"/>
          </w:rPr>
          <w:t>http://www.fao.org/fsnforum/home</w:t>
        </w:r>
      </w:hyperlink>
      <w:r>
        <w:t xml:space="preserve"> </w:t>
      </w:r>
    </w:p>
  </w:footnote>
  <w:footnote w:id="7">
    <w:p w14:paraId="37C67BC6" w14:textId="77777777" w:rsidR="001C718E" w:rsidRDefault="001C718E" w:rsidP="002174FA">
      <w:pPr>
        <w:pStyle w:val="fffffoootttnnoo"/>
      </w:pPr>
      <w:r>
        <w:rPr>
          <w:rStyle w:val="FootnoteReference"/>
        </w:rPr>
        <w:footnoteRef/>
      </w:r>
      <w:r>
        <w:t xml:space="preserve"> The six discussions can be accessed here: </w:t>
      </w:r>
      <w:hyperlink r:id="rId5" w:history="1">
        <w:r w:rsidRPr="00CC6FF3">
          <w:rPr>
            <w:rStyle w:val="Hyperlink"/>
          </w:rPr>
          <w:t>http://www.fao.org/fsnforum/</w:t>
        </w:r>
      </w:hyperlink>
      <w:r>
        <w:t xml:space="preserve"> </w:t>
      </w:r>
    </w:p>
  </w:footnote>
  <w:footnote w:id="8">
    <w:p w14:paraId="548732BF" w14:textId="77777777" w:rsidR="001C718E" w:rsidRDefault="001C718E" w:rsidP="00340DF5">
      <w:pPr>
        <w:pStyle w:val="FootnoteText"/>
      </w:pPr>
      <w:r>
        <w:rPr>
          <w:rStyle w:val="FootnoteReference"/>
        </w:rPr>
        <w:footnoteRef/>
      </w:r>
      <w:r>
        <w:t xml:space="preserve"> </w:t>
      </w:r>
      <w:r w:rsidRPr="002D5773">
        <w:t>The matrix can be accessed here:</w:t>
      </w:r>
      <w:r>
        <w:t xml:space="preserve"> </w:t>
      </w:r>
      <w:hyperlink r:id="rId6" w:history="1">
        <w:r w:rsidRPr="00CC6FF3">
          <w:rPr>
            <w:rStyle w:val="Hyperlink"/>
          </w:rPr>
          <w:t>https://drive.google.com/open?id=0B505XdMhP-14TEZHSWlYQ1BPY1E</w:t>
        </w:r>
      </w:hyperlink>
      <w:r>
        <w:t xml:space="preserve"> </w:t>
      </w:r>
    </w:p>
  </w:footnote>
  <w:footnote w:id="9">
    <w:p w14:paraId="61B29EBA" w14:textId="77777777" w:rsidR="001C718E" w:rsidRDefault="001C718E" w:rsidP="002D5773">
      <w:pPr>
        <w:pStyle w:val="FootnoteText"/>
      </w:pPr>
      <w:r>
        <w:rPr>
          <w:rStyle w:val="FootnoteReference"/>
        </w:rPr>
        <w:footnoteRef/>
      </w:r>
      <w:r>
        <w:t xml:space="preserve"> </w:t>
      </w:r>
      <w:r w:rsidRPr="002D5773">
        <w:t>The</w:t>
      </w:r>
      <w:r>
        <w:t xml:space="preserve"> 3 technical</w:t>
      </w:r>
      <w:r w:rsidRPr="002D5773">
        <w:t xml:space="preserve"> summaries can be accessed here:</w:t>
      </w:r>
      <w:r>
        <w:t xml:space="preserve"> </w:t>
      </w:r>
      <w:hyperlink r:id="rId7" w:history="1">
        <w:r w:rsidRPr="00CC6FF3">
          <w:rPr>
            <w:rStyle w:val="Hyperlink"/>
          </w:rPr>
          <w:t>https://drive.google.com/open?id=0B505XdMhP-14eUZJVU5RS09qeW8</w:t>
        </w:r>
      </w:hyperlink>
      <w:r>
        <w:t xml:space="preserve">, </w:t>
      </w:r>
      <w:hyperlink r:id="rId8" w:history="1">
        <w:r w:rsidRPr="00CC6FF3">
          <w:rPr>
            <w:rStyle w:val="Hyperlink"/>
          </w:rPr>
          <w:t>https://drive.google.com/open?id=0B505XdMhP-14WlM0MVJ6Vjd1MDA</w:t>
        </w:r>
      </w:hyperlink>
      <w:r>
        <w:t xml:space="preserve">, </w:t>
      </w:r>
      <w:hyperlink r:id="rId9" w:history="1">
        <w:r w:rsidRPr="00CC6FF3">
          <w:rPr>
            <w:rStyle w:val="Hyperlink"/>
          </w:rPr>
          <w:t>https://drive.google.com/open?id=0B505XdMhP-14a0lvS3ZZZTJtWnM</w:t>
        </w:r>
      </w:hyperlink>
      <w:r>
        <w:t xml:space="preserve">  </w:t>
      </w:r>
    </w:p>
  </w:footnote>
  <w:footnote w:id="10">
    <w:p w14:paraId="1C804181" w14:textId="77777777" w:rsidR="001C718E" w:rsidRDefault="001C718E" w:rsidP="00E663E4">
      <w:pPr>
        <w:pStyle w:val="fffffoootttnnoo"/>
      </w:pPr>
      <w:r w:rsidRPr="00E663E4">
        <w:rPr>
          <w:rStyle w:val="FootnoteReference"/>
        </w:rPr>
        <w:footnoteRef/>
      </w:r>
      <w:r w:rsidRPr="00E663E4">
        <w:t xml:space="preserve"> </w:t>
      </w:r>
      <w:hyperlink r:id="rId10" w:history="1">
        <w:r w:rsidRPr="00E663E4">
          <w:rPr>
            <w:rStyle w:val="Hyperlink"/>
          </w:rPr>
          <w:t>https://drive.google.com/open?id=1ylMFhS-KSqMd3IAwrxhPeBTmPVtuZAEiHrS7sC36e_g</w:t>
        </w:r>
      </w:hyperlink>
      <w:r>
        <w:t xml:space="preserve"> </w:t>
      </w:r>
    </w:p>
  </w:footnote>
  <w:footnote w:id="11">
    <w:p w14:paraId="7F5DB5F8" w14:textId="77777777" w:rsidR="001C718E" w:rsidRDefault="001C718E" w:rsidP="00340DF5">
      <w:pPr>
        <w:pStyle w:val="fffffoootttnnoo"/>
        <w:rPr>
          <w:lang w:eastAsia="zh-CN"/>
        </w:rPr>
      </w:pPr>
      <w:r>
        <w:rPr>
          <w:rStyle w:val="FootnoteReference"/>
        </w:rPr>
        <w:footnoteRef/>
      </w:r>
      <w:r>
        <w:t xml:space="preserve"> The classification adopted can be found here</w:t>
      </w:r>
      <w:r>
        <w:rPr>
          <w:lang w:eastAsia="zh-CN"/>
        </w:rPr>
        <w:t xml:space="preserve">: </w:t>
      </w:r>
      <w:hyperlink r:id="rId11" w:history="1">
        <w:r>
          <w:rPr>
            <w:rStyle w:val="Hyperlink"/>
            <w:lang w:eastAsia="zh-CN"/>
          </w:rPr>
          <w:t>http://www.imf.org/external/pubs/ft/weo/2015/01/weodata/groups.htm</w:t>
        </w:r>
      </w:hyperlink>
    </w:p>
  </w:footnote>
  <w:footnote w:id="12">
    <w:p w14:paraId="491AEF91" w14:textId="77777777" w:rsidR="001C718E" w:rsidRDefault="001C718E" w:rsidP="00E663E4">
      <w:pPr>
        <w:pStyle w:val="fffffoootttnnoo"/>
      </w:pPr>
      <w:r w:rsidRPr="00E663E4">
        <w:rPr>
          <w:rStyle w:val="FootnoteReference"/>
        </w:rPr>
        <w:footnoteRef/>
      </w:r>
      <w:r w:rsidRPr="00E663E4">
        <w:t xml:space="preserve"> Further elaboration on these aspects </w:t>
      </w:r>
      <w:proofErr w:type="gramStart"/>
      <w:r w:rsidRPr="00E663E4">
        <w:t>can be found</w:t>
      </w:r>
      <w:proofErr w:type="gramEnd"/>
      <w:r w:rsidRPr="00E663E4">
        <w:t xml:space="preserve"> in the previously linked documents.</w:t>
      </w:r>
    </w:p>
  </w:footnote>
  <w:footnote w:id="13">
    <w:p w14:paraId="29656CE9" w14:textId="77777777" w:rsidR="001C718E" w:rsidRDefault="001C718E" w:rsidP="00340DF5">
      <w:pPr>
        <w:pStyle w:val="FootnoteText"/>
      </w:pPr>
      <w:r>
        <w:rPr>
          <w:rStyle w:val="FootnoteReference"/>
        </w:rPr>
        <w:footnoteRef/>
      </w:r>
      <w:r>
        <w:t xml:space="preserve"> For further information on the GSF, follow this link: </w:t>
      </w:r>
      <w:hyperlink r:id="rId12" w:history="1">
        <w:r>
          <w:rPr>
            <w:rStyle w:val="Hyperlink"/>
          </w:rPr>
          <w:t>http://www.fao.org/cfs/cfs-home/activities/gsf/en/</w:t>
        </w:r>
      </w:hyperlink>
    </w:p>
  </w:footnote>
  <w:footnote w:id="14">
    <w:p w14:paraId="330FFB51" w14:textId="77777777" w:rsidR="001C718E" w:rsidRDefault="001C718E" w:rsidP="002174FA">
      <w:pPr>
        <w:pStyle w:val="fffffoootttnnoo"/>
      </w:pPr>
      <w:r>
        <w:rPr>
          <w:rStyle w:val="FootnoteReference"/>
        </w:rPr>
        <w:footnoteRef/>
      </w:r>
      <w:r>
        <w:t xml:space="preserve"> </w:t>
      </w:r>
      <w:r w:rsidRPr="002174FA">
        <w:t xml:space="preserve">Information on the CFS can be found here: </w:t>
      </w:r>
      <w:hyperlink r:id="rId13" w:history="1">
        <w:r w:rsidRPr="002174FA">
          <w:rPr>
            <w:rStyle w:val="Hyperlink"/>
          </w:rPr>
          <w:t>http://www.fao.org/cfs/cfs-home/en/</w:t>
        </w:r>
      </w:hyperlink>
      <w:r>
        <w:t xml:space="preserve"> </w:t>
      </w:r>
    </w:p>
  </w:footnote>
  <w:footnote w:id="15">
    <w:p w14:paraId="07290FA5" w14:textId="77777777" w:rsidR="001C718E" w:rsidRDefault="001C718E" w:rsidP="002174FA">
      <w:pPr>
        <w:pStyle w:val="fffffoootttnnoo"/>
      </w:pPr>
      <w:r>
        <w:rPr>
          <w:rStyle w:val="FootnoteReference"/>
        </w:rPr>
        <w:footnoteRef/>
      </w:r>
      <w:r>
        <w:t xml:space="preserve"> The full list of key recommendations for Improving Nutrition through Agriculture can be found here: </w:t>
      </w:r>
      <w:hyperlink r:id="rId14" w:history="1">
        <w:r>
          <w:rPr>
            <w:rStyle w:val="Hyperlink"/>
          </w:rPr>
          <w:t>http://unscn.org/files/Agriculture-Nutrition-CoP/Agriculture-Nutrition_Key_recommendations.pdf</w:t>
        </w:r>
      </w:hyperlink>
    </w:p>
  </w:footnote>
  <w:footnote w:id="16">
    <w:p w14:paraId="4D49EFC7" w14:textId="77777777" w:rsidR="001C718E" w:rsidRDefault="001C718E" w:rsidP="00340DF5">
      <w:pPr>
        <w:pStyle w:val="FootnoteText"/>
      </w:pPr>
      <w:r>
        <w:rPr>
          <w:rStyle w:val="FootnoteReference"/>
        </w:rPr>
        <w:footnoteRef/>
      </w:r>
      <w:r>
        <w:t xml:space="preserve"> For further information on this initiative, see the following website: </w:t>
      </w:r>
      <w:hyperlink r:id="rId15" w:history="1">
        <w:r>
          <w:rPr>
            <w:rStyle w:val="Hyperlink"/>
            <w:i/>
          </w:rPr>
          <w:t>http://www.ebek-rdcd.gov.bd/</w:t>
        </w:r>
      </w:hyperlink>
    </w:p>
  </w:footnote>
  <w:footnote w:id="17">
    <w:p w14:paraId="28808008" w14:textId="77777777" w:rsidR="001C718E" w:rsidRDefault="001C718E" w:rsidP="00340DF5">
      <w:pPr>
        <w:pStyle w:val="FootnoteText"/>
      </w:pPr>
      <w:r>
        <w:rPr>
          <w:rStyle w:val="FootnoteReference"/>
        </w:rPr>
        <w:footnoteRef/>
      </w:r>
      <w:r>
        <w:t xml:space="preserve"> More information on Food Fortification can be found here: </w:t>
      </w:r>
      <w:hyperlink r:id="rId16" w:history="1">
        <w:r>
          <w:rPr>
            <w:rStyle w:val="Hyperlink"/>
          </w:rPr>
          <w:t>http://www.fao.org/docrep/w2840e/w2840e03.htm</w:t>
        </w:r>
      </w:hyperlink>
      <w:r>
        <w:t xml:space="preserve"> </w:t>
      </w:r>
    </w:p>
  </w:footnote>
  <w:footnote w:id="18">
    <w:p w14:paraId="64BC8B78" w14:textId="77777777" w:rsidR="001C718E" w:rsidRDefault="001C718E" w:rsidP="00340DF5">
      <w:pPr>
        <w:pStyle w:val="FootnoteText"/>
      </w:pPr>
      <w:r>
        <w:rPr>
          <w:rStyle w:val="FootnoteReference"/>
        </w:rPr>
        <w:footnoteRef/>
      </w:r>
      <w:r>
        <w:t xml:space="preserve"> Information on the intervention in Zambia can be found in the following report: </w:t>
      </w:r>
      <w:hyperlink r:id="rId17" w:history="1">
        <w:r>
          <w:rPr>
            <w:rStyle w:val="Hyperlink"/>
          </w:rPr>
          <w:t>http://www.nfnc.org.zm/sites/default/files/downloads/NFNC_Nutrition_Report_2008.pdf</w:t>
        </w:r>
      </w:hyperlink>
      <w:r>
        <w:t xml:space="preserve"> </w:t>
      </w:r>
    </w:p>
  </w:footnote>
  <w:footnote w:id="19">
    <w:p w14:paraId="303F6F42" w14:textId="77777777" w:rsidR="001C718E" w:rsidRDefault="001C718E" w:rsidP="00340DF5">
      <w:pPr>
        <w:pStyle w:val="FootnoteText"/>
        <w:rPr>
          <w:lang w:val="en-GB"/>
        </w:rPr>
      </w:pPr>
      <w:r>
        <w:rPr>
          <w:rStyle w:val="FootnoteReference"/>
        </w:rPr>
        <w:footnoteRef/>
      </w:r>
      <w:r>
        <w:t xml:space="preserve"> Information on this initiative can be found here: </w:t>
      </w:r>
      <w:hyperlink r:id="rId18" w:history="1">
        <w:r w:rsidRPr="00E42843">
          <w:rPr>
            <w:rStyle w:val="Hyperlink"/>
            <w:lang w:val="en-GB"/>
          </w:rPr>
          <w:t>http://www.minagri.gov.rw/index.php?id=28</w:t>
        </w:r>
      </w:hyperlink>
      <w:r w:rsidRPr="00E42843">
        <w:rPr>
          <w:lang w:val="en-GB"/>
        </w:rPr>
        <w:t>,</w:t>
      </w:r>
      <w:hyperlink r:id="rId19" w:history="1">
        <w:r w:rsidRPr="00E42843">
          <w:rPr>
            <w:rStyle w:val="Hyperlink"/>
            <w:lang w:val="en-GB"/>
          </w:rPr>
          <w:t>http://rwandapedia.rw/explore/girinka</w:t>
        </w:r>
      </w:hyperlink>
      <w:r>
        <w:rPr>
          <w:rStyle w:val="Hyperlink"/>
          <w:i/>
          <w:lang w:val="en-GB"/>
        </w:rPr>
        <w:t xml:space="preserve"> </w:t>
      </w:r>
    </w:p>
  </w:footnote>
  <w:footnote w:id="20">
    <w:p w14:paraId="0C9C09B3" w14:textId="77777777" w:rsidR="001C718E" w:rsidRDefault="001C718E" w:rsidP="0015755A">
      <w:pPr>
        <w:pStyle w:val="fffffoootttnnoo"/>
      </w:pPr>
      <w:r>
        <w:rPr>
          <w:rStyle w:val="FootnoteReference"/>
        </w:rPr>
        <w:footnoteRef/>
      </w:r>
      <w:r>
        <w:t xml:space="preserve"> </w:t>
      </w:r>
      <w:r>
        <w:rPr>
          <w:i/>
          <w:iCs/>
        </w:rPr>
        <w:t>Invitation to an open discussion on the political outcome document of the ICN2.</w:t>
      </w:r>
      <w:r>
        <w:t xml:space="preserve"> Discussion no. 97. From February 21 to March 21, 2014. Contributions 2 by WOCAN and 59 by Concern Worldwide.</w:t>
      </w:r>
    </w:p>
  </w:footnote>
  <w:footnote w:id="21">
    <w:p w14:paraId="592CDFE2" w14:textId="77777777" w:rsidR="001C718E" w:rsidRDefault="001C718E" w:rsidP="0015755A">
      <w:pPr>
        <w:pStyle w:val="fffffoootttnnoo"/>
      </w:pPr>
      <w:r>
        <w:rPr>
          <w:rStyle w:val="FootnoteReference"/>
        </w:rPr>
        <w:footnoteRef/>
      </w:r>
      <w:r>
        <w:t xml:space="preserve"> </w:t>
      </w:r>
      <w:r>
        <w:rPr>
          <w:i/>
          <w:iCs/>
        </w:rPr>
        <w:t>Ibid.</w:t>
      </w:r>
      <w:r>
        <w:t xml:space="preserve"> Contribution 53 by Dorota Sienkiewicz, European Public Health Alliance. </w:t>
      </w:r>
      <w:r>
        <w:rPr>
          <w:i/>
          <w:iCs/>
        </w:rPr>
        <w:t>Invitation to comment on the revised draft of the political outcome document of the ICN2</w:t>
      </w:r>
      <w:r>
        <w:t>. Discussion No. 103. From May 14 to May 28, 2014. Contribution 53 by Jamil Junejo, Pakistan Fisherfolk Forum.</w:t>
      </w:r>
    </w:p>
  </w:footnote>
  <w:footnote w:id="22">
    <w:p w14:paraId="2995C25C" w14:textId="77777777" w:rsidR="001C718E" w:rsidRDefault="001C718E" w:rsidP="0015755A">
      <w:pPr>
        <w:pStyle w:val="fffffoootttnnoo"/>
      </w:pPr>
      <w:r>
        <w:rPr>
          <w:rStyle w:val="FootnoteReference"/>
        </w:rPr>
        <w:footnoteRef/>
      </w:r>
      <w:r>
        <w:t xml:space="preserve"> </w:t>
      </w:r>
      <w:r>
        <w:rPr>
          <w:i/>
          <w:iCs/>
        </w:rPr>
        <w:t>Op. cit. Invitation to an open discussion on the political outcome document of the ICN2.</w:t>
      </w:r>
      <w:r>
        <w:t xml:space="preserve"> Contribution 48 by Development Fund Norway.</w:t>
      </w:r>
    </w:p>
  </w:footnote>
  <w:footnote w:id="23">
    <w:p w14:paraId="714E146B" w14:textId="77777777" w:rsidR="001C718E" w:rsidRDefault="001C718E" w:rsidP="0015755A">
      <w:pPr>
        <w:pStyle w:val="fffffoootttnnoo"/>
      </w:pPr>
      <w:r>
        <w:rPr>
          <w:rStyle w:val="FootnoteReference"/>
        </w:rPr>
        <w:footnoteRef/>
      </w:r>
      <w:r>
        <w:t xml:space="preserve"> Ibid. Contribution 18 by Elchin Atababayev, Institute of Agricultural Economy, Azerbaijan.</w:t>
      </w:r>
    </w:p>
  </w:footnote>
  <w:footnote w:id="24">
    <w:p w14:paraId="5B723445" w14:textId="77777777" w:rsidR="001C718E" w:rsidRDefault="001C718E" w:rsidP="0015755A">
      <w:pPr>
        <w:pStyle w:val="fffffoootttnnoo"/>
      </w:pPr>
      <w:r>
        <w:rPr>
          <w:rStyle w:val="FootnoteReference"/>
        </w:rPr>
        <w:footnoteRef/>
      </w:r>
      <w:r>
        <w:t xml:space="preserve"> Ibid. Contribution 64 by Carol Lewin, University of Washington.; Op. cit. </w:t>
      </w:r>
      <w:r>
        <w:rPr>
          <w:i/>
          <w:iCs/>
        </w:rPr>
        <w:t xml:space="preserve"> Invitation to comment on the revised draft of the political outcome document of the ICN2</w:t>
      </w:r>
      <w:r>
        <w:t>. Contribution 19 by Abubacker Siddick Syed Mohamed, M.S.Swaminathan Research Foundation, India.</w:t>
      </w:r>
    </w:p>
  </w:footnote>
  <w:footnote w:id="25">
    <w:p w14:paraId="474C2E62" w14:textId="77777777" w:rsidR="001C718E" w:rsidRDefault="001C718E" w:rsidP="0015755A">
      <w:pPr>
        <w:pStyle w:val="fffffoootttnnoo"/>
      </w:pPr>
      <w:r>
        <w:rPr>
          <w:rStyle w:val="FootnoteReference"/>
        </w:rPr>
        <w:footnoteRef/>
      </w:r>
      <w:r>
        <w:t xml:space="preserve"> </w:t>
      </w:r>
      <w:r>
        <w:rPr>
          <w:i/>
          <w:iCs/>
        </w:rPr>
        <w:t>Op. cit. Invitation to an open discussion on the political outcome document of the ICN2.</w:t>
      </w:r>
      <w:r>
        <w:t xml:space="preserve"> Contribution 41 by Barilla Center for Food and Nutrition. Italy.</w:t>
      </w:r>
    </w:p>
  </w:footnote>
  <w:footnote w:id="26">
    <w:p w14:paraId="509C2DFB" w14:textId="77777777" w:rsidR="001C718E" w:rsidRDefault="001C718E" w:rsidP="0015755A">
      <w:pPr>
        <w:pStyle w:val="fffffoootttnnoo"/>
      </w:pPr>
      <w:r>
        <w:rPr>
          <w:rStyle w:val="FootnoteReference"/>
        </w:rPr>
        <w:footnoteRef/>
      </w:r>
      <w:r>
        <w:t xml:space="preserve"> Ibid. Contribution 69 by Yvette Futsch, FAO.</w:t>
      </w:r>
    </w:p>
  </w:footnote>
  <w:footnote w:id="27">
    <w:p w14:paraId="129CE1DC" w14:textId="77777777" w:rsidR="001C718E" w:rsidRDefault="001C718E" w:rsidP="0015755A">
      <w:pPr>
        <w:pStyle w:val="fffffoootttnnoo"/>
      </w:pPr>
      <w:r>
        <w:rPr>
          <w:rStyle w:val="FootnoteReference"/>
        </w:rPr>
        <w:footnoteRef/>
      </w:r>
      <w:r>
        <w:t xml:space="preserve"> Conference Outcome Document: Framework for Action. Second International Conference on Nutrition.</w:t>
      </w:r>
    </w:p>
  </w:footnote>
  <w:footnote w:id="28">
    <w:p w14:paraId="27916913" w14:textId="77777777" w:rsidR="001C718E" w:rsidRDefault="001C718E" w:rsidP="0015755A">
      <w:pPr>
        <w:pStyle w:val="fffffoootttnnoo"/>
      </w:pPr>
      <w:r>
        <w:rPr>
          <w:rStyle w:val="FootnoteReference"/>
        </w:rPr>
        <w:footnoteRef/>
      </w:r>
      <w:r>
        <w:t xml:space="preserve"> "WHO | WHO Opens Public Consultation </w:t>
      </w:r>
      <w:proofErr w:type="gramStart"/>
      <w:r>
        <w:t>On</w:t>
      </w:r>
      <w:proofErr w:type="gramEnd"/>
      <w:r>
        <w:t xml:space="preserve"> Draft Sugars Guideline". Who.int. </w:t>
      </w:r>
      <w:proofErr w:type="gramStart"/>
      <w:r>
        <w:t>N.p</w:t>
      </w:r>
      <w:proofErr w:type="gramEnd"/>
      <w:r>
        <w:t xml:space="preserve">., 2016. Web. 13 June 2016. </w:t>
      </w:r>
      <w:hyperlink r:id="rId20" w:history="1">
        <w:r>
          <w:rPr>
            <w:rStyle w:val="Hyperlink"/>
          </w:rPr>
          <w:t>http://www.who.int/mediacentre/news/notes/2014/consultation-sugar-guideline/en/</w:t>
        </w:r>
      </w:hyperlink>
      <w:r>
        <w:t xml:space="preserve"> </w:t>
      </w:r>
    </w:p>
  </w:footnote>
  <w:footnote w:id="29">
    <w:p w14:paraId="1078C191" w14:textId="77777777" w:rsidR="001C718E" w:rsidRDefault="001C718E" w:rsidP="0015755A">
      <w:pPr>
        <w:pStyle w:val="fffffoootttnnoo"/>
      </w:pPr>
      <w:r>
        <w:rPr>
          <w:rStyle w:val="FootnoteReference"/>
        </w:rPr>
        <w:footnoteRef/>
      </w:r>
      <w:r>
        <w:t xml:space="preserve">  Geneva: WHO Document Production Services, 2013. Print. Global Action Plan </w:t>
      </w:r>
      <w:proofErr w:type="gramStart"/>
      <w:r>
        <w:t>For</w:t>
      </w:r>
      <w:proofErr w:type="gramEnd"/>
      <w:r>
        <w:t xml:space="preserve"> The Prevention And Control Of Noncommunicable Diseases 2013-2020.</w:t>
      </w:r>
    </w:p>
    <w:p w14:paraId="03A68BFB" w14:textId="77777777" w:rsidR="001C718E" w:rsidRDefault="00DB47CF" w:rsidP="0015755A">
      <w:pPr>
        <w:pStyle w:val="fffffoootttnnoo"/>
      </w:pPr>
      <w:hyperlink r:id="rId21" w:history="1">
        <w:r w:rsidR="001C718E">
          <w:rPr>
            <w:rStyle w:val="Hyperlink"/>
          </w:rPr>
          <w:t>http://apps.who.int/iris/bitstream/10665/94384/1/9789241506236_eng.pdf</w:t>
        </w:r>
      </w:hyperlink>
      <w:r w:rsidR="001C718E">
        <w:t xml:space="preserve"> </w:t>
      </w:r>
    </w:p>
  </w:footnote>
  <w:footnote w:id="30">
    <w:p w14:paraId="2754C76B" w14:textId="77777777" w:rsidR="001C718E" w:rsidRDefault="001C718E" w:rsidP="002174FA">
      <w:pPr>
        <w:pStyle w:val="fffffoootttnnoo"/>
      </w:pPr>
      <w:r>
        <w:rPr>
          <w:rStyle w:val="FootnoteReference"/>
        </w:rPr>
        <w:footnoteRef/>
      </w:r>
      <w:r>
        <w:t xml:space="preserve"> FAO’s definition of malnutrition can be accessed here: </w:t>
      </w:r>
      <w:hyperlink r:id="rId22" w:history="1">
        <w:r w:rsidRPr="00CC6FF3">
          <w:rPr>
            <w:rStyle w:val="Hyperlink"/>
          </w:rPr>
          <w:t>http://www.fao.org/hunger/glossary/en/</w:t>
        </w:r>
      </w:hyperlink>
      <w:r>
        <w:t xml:space="preserve"> </w:t>
      </w:r>
    </w:p>
  </w:footnote>
  <w:footnote w:id="31">
    <w:p w14:paraId="7A73264A" w14:textId="77777777" w:rsidR="001C718E" w:rsidRDefault="001C718E" w:rsidP="002A2471">
      <w:pPr>
        <w:pStyle w:val="fffffoootttnnoo"/>
      </w:pPr>
      <w:r>
        <w:rPr>
          <w:rStyle w:val="FootnoteReference"/>
        </w:rPr>
        <w:footnoteRef/>
      </w:r>
      <w:r>
        <w:t xml:space="preserve"> </w:t>
      </w:r>
      <w:r w:rsidRPr="00C6518C">
        <w:t>Raustiala, Kal, and David G. Victor. (1998) Conclusions. In The Implementation and Effectiveness of International Environmental Commitments: Theory and Practice, edited by David G. Victor, Kal Raustiala and Eugene B. Skolnikoff, pp. 659-708. Laxenburg Austria; Cambridge Mass.: International Institute for Applied Systems Analysis; MIT Press</w:t>
      </w:r>
    </w:p>
  </w:footnote>
  <w:footnote w:id="32">
    <w:p w14:paraId="2E90DD98" w14:textId="77777777" w:rsidR="001C718E" w:rsidRDefault="001C718E" w:rsidP="002A2471">
      <w:pPr>
        <w:pStyle w:val="fffffoootttnnoo"/>
      </w:pPr>
      <w:r>
        <w:rPr>
          <w:rStyle w:val="FootnoteReference"/>
        </w:rPr>
        <w:footnoteRef/>
      </w:r>
      <w:r>
        <w:t xml:space="preserve"> Ibid. Our emphasis.</w:t>
      </w:r>
    </w:p>
  </w:footnote>
  <w:footnote w:id="33">
    <w:p w14:paraId="0691DBAD" w14:textId="77777777" w:rsidR="001C718E" w:rsidRDefault="001C718E" w:rsidP="000516AD">
      <w:pPr>
        <w:pStyle w:val="fffffoootttnnoo"/>
      </w:pPr>
      <w:r>
        <w:rPr>
          <w:rStyle w:val="FootnoteReference"/>
        </w:rPr>
        <w:footnoteRef/>
      </w:r>
      <w:r>
        <w:t xml:space="preserve"> Smallholder farmers include agriculture and food workers, artisanal fisherfolk, pastoralists, indigenous peoples and the landless (Committee on World Food Security, Global Strategic Framework for Food Security and Nutrition, 2013).</w:t>
      </w:r>
    </w:p>
  </w:footnote>
  <w:footnote w:id="34">
    <w:p w14:paraId="24A52BF4" w14:textId="77777777" w:rsidR="001C718E" w:rsidRDefault="001C718E" w:rsidP="00AC134D">
      <w:pPr>
        <w:pStyle w:val="fffffoootttnnoo"/>
      </w:pPr>
      <w:r w:rsidRPr="002174FA">
        <w:rPr>
          <w:rStyle w:val="FootnoteReference"/>
        </w:rPr>
        <w:footnoteRef/>
      </w:r>
      <w:r w:rsidRPr="002174FA">
        <w:t xml:space="preserve"> </w:t>
      </w:r>
      <w:hyperlink r:id="rId23" w:history="1">
        <w:r w:rsidRPr="00CC6FF3">
          <w:rPr>
            <w:rStyle w:val="Hyperlink"/>
          </w:rPr>
          <w:t>http://www.fao.org/fsnforum/sites/default/files/files/107_ICN2-FFA/PROCEEDINGS_EN_ICN2_FFA.docx</w:t>
        </w:r>
      </w:hyperlink>
      <w:r>
        <w:t xml:space="preserve"> </w:t>
      </w:r>
    </w:p>
  </w:footnote>
  <w:footnote w:id="35">
    <w:p w14:paraId="6F93FAA4" w14:textId="77777777" w:rsidR="001C718E" w:rsidRDefault="001C718E" w:rsidP="00761748">
      <w:pPr>
        <w:pStyle w:val="fffffoootttnnoo"/>
      </w:pPr>
      <w:r>
        <w:rPr>
          <w:rStyle w:val="FootnoteReference"/>
        </w:rPr>
        <w:footnoteRef/>
      </w:r>
      <w:r>
        <w:t xml:space="preserve"> Khaneman, D. Thinking fast and slow, New York</w:t>
      </w:r>
      <w:r w:rsidRPr="00761748">
        <w:t>: Farrar, Straus and Giroux,</w:t>
      </w:r>
      <w:r>
        <w:t xml:space="preserve">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80"/>
        </w:tabs>
        <w:ind w:left="780" w:hanging="360"/>
      </w:pPr>
      <w:rPr>
        <w:rFonts w:ascii="Times New Roman" w:hAnsi="Times New Roman" w:cs="Times New Roman"/>
        <w:b w:val="0"/>
        <w:i w:val="0"/>
        <w:caps w:val="0"/>
        <w:smallCaps w:val="0"/>
        <w:color w:val="000000"/>
        <w:spacing w:val="0"/>
        <w:sz w:val="24"/>
        <w:szCs w:val="24"/>
      </w:r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1" w15:restartNumberingAfterBreak="0">
    <w:nsid w:val="00000005"/>
    <w:multiLevelType w:val="multilevel"/>
    <w:tmpl w:val="5B4A966C"/>
    <w:lvl w:ilvl="0">
      <w:start w:val="1"/>
      <w:numFmt w:val="decimal"/>
      <w:lvlText w:val="%1."/>
      <w:lvlJc w:val="left"/>
      <w:pPr>
        <w:tabs>
          <w:tab w:val="num" w:pos="1140"/>
        </w:tabs>
        <w:ind w:left="1140" w:hanging="360"/>
      </w:pPr>
      <w:rPr>
        <w:i/>
      </w:rPr>
    </w:lvl>
    <w:lvl w:ilvl="1">
      <w:start w:val="1"/>
      <w:numFmt w:val="decimal"/>
      <w:lvlText w:val="%2."/>
      <w:lvlJc w:val="left"/>
      <w:pPr>
        <w:tabs>
          <w:tab w:val="num" w:pos="1500"/>
        </w:tabs>
        <w:ind w:left="1500" w:hanging="360"/>
      </w:pPr>
    </w:lvl>
    <w:lvl w:ilvl="2">
      <w:start w:val="1"/>
      <w:numFmt w:val="decimal"/>
      <w:lvlText w:val="%3."/>
      <w:lvlJc w:val="left"/>
      <w:pPr>
        <w:tabs>
          <w:tab w:val="num" w:pos="1860"/>
        </w:tabs>
        <w:ind w:left="1860" w:hanging="360"/>
      </w:pPr>
    </w:lvl>
    <w:lvl w:ilvl="3">
      <w:start w:val="1"/>
      <w:numFmt w:val="decimal"/>
      <w:lvlText w:val="%4."/>
      <w:lvlJc w:val="left"/>
      <w:pPr>
        <w:tabs>
          <w:tab w:val="num" w:pos="2220"/>
        </w:tabs>
        <w:ind w:left="2220" w:hanging="360"/>
      </w:pPr>
    </w:lvl>
    <w:lvl w:ilvl="4">
      <w:start w:val="1"/>
      <w:numFmt w:val="decimal"/>
      <w:lvlText w:val="%5."/>
      <w:lvlJc w:val="left"/>
      <w:pPr>
        <w:tabs>
          <w:tab w:val="num" w:pos="2580"/>
        </w:tabs>
        <w:ind w:left="2580" w:hanging="360"/>
      </w:pPr>
    </w:lvl>
    <w:lvl w:ilvl="5">
      <w:start w:val="1"/>
      <w:numFmt w:val="decimal"/>
      <w:lvlText w:val="%6."/>
      <w:lvlJc w:val="left"/>
      <w:pPr>
        <w:tabs>
          <w:tab w:val="num" w:pos="2940"/>
        </w:tabs>
        <w:ind w:left="2940" w:hanging="360"/>
      </w:pPr>
    </w:lvl>
    <w:lvl w:ilvl="6">
      <w:start w:val="1"/>
      <w:numFmt w:val="decimal"/>
      <w:lvlText w:val="%7."/>
      <w:lvlJc w:val="left"/>
      <w:pPr>
        <w:tabs>
          <w:tab w:val="num" w:pos="3300"/>
        </w:tabs>
        <w:ind w:left="3300" w:hanging="360"/>
      </w:pPr>
    </w:lvl>
    <w:lvl w:ilvl="7">
      <w:start w:val="1"/>
      <w:numFmt w:val="decimal"/>
      <w:lvlText w:val="%8."/>
      <w:lvlJc w:val="left"/>
      <w:pPr>
        <w:tabs>
          <w:tab w:val="num" w:pos="3660"/>
        </w:tabs>
        <w:ind w:left="3660" w:hanging="360"/>
      </w:pPr>
    </w:lvl>
    <w:lvl w:ilvl="8">
      <w:start w:val="1"/>
      <w:numFmt w:val="decimal"/>
      <w:lvlText w:val="%9."/>
      <w:lvlJc w:val="left"/>
      <w:pPr>
        <w:tabs>
          <w:tab w:val="num" w:pos="4020"/>
        </w:tabs>
        <w:ind w:left="4020" w:hanging="360"/>
      </w:pPr>
    </w:lvl>
  </w:abstractNum>
  <w:abstractNum w:abstractNumId="2" w15:restartNumberingAfterBreak="0">
    <w:nsid w:val="09176A3D"/>
    <w:multiLevelType w:val="hybridMultilevel"/>
    <w:tmpl w:val="8C94A3A6"/>
    <w:lvl w:ilvl="0" w:tplc="0410000F">
      <w:start w:val="1"/>
      <w:numFmt w:val="decimal"/>
      <w:lvlText w:val="%1."/>
      <w:lvlJc w:val="left"/>
      <w:pPr>
        <w:ind w:left="720" w:hanging="360"/>
      </w:pPr>
      <w:rPr>
        <w:rFonts w:hint="default"/>
        <w:color w:val="auto"/>
        <w:sz w:val="24"/>
      </w:rPr>
    </w:lvl>
    <w:lvl w:ilvl="1" w:tplc="0410000F">
      <w:start w:val="1"/>
      <w:numFmt w:val="decimal"/>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220051"/>
    <w:multiLevelType w:val="hybridMultilevel"/>
    <w:tmpl w:val="5FDE39A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16D80C7E"/>
    <w:multiLevelType w:val="hybridMultilevel"/>
    <w:tmpl w:val="B0D8F46C"/>
    <w:lvl w:ilvl="0" w:tplc="9DD80C96">
      <w:start w:val="1"/>
      <w:numFmt w:val="bullet"/>
      <w:pStyle w:val="BULLL"/>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3F3AE0"/>
    <w:multiLevelType w:val="hybridMultilevel"/>
    <w:tmpl w:val="A04E3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1D0E44"/>
    <w:multiLevelType w:val="hybridMultilevel"/>
    <w:tmpl w:val="1AD811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F810F3"/>
    <w:multiLevelType w:val="hybridMultilevel"/>
    <w:tmpl w:val="9A32D4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7FF760C"/>
    <w:multiLevelType w:val="hybridMultilevel"/>
    <w:tmpl w:val="15304F34"/>
    <w:lvl w:ilvl="0" w:tplc="E1A639AC">
      <w:numFmt w:val="bullet"/>
      <w:pStyle w:val="ListParagraph"/>
      <w:lvlText w:val="-"/>
      <w:lvlJc w:val="left"/>
      <w:pPr>
        <w:ind w:left="1065" w:hanging="705"/>
      </w:pPr>
      <w:rPr>
        <w:rFonts w:ascii="Times New Roman" w:eastAsiaTheme="minorEastAsia" w:hAnsi="Times New Roman" w:cs="Times New Roman"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96E3460"/>
    <w:multiLevelType w:val="hybridMultilevel"/>
    <w:tmpl w:val="194CF1D2"/>
    <w:lvl w:ilvl="0" w:tplc="AD308D7E">
      <w:start w:val="1"/>
      <w:numFmt w:val="decimal"/>
      <w:pStyle w:val="listparaintro"/>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0A868BC"/>
    <w:multiLevelType w:val="hybridMultilevel"/>
    <w:tmpl w:val="03644FC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70C9244C"/>
    <w:multiLevelType w:val="hybridMultilevel"/>
    <w:tmpl w:val="3D52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CC7F11"/>
    <w:multiLevelType w:val="hybridMultilevel"/>
    <w:tmpl w:val="27204CB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7ECD5135"/>
    <w:multiLevelType w:val="hybridMultilevel"/>
    <w:tmpl w:val="86E814A4"/>
    <w:lvl w:ilvl="0" w:tplc="EC30AA08">
      <w:numFmt w:val="bullet"/>
      <w:lvlText w:val="-"/>
      <w:lvlJc w:val="left"/>
      <w:pPr>
        <w:ind w:left="1065" w:hanging="705"/>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4"/>
  </w:num>
  <w:num w:numId="5">
    <w:abstractNumId w:val="0"/>
  </w:num>
  <w:num w:numId="6">
    <w:abstractNumId w:va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A26"/>
    <w:rsid w:val="00031A15"/>
    <w:rsid w:val="00041428"/>
    <w:rsid w:val="00043304"/>
    <w:rsid w:val="000516AD"/>
    <w:rsid w:val="00057800"/>
    <w:rsid w:val="00061A7A"/>
    <w:rsid w:val="000630DE"/>
    <w:rsid w:val="00067B4C"/>
    <w:rsid w:val="00072BC3"/>
    <w:rsid w:val="00081C05"/>
    <w:rsid w:val="00086423"/>
    <w:rsid w:val="000A0986"/>
    <w:rsid w:val="000A2CD7"/>
    <w:rsid w:val="000C168F"/>
    <w:rsid w:val="000C4FE4"/>
    <w:rsid w:val="000D0385"/>
    <w:rsid w:val="000D1F12"/>
    <w:rsid w:val="000D3BA9"/>
    <w:rsid w:val="000D7A1D"/>
    <w:rsid w:val="000E076C"/>
    <w:rsid w:val="000E3646"/>
    <w:rsid w:val="000E4A57"/>
    <w:rsid w:val="000E4B11"/>
    <w:rsid w:val="000E5A29"/>
    <w:rsid w:val="00101D55"/>
    <w:rsid w:val="00102F88"/>
    <w:rsid w:val="00103A0C"/>
    <w:rsid w:val="00106616"/>
    <w:rsid w:val="001104CE"/>
    <w:rsid w:val="001261AF"/>
    <w:rsid w:val="001371AF"/>
    <w:rsid w:val="0015755A"/>
    <w:rsid w:val="00163D68"/>
    <w:rsid w:val="00170031"/>
    <w:rsid w:val="001756BE"/>
    <w:rsid w:val="001863D2"/>
    <w:rsid w:val="0019449A"/>
    <w:rsid w:val="001A67F8"/>
    <w:rsid w:val="001B40C6"/>
    <w:rsid w:val="001C63A9"/>
    <w:rsid w:val="001C718E"/>
    <w:rsid w:val="001D5ADA"/>
    <w:rsid w:val="001D7214"/>
    <w:rsid w:val="001E34D0"/>
    <w:rsid w:val="001E5A69"/>
    <w:rsid w:val="001E7254"/>
    <w:rsid w:val="002153D4"/>
    <w:rsid w:val="002174FA"/>
    <w:rsid w:val="00220745"/>
    <w:rsid w:val="0022166A"/>
    <w:rsid w:val="002229A1"/>
    <w:rsid w:val="00227425"/>
    <w:rsid w:val="00242234"/>
    <w:rsid w:val="00253D7C"/>
    <w:rsid w:val="0025485F"/>
    <w:rsid w:val="0025773F"/>
    <w:rsid w:val="00261B24"/>
    <w:rsid w:val="002724F0"/>
    <w:rsid w:val="00273460"/>
    <w:rsid w:val="00280D41"/>
    <w:rsid w:val="002834C4"/>
    <w:rsid w:val="00284F8B"/>
    <w:rsid w:val="002A2471"/>
    <w:rsid w:val="002A52BC"/>
    <w:rsid w:val="002B28B4"/>
    <w:rsid w:val="002B2A67"/>
    <w:rsid w:val="002B639F"/>
    <w:rsid w:val="002C0DF0"/>
    <w:rsid w:val="002D3856"/>
    <w:rsid w:val="002D5773"/>
    <w:rsid w:val="002F6CAA"/>
    <w:rsid w:val="002F73A9"/>
    <w:rsid w:val="00301611"/>
    <w:rsid w:val="00313013"/>
    <w:rsid w:val="00321144"/>
    <w:rsid w:val="003232CF"/>
    <w:rsid w:val="003267C5"/>
    <w:rsid w:val="00332CCE"/>
    <w:rsid w:val="0033542A"/>
    <w:rsid w:val="00340DF5"/>
    <w:rsid w:val="00342057"/>
    <w:rsid w:val="00352899"/>
    <w:rsid w:val="00353063"/>
    <w:rsid w:val="00353A69"/>
    <w:rsid w:val="0036018A"/>
    <w:rsid w:val="00360418"/>
    <w:rsid w:val="003A1554"/>
    <w:rsid w:val="003B4995"/>
    <w:rsid w:val="003B6C28"/>
    <w:rsid w:val="003C07BA"/>
    <w:rsid w:val="003C2023"/>
    <w:rsid w:val="003D2139"/>
    <w:rsid w:val="003D4697"/>
    <w:rsid w:val="003D5D25"/>
    <w:rsid w:val="003E6E40"/>
    <w:rsid w:val="003F3B82"/>
    <w:rsid w:val="0040188D"/>
    <w:rsid w:val="004159B1"/>
    <w:rsid w:val="00425E34"/>
    <w:rsid w:val="004301BE"/>
    <w:rsid w:val="00436872"/>
    <w:rsid w:val="00447D57"/>
    <w:rsid w:val="0045099F"/>
    <w:rsid w:val="00455570"/>
    <w:rsid w:val="004734CB"/>
    <w:rsid w:val="00474C89"/>
    <w:rsid w:val="004926F5"/>
    <w:rsid w:val="00493960"/>
    <w:rsid w:val="004A1B8E"/>
    <w:rsid w:val="004B0A28"/>
    <w:rsid w:val="004B3F97"/>
    <w:rsid w:val="004B5C69"/>
    <w:rsid w:val="004C2C0D"/>
    <w:rsid w:val="004D2FDA"/>
    <w:rsid w:val="004D4E58"/>
    <w:rsid w:val="004F3947"/>
    <w:rsid w:val="004F6019"/>
    <w:rsid w:val="005013DF"/>
    <w:rsid w:val="00501606"/>
    <w:rsid w:val="00507627"/>
    <w:rsid w:val="00516E5E"/>
    <w:rsid w:val="00517ED6"/>
    <w:rsid w:val="00521CA7"/>
    <w:rsid w:val="00525D60"/>
    <w:rsid w:val="005349C5"/>
    <w:rsid w:val="005506E2"/>
    <w:rsid w:val="0055244C"/>
    <w:rsid w:val="00553714"/>
    <w:rsid w:val="00561ADB"/>
    <w:rsid w:val="00565DF5"/>
    <w:rsid w:val="00576FA6"/>
    <w:rsid w:val="0057740D"/>
    <w:rsid w:val="005972F0"/>
    <w:rsid w:val="005A01A5"/>
    <w:rsid w:val="005A13D2"/>
    <w:rsid w:val="005A3F11"/>
    <w:rsid w:val="005A5327"/>
    <w:rsid w:val="005B43F9"/>
    <w:rsid w:val="005D20E2"/>
    <w:rsid w:val="005E00D2"/>
    <w:rsid w:val="005F57F7"/>
    <w:rsid w:val="006267B1"/>
    <w:rsid w:val="00636949"/>
    <w:rsid w:val="00640AD9"/>
    <w:rsid w:val="00644E41"/>
    <w:rsid w:val="0065040F"/>
    <w:rsid w:val="00652A1C"/>
    <w:rsid w:val="00671953"/>
    <w:rsid w:val="00673C4C"/>
    <w:rsid w:val="00680D14"/>
    <w:rsid w:val="00680DC1"/>
    <w:rsid w:val="00690D8C"/>
    <w:rsid w:val="00695E41"/>
    <w:rsid w:val="006A6269"/>
    <w:rsid w:val="006B12E6"/>
    <w:rsid w:val="006B5471"/>
    <w:rsid w:val="006C51B1"/>
    <w:rsid w:val="006D1502"/>
    <w:rsid w:val="006D7268"/>
    <w:rsid w:val="006E217A"/>
    <w:rsid w:val="006E7D43"/>
    <w:rsid w:val="006F5B33"/>
    <w:rsid w:val="00700665"/>
    <w:rsid w:val="0070344C"/>
    <w:rsid w:val="007073D7"/>
    <w:rsid w:val="007077C4"/>
    <w:rsid w:val="007216BF"/>
    <w:rsid w:val="007250CC"/>
    <w:rsid w:val="00726006"/>
    <w:rsid w:val="00730CC6"/>
    <w:rsid w:val="007434B7"/>
    <w:rsid w:val="00745A67"/>
    <w:rsid w:val="007524C0"/>
    <w:rsid w:val="00761748"/>
    <w:rsid w:val="00761946"/>
    <w:rsid w:val="0076216E"/>
    <w:rsid w:val="0076550A"/>
    <w:rsid w:val="00774A97"/>
    <w:rsid w:val="00783164"/>
    <w:rsid w:val="007850DF"/>
    <w:rsid w:val="00793CD8"/>
    <w:rsid w:val="00794C3E"/>
    <w:rsid w:val="007A37B2"/>
    <w:rsid w:val="007A4FB0"/>
    <w:rsid w:val="007C4CF5"/>
    <w:rsid w:val="007C4F70"/>
    <w:rsid w:val="007D0530"/>
    <w:rsid w:val="007D0F66"/>
    <w:rsid w:val="007D1210"/>
    <w:rsid w:val="007E39A7"/>
    <w:rsid w:val="007E686D"/>
    <w:rsid w:val="00810957"/>
    <w:rsid w:val="00834C01"/>
    <w:rsid w:val="0083686D"/>
    <w:rsid w:val="00851C69"/>
    <w:rsid w:val="0085745D"/>
    <w:rsid w:val="008614E3"/>
    <w:rsid w:val="00863C75"/>
    <w:rsid w:val="008658D8"/>
    <w:rsid w:val="008671C8"/>
    <w:rsid w:val="00867B78"/>
    <w:rsid w:val="00873C23"/>
    <w:rsid w:val="00874256"/>
    <w:rsid w:val="0088211A"/>
    <w:rsid w:val="00884A55"/>
    <w:rsid w:val="00896BD5"/>
    <w:rsid w:val="008A7BB4"/>
    <w:rsid w:val="008C331C"/>
    <w:rsid w:val="008C4709"/>
    <w:rsid w:val="008C665F"/>
    <w:rsid w:val="008D2C52"/>
    <w:rsid w:val="008F22AA"/>
    <w:rsid w:val="00903DBE"/>
    <w:rsid w:val="00915B84"/>
    <w:rsid w:val="00917277"/>
    <w:rsid w:val="0092207D"/>
    <w:rsid w:val="009601BE"/>
    <w:rsid w:val="00962517"/>
    <w:rsid w:val="0096600C"/>
    <w:rsid w:val="00970D0B"/>
    <w:rsid w:val="0097283F"/>
    <w:rsid w:val="0097426F"/>
    <w:rsid w:val="00981D7D"/>
    <w:rsid w:val="00993519"/>
    <w:rsid w:val="0099380A"/>
    <w:rsid w:val="00995080"/>
    <w:rsid w:val="00996BCB"/>
    <w:rsid w:val="00996DD4"/>
    <w:rsid w:val="009C4E0F"/>
    <w:rsid w:val="009D4451"/>
    <w:rsid w:val="009E29C1"/>
    <w:rsid w:val="009E4865"/>
    <w:rsid w:val="00A069C5"/>
    <w:rsid w:val="00A103CB"/>
    <w:rsid w:val="00A221C0"/>
    <w:rsid w:val="00A25C44"/>
    <w:rsid w:val="00A26940"/>
    <w:rsid w:val="00A358AE"/>
    <w:rsid w:val="00A5663E"/>
    <w:rsid w:val="00A5715E"/>
    <w:rsid w:val="00A608C0"/>
    <w:rsid w:val="00A6206C"/>
    <w:rsid w:val="00A700CB"/>
    <w:rsid w:val="00A7427B"/>
    <w:rsid w:val="00A74A8E"/>
    <w:rsid w:val="00A76E1A"/>
    <w:rsid w:val="00A83AA4"/>
    <w:rsid w:val="00A85A79"/>
    <w:rsid w:val="00A91391"/>
    <w:rsid w:val="00A952AD"/>
    <w:rsid w:val="00AB168B"/>
    <w:rsid w:val="00AB2267"/>
    <w:rsid w:val="00AC134D"/>
    <w:rsid w:val="00AC3159"/>
    <w:rsid w:val="00AC3182"/>
    <w:rsid w:val="00AC346A"/>
    <w:rsid w:val="00AD4DD6"/>
    <w:rsid w:val="00AE33AB"/>
    <w:rsid w:val="00B00DDB"/>
    <w:rsid w:val="00B02B34"/>
    <w:rsid w:val="00B179A8"/>
    <w:rsid w:val="00B17F9B"/>
    <w:rsid w:val="00B27928"/>
    <w:rsid w:val="00B315F5"/>
    <w:rsid w:val="00B412BA"/>
    <w:rsid w:val="00B43ED1"/>
    <w:rsid w:val="00B5312F"/>
    <w:rsid w:val="00B61B09"/>
    <w:rsid w:val="00B71155"/>
    <w:rsid w:val="00B87BA2"/>
    <w:rsid w:val="00B938F6"/>
    <w:rsid w:val="00B97910"/>
    <w:rsid w:val="00BA68E5"/>
    <w:rsid w:val="00BB1C43"/>
    <w:rsid w:val="00BB67DF"/>
    <w:rsid w:val="00BC03DA"/>
    <w:rsid w:val="00BD6AD7"/>
    <w:rsid w:val="00BE0FB7"/>
    <w:rsid w:val="00BF132C"/>
    <w:rsid w:val="00BF5580"/>
    <w:rsid w:val="00C076B9"/>
    <w:rsid w:val="00C11431"/>
    <w:rsid w:val="00C15DCE"/>
    <w:rsid w:val="00C25309"/>
    <w:rsid w:val="00C25907"/>
    <w:rsid w:val="00C3448F"/>
    <w:rsid w:val="00C36481"/>
    <w:rsid w:val="00C50CF6"/>
    <w:rsid w:val="00C5258B"/>
    <w:rsid w:val="00C5309B"/>
    <w:rsid w:val="00C56387"/>
    <w:rsid w:val="00C5788A"/>
    <w:rsid w:val="00C6518C"/>
    <w:rsid w:val="00C74185"/>
    <w:rsid w:val="00CC2FDB"/>
    <w:rsid w:val="00CE1AE7"/>
    <w:rsid w:val="00CE1D28"/>
    <w:rsid w:val="00CF00C3"/>
    <w:rsid w:val="00CF1B1D"/>
    <w:rsid w:val="00CF3D13"/>
    <w:rsid w:val="00D01237"/>
    <w:rsid w:val="00D04C9B"/>
    <w:rsid w:val="00D10754"/>
    <w:rsid w:val="00D13794"/>
    <w:rsid w:val="00D23865"/>
    <w:rsid w:val="00D2576B"/>
    <w:rsid w:val="00D25AE0"/>
    <w:rsid w:val="00D310A9"/>
    <w:rsid w:val="00D5059B"/>
    <w:rsid w:val="00D572AE"/>
    <w:rsid w:val="00D67790"/>
    <w:rsid w:val="00D73E31"/>
    <w:rsid w:val="00D827EE"/>
    <w:rsid w:val="00DB1923"/>
    <w:rsid w:val="00DB47CF"/>
    <w:rsid w:val="00DC0208"/>
    <w:rsid w:val="00DD68DA"/>
    <w:rsid w:val="00DE1A6E"/>
    <w:rsid w:val="00E000BE"/>
    <w:rsid w:val="00E02917"/>
    <w:rsid w:val="00E11877"/>
    <w:rsid w:val="00E1578E"/>
    <w:rsid w:val="00E238D8"/>
    <w:rsid w:val="00E40B9E"/>
    <w:rsid w:val="00E42843"/>
    <w:rsid w:val="00E47C0E"/>
    <w:rsid w:val="00E51131"/>
    <w:rsid w:val="00E56A3F"/>
    <w:rsid w:val="00E663E4"/>
    <w:rsid w:val="00E73B8E"/>
    <w:rsid w:val="00E770D1"/>
    <w:rsid w:val="00E86621"/>
    <w:rsid w:val="00E9012E"/>
    <w:rsid w:val="00EB13B8"/>
    <w:rsid w:val="00EC57E4"/>
    <w:rsid w:val="00ED57A8"/>
    <w:rsid w:val="00EE01E6"/>
    <w:rsid w:val="00EF66B1"/>
    <w:rsid w:val="00F03FBA"/>
    <w:rsid w:val="00F0434E"/>
    <w:rsid w:val="00F14AAF"/>
    <w:rsid w:val="00F240F6"/>
    <w:rsid w:val="00F30EE3"/>
    <w:rsid w:val="00F34F40"/>
    <w:rsid w:val="00F62516"/>
    <w:rsid w:val="00F947E4"/>
    <w:rsid w:val="00FA4E40"/>
    <w:rsid w:val="00FA7D9B"/>
    <w:rsid w:val="00FB54AD"/>
    <w:rsid w:val="00FC0B95"/>
    <w:rsid w:val="00FD4A26"/>
    <w:rsid w:val="00FE7544"/>
    <w:rsid w:val="00FF116E"/>
    <w:rsid w:val="00FF23AB"/>
    <w:rsid w:val="00FF45E8"/>
    <w:rsid w:val="00FF7B0A"/>
    <w:rsid w:val="00FF7B12"/>
  </w:rsids>
  <m:mathPr>
    <m:mathFont m:val="Cambria Math"/>
    <m:brkBin m:val="before"/>
    <m:brkBinSub m:val="--"/>
    <m:smallFrac/>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DC297E"/>
  <w15:docId w15:val="{01604A3C-E331-4995-B504-C1AACB2E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44C"/>
    <w:pPr>
      <w:snapToGrid w:val="0"/>
      <w:spacing w:after="120" w:line="240" w:lineRule="auto"/>
    </w:pPr>
    <w:rPr>
      <w:rFonts w:ascii="Times New Roman" w:eastAsiaTheme="minorEastAsia" w:hAnsi="Times New Roman" w:cs="Times New Roman"/>
      <w:sz w:val="24"/>
      <w:lang w:val="en-US" w:eastAsia="en-CA"/>
    </w:rPr>
  </w:style>
  <w:style w:type="paragraph" w:styleId="Heading1">
    <w:name w:val="heading 1"/>
    <w:basedOn w:val="Normal"/>
    <w:next w:val="Normal"/>
    <w:link w:val="Heading1Char"/>
    <w:uiPriority w:val="9"/>
    <w:qFormat/>
    <w:rsid w:val="0033542A"/>
    <w:pPr>
      <w:keepNext/>
      <w:keepLines/>
      <w:spacing w:before="240" w:after="240"/>
      <w:outlineLvl w:val="0"/>
    </w:pPr>
    <w:rPr>
      <w:rFonts w:eastAsiaTheme="majorEastAsia"/>
      <w:smallCaps/>
      <w:color w:val="2E74B5" w:themeColor="accent1" w:themeShade="BF"/>
      <w:sz w:val="40"/>
      <w:szCs w:val="36"/>
    </w:rPr>
  </w:style>
  <w:style w:type="paragraph" w:styleId="Heading2">
    <w:name w:val="heading 2"/>
    <w:basedOn w:val="Normal"/>
    <w:next w:val="Normal"/>
    <w:link w:val="Heading2Char"/>
    <w:uiPriority w:val="9"/>
    <w:unhideWhenUsed/>
    <w:qFormat/>
    <w:rsid w:val="00B179A8"/>
    <w:pPr>
      <w:keepNext/>
      <w:keepLines/>
      <w:spacing w:before="240"/>
      <w:outlineLvl w:val="1"/>
    </w:pPr>
    <w:rPr>
      <w:rFonts w:eastAsiaTheme="majorEastAsia"/>
      <w:b/>
      <w:bCs/>
      <w:color w:val="00589A"/>
      <w:sz w:val="28"/>
      <w:szCs w:val="26"/>
      <w:lang w:val="en-GB" w:eastAsia="zh-CN"/>
    </w:rPr>
  </w:style>
  <w:style w:type="paragraph" w:styleId="Heading3">
    <w:name w:val="heading 3"/>
    <w:basedOn w:val="Normal"/>
    <w:next w:val="Normal"/>
    <w:link w:val="Heading3Char"/>
    <w:uiPriority w:val="9"/>
    <w:unhideWhenUsed/>
    <w:qFormat/>
    <w:rsid w:val="00DD68DA"/>
    <w:pPr>
      <w:keepNext/>
      <w:keepLines/>
      <w:spacing w:before="200" w:after="0"/>
      <w:outlineLvl w:val="2"/>
    </w:pPr>
    <w:rPr>
      <w:rFonts w:asciiTheme="majorBidi" w:eastAsiaTheme="majorEastAsia" w:hAnsiTheme="majorBidi" w:cstheme="majorBidi"/>
      <w:b/>
      <w:bCs/>
      <w:color w:val="2E74B5" w:themeColor="accent1" w:themeShade="B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42A"/>
    <w:rPr>
      <w:rFonts w:ascii="Times New Roman" w:eastAsiaTheme="majorEastAsia" w:hAnsi="Times New Roman" w:cs="Times New Roman"/>
      <w:smallCaps/>
      <w:color w:val="2E74B5" w:themeColor="accent1" w:themeShade="BF"/>
      <w:sz w:val="40"/>
      <w:szCs w:val="36"/>
      <w:lang w:val="en-US" w:eastAsia="en-CA"/>
    </w:rPr>
  </w:style>
  <w:style w:type="paragraph" w:styleId="FootnoteText">
    <w:name w:val="footnote text"/>
    <w:basedOn w:val="Normal"/>
    <w:link w:val="FootnoteTextChar"/>
    <w:uiPriority w:val="99"/>
    <w:unhideWhenUsed/>
    <w:rsid w:val="00B412BA"/>
    <w:pPr>
      <w:spacing w:after="0"/>
    </w:pPr>
    <w:rPr>
      <w:sz w:val="20"/>
      <w:szCs w:val="20"/>
    </w:rPr>
  </w:style>
  <w:style w:type="character" w:customStyle="1" w:styleId="FootnoteTextChar">
    <w:name w:val="Footnote Text Char"/>
    <w:basedOn w:val="DefaultParagraphFont"/>
    <w:link w:val="FootnoteText"/>
    <w:uiPriority w:val="99"/>
    <w:rsid w:val="00B412BA"/>
    <w:rPr>
      <w:rFonts w:eastAsiaTheme="minorEastAsia"/>
      <w:sz w:val="20"/>
      <w:szCs w:val="20"/>
      <w:lang w:val="en-CA" w:eastAsia="en-CA"/>
    </w:rPr>
  </w:style>
  <w:style w:type="character" w:styleId="FootnoteReference">
    <w:name w:val="footnote reference"/>
    <w:basedOn w:val="DefaultParagraphFont"/>
    <w:uiPriority w:val="99"/>
    <w:unhideWhenUsed/>
    <w:rsid w:val="00B412BA"/>
    <w:rPr>
      <w:vertAlign w:val="superscript"/>
    </w:rPr>
  </w:style>
  <w:style w:type="character" w:styleId="Hyperlink">
    <w:name w:val="Hyperlink"/>
    <w:basedOn w:val="DefaultParagraphFont"/>
    <w:uiPriority w:val="99"/>
    <w:unhideWhenUsed/>
    <w:rsid w:val="00B412BA"/>
    <w:rPr>
      <w:color w:val="0563C1" w:themeColor="hyperlink"/>
      <w:u w:val="single"/>
    </w:rPr>
  </w:style>
  <w:style w:type="paragraph" w:styleId="Header">
    <w:name w:val="header"/>
    <w:basedOn w:val="Normal"/>
    <w:link w:val="HeaderChar"/>
    <w:uiPriority w:val="99"/>
    <w:unhideWhenUsed/>
    <w:rsid w:val="00A358AE"/>
    <w:pPr>
      <w:tabs>
        <w:tab w:val="center" w:pos="4819"/>
        <w:tab w:val="right" w:pos="9638"/>
      </w:tabs>
      <w:spacing w:after="0"/>
    </w:pPr>
  </w:style>
  <w:style w:type="character" w:customStyle="1" w:styleId="HeaderChar">
    <w:name w:val="Header Char"/>
    <w:basedOn w:val="DefaultParagraphFont"/>
    <w:link w:val="Header"/>
    <w:uiPriority w:val="99"/>
    <w:rsid w:val="00A358AE"/>
    <w:rPr>
      <w:rFonts w:eastAsiaTheme="minorEastAsia"/>
      <w:lang w:val="en-CA" w:eastAsia="en-CA"/>
    </w:rPr>
  </w:style>
  <w:style w:type="paragraph" w:styleId="Footer">
    <w:name w:val="footer"/>
    <w:basedOn w:val="Normal"/>
    <w:link w:val="FooterChar"/>
    <w:uiPriority w:val="99"/>
    <w:unhideWhenUsed/>
    <w:rsid w:val="00A358AE"/>
    <w:pPr>
      <w:tabs>
        <w:tab w:val="center" w:pos="4819"/>
        <w:tab w:val="right" w:pos="9638"/>
      </w:tabs>
      <w:spacing w:after="0"/>
    </w:pPr>
  </w:style>
  <w:style w:type="character" w:customStyle="1" w:styleId="FooterChar">
    <w:name w:val="Footer Char"/>
    <w:basedOn w:val="DefaultParagraphFont"/>
    <w:link w:val="Footer"/>
    <w:uiPriority w:val="99"/>
    <w:rsid w:val="00A358AE"/>
    <w:rPr>
      <w:rFonts w:eastAsiaTheme="minorEastAsia"/>
      <w:lang w:val="en-CA" w:eastAsia="en-CA"/>
    </w:rPr>
  </w:style>
  <w:style w:type="character" w:styleId="FollowedHyperlink">
    <w:name w:val="FollowedHyperlink"/>
    <w:basedOn w:val="DefaultParagraphFont"/>
    <w:uiPriority w:val="99"/>
    <w:semiHidden/>
    <w:unhideWhenUsed/>
    <w:rsid w:val="00636949"/>
    <w:rPr>
      <w:color w:val="954F72" w:themeColor="followedHyperlink"/>
      <w:u w:val="single"/>
    </w:rPr>
  </w:style>
  <w:style w:type="paragraph" w:styleId="ListParagraph">
    <w:name w:val="List Paragraph"/>
    <w:basedOn w:val="Normal"/>
    <w:uiPriority w:val="34"/>
    <w:qFormat/>
    <w:rsid w:val="0092207D"/>
    <w:pPr>
      <w:numPr>
        <w:numId w:val="2"/>
      </w:numPr>
      <w:spacing w:after="40"/>
      <w:ind w:left="568" w:hanging="284"/>
    </w:pPr>
  </w:style>
  <w:style w:type="paragraph" w:styleId="DocumentMap">
    <w:name w:val="Document Map"/>
    <w:basedOn w:val="Normal"/>
    <w:link w:val="DocumentMapChar"/>
    <w:uiPriority w:val="99"/>
    <w:semiHidden/>
    <w:unhideWhenUsed/>
    <w:rsid w:val="001371AF"/>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371AF"/>
    <w:rPr>
      <w:rFonts w:ascii="Tahoma" w:eastAsiaTheme="minorEastAsia" w:hAnsi="Tahoma" w:cs="Tahoma"/>
      <w:sz w:val="16"/>
      <w:szCs w:val="16"/>
      <w:lang w:val="en-CA" w:eastAsia="en-CA"/>
    </w:rPr>
  </w:style>
  <w:style w:type="paragraph" w:styleId="BalloonText">
    <w:name w:val="Balloon Text"/>
    <w:basedOn w:val="Normal"/>
    <w:link w:val="BalloonTextChar"/>
    <w:uiPriority w:val="99"/>
    <w:semiHidden/>
    <w:unhideWhenUsed/>
    <w:rsid w:val="001371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1AF"/>
    <w:rPr>
      <w:rFonts w:ascii="Tahoma" w:eastAsiaTheme="minorEastAsia" w:hAnsi="Tahoma" w:cs="Tahoma"/>
      <w:sz w:val="16"/>
      <w:szCs w:val="16"/>
      <w:lang w:val="en-CA" w:eastAsia="en-CA"/>
    </w:rPr>
  </w:style>
  <w:style w:type="paragraph" w:customStyle="1" w:styleId="Default">
    <w:name w:val="Default"/>
    <w:rsid w:val="001371AF"/>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Char8">
    <w:name w:val="Char8"/>
    <w:rsid w:val="001371AF"/>
    <w:rPr>
      <w:rFonts w:ascii="Cambria" w:hAnsi="Cambria" w:cs="Arial"/>
      <w:b/>
      <w:color w:val="C00000"/>
      <w:sz w:val="36"/>
      <w:szCs w:val="36"/>
    </w:rPr>
  </w:style>
  <w:style w:type="character" w:customStyle="1" w:styleId="Heading2Char">
    <w:name w:val="Heading 2 Char"/>
    <w:basedOn w:val="DefaultParagraphFont"/>
    <w:link w:val="Heading2"/>
    <w:uiPriority w:val="9"/>
    <w:rsid w:val="00B179A8"/>
    <w:rPr>
      <w:rFonts w:ascii="Times New Roman" w:eastAsiaTheme="majorEastAsia" w:hAnsi="Times New Roman" w:cs="Times New Roman"/>
      <w:b/>
      <w:bCs/>
      <w:color w:val="00589A"/>
      <w:sz w:val="28"/>
      <w:szCs w:val="26"/>
      <w:lang w:val="en-GB" w:eastAsia="zh-CN"/>
    </w:rPr>
  </w:style>
  <w:style w:type="character" w:customStyle="1" w:styleId="Heading3Char">
    <w:name w:val="Heading 3 Char"/>
    <w:basedOn w:val="DefaultParagraphFont"/>
    <w:link w:val="Heading3"/>
    <w:uiPriority w:val="9"/>
    <w:rsid w:val="00DD68DA"/>
    <w:rPr>
      <w:rFonts w:asciiTheme="majorBidi" w:eastAsiaTheme="majorEastAsia" w:hAnsiTheme="majorBidi" w:cstheme="majorBidi"/>
      <w:b/>
      <w:bCs/>
      <w:color w:val="2E74B5" w:themeColor="accent1" w:themeShade="BF"/>
      <w:sz w:val="28"/>
      <w:szCs w:val="24"/>
      <w:lang w:val="en-US" w:eastAsia="en-CA"/>
    </w:rPr>
  </w:style>
  <w:style w:type="paragraph" w:styleId="NormalWeb">
    <w:name w:val="Normal (Web)"/>
    <w:basedOn w:val="Normal"/>
    <w:uiPriority w:val="99"/>
    <w:unhideWhenUsed/>
    <w:rsid w:val="001E34D0"/>
    <w:pPr>
      <w:spacing w:before="100" w:beforeAutospacing="1" w:after="100" w:afterAutospacing="1"/>
    </w:pPr>
    <w:rPr>
      <w:rFonts w:eastAsia="Times New Roman"/>
      <w:szCs w:val="24"/>
      <w:lang w:val="en-GB" w:eastAsia="zh-CN"/>
    </w:rPr>
  </w:style>
  <w:style w:type="character" w:styleId="Strong">
    <w:name w:val="Strong"/>
    <w:basedOn w:val="DefaultParagraphFont"/>
    <w:uiPriority w:val="22"/>
    <w:qFormat/>
    <w:rsid w:val="001E34D0"/>
    <w:rPr>
      <w:b/>
      <w:bCs/>
    </w:rPr>
  </w:style>
  <w:style w:type="paragraph" w:customStyle="1" w:styleId="Captions">
    <w:name w:val="Captions"/>
    <w:basedOn w:val="Normal"/>
    <w:qFormat/>
    <w:rsid w:val="00A221C0"/>
    <w:pPr>
      <w:spacing w:after="0"/>
      <w:ind w:left="284"/>
    </w:pPr>
    <w:rPr>
      <w:rFonts w:ascii="Arial" w:eastAsia="Times New Roman" w:hAnsi="Arial" w:cs="Arial"/>
      <w:i/>
      <w:sz w:val="18"/>
      <w:szCs w:val="18"/>
      <w:lang w:eastAsia="zh-CN"/>
    </w:rPr>
  </w:style>
  <w:style w:type="paragraph" w:customStyle="1" w:styleId="Boxtext">
    <w:name w:val="Box text"/>
    <w:basedOn w:val="Normal"/>
    <w:qFormat/>
    <w:rsid w:val="00A221C0"/>
    <w:pPr>
      <w:adjustRightInd w:val="0"/>
      <w:ind w:left="284" w:right="284"/>
    </w:pPr>
    <w:rPr>
      <w:rFonts w:ascii="Arial" w:eastAsia="Times New Roman" w:hAnsi="Arial"/>
      <w:sz w:val="18"/>
      <w:lang w:val="en-GB" w:eastAsia="en-US"/>
    </w:rPr>
  </w:style>
  <w:style w:type="paragraph" w:customStyle="1" w:styleId="BoxTitle">
    <w:name w:val="Box Title"/>
    <w:qFormat/>
    <w:rsid w:val="00A221C0"/>
    <w:pPr>
      <w:tabs>
        <w:tab w:val="left" w:pos="1134"/>
      </w:tabs>
      <w:spacing w:before="200" w:after="120" w:line="240" w:lineRule="auto"/>
      <w:ind w:left="1134" w:hanging="850"/>
    </w:pPr>
    <w:rPr>
      <w:rFonts w:ascii="Arial" w:eastAsia="Times New Roman" w:hAnsi="Arial" w:cs="Arial"/>
      <w:b/>
      <w:bCs/>
      <w:noProof/>
      <w:sz w:val="20"/>
      <w:szCs w:val="24"/>
      <w:lang w:val="en-GB"/>
    </w:rPr>
  </w:style>
  <w:style w:type="paragraph" w:customStyle="1" w:styleId="fffffoootttnnoo">
    <w:name w:val="fffffoootttnnoo"/>
    <w:basedOn w:val="FootnoteText"/>
    <w:qFormat/>
    <w:rsid w:val="001D5ADA"/>
    <w:rPr>
      <w:sz w:val="18"/>
      <w:szCs w:val="18"/>
    </w:rPr>
  </w:style>
  <w:style w:type="paragraph" w:styleId="BodyText">
    <w:name w:val="Body Text"/>
    <w:basedOn w:val="Normal"/>
    <w:link w:val="BodyTextChar"/>
    <w:rsid w:val="004B0A28"/>
    <w:pPr>
      <w:widowControl w:val="0"/>
      <w:suppressAutoHyphens/>
      <w:snapToGrid/>
    </w:pPr>
    <w:rPr>
      <w:rFonts w:eastAsia="SimSun" w:cs="Arial"/>
      <w:kern w:val="1"/>
      <w:szCs w:val="24"/>
      <w:lang w:val="it-IT" w:eastAsia="hi-IN" w:bidi="hi-IN"/>
    </w:rPr>
  </w:style>
  <w:style w:type="character" w:customStyle="1" w:styleId="BodyTextChar">
    <w:name w:val="Body Text Char"/>
    <w:basedOn w:val="DefaultParagraphFont"/>
    <w:link w:val="BodyText"/>
    <w:rsid w:val="004B0A28"/>
    <w:rPr>
      <w:rFonts w:ascii="Times New Roman" w:eastAsia="SimSun" w:hAnsi="Times New Roman" w:cs="Arial"/>
      <w:kern w:val="1"/>
      <w:sz w:val="24"/>
      <w:szCs w:val="24"/>
      <w:lang w:eastAsia="hi-IN" w:bidi="hi-IN"/>
    </w:rPr>
  </w:style>
  <w:style w:type="paragraph" w:styleId="TOCHeading">
    <w:name w:val="TOC Heading"/>
    <w:basedOn w:val="Heading1"/>
    <w:next w:val="Normal"/>
    <w:uiPriority w:val="39"/>
    <w:unhideWhenUsed/>
    <w:qFormat/>
    <w:rsid w:val="004F3947"/>
    <w:pPr>
      <w:snapToGrid/>
      <w:spacing w:after="0" w:line="259" w:lineRule="auto"/>
      <w:outlineLvl w:val="9"/>
    </w:pPr>
    <w:rPr>
      <w:rFonts w:asciiTheme="majorHAnsi" w:hAnsiTheme="majorHAnsi" w:cstheme="majorBidi"/>
      <w:sz w:val="32"/>
      <w:lang w:eastAsia="en-US"/>
    </w:rPr>
  </w:style>
  <w:style w:type="paragraph" w:styleId="TOC1">
    <w:name w:val="toc 1"/>
    <w:basedOn w:val="Normal"/>
    <w:next w:val="Normal"/>
    <w:autoRedefine/>
    <w:uiPriority w:val="39"/>
    <w:unhideWhenUsed/>
    <w:rsid w:val="0092207D"/>
    <w:pPr>
      <w:tabs>
        <w:tab w:val="right" w:leader="dot" w:pos="9628"/>
      </w:tabs>
      <w:spacing w:after="100"/>
    </w:pPr>
    <w:rPr>
      <w:b/>
      <w:bCs/>
      <w:noProof/>
    </w:rPr>
  </w:style>
  <w:style w:type="paragraph" w:styleId="TOC2">
    <w:name w:val="toc 2"/>
    <w:basedOn w:val="Normal"/>
    <w:next w:val="Normal"/>
    <w:autoRedefine/>
    <w:uiPriority w:val="39"/>
    <w:unhideWhenUsed/>
    <w:rsid w:val="004F3947"/>
    <w:pPr>
      <w:spacing w:after="100"/>
      <w:ind w:left="240"/>
    </w:pPr>
  </w:style>
  <w:style w:type="paragraph" w:styleId="Caption">
    <w:name w:val="caption"/>
    <w:basedOn w:val="Normal"/>
    <w:next w:val="Normal"/>
    <w:uiPriority w:val="35"/>
    <w:semiHidden/>
    <w:unhideWhenUsed/>
    <w:qFormat/>
    <w:rsid w:val="00102F88"/>
    <w:pPr>
      <w:snapToGrid/>
      <w:spacing w:after="200"/>
    </w:pPr>
    <w:rPr>
      <w:rFonts w:asciiTheme="minorHAnsi" w:eastAsiaTheme="minorHAnsi" w:hAnsiTheme="minorHAnsi" w:cstheme="minorBidi"/>
      <w:i/>
      <w:iCs/>
      <w:color w:val="44546A" w:themeColor="text2"/>
      <w:sz w:val="18"/>
      <w:szCs w:val="18"/>
      <w:lang w:val="en-GB" w:eastAsia="en-US"/>
    </w:rPr>
  </w:style>
  <w:style w:type="paragraph" w:customStyle="1" w:styleId="listparaintro">
    <w:name w:val="list para intro"/>
    <w:basedOn w:val="ListParagraph"/>
    <w:qFormat/>
    <w:rsid w:val="0092207D"/>
    <w:pPr>
      <w:numPr>
        <w:numId w:val="1"/>
      </w:numPr>
      <w:spacing w:after="0" w:line="276" w:lineRule="auto"/>
    </w:pPr>
    <w:rPr>
      <w:i/>
      <w:sz w:val="22"/>
    </w:rPr>
  </w:style>
  <w:style w:type="character" w:customStyle="1" w:styleId="gi">
    <w:name w:val="gi"/>
    <w:basedOn w:val="DefaultParagraphFont"/>
    <w:rsid w:val="00332CCE"/>
  </w:style>
  <w:style w:type="paragraph" w:customStyle="1" w:styleId="BULLL">
    <w:name w:val="BULLL"/>
    <w:basedOn w:val="ListParagraph"/>
    <w:qFormat/>
    <w:rsid w:val="00E40B9E"/>
    <w:pPr>
      <w:numPr>
        <w:numId w:val="4"/>
      </w:numPr>
    </w:pPr>
  </w:style>
  <w:style w:type="paragraph" w:styleId="CommentText">
    <w:name w:val="annotation text"/>
    <w:basedOn w:val="Normal"/>
    <w:link w:val="CommentTextChar"/>
    <w:uiPriority w:val="99"/>
    <w:semiHidden/>
    <w:unhideWhenUsed/>
    <w:rsid w:val="00340DF5"/>
    <w:rPr>
      <w:sz w:val="20"/>
      <w:szCs w:val="20"/>
    </w:rPr>
  </w:style>
  <w:style w:type="character" w:customStyle="1" w:styleId="CommentTextChar">
    <w:name w:val="Comment Text Char"/>
    <w:basedOn w:val="DefaultParagraphFont"/>
    <w:link w:val="CommentText"/>
    <w:uiPriority w:val="99"/>
    <w:semiHidden/>
    <w:rsid w:val="00340DF5"/>
    <w:rPr>
      <w:rFonts w:ascii="Times New Roman" w:eastAsiaTheme="minorEastAsia" w:hAnsi="Times New Roman" w:cs="Times New Roman"/>
      <w:sz w:val="20"/>
      <w:szCs w:val="20"/>
      <w:lang w:val="en-US" w:eastAsia="en-CA"/>
    </w:rPr>
  </w:style>
  <w:style w:type="character" w:styleId="CommentReference">
    <w:name w:val="annotation reference"/>
    <w:basedOn w:val="DefaultParagraphFont"/>
    <w:uiPriority w:val="99"/>
    <w:semiHidden/>
    <w:unhideWhenUsed/>
    <w:rsid w:val="00340DF5"/>
    <w:rPr>
      <w:sz w:val="16"/>
      <w:szCs w:val="16"/>
    </w:rPr>
  </w:style>
  <w:style w:type="paragraph" w:styleId="TOC3">
    <w:name w:val="toc 3"/>
    <w:basedOn w:val="Normal"/>
    <w:next w:val="Normal"/>
    <w:autoRedefine/>
    <w:uiPriority w:val="39"/>
    <w:unhideWhenUsed/>
    <w:rsid w:val="00BB67DF"/>
    <w:pPr>
      <w:spacing w:after="100"/>
      <w:ind w:left="480"/>
    </w:pPr>
  </w:style>
  <w:style w:type="paragraph" w:styleId="CommentSubject">
    <w:name w:val="annotation subject"/>
    <w:basedOn w:val="CommentText"/>
    <w:next w:val="CommentText"/>
    <w:link w:val="CommentSubjectChar"/>
    <w:uiPriority w:val="99"/>
    <w:semiHidden/>
    <w:unhideWhenUsed/>
    <w:rsid w:val="001C718E"/>
    <w:rPr>
      <w:b/>
      <w:bCs/>
    </w:rPr>
  </w:style>
  <w:style w:type="character" w:customStyle="1" w:styleId="CommentSubjectChar">
    <w:name w:val="Comment Subject Char"/>
    <w:basedOn w:val="CommentTextChar"/>
    <w:link w:val="CommentSubject"/>
    <w:uiPriority w:val="99"/>
    <w:semiHidden/>
    <w:rsid w:val="001C718E"/>
    <w:rPr>
      <w:rFonts w:ascii="Times New Roman" w:eastAsiaTheme="minorEastAsia" w:hAnsi="Times New Roman" w:cs="Times New Roman"/>
      <w:b/>
      <w:bCs/>
      <w:sz w:val="20"/>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40725">
      <w:bodyDiv w:val="1"/>
      <w:marLeft w:val="0"/>
      <w:marRight w:val="0"/>
      <w:marTop w:val="0"/>
      <w:marBottom w:val="0"/>
      <w:divBdr>
        <w:top w:val="none" w:sz="0" w:space="0" w:color="auto"/>
        <w:left w:val="none" w:sz="0" w:space="0" w:color="auto"/>
        <w:bottom w:val="none" w:sz="0" w:space="0" w:color="auto"/>
        <w:right w:val="none" w:sz="0" w:space="0" w:color="auto"/>
      </w:divBdr>
      <w:divsChild>
        <w:div w:id="348527565">
          <w:marLeft w:val="0"/>
          <w:marRight w:val="0"/>
          <w:marTop w:val="0"/>
          <w:marBottom w:val="0"/>
          <w:divBdr>
            <w:top w:val="none" w:sz="0" w:space="0" w:color="auto"/>
            <w:left w:val="none" w:sz="0" w:space="0" w:color="auto"/>
            <w:bottom w:val="none" w:sz="0" w:space="0" w:color="auto"/>
            <w:right w:val="none" w:sz="0" w:space="0" w:color="auto"/>
          </w:divBdr>
          <w:divsChild>
            <w:div w:id="19610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1782">
      <w:bodyDiv w:val="1"/>
      <w:marLeft w:val="0"/>
      <w:marRight w:val="0"/>
      <w:marTop w:val="0"/>
      <w:marBottom w:val="0"/>
      <w:divBdr>
        <w:top w:val="none" w:sz="0" w:space="0" w:color="auto"/>
        <w:left w:val="none" w:sz="0" w:space="0" w:color="auto"/>
        <w:bottom w:val="none" w:sz="0" w:space="0" w:color="auto"/>
        <w:right w:val="none" w:sz="0" w:space="0" w:color="auto"/>
      </w:divBdr>
    </w:div>
    <w:div w:id="424545843">
      <w:bodyDiv w:val="1"/>
      <w:marLeft w:val="0"/>
      <w:marRight w:val="0"/>
      <w:marTop w:val="0"/>
      <w:marBottom w:val="0"/>
      <w:divBdr>
        <w:top w:val="none" w:sz="0" w:space="0" w:color="auto"/>
        <w:left w:val="none" w:sz="0" w:space="0" w:color="auto"/>
        <w:bottom w:val="none" w:sz="0" w:space="0" w:color="auto"/>
        <w:right w:val="none" w:sz="0" w:space="0" w:color="auto"/>
      </w:divBdr>
    </w:div>
    <w:div w:id="894004045">
      <w:bodyDiv w:val="1"/>
      <w:marLeft w:val="0"/>
      <w:marRight w:val="0"/>
      <w:marTop w:val="0"/>
      <w:marBottom w:val="0"/>
      <w:divBdr>
        <w:top w:val="none" w:sz="0" w:space="0" w:color="auto"/>
        <w:left w:val="none" w:sz="0" w:space="0" w:color="auto"/>
        <w:bottom w:val="none" w:sz="0" w:space="0" w:color="auto"/>
        <w:right w:val="none" w:sz="0" w:space="0" w:color="auto"/>
      </w:divBdr>
    </w:div>
    <w:div w:id="907306417">
      <w:bodyDiv w:val="1"/>
      <w:marLeft w:val="0"/>
      <w:marRight w:val="0"/>
      <w:marTop w:val="0"/>
      <w:marBottom w:val="0"/>
      <w:divBdr>
        <w:top w:val="none" w:sz="0" w:space="0" w:color="auto"/>
        <w:left w:val="none" w:sz="0" w:space="0" w:color="auto"/>
        <w:bottom w:val="none" w:sz="0" w:space="0" w:color="auto"/>
        <w:right w:val="none" w:sz="0" w:space="0" w:color="auto"/>
      </w:divBdr>
    </w:div>
    <w:div w:id="1002049699">
      <w:bodyDiv w:val="1"/>
      <w:marLeft w:val="0"/>
      <w:marRight w:val="0"/>
      <w:marTop w:val="0"/>
      <w:marBottom w:val="0"/>
      <w:divBdr>
        <w:top w:val="none" w:sz="0" w:space="0" w:color="auto"/>
        <w:left w:val="none" w:sz="0" w:space="0" w:color="auto"/>
        <w:bottom w:val="none" w:sz="0" w:space="0" w:color="auto"/>
        <w:right w:val="none" w:sz="0" w:space="0" w:color="auto"/>
      </w:divBdr>
    </w:div>
    <w:div w:id="1673336537">
      <w:bodyDiv w:val="1"/>
      <w:marLeft w:val="0"/>
      <w:marRight w:val="0"/>
      <w:marTop w:val="0"/>
      <w:marBottom w:val="0"/>
      <w:divBdr>
        <w:top w:val="none" w:sz="0" w:space="0" w:color="auto"/>
        <w:left w:val="none" w:sz="0" w:space="0" w:color="auto"/>
        <w:bottom w:val="none" w:sz="0" w:space="0" w:color="auto"/>
        <w:right w:val="none" w:sz="0" w:space="0" w:color="auto"/>
      </w:divBdr>
    </w:div>
    <w:div w:id="1903711110">
      <w:bodyDiv w:val="1"/>
      <w:marLeft w:val="0"/>
      <w:marRight w:val="0"/>
      <w:marTop w:val="0"/>
      <w:marBottom w:val="0"/>
      <w:divBdr>
        <w:top w:val="none" w:sz="0" w:space="0" w:color="auto"/>
        <w:left w:val="none" w:sz="0" w:space="0" w:color="auto"/>
        <w:bottom w:val="none" w:sz="0" w:space="0" w:color="auto"/>
        <w:right w:val="none" w:sz="0" w:space="0" w:color="auto"/>
      </w:divBdr>
    </w:div>
    <w:div w:id="1958679104">
      <w:bodyDiv w:val="1"/>
      <w:marLeft w:val="0"/>
      <w:marRight w:val="0"/>
      <w:marTop w:val="0"/>
      <w:marBottom w:val="0"/>
      <w:divBdr>
        <w:top w:val="none" w:sz="0" w:space="0" w:color="auto"/>
        <w:left w:val="none" w:sz="0" w:space="0" w:color="auto"/>
        <w:bottom w:val="none" w:sz="0" w:space="0" w:color="auto"/>
        <w:right w:val="none" w:sz="0" w:space="0" w:color="auto"/>
      </w:divBdr>
    </w:div>
    <w:div w:id="2008053887">
      <w:bodyDiv w:val="1"/>
      <w:marLeft w:val="0"/>
      <w:marRight w:val="0"/>
      <w:marTop w:val="0"/>
      <w:marBottom w:val="0"/>
      <w:divBdr>
        <w:top w:val="none" w:sz="0" w:space="0" w:color="auto"/>
        <w:left w:val="none" w:sz="0" w:space="0" w:color="auto"/>
        <w:bottom w:val="none" w:sz="0" w:space="0" w:color="auto"/>
        <w:right w:val="none" w:sz="0" w:space="0" w:color="auto"/>
      </w:divBdr>
    </w:div>
    <w:div w:id="209662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drive.google.com/open?id=0B505XdMhP-14WlM0MVJ6Vjd1MDA" TargetMode="External"/><Relationship Id="rId13" Type="http://schemas.openxmlformats.org/officeDocument/2006/relationships/hyperlink" Target="http://www.fao.org/cfs/cfs-home/en/" TargetMode="External"/><Relationship Id="rId18" Type="http://schemas.openxmlformats.org/officeDocument/2006/relationships/hyperlink" Target="http://www.minagri.gov.rw/index.php?id=28" TargetMode="External"/><Relationship Id="rId3" Type="http://schemas.openxmlformats.org/officeDocument/2006/relationships/hyperlink" Target="http://www.fao.org/3/a-at607e.pdf" TargetMode="External"/><Relationship Id="rId21" Type="http://schemas.openxmlformats.org/officeDocument/2006/relationships/hyperlink" Target="http://apps.who.int/iris/bitstream/10665/94384/1/9789241506236_eng.pdf" TargetMode="External"/><Relationship Id="rId7" Type="http://schemas.openxmlformats.org/officeDocument/2006/relationships/hyperlink" Target="https://drive.google.com/open?id=0B505XdMhP-14eUZJVU5RS09qeW8" TargetMode="External"/><Relationship Id="rId12" Type="http://schemas.openxmlformats.org/officeDocument/2006/relationships/hyperlink" Target="http://www.fao.org/cfs/cfs-home/activities/gsf/en/" TargetMode="External"/><Relationship Id="rId17" Type="http://schemas.openxmlformats.org/officeDocument/2006/relationships/hyperlink" Target="http://www.nfnc.org.zm/sites/default/files/downloads/NFNC_Nutrition_Report_2008.pdf" TargetMode="External"/><Relationship Id="rId2" Type="http://schemas.openxmlformats.org/officeDocument/2006/relationships/hyperlink" Target="http://www.fao.org/3/a-mm215e.pdf" TargetMode="External"/><Relationship Id="rId16" Type="http://schemas.openxmlformats.org/officeDocument/2006/relationships/hyperlink" Target="http://www.fao.org/docrep/w2840e/w2840e03.htm" TargetMode="External"/><Relationship Id="rId20" Type="http://schemas.openxmlformats.org/officeDocument/2006/relationships/hyperlink" Target="http://www.who.int/mediacentre/news/notes/2014/consultation-sugar-guideline/en/" TargetMode="External"/><Relationship Id="rId1" Type="http://schemas.openxmlformats.org/officeDocument/2006/relationships/hyperlink" Target="http://www.fao.org/3/a-ml542e.pdf" TargetMode="External"/><Relationship Id="rId6" Type="http://schemas.openxmlformats.org/officeDocument/2006/relationships/hyperlink" Target="https://drive.google.com/open?id=0B505XdMhP-14TEZHSWlYQ1BPY1E" TargetMode="External"/><Relationship Id="rId11" Type="http://schemas.openxmlformats.org/officeDocument/2006/relationships/hyperlink" Target="http://www.imf.org/external/pubs/ft/weo/2015/01/weodata/groups.htm" TargetMode="External"/><Relationship Id="rId5" Type="http://schemas.openxmlformats.org/officeDocument/2006/relationships/hyperlink" Target="http://www.fao.org/fsnforum/" TargetMode="External"/><Relationship Id="rId15" Type="http://schemas.openxmlformats.org/officeDocument/2006/relationships/hyperlink" Target="http://www.ebek-rdcd.gov.bd/" TargetMode="External"/><Relationship Id="rId23" Type="http://schemas.openxmlformats.org/officeDocument/2006/relationships/hyperlink" Target="http://www.fao.org/fsnforum/sites/default/files/files/107_ICN2-FFA/PROCEEDINGS_EN_ICN2_FFA.docx" TargetMode="External"/><Relationship Id="rId10" Type="http://schemas.openxmlformats.org/officeDocument/2006/relationships/hyperlink" Target="https://drive.google.com/open?id=1ylMFhS-KSqMd3IAwrxhPeBTmPVtuZAEiHrS7sC36e_g" TargetMode="External"/><Relationship Id="rId19" Type="http://schemas.openxmlformats.org/officeDocument/2006/relationships/hyperlink" Target="http://rwandapedia.rw/explore/girinka" TargetMode="External"/><Relationship Id="rId4" Type="http://schemas.openxmlformats.org/officeDocument/2006/relationships/hyperlink" Target="http://www.fao.org/fsnforum/home" TargetMode="External"/><Relationship Id="rId9" Type="http://schemas.openxmlformats.org/officeDocument/2006/relationships/hyperlink" Target="https://drive.google.com/open?id=0B505XdMhP-14a0lvS3ZZZTJtWnM" TargetMode="External"/><Relationship Id="rId14" Type="http://schemas.openxmlformats.org/officeDocument/2006/relationships/hyperlink" Target="http://unscn.org/files/Agriculture-Nutrition-CoP/Agriculture-Nutrition_Key_recommendations.pdf" TargetMode="External"/><Relationship Id="rId22" Type="http://schemas.openxmlformats.org/officeDocument/2006/relationships/hyperlink" Target="http://www.fao.org/hunger/glossary/en/"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cinzia.monetta\Google%20Drive\HDFS%202015-2016\Food%20Security\Global%20Forum%20FSN%20-%20comments%20collection\Matrices\stats_matrix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cinzia.monetta\Google%20Drive\HDFS%202015-2016\Food%20Security\Global%20Forum%20FSN%20-%20comments%20collection\Matrices\stats_matrix2.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GB" sz="1100">
                <a:solidFill>
                  <a:sysClr val="windowText" lastClr="000000"/>
                </a:solidFill>
              </a:rPr>
              <a:t>Type of discussion by type of institution</a:t>
            </a:r>
          </a:p>
        </c:rich>
      </c:tx>
      <c:layout/>
      <c:overlay val="0"/>
      <c:spPr>
        <a:noFill/>
        <a:ln>
          <a:noFill/>
        </a:ln>
        <a:effectLst/>
      </c:spPr>
    </c:title>
    <c:autoTitleDeleted val="0"/>
    <c:plotArea>
      <c:layout/>
      <c:barChart>
        <c:barDir val="col"/>
        <c:grouping val="clustered"/>
        <c:varyColors val="0"/>
        <c:ser>
          <c:idx val="0"/>
          <c:order val="0"/>
          <c:tx>
            <c:strRef>
              <c:f>Summary_new!$A$32</c:f>
              <c:strCache>
                <c:ptCount val="1"/>
                <c:pt idx="0">
                  <c:v>Technical</c:v>
                </c:pt>
              </c:strCache>
            </c:strRef>
          </c:tx>
          <c:spPr>
            <a:solidFill>
              <a:schemeClr val="accent1"/>
            </a:solidFill>
            <a:ln w="19050">
              <a:solidFill>
                <a:schemeClr val="lt1"/>
              </a:solidFill>
            </a:ln>
            <a:effectLst/>
          </c:spPr>
          <c:invertIfNegative val="0"/>
          <c:dLbls>
            <c:dLbl>
              <c:idx val="0"/>
              <c:layout/>
              <c:tx>
                <c:rich>
                  <a:bodyPr/>
                  <a:lstStyle/>
                  <a:p>
                    <a:fld id="{FF623D3A-124C-42E7-BB9C-9E146FF88C11}" type="CELLRANGE">
                      <a:rPr lang="en-US"/>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1"/>
              <c:layout/>
              <c:tx>
                <c:rich>
                  <a:bodyPr/>
                  <a:lstStyle/>
                  <a:p>
                    <a:fld id="{732D7156-CC94-4180-B74C-30CC153E4C35}"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2"/>
              <c:layout/>
              <c:tx>
                <c:rich>
                  <a:bodyPr/>
                  <a:lstStyle/>
                  <a:p>
                    <a:fld id="{3DFD593D-C386-4BA1-9B99-9C84B1BF3C93}"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3"/>
              <c:layout/>
              <c:tx>
                <c:rich>
                  <a:bodyPr/>
                  <a:lstStyle/>
                  <a:p>
                    <a:fld id="{57DA2BE1-F942-4128-A05A-4A8A2E831D2C}"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4"/>
              <c:layout/>
              <c:tx>
                <c:rich>
                  <a:bodyPr/>
                  <a:lstStyle/>
                  <a:p>
                    <a:fld id="{C0D802AD-6B1E-43BB-AE51-32358AEE44CE}"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spPr>
              <a:noFill/>
              <a:ln>
                <a:noFill/>
              </a:ln>
              <a:effectLst/>
            </c:sp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Summary_new!$B$31:$F$31</c:f>
              <c:strCache>
                <c:ptCount val="5"/>
                <c:pt idx="0">
                  <c:v>Civil Society / NGOs</c:v>
                </c:pt>
                <c:pt idx="1">
                  <c:v>GVT / Int Org</c:v>
                </c:pt>
                <c:pt idx="2">
                  <c:v>Private Sector</c:v>
                </c:pt>
                <c:pt idx="3">
                  <c:v>Research Institute / University</c:v>
                </c:pt>
                <c:pt idx="4">
                  <c:v>Other</c:v>
                </c:pt>
              </c:strCache>
            </c:strRef>
          </c:cat>
          <c:val>
            <c:numRef>
              <c:f>Summary_new!$B$32:$F$32</c:f>
              <c:numCache>
                <c:formatCode>General</c:formatCode>
                <c:ptCount val="5"/>
                <c:pt idx="0">
                  <c:v>36</c:v>
                </c:pt>
                <c:pt idx="1">
                  <c:v>30</c:v>
                </c:pt>
                <c:pt idx="2">
                  <c:v>11</c:v>
                </c:pt>
                <c:pt idx="3" formatCode="0">
                  <c:v>27</c:v>
                </c:pt>
                <c:pt idx="4">
                  <c:v>27</c:v>
                </c:pt>
              </c:numCache>
            </c:numRef>
          </c:val>
          <c:extLst>
            <c:ext xmlns:c15="http://schemas.microsoft.com/office/drawing/2012/chart" uri="{02D57815-91ED-43cb-92C2-25804820EDAC}">
              <c15:datalabelsRange>
                <c15:f>Summary_new!$B$36:$F$36</c15:f>
                <c15:dlblRangeCache>
                  <c:ptCount val="5"/>
                  <c:pt idx="0">
                    <c:v>15%</c:v>
                  </c:pt>
                  <c:pt idx="1">
                    <c:v>12%</c:v>
                  </c:pt>
                  <c:pt idx="2">
                    <c:v>5%</c:v>
                  </c:pt>
                  <c:pt idx="3">
                    <c:v>11%</c:v>
                  </c:pt>
                  <c:pt idx="4">
                    <c:v>11%</c:v>
                  </c:pt>
                </c15:dlblRangeCache>
              </c15:datalabelsRange>
            </c:ext>
          </c:extLst>
        </c:ser>
        <c:ser>
          <c:idx val="1"/>
          <c:order val="1"/>
          <c:tx>
            <c:strRef>
              <c:f>Summary_new!$A$33</c:f>
              <c:strCache>
                <c:ptCount val="1"/>
                <c:pt idx="0">
                  <c:v>Political</c:v>
                </c:pt>
              </c:strCache>
            </c:strRef>
          </c:tx>
          <c:spPr>
            <a:solidFill>
              <a:schemeClr val="accent2"/>
            </a:solidFill>
            <a:ln w="19050">
              <a:solidFill>
                <a:schemeClr val="lt1"/>
              </a:solidFill>
            </a:ln>
            <a:effectLst/>
          </c:spPr>
          <c:invertIfNegative val="0"/>
          <c:dLbls>
            <c:dLbl>
              <c:idx val="0"/>
              <c:layout/>
              <c:tx>
                <c:rich>
                  <a:bodyPr/>
                  <a:lstStyle/>
                  <a:p>
                    <a:fld id="{051840C8-D1FC-49A8-98EA-82097A268F7A}" type="CELLRANGE">
                      <a:rPr lang="en-US"/>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1"/>
              <c:layout/>
              <c:tx>
                <c:rich>
                  <a:bodyPr/>
                  <a:lstStyle/>
                  <a:p>
                    <a:fld id="{89447498-83F4-43D2-B775-9AA07E89FD17}"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2"/>
              <c:layout/>
              <c:tx>
                <c:rich>
                  <a:bodyPr/>
                  <a:lstStyle/>
                  <a:p>
                    <a:fld id="{C663DDB1-D027-4BC7-9EBD-EE66F43F182F}"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3"/>
              <c:layout/>
              <c:tx>
                <c:rich>
                  <a:bodyPr/>
                  <a:lstStyle/>
                  <a:p>
                    <a:fld id="{39AED6BD-5331-479D-B8DC-C294B1943696}"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4"/>
              <c:layout/>
              <c:tx>
                <c:rich>
                  <a:bodyPr/>
                  <a:lstStyle/>
                  <a:p>
                    <a:fld id="{2DB1476A-3E35-4DF5-829C-1EC5D1369D20}"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spPr>
              <a:noFill/>
              <a:ln>
                <a:noFill/>
              </a:ln>
              <a:effectLst/>
            </c:sp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Summary_new!$B$31:$F$31</c:f>
              <c:strCache>
                <c:ptCount val="5"/>
                <c:pt idx="0">
                  <c:v>Civil Society / NGOs</c:v>
                </c:pt>
                <c:pt idx="1">
                  <c:v>GVT / Int Org</c:v>
                </c:pt>
                <c:pt idx="2">
                  <c:v>Private Sector</c:v>
                </c:pt>
                <c:pt idx="3">
                  <c:v>Research Institute / University</c:v>
                </c:pt>
                <c:pt idx="4">
                  <c:v>Other</c:v>
                </c:pt>
              </c:strCache>
            </c:strRef>
          </c:cat>
          <c:val>
            <c:numRef>
              <c:f>Summary_new!$B$33:$F$33</c:f>
              <c:numCache>
                <c:formatCode>General</c:formatCode>
                <c:ptCount val="5"/>
                <c:pt idx="0">
                  <c:v>31</c:v>
                </c:pt>
                <c:pt idx="1">
                  <c:v>36</c:v>
                </c:pt>
                <c:pt idx="2">
                  <c:v>13</c:v>
                </c:pt>
                <c:pt idx="3">
                  <c:v>30</c:v>
                </c:pt>
                <c:pt idx="4">
                  <c:v>3</c:v>
                </c:pt>
              </c:numCache>
            </c:numRef>
          </c:val>
          <c:extLst>
            <c:ext xmlns:c15="http://schemas.microsoft.com/office/drawing/2012/chart" uri="{02D57815-91ED-43cb-92C2-25804820EDAC}">
              <c15:datalabelsRange>
                <c15:f>Summary_new!$B$37:$F$37</c15:f>
                <c15:dlblRangeCache>
                  <c:ptCount val="5"/>
                  <c:pt idx="0">
                    <c:v>13%</c:v>
                  </c:pt>
                  <c:pt idx="1">
                    <c:v>15%</c:v>
                  </c:pt>
                  <c:pt idx="2">
                    <c:v>5%</c:v>
                  </c:pt>
                  <c:pt idx="3">
                    <c:v>12%</c:v>
                  </c:pt>
                  <c:pt idx="4">
                    <c:v>1%</c:v>
                  </c:pt>
                </c15:dlblRangeCache>
              </c15:datalabelsRange>
            </c:ext>
          </c:extLst>
        </c:ser>
        <c:dLbls>
          <c:showLegendKey val="0"/>
          <c:showVal val="1"/>
          <c:showCatName val="0"/>
          <c:showSerName val="0"/>
          <c:showPercent val="0"/>
          <c:showBubbleSize val="0"/>
        </c:dLbls>
        <c:gapWidth val="150"/>
        <c:axId val="162519744"/>
        <c:axId val="162520136"/>
      </c:barChart>
      <c:catAx>
        <c:axId val="1625197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mn-lt"/>
                <a:ea typeface="+mn-ea"/>
                <a:cs typeface="+mn-cs"/>
              </a:defRPr>
            </a:pPr>
            <a:endParaRPr lang="en-US"/>
          </a:p>
        </c:txPr>
        <c:crossAx val="162520136"/>
        <c:crosses val="autoZero"/>
        <c:auto val="1"/>
        <c:lblAlgn val="ctr"/>
        <c:lblOffset val="100"/>
        <c:noMultiLvlLbl val="0"/>
      </c:catAx>
      <c:valAx>
        <c:axId val="162520136"/>
        <c:scaling>
          <c:orientation val="minMax"/>
        </c:scaling>
        <c:delete val="1"/>
        <c:axPos val="l"/>
        <c:numFmt formatCode="General" sourceLinked="1"/>
        <c:majorTickMark val="out"/>
        <c:minorTickMark val="none"/>
        <c:tickLblPos val="none"/>
        <c:crossAx val="1625197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en-US" sz="10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100" b="0" i="0" u="none" strike="noStrike" kern="1200" spc="0" baseline="0">
                <a:solidFill>
                  <a:sysClr val="windowText" lastClr="000000"/>
                </a:solidFill>
                <a:latin typeface="+mn-lt"/>
                <a:ea typeface="+mn-ea"/>
                <a:cs typeface="+mn-cs"/>
              </a:defRPr>
            </a:pPr>
            <a:r>
              <a:rPr lang="en-GB" sz="1100">
                <a:solidFill>
                  <a:sysClr val="windowText" lastClr="000000"/>
                </a:solidFill>
              </a:rPr>
              <a:t>Type of Discussion by the country's economic level of development</a:t>
            </a:r>
          </a:p>
        </c:rich>
      </c:tx>
      <c:layout/>
      <c:overlay val="0"/>
      <c:spPr>
        <a:noFill/>
        <a:ln>
          <a:noFill/>
        </a:ln>
        <a:effectLst/>
      </c:spPr>
    </c:title>
    <c:autoTitleDeleted val="0"/>
    <c:plotArea>
      <c:layout/>
      <c:barChart>
        <c:barDir val="col"/>
        <c:grouping val="percentStacked"/>
        <c:varyColors val="0"/>
        <c:ser>
          <c:idx val="0"/>
          <c:order val="0"/>
          <c:tx>
            <c:strRef>
              <c:f>Summary_new!$A$43</c:f>
              <c:strCache>
                <c:ptCount val="1"/>
                <c:pt idx="0">
                  <c:v>CS PS</c:v>
                </c:pt>
              </c:strCache>
            </c:strRef>
          </c:tx>
          <c:spPr>
            <a:solidFill>
              <a:schemeClr val="accent1"/>
            </a:solidFill>
            <a:ln>
              <a:noFill/>
            </a:ln>
            <a:effectLst/>
          </c:spPr>
          <c:invertIfNegative val="0"/>
          <c:dLbls>
            <c:dLbl>
              <c:idx val="0"/>
              <c:layout/>
              <c:tx>
                <c:rich>
                  <a:bodyPr/>
                  <a:lstStyle/>
                  <a:p>
                    <a:fld id="{56D294C7-6526-4BFA-B2F3-8E9C0A2A17D2}" type="CELLRANGE">
                      <a:rPr lang="en-US"/>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1"/>
              <c:layout/>
              <c:tx>
                <c:rich>
                  <a:bodyPr/>
                  <a:lstStyle/>
                  <a:p>
                    <a:fld id="{73CF07F3-1396-497A-8B14-6DEDF35EA440}"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spPr>
              <a:noFill/>
              <a:ln>
                <a:noFill/>
              </a:ln>
              <a:effectLst/>
            </c:sp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Summary_new!$B$42:$C$42</c:f>
              <c:strCache>
                <c:ptCount val="2"/>
                <c:pt idx="0">
                  <c:v>Developed</c:v>
                </c:pt>
                <c:pt idx="1">
                  <c:v>Developing</c:v>
                </c:pt>
              </c:strCache>
            </c:strRef>
          </c:cat>
          <c:val>
            <c:numRef>
              <c:f>Summary_new!$B$43:$C$43</c:f>
              <c:numCache>
                <c:formatCode>0</c:formatCode>
                <c:ptCount val="2"/>
                <c:pt idx="0" formatCode="General">
                  <c:v>23</c:v>
                </c:pt>
                <c:pt idx="1">
                  <c:v>24</c:v>
                </c:pt>
              </c:numCache>
            </c:numRef>
          </c:val>
          <c:extLst>
            <c:ext xmlns:c15="http://schemas.microsoft.com/office/drawing/2012/chart" uri="{02D57815-91ED-43cb-92C2-25804820EDAC}">
              <c15:datalabelsRange>
                <c15:f>Summary_new!$B$49:$C$49</c15:f>
                <c15:dlblRangeCache>
                  <c:ptCount val="2"/>
                  <c:pt idx="0">
                    <c:v>16%</c:v>
                  </c:pt>
                  <c:pt idx="1">
                    <c:v>26%</c:v>
                  </c:pt>
                </c15:dlblRangeCache>
              </c15:datalabelsRange>
            </c:ext>
          </c:extLst>
        </c:ser>
        <c:ser>
          <c:idx val="1"/>
          <c:order val="1"/>
          <c:tx>
            <c:strRef>
              <c:f>Summary_new!$A$44</c:f>
              <c:strCache>
                <c:ptCount val="1"/>
                <c:pt idx="0">
                  <c:v>NEAFS</c:v>
                </c:pt>
              </c:strCache>
            </c:strRef>
          </c:tx>
          <c:spPr>
            <a:solidFill>
              <a:schemeClr val="accent2"/>
            </a:solidFill>
            <a:ln>
              <a:solidFill>
                <a:schemeClr val="bg1"/>
              </a:solidFill>
            </a:ln>
            <a:effectLst/>
          </c:spPr>
          <c:invertIfNegative val="0"/>
          <c:dLbls>
            <c:dLbl>
              <c:idx val="0"/>
              <c:layout/>
              <c:tx>
                <c:rich>
                  <a:bodyPr/>
                  <a:lstStyle/>
                  <a:p>
                    <a:fld id="{FCB97883-D3C1-413E-8B1B-663CC3ECA375}" type="CELLRANGE">
                      <a:rPr lang="en-US"/>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1"/>
              <c:layout/>
              <c:tx>
                <c:rich>
                  <a:bodyPr/>
                  <a:lstStyle/>
                  <a:p>
                    <a:fld id="{5CF107BC-7F55-4500-BADF-CA022CD2EF64}"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spPr>
              <a:noFill/>
              <a:ln>
                <a:noFill/>
              </a:ln>
              <a:effectLst/>
            </c:sp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Summary_new!$B$42:$C$42</c:f>
              <c:strCache>
                <c:ptCount val="2"/>
                <c:pt idx="0">
                  <c:v>Developed</c:v>
                </c:pt>
                <c:pt idx="1">
                  <c:v>Developing</c:v>
                </c:pt>
              </c:strCache>
            </c:strRef>
          </c:cat>
          <c:val>
            <c:numRef>
              <c:f>Summary_new!$B$44:$C$44</c:f>
              <c:numCache>
                <c:formatCode>General</c:formatCode>
                <c:ptCount val="2"/>
                <c:pt idx="0">
                  <c:v>22</c:v>
                </c:pt>
                <c:pt idx="1">
                  <c:v>24</c:v>
                </c:pt>
              </c:numCache>
            </c:numRef>
          </c:val>
          <c:extLst>
            <c:ext xmlns:c15="http://schemas.microsoft.com/office/drawing/2012/chart" uri="{02D57815-91ED-43cb-92C2-25804820EDAC}">
              <c15:datalabelsRange>
                <c15:f>Summary_new!$B$50:$C$50</c15:f>
                <c15:dlblRangeCache>
                  <c:ptCount val="2"/>
                  <c:pt idx="0">
                    <c:v>16%</c:v>
                  </c:pt>
                  <c:pt idx="1">
                    <c:v>26%</c:v>
                  </c:pt>
                </c15:dlblRangeCache>
              </c15:datalabelsRange>
            </c:ext>
          </c:extLst>
        </c:ser>
        <c:ser>
          <c:idx val="2"/>
          <c:order val="2"/>
          <c:tx>
            <c:strRef>
              <c:f>Summary_new!$A$45</c:f>
              <c:strCache>
                <c:ptCount val="1"/>
                <c:pt idx="0">
                  <c:v>Political</c:v>
                </c:pt>
              </c:strCache>
            </c:strRef>
          </c:tx>
          <c:spPr>
            <a:solidFill>
              <a:schemeClr val="accent3"/>
            </a:solidFill>
            <a:ln>
              <a:solidFill>
                <a:schemeClr val="bg1"/>
              </a:solidFill>
            </a:ln>
            <a:effectLst/>
          </c:spPr>
          <c:invertIfNegative val="0"/>
          <c:dLbls>
            <c:dLbl>
              <c:idx val="0"/>
              <c:layout/>
              <c:tx>
                <c:rich>
                  <a:bodyPr/>
                  <a:lstStyle/>
                  <a:p>
                    <a:fld id="{40C8A18A-AA92-4E08-BC9D-2A01508B2A31}" type="CELLRANGE">
                      <a:rPr lang="en-US"/>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1"/>
              <c:layout/>
              <c:tx>
                <c:rich>
                  <a:bodyPr/>
                  <a:lstStyle/>
                  <a:p>
                    <a:fld id="{4C37FAB6-A119-42D7-A250-415127DBC931}"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spPr>
              <a:noFill/>
              <a:ln>
                <a:noFill/>
              </a:ln>
              <a:effectLst/>
            </c:sp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Summary_new!$B$42:$C$42</c:f>
              <c:strCache>
                <c:ptCount val="2"/>
                <c:pt idx="0">
                  <c:v>Developed</c:v>
                </c:pt>
                <c:pt idx="1">
                  <c:v>Developing</c:v>
                </c:pt>
              </c:strCache>
            </c:strRef>
          </c:cat>
          <c:val>
            <c:numRef>
              <c:f>Summary_new!$B$45:$C$45</c:f>
              <c:numCache>
                <c:formatCode>General</c:formatCode>
                <c:ptCount val="2"/>
                <c:pt idx="0">
                  <c:v>79</c:v>
                </c:pt>
                <c:pt idx="1">
                  <c:v>24</c:v>
                </c:pt>
              </c:numCache>
            </c:numRef>
          </c:val>
          <c:extLst>
            <c:ext xmlns:c15="http://schemas.microsoft.com/office/drawing/2012/chart" uri="{02D57815-91ED-43cb-92C2-25804820EDAC}">
              <c15:datalabelsRange>
                <c15:f>Summary_new!$B$51:$C$51</c15:f>
                <c15:dlblRangeCache>
                  <c:ptCount val="2"/>
                  <c:pt idx="0">
                    <c:v>56%</c:v>
                  </c:pt>
                  <c:pt idx="1">
                    <c:v>26%</c:v>
                  </c:pt>
                </c15:dlblRangeCache>
              </c15:datalabelsRange>
            </c:ext>
          </c:extLst>
        </c:ser>
        <c:ser>
          <c:idx val="3"/>
          <c:order val="3"/>
          <c:tx>
            <c:strRef>
              <c:f>Summary_new!$A$46</c:f>
              <c:strCache>
                <c:ptCount val="1"/>
                <c:pt idx="0">
                  <c:v>Social Protection</c:v>
                </c:pt>
              </c:strCache>
            </c:strRef>
          </c:tx>
          <c:spPr>
            <a:solidFill>
              <a:schemeClr val="accent4"/>
            </a:solidFill>
            <a:ln>
              <a:solidFill>
                <a:schemeClr val="bg1"/>
              </a:solidFill>
            </a:ln>
            <a:effectLst/>
          </c:spPr>
          <c:invertIfNegative val="0"/>
          <c:dLbls>
            <c:dLbl>
              <c:idx val="0"/>
              <c:layout/>
              <c:tx>
                <c:rich>
                  <a:bodyPr/>
                  <a:lstStyle/>
                  <a:p>
                    <a:fld id="{967EF7F9-B7A2-4E68-A71A-8BFC046B2DDB}" type="CELLRANGE">
                      <a:rPr lang="en-US"/>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1"/>
              <c:layout/>
              <c:tx>
                <c:rich>
                  <a:bodyPr/>
                  <a:lstStyle/>
                  <a:p>
                    <a:fld id="{DBD4288C-8259-4F07-9AAF-425C21993A75}"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spPr>
              <a:noFill/>
              <a:ln>
                <a:noFill/>
              </a:ln>
              <a:effectLst/>
            </c:sp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Summary_new!$B$42:$C$42</c:f>
              <c:strCache>
                <c:ptCount val="2"/>
                <c:pt idx="0">
                  <c:v>Developed</c:v>
                </c:pt>
                <c:pt idx="1">
                  <c:v>Developing</c:v>
                </c:pt>
              </c:strCache>
            </c:strRef>
          </c:cat>
          <c:val>
            <c:numRef>
              <c:f>Summary_new!$B$46:$C$46</c:f>
              <c:numCache>
                <c:formatCode>General</c:formatCode>
                <c:ptCount val="2"/>
                <c:pt idx="0">
                  <c:v>17</c:v>
                </c:pt>
                <c:pt idx="1">
                  <c:v>20</c:v>
                </c:pt>
              </c:numCache>
            </c:numRef>
          </c:val>
          <c:extLst>
            <c:ext xmlns:c15="http://schemas.microsoft.com/office/drawing/2012/chart" uri="{02D57815-91ED-43cb-92C2-25804820EDAC}">
              <c15:datalabelsRange>
                <c15:f>Summary_new!$B$52:$C$52</c15:f>
                <c15:dlblRangeCache>
                  <c:ptCount val="2"/>
                  <c:pt idx="0">
                    <c:v>12%</c:v>
                  </c:pt>
                  <c:pt idx="1">
                    <c:v>22%</c:v>
                  </c:pt>
                </c15:dlblRangeCache>
              </c15:datalabelsRange>
            </c:ext>
          </c:extLst>
        </c:ser>
        <c:dLbls>
          <c:showLegendKey val="0"/>
          <c:showVal val="1"/>
          <c:showCatName val="0"/>
          <c:showSerName val="0"/>
          <c:showPercent val="0"/>
          <c:showBubbleSize val="0"/>
        </c:dLbls>
        <c:gapWidth val="150"/>
        <c:overlap val="100"/>
        <c:axId val="162520920"/>
        <c:axId val="162521312"/>
      </c:barChart>
      <c:catAx>
        <c:axId val="162520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1" i="0" u="none" strike="noStrike" kern="1200" baseline="0">
                <a:solidFill>
                  <a:sysClr val="windowText" lastClr="000000"/>
                </a:solidFill>
                <a:latin typeface="+mn-lt"/>
                <a:ea typeface="+mn-ea"/>
                <a:cs typeface="+mn-cs"/>
              </a:defRPr>
            </a:pPr>
            <a:endParaRPr lang="en-US"/>
          </a:p>
        </c:txPr>
        <c:crossAx val="162521312"/>
        <c:crosses val="autoZero"/>
        <c:auto val="1"/>
        <c:lblAlgn val="ctr"/>
        <c:lblOffset val="100"/>
        <c:noMultiLvlLbl val="0"/>
      </c:catAx>
      <c:valAx>
        <c:axId val="162521312"/>
        <c:scaling>
          <c:orientation val="minMax"/>
        </c:scaling>
        <c:delete val="1"/>
        <c:axPos val="l"/>
        <c:numFmt formatCode="0%" sourceLinked="1"/>
        <c:majorTickMark val="none"/>
        <c:minorTickMark val="none"/>
        <c:tickLblPos val="none"/>
        <c:crossAx val="162520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en-US" sz="10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3F46E-FC94-4972-8EA1-6F7F88AF5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26</Pages>
  <Words>11786</Words>
  <Characters>67184</Characters>
  <Application>Microsoft Office Word</Application>
  <DocSecurity>0</DocSecurity>
  <Lines>559</Lines>
  <Paragraphs>157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Frappier</dc:creator>
  <cp:lastModifiedBy>Blanck, Max (ESA)</cp:lastModifiedBy>
  <cp:revision>6</cp:revision>
  <cp:lastPrinted>2016-06-15T17:16:00Z</cp:lastPrinted>
  <dcterms:created xsi:type="dcterms:W3CDTF">2016-08-09T14:49:00Z</dcterms:created>
  <dcterms:modified xsi:type="dcterms:W3CDTF">2017-02-21T09:47:00Z</dcterms:modified>
</cp:coreProperties>
</file>