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rsidR="00174E48" w:rsidRPr="00AD3388" w:rsidRDefault="00174E48" w:rsidP="00AD3388">
      <w:pPr>
        <w:ind w:right="-46"/>
        <w:jc w:val="center"/>
        <w:rPr>
          <w:rFonts w:asciiTheme="majorHAnsi" w:hAnsiTheme="majorHAnsi"/>
          <w:sz w:val="36"/>
          <w:szCs w:val="36"/>
        </w:rPr>
      </w:pPr>
      <w:proofErr w:type="gramStart"/>
      <w:r w:rsidRPr="00AD3388">
        <w:rPr>
          <w:rFonts w:ascii="Georgia" w:eastAsia="Times New Roman" w:hAnsi="Georgia"/>
          <w:b/>
          <w:bCs/>
          <w:color w:val="D2232A"/>
          <w:sz w:val="36"/>
          <w:szCs w:val="36"/>
        </w:rPr>
        <w:t>on</w:t>
      </w:r>
      <w:proofErr w:type="gramEnd"/>
      <w:r w:rsidRPr="00AD3388">
        <w:rPr>
          <w:rFonts w:ascii="Georgia" w:eastAsia="Times New Roman" w:hAnsi="Georgia"/>
          <w:b/>
          <w:bCs/>
          <w:color w:val="D2232A"/>
          <w:sz w:val="36"/>
          <w:szCs w:val="36"/>
        </w:rPr>
        <w:t xml:space="preserve"> the political outcome document of the ICN</w:t>
      </w:r>
    </w:p>
    <w:p w:rsidR="00026313" w:rsidRDefault="00026313" w:rsidP="006B71BD">
      <w:pPr>
        <w:jc w:val="center"/>
        <w:rPr>
          <w:rFonts w:asciiTheme="majorHAnsi" w:hAnsiTheme="majorHAnsi"/>
          <w:b/>
          <w:bCs/>
          <w:color w:val="31849B" w:themeColor="accent5" w:themeShade="BF"/>
        </w:rPr>
      </w:pPr>
    </w:p>
    <w:p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026313" w:rsidTr="00026313">
        <w:tc>
          <w:tcPr>
            <w:tcW w:w="9242" w:type="dxa"/>
          </w:tcPr>
          <w:p w:rsidR="00026313" w:rsidRPr="00174E48" w:rsidRDefault="00026313" w:rsidP="00026313">
            <w:pPr>
              <w:spacing w:line="360" w:lineRule="auto"/>
              <w:rPr>
                <w:rFonts w:asciiTheme="majorHAnsi" w:hAnsiTheme="majorHAnsi"/>
                <w:b/>
                <w:bCs/>
              </w:rPr>
            </w:pPr>
            <w:r>
              <w:rPr>
                <w:rFonts w:asciiTheme="majorHAnsi" w:hAnsiTheme="majorHAnsi"/>
                <w:b/>
                <w:bCs/>
              </w:rPr>
              <w:t>P</w:t>
            </w:r>
            <w:r w:rsidRPr="00174E48">
              <w:rPr>
                <w:rFonts w:asciiTheme="majorHAnsi" w:hAnsiTheme="majorHAnsi"/>
                <w:b/>
                <w:bCs/>
              </w:rPr>
              <w:t>ersonal information</w:t>
            </w:r>
            <w:r w:rsidRPr="00174E48">
              <w:rPr>
                <w:rFonts w:asciiTheme="majorHAnsi" w:hAnsiTheme="majorHAnsi"/>
                <w:b/>
                <w:bCs/>
              </w:rPr>
              <w:tab/>
            </w:r>
          </w:p>
          <w:p w:rsidR="00026313" w:rsidRPr="00174E48" w:rsidRDefault="00026313" w:rsidP="00026313">
            <w:pPr>
              <w:spacing w:line="360" w:lineRule="auto"/>
              <w:rPr>
                <w:rFonts w:asciiTheme="majorHAnsi" w:hAnsiTheme="majorHAnsi"/>
              </w:rPr>
            </w:pPr>
            <w:r w:rsidRPr="00174E48">
              <w:rPr>
                <w:rFonts w:asciiTheme="majorHAnsi" w:hAnsiTheme="majorHAnsi"/>
              </w:rPr>
              <w:t>Name:</w:t>
            </w:r>
            <w:r w:rsidR="005318C3">
              <w:rPr>
                <w:rFonts w:asciiTheme="majorHAnsi" w:hAnsiTheme="majorHAnsi"/>
              </w:rPr>
              <w:t xml:space="preserve"> Jo Lofthouse</w:t>
            </w:r>
          </w:p>
          <w:p w:rsidR="00026313" w:rsidRPr="00174E48" w:rsidRDefault="00026313" w:rsidP="00026313">
            <w:pPr>
              <w:spacing w:line="360" w:lineRule="auto"/>
              <w:rPr>
                <w:rFonts w:asciiTheme="majorHAnsi" w:hAnsiTheme="majorHAnsi"/>
              </w:rPr>
            </w:pPr>
            <w:r w:rsidRPr="00174E48">
              <w:rPr>
                <w:rFonts w:asciiTheme="majorHAnsi" w:hAnsiTheme="majorHAnsi"/>
              </w:rPr>
              <w:t xml:space="preserve">Organization: </w:t>
            </w:r>
            <w:r w:rsidR="005318C3">
              <w:rPr>
                <w:rFonts w:asciiTheme="majorHAnsi" w:hAnsiTheme="majorHAnsi"/>
              </w:rPr>
              <w:t>Children’s Investment Fund Foundation</w:t>
            </w:r>
          </w:p>
          <w:p w:rsidR="00026313" w:rsidRPr="00174E48" w:rsidRDefault="00026313" w:rsidP="00026313">
            <w:pPr>
              <w:spacing w:line="360" w:lineRule="auto"/>
              <w:rPr>
                <w:rFonts w:asciiTheme="majorHAnsi" w:hAnsiTheme="majorHAnsi"/>
              </w:rPr>
            </w:pPr>
            <w:r w:rsidRPr="00174E48">
              <w:rPr>
                <w:rFonts w:asciiTheme="majorHAnsi" w:hAnsiTheme="majorHAnsi"/>
              </w:rPr>
              <w:t>Location:</w:t>
            </w:r>
            <w:r w:rsidR="005318C3">
              <w:rPr>
                <w:rFonts w:asciiTheme="majorHAnsi" w:hAnsiTheme="majorHAnsi"/>
              </w:rPr>
              <w:t xml:space="preserve"> London</w:t>
            </w:r>
          </w:p>
          <w:p w:rsidR="00026313" w:rsidRPr="00026313" w:rsidRDefault="00026313" w:rsidP="00026313">
            <w:pPr>
              <w:spacing w:line="360" w:lineRule="auto"/>
              <w:rPr>
                <w:rFonts w:asciiTheme="majorHAnsi" w:hAnsiTheme="majorHAnsi"/>
              </w:rPr>
            </w:pPr>
            <w:r w:rsidRPr="00174E48">
              <w:rPr>
                <w:rFonts w:asciiTheme="majorHAnsi" w:hAnsiTheme="majorHAnsi"/>
              </w:rPr>
              <w:t xml:space="preserve">Email: </w:t>
            </w:r>
            <w:hyperlink r:id="rId8" w:history="1">
              <w:r w:rsidR="005318C3" w:rsidRPr="00D62A9E">
                <w:rPr>
                  <w:rStyle w:val="Hyperlink"/>
                  <w:rFonts w:asciiTheme="majorHAnsi" w:hAnsiTheme="majorHAnsi"/>
                </w:rPr>
                <w:t>JLofthouse@ciff.org</w:t>
              </w:r>
            </w:hyperlink>
            <w:r w:rsidR="005318C3">
              <w:rPr>
                <w:rFonts w:asciiTheme="majorHAnsi" w:hAnsiTheme="majorHAnsi"/>
              </w:rPr>
              <w:t xml:space="preserve"> </w:t>
            </w:r>
          </w:p>
        </w:tc>
      </w:tr>
    </w:tbl>
    <w:p w:rsidR="00026313" w:rsidRDefault="00026313"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general comments on the draft political declaration and its vision (paragraphs 1-3 of the zero draft)? </w:t>
      </w:r>
      <w:r w:rsidRPr="00026313">
        <w:rPr>
          <w:rFonts w:asciiTheme="majorHAnsi" w:hAnsiTheme="majorHAnsi"/>
          <w:b/>
          <w:bCs/>
        </w:rPr>
        <w:tab/>
      </w:r>
    </w:p>
    <w:p w:rsidR="008E4D9C" w:rsidRPr="009C5388" w:rsidRDefault="001F51D4" w:rsidP="008E4D9C">
      <w:pPr>
        <w:rPr>
          <w:rFonts w:asciiTheme="majorHAnsi" w:hAnsiTheme="majorHAnsi"/>
          <w:color w:val="000000" w:themeColor="text1"/>
        </w:rPr>
      </w:pPr>
      <w:r w:rsidRPr="001F51D4">
        <w:rPr>
          <w:rFonts w:asciiTheme="majorHAnsi" w:hAnsiTheme="majorHAnsi"/>
        </w:rPr>
        <w:t xml:space="preserve">The Children’s Investment Fund Foundation (CIFF) thanks the FAO and WHO for the opportunity to comment on this draft. </w:t>
      </w:r>
      <w:r w:rsidR="00B425FC">
        <w:rPr>
          <w:rFonts w:asciiTheme="majorHAnsi" w:hAnsiTheme="majorHAnsi"/>
        </w:rPr>
        <w:t>We would like to see greater recognition of the cross-</w:t>
      </w:r>
      <w:proofErr w:type="gramStart"/>
      <w:r w:rsidR="00B425FC">
        <w:rPr>
          <w:rFonts w:asciiTheme="majorHAnsi" w:hAnsiTheme="majorHAnsi"/>
        </w:rPr>
        <w:t>cutting</w:t>
      </w:r>
      <w:proofErr w:type="gramEnd"/>
      <w:r w:rsidR="00B425FC">
        <w:rPr>
          <w:rFonts w:asciiTheme="majorHAnsi" w:hAnsiTheme="majorHAnsi"/>
        </w:rPr>
        <w:t xml:space="preserve"> nature of nutrition</w:t>
      </w:r>
      <w:r w:rsidR="00D0231F">
        <w:rPr>
          <w:rFonts w:asciiTheme="majorHAnsi" w:hAnsiTheme="majorHAnsi"/>
        </w:rPr>
        <w:t xml:space="preserve"> in this accord</w:t>
      </w:r>
      <w:r w:rsidR="00B425FC">
        <w:rPr>
          <w:rFonts w:asciiTheme="majorHAnsi" w:hAnsiTheme="majorHAnsi"/>
        </w:rPr>
        <w:t xml:space="preserve">. </w:t>
      </w:r>
      <w:r w:rsidR="007126CC" w:rsidRPr="00D0231F">
        <w:rPr>
          <w:rFonts w:ascii="inherit" w:hAnsi="inherit"/>
          <w:color w:val="333333"/>
          <w:shd w:val="clear" w:color="auto" w:fill="FFFFFF"/>
        </w:rPr>
        <w:t>The food system is vital, however given t</w:t>
      </w:r>
      <w:r w:rsidR="009C5388">
        <w:rPr>
          <w:rFonts w:ascii="inherit" w:hAnsi="inherit"/>
          <w:color w:val="333333"/>
          <w:shd w:val="clear" w:color="auto" w:fill="FFFFFF"/>
        </w:rPr>
        <w:t xml:space="preserve">hat ICN2 </w:t>
      </w:r>
      <w:r w:rsidR="007126CC">
        <w:rPr>
          <w:rFonts w:ascii="inherit" w:hAnsi="inherit"/>
          <w:color w:val="333333"/>
          <w:shd w:val="clear" w:color="auto" w:fill="FFFFFF"/>
        </w:rPr>
        <w:t>looks beyond FAO</w:t>
      </w:r>
      <w:r w:rsidR="007126CC">
        <w:rPr>
          <w:rFonts w:ascii="inherit" w:hAnsi="inherit" w:hint="eastAsia"/>
          <w:color w:val="333333"/>
          <w:shd w:val="clear" w:color="auto" w:fill="FFFFFF"/>
        </w:rPr>
        <w:t>’</w:t>
      </w:r>
      <w:r w:rsidR="007126CC">
        <w:rPr>
          <w:rFonts w:ascii="inherit" w:hAnsi="inherit"/>
          <w:color w:val="333333"/>
          <w:shd w:val="clear" w:color="auto" w:fill="FFFFFF"/>
        </w:rPr>
        <w:t>s  mandate, this accord</w:t>
      </w:r>
      <w:r w:rsidR="007126CC" w:rsidRPr="00D0231F">
        <w:rPr>
          <w:rFonts w:ascii="inherit" w:hAnsi="inherit"/>
          <w:color w:val="333333"/>
          <w:shd w:val="clear" w:color="auto" w:fill="FFFFFF"/>
        </w:rPr>
        <w:t xml:space="preserve"> should recognise the importance of </w:t>
      </w:r>
      <w:r w:rsidR="008E4D9C">
        <w:rPr>
          <w:rFonts w:asciiTheme="majorHAnsi" w:hAnsiTheme="majorHAnsi"/>
          <w:color w:val="000000" w:themeColor="text1"/>
        </w:rPr>
        <w:t>making</w:t>
      </w:r>
      <w:r w:rsidR="008E4D9C" w:rsidRPr="009C5388">
        <w:rPr>
          <w:rFonts w:asciiTheme="majorHAnsi" w:hAnsiTheme="majorHAnsi"/>
          <w:color w:val="000000" w:themeColor="text1"/>
        </w:rPr>
        <w:t xml:space="preserve"> </w:t>
      </w:r>
      <w:r w:rsidR="008E4D9C" w:rsidRPr="009C5388">
        <w:rPr>
          <w:rFonts w:ascii="inherit" w:hAnsi="inherit"/>
          <w:color w:val="000000" w:themeColor="text1"/>
          <w:shd w:val="clear" w:color="auto" w:fill="FFFFFF"/>
        </w:rPr>
        <w:t>family planning, social protection, health systems, water and sanitation provision, education, poverty reduction</w:t>
      </w:r>
      <w:r w:rsidR="008E4D9C">
        <w:rPr>
          <w:rFonts w:ascii="inherit" w:hAnsi="inherit"/>
          <w:color w:val="000000" w:themeColor="text1"/>
          <w:shd w:val="clear" w:color="auto" w:fill="FFFFFF"/>
        </w:rPr>
        <w:t>, trade, finance</w:t>
      </w:r>
      <w:r w:rsidR="008E4D9C" w:rsidRPr="009C5388">
        <w:rPr>
          <w:rFonts w:ascii="inherit" w:hAnsi="inherit"/>
          <w:color w:val="000000" w:themeColor="text1"/>
          <w:shd w:val="clear" w:color="auto" w:fill="FFFFFF"/>
        </w:rPr>
        <w:t xml:space="preserve"> and governance</w:t>
      </w:r>
      <w:r w:rsidR="008E4D9C">
        <w:rPr>
          <w:rFonts w:ascii="inherit" w:hAnsi="inherit"/>
          <w:color w:val="000000" w:themeColor="text1"/>
          <w:shd w:val="clear" w:color="auto" w:fill="FFFFFF"/>
        </w:rPr>
        <w:t xml:space="preserve"> more nutrition-sensitive</w:t>
      </w:r>
      <w:r w:rsidR="008E4D9C" w:rsidRPr="009C5388">
        <w:rPr>
          <w:rFonts w:ascii="inherit" w:hAnsi="inherit"/>
          <w:color w:val="000000" w:themeColor="text1"/>
          <w:shd w:val="clear" w:color="auto" w:fill="FFFFFF"/>
        </w:rPr>
        <w:t>.</w:t>
      </w:r>
      <w:r w:rsidR="008E4D9C" w:rsidRPr="009C5388">
        <w:rPr>
          <w:rFonts w:asciiTheme="majorHAnsi" w:hAnsiTheme="majorHAnsi"/>
          <w:color w:val="000000" w:themeColor="text1"/>
        </w:rPr>
        <w:t xml:space="preserve"> </w:t>
      </w:r>
    </w:p>
    <w:p w:rsidR="00B425FC" w:rsidRDefault="00B425FC" w:rsidP="006B71BD">
      <w:pPr>
        <w:rPr>
          <w:rFonts w:asciiTheme="majorHAnsi" w:hAnsiTheme="majorHAnsi"/>
        </w:rPr>
      </w:pPr>
      <w:r>
        <w:rPr>
          <w:rFonts w:asciiTheme="majorHAnsi" w:hAnsiTheme="majorHAnsi"/>
        </w:rPr>
        <w:t>The first half of paragraph</w:t>
      </w:r>
      <w:r w:rsidR="007126CC">
        <w:rPr>
          <w:rFonts w:asciiTheme="majorHAnsi" w:hAnsiTheme="majorHAnsi"/>
        </w:rPr>
        <w:t>s 12 and 13 outline</w:t>
      </w:r>
      <w:r>
        <w:rPr>
          <w:rFonts w:asciiTheme="majorHAnsi" w:hAnsiTheme="majorHAnsi"/>
        </w:rPr>
        <w:t xml:space="preserve"> the importance of safe food and water, income, education and healthcare. The introduction would be stronger if it reflected this from the outset:</w:t>
      </w:r>
    </w:p>
    <w:p w:rsidR="006B71BD" w:rsidRDefault="005318C3" w:rsidP="006B71BD">
      <w:pPr>
        <w:rPr>
          <w:rFonts w:asciiTheme="majorHAnsi" w:hAnsiTheme="majorHAnsi"/>
        </w:rPr>
      </w:pPr>
      <w:proofErr w:type="gramStart"/>
      <w:r w:rsidRPr="007126CC">
        <w:rPr>
          <w:rFonts w:asciiTheme="majorHAnsi" w:hAnsiTheme="majorHAnsi"/>
          <w:b/>
        </w:rPr>
        <w:t>Paragraph 1</w:t>
      </w:r>
      <w:r w:rsidR="007126CC" w:rsidRPr="007126CC">
        <w:rPr>
          <w:rFonts w:asciiTheme="majorHAnsi" w:hAnsiTheme="majorHAnsi"/>
          <w:b/>
        </w:rPr>
        <w:t>.</w:t>
      </w:r>
      <w:proofErr w:type="gramEnd"/>
      <w:r w:rsidR="007126CC">
        <w:rPr>
          <w:rFonts w:asciiTheme="majorHAnsi" w:hAnsiTheme="majorHAnsi"/>
        </w:rPr>
        <w:t xml:space="preserve"> </w:t>
      </w:r>
      <w:r>
        <w:rPr>
          <w:rFonts w:asciiTheme="majorHAnsi" w:hAnsiTheme="majorHAnsi"/>
        </w:rPr>
        <w:t xml:space="preserve">As well as recognising malnutrition as one of the greatest threats to people’s health and well-being, the </w:t>
      </w:r>
      <w:r w:rsidR="00B425FC">
        <w:rPr>
          <w:rFonts w:asciiTheme="majorHAnsi" w:hAnsiTheme="majorHAnsi"/>
        </w:rPr>
        <w:t xml:space="preserve">paragraph should recognise that malnutrition is a threat to livelihoods, health, education and, as a consequence of this, a nation’s future.  </w:t>
      </w:r>
    </w:p>
    <w:p w:rsidR="00B425FC" w:rsidRPr="00D0231F" w:rsidRDefault="00647150" w:rsidP="006B71BD">
      <w:pPr>
        <w:rPr>
          <w:rFonts w:asciiTheme="majorHAnsi" w:hAnsiTheme="majorHAnsi"/>
          <w:sz w:val="24"/>
          <w:szCs w:val="24"/>
        </w:rPr>
      </w:pPr>
      <w:proofErr w:type="gramStart"/>
      <w:r w:rsidRPr="007126CC">
        <w:rPr>
          <w:rFonts w:asciiTheme="majorHAnsi" w:hAnsiTheme="majorHAnsi"/>
          <w:b/>
        </w:rPr>
        <w:t>Paragraph 3</w:t>
      </w:r>
      <w:r w:rsidR="007126CC" w:rsidRPr="007126CC">
        <w:rPr>
          <w:rFonts w:asciiTheme="majorHAnsi" w:hAnsiTheme="majorHAnsi"/>
          <w:b/>
        </w:rPr>
        <w:t>.</w:t>
      </w:r>
      <w:proofErr w:type="gramEnd"/>
      <w:r>
        <w:rPr>
          <w:rFonts w:asciiTheme="majorHAnsi" w:hAnsiTheme="majorHAnsi"/>
        </w:rPr>
        <w:t xml:space="preserve"> This paragraph focuses on food systems as a critical cause of malnutrition. The Accord would be stronger if it went beyond food systems and recognised the multiple causes of malnutrition. Alternatively, the drafting committee could include a fourth paragraph highlighting the importance of health, education, income, access to markets. </w:t>
      </w:r>
    </w:p>
    <w:p w:rsidR="007126CC" w:rsidRDefault="007126CC" w:rsidP="007126CC">
      <w:pPr>
        <w:pStyle w:val="ListParagraph"/>
        <w:ind w:left="426"/>
        <w:rPr>
          <w:rFonts w:asciiTheme="majorHAnsi" w:hAnsiTheme="majorHAnsi"/>
          <w:b/>
          <w:bCs/>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background and analysis provided in the political declaration (paragraphs 4-20 of the zero draft)?</w:t>
      </w:r>
      <w:r w:rsidRPr="00026313">
        <w:rPr>
          <w:rFonts w:asciiTheme="majorHAnsi" w:hAnsiTheme="majorHAnsi"/>
          <w:b/>
          <w:bCs/>
        </w:rPr>
        <w:tab/>
      </w:r>
    </w:p>
    <w:p w:rsidR="000A2049" w:rsidRPr="000A2049" w:rsidRDefault="000A2049" w:rsidP="000C379A">
      <w:pPr>
        <w:rPr>
          <w:rFonts w:asciiTheme="majorHAnsi" w:hAnsiTheme="majorHAnsi"/>
        </w:rPr>
      </w:pPr>
      <w:r w:rsidRPr="00D0231F">
        <w:rPr>
          <w:rFonts w:asciiTheme="majorHAnsi" w:hAnsiTheme="majorHAnsi"/>
        </w:rPr>
        <w:lastRenderedPageBreak/>
        <w:t>Overall,</w:t>
      </w:r>
      <w:r>
        <w:rPr>
          <w:rFonts w:asciiTheme="majorHAnsi" w:hAnsiTheme="majorHAnsi"/>
          <w:b/>
        </w:rPr>
        <w:t xml:space="preserve"> </w:t>
      </w:r>
      <w:r>
        <w:rPr>
          <w:rFonts w:asciiTheme="majorHAnsi" w:hAnsiTheme="majorHAnsi"/>
        </w:rPr>
        <w:t>we would like to see this section focus both on nutrition within the food s</w:t>
      </w:r>
      <w:r w:rsidR="00D0231F">
        <w:rPr>
          <w:rFonts w:asciiTheme="majorHAnsi" w:hAnsiTheme="majorHAnsi"/>
        </w:rPr>
        <w:t xml:space="preserve">ystem and nutrition outside of the food system. </w:t>
      </w:r>
      <w:r w:rsidR="008E24C3">
        <w:rPr>
          <w:rFonts w:asciiTheme="majorHAnsi" w:hAnsiTheme="majorHAnsi"/>
        </w:rPr>
        <w:t xml:space="preserve">The acknowledgement of nutrition as a cross-cutting issue is cursory at present. </w:t>
      </w:r>
    </w:p>
    <w:p w:rsidR="000C379A" w:rsidRPr="00C5701D" w:rsidRDefault="000C379A" w:rsidP="000C379A">
      <w:pPr>
        <w:rPr>
          <w:rFonts w:asciiTheme="majorHAnsi" w:hAnsiTheme="majorHAnsi" w:cs="Arial"/>
        </w:rPr>
      </w:pPr>
      <w:proofErr w:type="gramStart"/>
      <w:r w:rsidRPr="000C379A">
        <w:rPr>
          <w:rFonts w:asciiTheme="majorHAnsi" w:hAnsiTheme="majorHAnsi"/>
          <w:b/>
        </w:rPr>
        <w:t>Par</w:t>
      </w:r>
      <w:r>
        <w:rPr>
          <w:rFonts w:asciiTheme="majorHAnsi" w:hAnsiTheme="majorHAnsi"/>
          <w:b/>
        </w:rPr>
        <w:t>a</w:t>
      </w:r>
      <w:r w:rsidR="008E24C3">
        <w:rPr>
          <w:rFonts w:asciiTheme="majorHAnsi" w:hAnsiTheme="majorHAnsi"/>
          <w:b/>
        </w:rPr>
        <w:t>graph 5.</w:t>
      </w:r>
      <w:proofErr w:type="gramEnd"/>
      <w:r w:rsidRPr="000C379A">
        <w:rPr>
          <w:rFonts w:asciiTheme="majorHAnsi" w:hAnsiTheme="majorHAnsi"/>
          <w:b/>
        </w:rPr>
        <w:t xml:space="preserve"> </w:t>
      </w:r>
      <w:r w:rsidRPr="000C379A">
        <w:rPr>
          <w:rFonts w:asciiTheme="majorHAnsi" w:hAnsiTheme="majorHAnsi" w:cs="Arial"/>
        </w:rPr>
        <w:t xml:space="preserve">If a child’s nutritional status is to be given every possible chance, it is also imperative that the nutrition of adolescent girls is also targeted in order to break the intergenerational cycle of malnutrition. As such, we recommend adding the following text to the </w:t>
      </w:r>
      <w:r w:rsidRPr="00C5701D">
        <w:rPr>
          <w:rFonts w:asciiTheme="majorHAnsi" w:hAnsiTheme="majorHAnsi" w:cs="Arial"/>
        </w:rPr>
        <w:t>end of the paragraph 5:  “such as the f</w:t>
      </w:r>
      <w:r w:rsidR="000A2049" w:rsidRPr="00C5701D">
        <w:rPr>
          <w:rFonts w:asciiTheme="majorHAnsi" w:hAnsiTheme="majorHAnsi" w:cs="Arial"/>
        </w:rPr>
        <w:t>irst 1,000 days of life or during girls’ adolescence</w:t>
      </w:r>
      <w:r w:rsidRPr="00C5701D">
        <w:rPr>
          <w:rFonts w:asciiTheme="majorHAnsi" w:hAnsiTheme="majorHAnsi" w:cs="Arial"/>
        </w:rPr>
        <w:t xml:space="preserve">”. </w:t>
      </w:r>
    </w:p>
    <w:p w:rsidR="00E3424F" w:rsidRPr="00C5701D" w:rsidRDefault="00647150" w:rsidP="00C5701D">
      <w:pPr>
        <w:rPr>
          <w:rFonts w:asciiTheme="majorHAnsi" w:hAnsiTheme="majorHAnsi" w:cs="Helvetica"/>
          <w:b/>
          <w:bCs/>
          <w:color w:val="333333"/>
        </w:rPr>
      </w:pPr>
      <w:proofErr w:type="gramStart"/>
      <w:r w:rsidRPr="00C5701D">
        <w:rPr>
          <w:rFonts w:asciiTheme="majorHAnsi" w:hAnsiTheme="majorHAnsi"/>
        </w:rPr>
        <w:t>Paragraph 7</w:t>
      </w:r>
      <w:r w:rsidR="008E24C3" w:rsidRPr="00C5701D">
        <w:rPr>
          <w:rFonts w:asciiTheme="majorHAnsi" w:hAnsiTheme="majorHAnsi"/>
        </w:rPr>
        <w:t>.</w:t>
      </w:r>
      <w:proofErr w:type="gramEnd"/>
      <w:r w:rsidRPr="00C5701D">
        <w:rPr>
          <w:rFonts w:asciiTheme="majorHAnsi" w:hAnsiTheme="majorHAnsi"/>
        </w:rPr>
        <w:t xml:space="preserve"> This paragraph should recognise </w:t>
      </w:r>
      <w:hyperlink r:id="rId9" w:history="1">
        <w:r w:rsidRPr="00C5701D">
          <w:rPr>
            <w:rStyle w:val="Hyperlink"/>
            <w:rFonts w:asciiTheme="majorHAnsi" w:hAnsiTheme="majorHAnsi"/>
          </w:rPr>
          <w:t xml:space="preserve">the 6 WHA goals </w:t>
        </w:r>
        <w:r w:rsidR="00E3424F" w:rsidRPr="00C5701D">
          <w:rPr>
            <w:rStyle w:val="Hyperlink"/>
            <w:rFonts w:asciiTheme="majorHAnsi" w:hAnsiTheme="majorHAnsi"/>
          </w:rPr>
          <w:t>t</w:t>
        </w:r>
        <w:r w:rsidR="00E3424F" w:rsidRPr="00C5701D">
          <w:rPr>
            <w:rStyle w:val="Hyperlink"/>
            <w:rFonts w:asciiTheme="majorHAnsi" w:hAnsiTheme="majorHAnsi" w:cs="Helvetica"/>
          </w:rPr>
          <w:t>o improve maternal, infant and young child nutrition</w:t>
        </w:r>
        <w:r w:rsidR="000A2049" w:rsidRPr="00C5701D">
          <w:rPr>
            <w:rStyle w:val="Hyperlink"/>
            <w:rFonts w:asciiTheme="majorHAnsi" w:hAnsiTheme="majorHAnsi" w:cs="Helvetica"/>
          </w:rPr>
          <w:t>.</w:t>
        </w:r>
      </w:hyperlink>
    </w:p>
    <w:p w:rsidR="00FE5AD3" w:rsidRPr="00C5701D" w:rsidRDefault="00FE5AD3" w:rsidP="00C5701D">
      <w:pPr>
        <w:rPr>
          <w:rFonts w:asciiTheme="majorHAnsi" w:hAnsiTheme="majorHAnsi"/>
          <w:color w:val="000000" w:themeColor="text1"/>
        </w:rPr>
      </w:pPr>
    </w:p>
    <w:p w:rsidR="00E3424F" w:rsidRPr="00C5701D" w:rsidRDefault="008E24C3" w:rsidP="00C5701D">
      <w:pPr>
        <w:rPr>
          <w:rFonts w:asciiTheme="majorHAnsi" w:hAnsiTheme="majorHAnsi" w:cs="Helvetica"/>
          <w:b/>
          <w:color w:val="000000" w:themeColor="text1"/>
        </w:rPr>
      </w:pPr>
      <w:proofErr w:type="gramStart"/>
      <w:r w:rsidRPr="00C5701D">
        <w:rPr>
          <w:rFonts w:asciiTheme="majorHAnsi" w:hAnsiTheme="majorHAnsi"/>
          <w:color w:val="000000" w:themeColor="text1"/>
        </w:rPr>
        <w:t>Paragraph 8.</w:t>
      </w:r>
      <w:proofErr w:type="gramEnd"/>
      <w:r w:rsidRPr="00C5701D">
        <w:rPr>
          <w:rFonts w:asciiTheme="majorHAnsi" w:hAnsiTheme="majorHAnsi"/>
          <w:color w:val="000000" w:themeColor="text1"/>
        </w:rPr>
        <w:t xml:space="preserve"> T</w:t>
      </w:r>
      <w:r w:rsidR="00E3424F" w:rsidRPr="00C5701D">
        <w:rPr>
          <w:rFonts w:asciiTheme="majorHAnsi" w:hAnsiTheme="majorHAnsi"/>
          <w:color w:val="000000" w:themeColor="text1"/>
        </w:rPr>
        <w:t xml:space="preserve">his should recall </w:t>
      </w:r>
      <w:hyperlink r:id="rId10" w:history="1">
        <w:r w:rsidR="00E3424F" w:rsidRPr="00C5701D">
          <w:rPr>
            <w:rStyle w:val="Hyperlink"/>
            <w:rFonts w:asciiTheme="majorHAnsi" w:hAnsiTheme="majorHAnsi" w:cs="Helvetica"/>
          </w:rPr>
          <w:t>WHA65/</w:t>
        </w:r>
        <w:proofErr w:type="gramStart"/>
        <w:r w:rsidR="00E3424F" w:rsidRPr="00C5701D">
          <w:rPr>
            <w:rStyle w:val="Hyperlink"/>
            <w:rFonts w:asciiTheme="majorHAnsi" w:hAnsiTheme="majorHAnsi" w:cs="Helvetica"/>
          </w:rPr>
          <w:t>6 :</w:t>
        </w:r>
        <w:proofErr w:type="gramEnd"/>
        <w:r w:rsidR="00E3424F" w:rsidRPr="00C5701D">
          <w:rPr>
            <w:rStyle w:val="Hyperlink"/>
            <w:rFonts w:asciiTheme="majorHAnsi" w:hAnsiTheme="majorHAnsi" w:cs="Helvetica"/>
          </w:rPr>
          <w:t xml:space="preserve"> Comprehensive implementation plan on maternal, infant and young child nutrition.</w:t>
        </w:r>
      </w:hyperlink>
    </w:p>
    <w:p w:rsidR="00FE5AD3" w:rsidRDefault="00FE5AD3" w:rsidP="00E3424F">
      <w:pPr>
        <w:rPr>
          <w:rFonts w:asciiTheme="majorHAnsi" w:hAnsiTheme="majorHAnsi"/>
          <w:b/>
        </w:rPr>
      </w:pPr>
    </w:p>
    <w:p w:rsidR="00E3424F" w:rsidRDefault="00E3424F" w:rsidP="00E3424F">
      <w:pPr>
        <w:rPr>
          <w:rFonts w:asciiTheme="majorHAnsi" w:hAnsiTheme="majorHAnsi"/>
        </w:rPr>
      </w:pPr>
      <w:proofErr w:type="gramStart"/>
      <w:r w:rsidRPr="008E24C3">
        <w:rPr>
          <w:rFonts w:asciiTheme="majorHAnsi" w:hAnsiTheme="majorHAnsi"/>
          <w:b/>
        </w:rPr>
        <w:t>Paragraph 12</w:t>
      </w:r>
      <w:r w:rsidR="008E24C3" w:rsidRPr="008E24C3">
        <w:rPr>
          <w:rFonts w:asciiTheme="majorHAnsi" w:hAnsiTheme="majorHAnsi"/>
          <w:b/>
        </w:rPr>
        <w:t>.</w:t>
      </w:r>
      <w:proofErr w:type="gramEnd"/>
      <w:r w:rsidRPr="00E3424F">
        <w:rPr>
          <w:rFonts w:asciiTheme="majorHAnsi" w:hAnsiTheme="majorHAnsi"/>
        </w:rPr>
        <w:t xml:space="preserve"> The first half of the paragraph recognises that nutrition cuts across every sector in government</w:t>
      </w:r>
      <w:r>
        <w:rPr>
          <w:rFonts w:asciiTheme="majorHAnsi" w:hAnsiTheme="majorHAnsi"/>
        </w:rPr>
        <w:t xml:space="preserve">. However the second half of the paragraph focuses again on food systems, stating that “Public policies should deal with </w:t>
      </w:r>
      <w:r w:rsidR="008E4D9C">
        <w:rPr>
          <w:rFonts w:asciiTheme="majorHAnsi" w:hAnsiTheme="majorHAnsi"/>
        </w:rPr>
        <w:t>both food supply and demand”. We</w:t>
      </w:r>
      <w:r w:rsidR="00964670">
        <w:rPr>
          <w:rFonts w:asciiTheme="majorHAnsi" w:hAnsiTheme="majorHAnsi"/>
        </w:rPr>
        <w:t xml:space="preserve"> suggest that the second half of the paragraph should state that “public policies should deal with malnutrition across all sectors, focusing on both prevention and treatment”.  </w:t>
      </w:r>
      <w:r>
        <w:rPr>
          <w:rFonts w:asciiTheme="majorHAnsi" w:hAnsiTheme="majorHAnsi"/>
        </w:rPr>
        <w:t xml:space="preserve"> </w:t>
      </w:r>
      <w:r w:rsidR="008E4D9C">
        <w:rPr>
          <w:rFonts w:asciiTheme="majorHAnsi" w:hAnsiTheme="majorHAnsi"/>
        </w:rPr>
        <w:t>We</w:t>
      </w:r>
      <w:r w:rsidR="00964670">
        <w:rPr>
          <w:rFonts w:asciiTheme="majorHAnsi" w:hAnsiTheme="majorHAnsi"/>
        </w:rPr>
        <w:t xml:space="preserve"> suggest the second half of this paragraph is moved into a separate paragraph as it currently weakens the message that malnutrition is a cross-cutting issue. </w:t>
      </w:r>
    </w:p>
    <w:p w:rsidR="00964670" w:rsidRDefault="00964670" w:rsidP="00964670">
      <w:pPr>
        <w:rPr>
          <w:rFonts w:asciiTheme="majorHAnsi" w:hAnsiTheme="majorHAnsi"/>
        </w:rPr>
      </w:pPr>
      <w:proofErr w:type="gramStart"/>
      <w:r w:rsidRPr="008E24C3">
        <w:rPr>
          <w:rFonts w:asciiTheme="majorHAnsi" w:hAnsiTheme="majorHAnsi"/>
          <w:b/>
        </w:rPr>
        <w:t>Par</w:t>
      </w:r>
      <w:r w:rsidR="007E4020" w:rsidRPr="008E24C3">
        <w:rPr>
          <w:rFonts w:asciiTheme="majorHAnsi" w:hAnsiTheme="majorHAnsi"/>
          <w:b/>
        </w:rPr>
        <w:t>a</w:t>
      </w:r>
      <w:r w:rsidRPr="008E24C3">
        <w:rPr>
          <w:rFonts w:asciiTheme="majorHAnsi" w:hAnsiTheme="majorHAnsi"/>
          <w:b/>
        </w:rPr>
        <w:t>graph 13</w:t>
      </w:r>
      <w:r w:rsidR="008E24C3" w:rsidRPr="008E24C3">
        <w:rPr>
          <w:rFonts w:asciiTheme="majorHAnsi" w:hAnsiTheme="majorHAnsi"/>
          <w:b/>
        </w:rPr>
        <w:t>.</w:t>
      </w:r>
      <w:proofErr w:type="gramEnd"/>
      <w:r w:rsidR="008E24C3" w:rsidRPr="008E24C3">
        <w:rPr>
          <w:rFonts w:asciiTheme="majorHAnsi" w:hAnsiTheme="majorHAnsi"/>
          <w:b/>
        </w:rPr>
        <w:t xml:space="preserve"> </w:t>
      </w:r>
      <w:r>
        <w:rPr>
          <w:rFonts w:asciiTheme="majorHAnsi" w:hAnsiTheme="majorHAnsi"/>
        </w:rPr>
        <w:t xml:space="preserve">The first sentence in this paragraph, which recognises </w:t>
      </w:r>
      <w:r w:rsidR="007E4020">
        <w:rPr>
          <w:rFonts w:asciiTheme="majorHAnsi" w:hAnsiTheme="majorHAnsi"/>
        </w:rPr>
        <w:t>that “</w:t>
      </w:r>
      <w:r w:rsidRPr="00964670">
        <w:rPr>
          <w:rFonts w:asciiTheme="majorHAnsi" w:hAnsiTheme="majorHAnsi"/>
        </w:rPr>
        <w:t xml:space="preserve">increased public investment to improve nutrition is needed, including more equitable access to safe food and water, income, education and healthcare – all necessary to ensure universal </w:t>
      </w:r>
      <w:r w:rsidR="007E4020">
        <w:rPr>
          <w:rFonts w:asciiTheme="majorHAnsi" w:hAnsiTheme="majorHAnsi"/>
        </w:rPr>
        <w:t xml:space="preserve">access to healthy </w:t>
      </w:r>
      <w:r w:rsidRPr="00964670">
        <w:rPr>
          <w:rFonts w:asciiTheme="majorHAnsi" w:hAnsiTheme="majorHAnsi"/>
        </w:rPr>
        <w:t>diets.</w:t>
      </w:r>
      <w:r w:rsidR="007E4020">
        <w:rPr>
          <w:rFonts w:asciiTheme="majorHAnsi" w:hAnsiTheme="majorHAnsi"/>
        </w:rPr>
        <w:t xml:space="preserve">” We suggest amending the last part of this sentence to “all necessary to reduce malnutrition”. In the same vein, we suggest making the second half of this paragraph a separate </w:t>
      </w:r>
      <w:proofErr w:type="spellStart"/>
      <w:r w:rsidR="007E4020">
        <w:rPr>
          <w:rFonts w:asciiTheme="majorHAnsi" w:hAnsiTheme="majorHAnsi"/>
        </w:rPr>
        <w:t>para</w:t>
      </w:r>
      <w:proofErr w:type="spellEnd"/>
      <w:r w:rsidR="007E4020">
        <w:rPr>
          <w:rFonts w:asciiTheme="majorHAnsi" w:hAnsiTheme="majorHAnsi"/>
        </w:rPr>
        <w:t xml:space="preserve"> (from “continued efforts are needed”) in order not avoid dilution of the impact of </w:t>
      </w:r>
      <w:r w:rsidR="007E4020" w:rsidRPr="007E4020">
        <w:rPr>
          <w:rFonts w:asciiTheme="majorHAnsi" w:hAnsiTheme="majorHAnsi"/>
          <w:i/>
        </w:rPr>
        <w:t xml:space="preserve">all </w:t>
      </w:r>
      <w:r w:rsidR="007E4020">
        <w:rPr>
          <w:rFonts w:asciiTheme="majorHAnsi" w:hAnsiTheme="majorHAnsi"/>
        </w:rPr>
        <w:t xml:space="preserve">sectors on malnutrition. </w:t>
      </w:r>
    </w:p>
    <w:p w:rsidR="007162DE" w:rsidRPr="009C5388" w:rsidRDefault="007E4020" w:rsidP="008E17F1">
      <w:pPr>
        <w:rPr>
          <w:rFonts w:asciiTheme="majorHAnsi" w:hAnsiTheme="majorHAnsi"/>
          <w:color w:val="000000" w:themeColor="text1"/>
        </w:rPr>
      </w:pPr>
      <w:proofErr w:type="gramStart"/>
      <w:r w:rsidRPr="008E24C3">
        <w:rPr>
          <w:rFonts w:asciiTheme="majorHAnsi" w:hAnsiTheme="majorHAnsi"/>
          <w:b/>
        </w:rPr>
        <w:t>Paragraph 18</w:t>
      </w:r>
      <w:r w:rsidR="008E24C3" w:rsidRPr="008E24C3">
        <w:rPr>
          <w:rFonts w:asciiTheme="majorHAnsi" w:hAnsiTheme="majorHAnsi"/>
          <w:b/>
        </w:rPr>
        <w:t>.</w:t>
      </w:r>
      <w:proofErr w:type="gramEnd"/>
      <w:r>
        <w:rPr>
          <w:rFonts w:asciiTheme="majorHAnsi" w:hAnsiTheme="majorHAnsi"/>
        </w:rPr>
        <w:t xml:space="preserve"> We welcome the focus on government leadership and responsibility on nutrition. We also welcome the focus on institutional capacity. </w:t>
      </w:r>
      <w:r w:rsidR="007162DE">
        <w:rPr>
          <w:rFonts w:asciiTheme="majorHAnsi" w:hAnsiTheme="majorHAnsi"/>
        </w:rPr>
        <w:t xml:space="preserve">However, we believe that the sentence, </w:t>
      </w:r>
      <w:r w:rsidR="008E17F1">
        <w:rPr>
          <w:rFonts w:asciiTheme="majorHAnsi" w:hAnsiTheme="majorHAnsi"/>
        </w:rPr>
        <w:t xml:space="preserve">“Governments’ </w:t>
      </w:r>
      <w:r w:rsidR="008E17F1" w:rsidRPr="008E17F1">
        <w:rPr>
          <w:rFonts w:asciiTheme="majorHAnsi" w:hAnsiTheme="majorHAnsi"/>
        </w:rPr>
        <w:t xml:space="preserve">investment plans should target food systems with the aim of improving the availability, accessibility and acceptability of healthy </w:t>
      </w:r>
      <w:r w:rsidR="007162DE">
        <w:rPr>
          <w:rFonts w:asciiTheme="majorHAnsi" w:hAnsiTheme="majorHAnsi"/>
        </w:rPr>
        <w:t>food</w:t>
      </w:r>
      <w:r w:rsidR="008E17F1">
        <w:rPr>
          <w:rFonts w:asciiTheme="majorHAnsi" w:hAnsiTheme="majorHAnsi"/>
        </w:rPr>
        <w:t>”</w:t>
      </w:r>
      <w:r w:rsidR="007162DE">
        <w:rPr>
          <w:rFonts w:asciiTheme="majorHAnsi" w:hAnsiTheme="majorHAnsi"/>
        </w:rPr>
        <w:t xml:space="preserve"> sh</w:t>
      </w:r>
      <w:r w:rsidR="007162DE" w:rsidRPr="009C5388">
        <w:rPr>
          <w:rFonts w:asciiTheme="majorHAnsi" w:hAnsiTheme="majorHAnsi"/>
          <w:color w:val="000000" w:themeColor="text1"/>
        </w:rPr>
        <w:t>ould not just focus on food system</w:t>
      </w:r>
      <w:r w:rsidR="009C5388" w:rsidRPr="009C5388">
        <w:rPr>
          <w:rFonts w:asciiTheme="majorHAnsi" w:hAnsiTheme="majorHAnsi"/>
          <w:color w:val="000000" w:themeColor="text1"/>
        </w:rPr>
        <w:t>s</w:t>
      </w:r>
      <w:r w:rsidR="007162DE" w:rsidRPr="009C5388">
        <w:rPr>
          <w:rFonts w:asciiTheme="majorHAnsi" w:hAnsiTheme="majorHAnsi"/>
          <w:color w:val="000000" w:themeColor="text1"/>
        </w:rPr>
        <w:t>, but should recognise</w:t>
      </w:r>
      <w:r w:rsidR="009C5388" w:rsidRPr="009C5388">
        <w:rPr>
          <w:rFonts w:asciiTheme="majorHAnsi" w:hAnsiTheme="majorHAnsi"/>
          <w:color w:val="000000" w:themeColor="text1"/>
        </w:rPr>
        <w:t xml:space="preserve"> the importance of nutrition-sensitive </w:t>
      </w:r>
      <w:r w:rsidR="009C5388" w:rsidRPr="009C5388">
        <w:rPr>
          <w:rFonts w:ascii="inherit" w:hAnsi="inherit"/>
          <w:color w:val="000000" w:themeColor="text1"/>
          <w:shd w:val="clear" w:color="auto" w:fill="FFFFFF"/>
        </w:rPr>
        <w:t>family planning</w:t>
      </w:r>
      <w:r w:rsidR="00FE5AD3">
        <w:rPr>
          <w:rStyle w:val="EndnoteReference"/>
          <w:rFonts w:ascii="inherit" w:hAnsi="inherit"/>
          <w:color w:val="000000" w:themeColor="text1"/>
          <w:shd w:val="clear" w:color="auto" w:fill="FFFFFF"/>
        </w:rPr>
        <w:endnoteReference w:id="1"/>
      </w:r>
      <w:r w:rsidR="009C5388" w:rsidRPr="009C5388">
        <w:rPr>
          <w:rFonts w:ascii="inherit" w:hAnsi="inherit"/>
          <w:color w:val="000000" w:themeColor="text1"/>
          <w:shd w:val="clear" w:color="auto" w:fill="FFFFFF"/>
        </w:rPr>
        <w:t>, social protection, health systems, water and sanitation provision, education, poverty reduction</w:t>
      </w:r>
      <w:r w:rsidR="008E4D9C">
        <w:rPr>
          <w:rFonts w:ascii="inherit" w:hAnsi="inherit"/>
          <w:color w:val="000000" w:themeColor="text1"/>
          <w:shd w:val="clear" w:color="auto" w:fill="FFFFFF"/>
        </w:rPr>
        <w:t>, trade, finance</w:t>
      </w:r>
      <w:r w:rsidR="009C5388" w:rsidRPr="009C5388">
        <w:rPr>
          <w:rFonts w:ascii="inherit" w:hAnsi="inherit"/>
          <w:color w:val="000000" w:themeColor="text1"/>
          <w:shd w:val="clear" w:color="auto" w:fill="FFFFFF"/>
        </w:rPr>
        <w:t xml:space="preserve"> and governance.</w:t>
      </w:r>
      <w:r w:rsidR="007162DE" w:rsidRPr="009C5388">
        <w:rPr>
          <w:rFonts w:asciiTheme="majorHAnsi" w:hAnsiTheme="majorHAnsi"/>
          <w:color w:val="000000" w:themeColor="text1"/>
        </w:rPr>
        <w:t xml:space="preserve"> </w:t>
      </w:r>
    </w:p>
    <w:p w:rsidR="007162DE" w:rsidRDefault="007162DE" w:rsidP="008E17F1">
      <w:pPr>
        <w:rPr>
          <w:rFonts w:asciiTheme="majorHAnsi" w:hAnsiTheme="majorHAnsi"/>
        </w:rPr>
      </w:pPr>
      <w:proofErr w:type="gramStart"/>
      <w:r w:rsidRPr="008E24C3">
        <w:rPr>
          <w:rFonts w:asciiTheme="majorHAnsi" w:hAnsiTheme="majorHAnsi"/>
          <w:b/>
        </w:rPr>
        <w:lastRenderedPageBreak/>
        <w:t>Para</w:t>
      </w:r>
      <w:r w:rsidR="008E24C3">
        <w:rPr>
          <w:rFonts w:asciiTheme="majorHAnsi" w:hAnsiTheme="majorHAnsi"/>
          <w:b/>
        </w:rPr>
        <w:t>graph</w:t>
      </w:r>
      <w:r w:rsidRPr="008E24C3">
        <w:rPr>
          <w:rFonts w:asciiTheme="majorHAnsi" w:hAnsiTheme="majorHAnsi"/>
          <w:b/>
        </w:rPr>
        <w:t xml:space="preserve"> 19.</w:t>
      </w:r>
      <w:proofErr w:type="gramEnd"/>
      <w:r>
        <w:rPr>
          <w:rFonts w:asciiTheme="majorHAnsi" w:hAnsiTheme="majorHAnsi"/>
        </w:rPr>
        <w:t xml:space="preserve"> This paragraph is focused on the food system; again, we’d like to see it broadened out to recognise the factors beyond the food system which would contribute to eradicating malnutrition, as per the first halves of </w:t>
      </w:r>
      <w:proofErr w:type="spellStart"/>
      <w:r>
        <w:rPr>
          <w:rFonts w:asciiTheme="majorHAnsi" w:hAnsiTheme="majorHAnsi"/>
        </w:rPr>
        <w:t>paras</w:t>
      </w:r>
      <w:proofErr w:type="spellEnd"/>
      <w:r>
        <w:rPr>
          <w:rFonts w:asciiTheme="majorHAnsi" w:hAnsiTheme="majorHAnsi"/>
        </w:rPr>
        <w:t xml:space="preserve"> 12 and 13. </w:t>
      </w:r>
    </w:p>
    <w:p w:rsidR="006B71BD" w:rsidRDefault="000C379A" w:rsidP="006B71BD">
      <w:pPr>
        <w:rPr>
          <w:rFonts w:asciiTheme="majorHAnsi" w:hAnsiTheme="majorHAnsi"/>
        </w:rPr>
      </w:pPr>
      <w:proofErr w:type="gramStart"/>
      <w:r w:rsidRPr="008E24C3">
        <w:rPr>
          <w:rFonts w:asciiTheme="majorHAnsi" w:hAnsiTheme="majorHAnsi"/>
          <w:b/>
        </w:rPr>
        <w:t>Paragraph 20.</w:t>
      </w:r>
      <w:proofErr w:type="gramEnd"/>
      <w:r>
        <w:rPr>
          <w:rFonts w:asciiTheme="majorHAnsi" w:hAnsiTheme="majorHAnsi"/>
        </w:rPr>
        <w:t xml:space="preserve"> We strongly support the emphasis on data systems and accountability, and would welcome more reference to this as a factor that w</w:t>
      </w:r>
      <w:r w:rsidR="009C5388">
        <w:rPr>
          <w:rFonts w:asciiTheme="majorHAnsi" w:hAnsiTheme="majorHAnsi"/>
        </w:rPr>
        <w:t>ould contribute to better</w:t>
      </w:r>
      <w:r>
        <w:rPr>
          <w:rFonts w:asciiTheme="majorHAnsi" w:hAnsiTheme="majorHAnsi"/>
        </w:rPr>
        <w:t xml:space="preserve"> nutrition outcomes throughout the document. </w:t>
      </w: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rsidR="008E2B8D" w:rsidRPr="008E2B8D" w:rsidRDefault="009C5388" w:rsidP="008E2B8D">
      <w:pPr>
        <w:rPr>
          <w:rFonts w:asciiTheme="majorHAnsi" w:hAnsiTheme="majorHAnsi" w:cs="Arial"/>
        </w:rPr>
      </w:pPr>
      <w:r>
        <w:rPr>
          <w:rFonts w:asciiTheme="majorHAnsi" w:hAnsiTheme="majorHAnsi"/>
        </w:rPr>
        <w:t>Although the food system is critical, this</w:t>
      </w:r>
      <w:r w:rsidR="00D0231F" w:rsidRPr="008E2B8D">
        <w:rPr>
          <w:rFonts w:asciiTheme="majorHAnsi" w:hAnsiTheme="majorHAnsi"/>
        </w:rPr>
        <w:t xml:space="preserve"> section </w:t>
      </w:r>
      <w:r w:rsidR="002036A9">
        <w:rPr>
          <w:rFonts w:asciiTheme="majorHAnsi" w:hAnsiTheme="majorHAnsi"/>
        </w:rPr>
        <w:t xml:space="preserve">– including the commitments - </w:t>
      </w:r>
      <w:r w:rsidR="00D0231F" w:rsidRPr="008E2B8D">
        <w:rPr>
          <w:rFonts w:asciiTheme="majorHAnsi" w:hAnsiTheme="majorHAnsi"/>
        </w:rPr>
        <w:t xml:space="preserve">should recognise nutrition outside of the food system more. </w:t>
      </w:r>
      <w:r w:rsidR="008E2B8D" w:rsidRPr="008E2B8D">
        <w:rPr>
          <w:rFonts w:asciiTheme="majorHAnsi" w:hAnsiTheme="majorHAnsi"/>
        </w:rPr>
        <w:t>This should include reference to</w:t>
      </w:r>
      <w:r w:rsidR="008E2B8D">
        <w:rPr>
          <w:rFonts w:asciiTheme="majorHAnsi" w:hAnsiTheme="majorHAnsi"/>
        </w:rPr>
        <w:t xml:space="preserve"> a</w:t>
      </w:r>
      <w:r w:rsidR="00D0231F" w:rsidRPr="008E2B8D">
        <w:rPr>
          <w:rFonts w:asciiTheme="majorHAnsi" w:eastAsia="Arial" w:hAnsiTheme="majorHAnsi" w:cs="Arial"/>
        </w:rPr>
        <w:t xml:space="preserve">ll countries </w:t>
      </w:r>
      <w:r w:rsidR="00462204" w:rsidRPr="008E2B8D">
        <w:rPr>
          <w:rFonts w:asciiTheme="majorHAnsi" w:eastAsia="Arial" w:hAnsiTheme="majorHAnsi" w:cs="Arial"/>
        </w:rPr>
        <w:t>establishing a</w:t>
      </w:r>
      <w:r w:rsidR="00D0231F" w:rsidRPr="008E2B8D">
        <w:rPr>
          <w:rFonts w:asciiTheme="majorHAnsi" w:eastAsia="Arial" w:hAnsiTheme="majorHAnsi" w:cs="Arial"/>
        </w:rPr>
        <w:t xml:space="preserve"> multi-</w:t>
      </w:r>
      <w:proofErr w:type="spellStart"/>
      <w:r w:rsidR="00D0231F" w:rsidRPr="008E2B8D">
        <w:rPr>
          <w:rFonts w:asciiTheme="majorHAnsi" w:eastAsia="Arial" w:hAnsiTheme="majorHAnsi" w:cs="Arial"/>
        </w:rPr>
        <w:t>sectoral</w:t>
      </w:r>
      <w:proofErr w:type="spellEnd"/>
      <w:r w:rsidR="00D0231F" w:rsidRPr="008E2B8D">
        <w:rPr>
          <w:rFonts w:asciiTheme="majorHAnsi" w:eastAsia="Arial" w:hAnsiTheme="majorHAnsi" w:cs="Arial"/>
        </w:rPr>
        <w:t xml:space="preserve"> coordination mechanism for nutrition to ensure that policy decisions are owned by all relevant ministries</w:t>
      </w:r>
      <w:r w:rsidR="008E2B8D">
        <w:rPr>
          <w:rFonts w:asciiTheme="majorHAnsi" w:eastAsia="Arial" w:hAnsiTheme="majorHAnsi" w:cs="Arial"/>
        </w:rPr>
        <w:t>, and emphasis</w:t>
      </w:r>
      <w:r>
        <w:rPr>
          <w:rFonts w:asciiTheme="majorHAnsi" w:eastAsia="Arial" w:hAnsiTheme="majorHAnsi" w:cs="Arial"/>
        </w:rPr>
        <w:t>e</w:t>
      </w:r>
      <w:r w:rsidR="008E2B8D">
        <w:rPr>
          <w:rFonts w:asciiTheme="majorHAnsi" w:eastAsia="Arial" w:hAnsiTheme="majorHAnsi" w:cs="Arial"/>
        </w:rPr>
        <w:t xml:space="preserve"> the need for nutrition-sensitive plans across government sectors</w:t>
      </w:r>
      <w:r w:rsidR="008E2B8D" w:rsidRPr="008E2B8D">
        <w:rPr>
          <w:rFonts w:asciiTheme="majorHAnsi" w:eastAsia="Arial" w:hAnsiTheme="majorHAnsi" w:cs="Arial"/>
        </w:rPr>
        <w:t xml:space="preserve">. </w:t>
      </w:r>
    </w:p>
    <w:p w:rsidR="006B71BD" w:rsidRPr="00026313" w:rsidRDefault="006B71BD" w:rsidP="006B71BD">
      <w:pPr>
        <w:rPr>
          <w:rFonts w:asciiTheme="majorHAnsi" w:hAnsiTheme="majorHAnsi"/>
        </w:rPr>
      </w:pPr>
      <w:r w:rsidRPr="00026313">
        <w:rPr>
          <w:rFonts w:asciiTheme="majorHAnsi" w:hAnsiTheme="majorHAnsi"/>
        </w:rPr>
        <w:t>22. Commit to launch a Decade of Action on Nutrition guided by a Framework for Action and to report biennially on its implementation to FAO, WHO and ECOSOC.</w:t>
      </w:r>
      <w:r w:rsidRPr="00026313">
        <w:rPr>
          <w:rFonts w:asciiTheme="majorHAnsi" w:hAnsiTheme="majorHAnsi"/>
        </w:rPr>
        <w:tab/>
        <w:t xml:space="preserve"> </w:t>
      </w:r>
      <w:r w:rsidRPr="00026313">
        <w:rPr>
          <w:rFonts w:asciiTheme="majorHAnsi" w:hAnsiTheme="majorHAnsi"/>
        </w:rPr>
        <w:cr/>
      </w:r>
    </w:p>
    <w:p w:rsidR="006B71BD" w:rsidRPr="00026313" w:rsidRDefault="00462204" w:rsidP="006B71BD">
      <w:pPr>
        <w:rPr>
          <w:rFonts w:asciiTheme="majorHAnsi" w:hAnsiTheme="majorHAnsi"/>
        </w:rPr>
      </w:pPr>
      <w:proofErr w:type="gramStart"/>
      <w:r>
        <w:rPr>
          <w:rFonts w:asciiTheme="majorHAnsi" w:hAnsiTheme="majorHAnsi"/>
          <w:b/>
        </w:rPr>
        <w:t>Paragraph 22.</w:t>
      </w:r>
      <w:proofErr w:type="gramEnd"/>
      <w:r>
        <w:rPr>
          <w:rFonts w:asciiTheme="majorHAnsi" w:hAnsiTheme="majorHAnsi"/>
          <w:b/>
        </w:rPr>
        <w:t xml:space="preserve"> </w:t>
      </w:r>
      <w:r w:rsidR="000C379A">
        <w:rPr>
          <w:rFonts w:asciiTheme="majorHAnsi" w:hAnsiTheme="majorHAnsi"/>
        </w:rPr>
        <w:t xml:space="preserve">We would like to see this reference the WHA 2025 targets on nutrition specifically. </w:t>
      </w:r>
      <w:r w:rsidR="00D0231F">
        <w:rPr>
          <w:rFonts w:asciiTheme="majorHAnsi" w:hAnsiTheme="majorHAnsi"/>
        </w:rPr>
        <w:t>It’s also vital that this decade of action focus</w:t>
      </w:r>
      <w:r w:rsidR="008E2B8D">
        <w:rPr>
          <w:rFonts w:asciiTheme="majorHAnsi" w:hAnsiTheme="majorHAnsi"/>
        </w:rPr>
        <w:t>es</w:t>
      </w:r>
      <w:r w:rsidR="00D0231F">
        <w:rPr>
          <w:rFonts w:asciiTheme="majorHAnsi" w:hAnsiTheme="majorHAnsi"/>
        </w:rPr>
        <w:t xml:space="preserve"> on nutrition as a cross-cutting issue, not just w</w:t>
      </w:r>
      <w:r w:rsidR="008E2B8D">
        <w:rPr>
          <w:rFonts w:asciiTheme="majorHAnsi" w:hAnsiTheme="majorHAnsi"/>
        </w:rPr>
        <w:t>ithin</w:t>
      </w:r>
      <w:r w:rsidR="00D0231F">
        <w:rPr>
          <w:rFonts w:asciiTheme="majorHAnsi" w:hAnsiTheme="majorHAnsi"/>
        </w:rPr>
        <w:t xml:space="preserve"> the food system. </w:t>
      </w:r>
      <w:r w:rsidR="006B71BD" w:rsidRPr="00026313">
        <w:rPr>
          <w:rFonts w:asciiTheme="majorHAnsi" w:hAnsiTheme="majorHAnsi"/>
        </w:rPr>
        <w:cr/>
      </w:r>
      <w:bookmarkStart w:id="0" w:name="_GoBack"/>
      <w:bookmarkEnd w:id="0"/>
    </w:p>
    <w:p w:rsidR="006B71BD" w:rsidRPr="00026313" w:rsidRDefault="006B71BD" w:rsidP="006B71BD">
      <w:pPr>
        <w:rPr>
          <w:rFonts w:asciiTheme="majorHAnsi" w:hAnsiTheme="majorHAnsi"/>
        </w:rPr>
      </w:pPr>
      <w:r w:rsidRPr="00026313">
        <w:rPr>
          <w:rFonts w:asciiTheme="majorHAnsi" w:hAnsiTheme="majorHAnsi"/>
        </w:rPr>
        <w:t>23. Commit to integrate the objectives and directions of the Ten Year Framework for Action into the post-2015 global development efforts.</w:t>
      </w:r>
      <w:r w:rsidRPr="00026313">
        <w:rPr>
          <w:rFonts w:asciiTheme="majorHAnsi" w:hAnsiTheme="majorHAnsi"/>
        </w:rPr>
        <w:tab/>
        <w:t xml:space="preserve"> </w:t>
      </w:r>
      <w:r w:rsidRPr="00026313">
        <w:rPr>
          <w:rFonts w:asciiTheme="majorHAnsi" w:hAnsiTheme="majorHAnsi"/>
        </w:rPr>
        <w:cr/>
      </w:r>
    </w:p>
    <w:p w:rsidR="006B71BD" w:rsidRPr="00026313" w:rsidRDefault="00462204" w:rsidP="006B71BD">
      <w:pPr>
        <w:rPr>
          <w:rFonts w:asciiTheme="majorHAnsi" w:hAnsiTheme="majorHAnsi"/>
        </w:rPr>
      </w:pPr>
      <w:proofErr w:type="gramStart"/>
      <w:r>
        <w:rPr>
          <w:rFonts w:asciiTheme="majorHAnsi" w:hAnsiTheme="majorHAnsi"/>
          <w:b/>
        </w:rPr>
        <w:t>Paragraph 23.</w:t>
      </w:r>
      <w:proofErr w:type="gramEnd"/>
      <w:r>
        <w:rPr>
          <w:rFonts w:asciiTheme="majorHAnsi" w:hAnsiTheme="majorHAnsi"/>
          <w:b/>
        </w:rPr>
        <w:t xml:space="preserve"> </w:t>
      </w:r>
      <w:r w:rsidR="000C379A">
        <w:rPr>
          <w:rFonts w:asciiTheme="majorHAnsi" w:hAnsiTheme="majorHAnsi"/>
        </w:rPr>
        <w:t xml:space="preserve">Again, reference to the WHA targets, which are widely accepted, should be included here. </w:t>
      </w:r>
      <w:r w:rsidR="006B71BD" w:rsidRPr="00026313">
        <w:rPr>
          <w:rFonts w:asciiTheme="majorHAnsi" w:hAnsiTheme="majorHAnsi"/>
        </w:rPr>
        <w:cr/>
      </w:r>
    </w:p>
    <w:p w:rsidR="00AD3388" w:rsidRPr="00174E48" w:rsidRDefault="00AD3388">
      <w:pPr>
        <w:rPr>
          <w:rFonts w:asciiTheme="majorHAnsi" w:hAnsiTheme="majorHAnsi"/>
        </w:rPr>
      </w:pPr>
    </w:p>
    <w:sectPr w:rsidR="00AD3388" w:rsidRPr="00174E48" w:rsidSect="00AD3388">
      <w:headerReference w:type="default" r:id="rId11"/>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C3" w:rsidRDefault="008E24C3" w:rsidP="00AD3388">
      <w:pPr>
        <w:spacing w:after="0" w:line="240" w:lineRule="auto"/>
      </w:pPr>
      <w:r>
        <w:separator/>
      </w:r>
    </w:p>
  </w:endnote>
  <w:endnote w:type="continuationSeparator" w:id="0">
    <w:p w:rsidR="008E24C3" w:rsidRDefault="008E24C3" w:rsidP="00AD3388">
      <w:pPr>
        <w:spacing w:after="0" w:line="240" w:lineRule="auto"/>
      </w:pPr>
      <w:r>
        <w:continuationSeparator/>
      </w:r>
    </w:p>
  </w:endnote>
  <w:endnote w:id="1">
    <w:p w:rsidR="00FE5AD3" w:rsidRDefault="00FE5AD3">
      <w:pPr>
        <w:pStyle w:val="EndnoteText"/>
      </w:pPr>
      <w:r>
        <w:rPr>
          <w:rStyle w:val="EndnoteReference"/>
        </w:rPr>
        <w:endnoteRef/>
      </w:r>
      <w:r>
        <w:t xml:space="preserve"> Given the importance of adolescent mothers in nutrition, family planning should include a specific focus on adolescent reproductive health.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C3" w:rsidRDefault="008E24C3" w:rsidP="00AD3388">
      <w:pPr>
        <w:spacing w:after="0" w:line="240" w:lineRule="auto"/>
      </w:pPr>
      <w:r>
        <w:separator/>
      </w:r>
    </w:p>
  </w:footnote>
  <w:footnote w:type="continuationSeparator" w:id="0">
    <w:p w:rsidR="008E24C3" w:rsidRDefault="008E24C3"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8E24C3" w:rsidTr="00AD3388">
      <w:trPr>
        <w:jc w:val="center"/>
      </w:trPr>
      <w:tc>
        <w:tcPr>
          <w:tcW w:w="4219" w:type="dxa"/>
          <w:vAlign w:val="bottom"/>
        </w:tcPr>
        <w:p w:rsidR="008E24C3" w:rsidRDefault="008E24C3" w:rsidP="00AD3388">
          <w:pPr>
            <w:pStyle w:val="Header"/>
            <w:tabs>
              <w:tab w:val="clear" w:pos="8640"/>
            </w:tabs>
          </w:pPr>
          <w:r>
            <w:rPr>
              <w:noProof/>
              <w:lang w:eastAsia="en-GB"/>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8E24C3" w:rsidRDefault="008E24C3" w:rsidP="00AD3388">
          <w:pPr>
            <w:pStyle w:val="Header"/>
          </w:pPr>
          <w:r>
            <w:rPr>
              <w:rFonts w:eastAsia="Times New Roman" w:cs="Times New Roman"/>
              <w:noProof/>
              <w:lang w:eastAsia="en-GB"/>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8E24C3" w:rsidRDefault="008E24C3" w:rsidP="00AD3388">
    <w:pPr>
      <w:pStyle w:val="Header"/>
    </w:pPr>
  </w:p>
  <w:p w:rsidR="008E24C3" w:rsidRPr="00AD3388" w:rsidRDefault="008E24C3"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B665F"/>
    <w:multiLevelType w:val="hybridMultilevel"/>
    <w:tmpl w:val="0A0C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B7B6F"/>
    <w:multiLevelType w:val="hybridMultilevel"/>
    <w:tmpl w:val="5FA0F5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6580D24"/>
    <w:multiLevelType w:val="hybridMultilevel"/>
    <w:tmpl w:val="67E05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94F2E8F"/>
    <w:multiLevelType w:val="hybridMultilevel"/>
    <w:tmpl w:val="F95CF8A6"/>
    <w:lvl w:ilvl="0" w:tplc="26249C0C">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B71BD"/>
    <w:rsid w:val="00026313"/>
    <w:rsid w:val="000A2049"/>
    <w:rsid w:val="000B37E0"/>
    <w:rsid w:val="000C379A"/>
    <w:rsid w:val="00174E48"/>
    <w:rsid w:val="001B1167"/>
    <w:rsid w:val="001C5C9A"/>
    <w:rsid w:val="001F51D4"/>
    <w:rsid w:val="002036A9"/>
    <w:rsid w:val="00315676"/>
    <w:rsid w:val="00462204"/>
    <w:rsid w:val="005318C3"/>
    <w:rsid w:val="005A5D4E"/>
    <w:rsid w:val="00647150"/>
    <w:rsid w:val="006B71BD"/>
    <w:rsid w:val="007126CC"/>
    <w:rsid w:val="007162DE"/>
    <w:rsid w:val="00740E0A"/>
    <w:rsid w:val="007C6610"/>
    <w:rsid w:val="007E4020"/>
    <w:rsid w:val="008E17F1"/>
    <w:rsid w:val="008E24C3"/>
    <w:rsid w:val="008E2B8D"/>
    <w:rsid w:val="008E4D9C"/>
    <w:rsid w:val="00964670"/>
    <w:rsid w:val="009C5388"/>
    <w:rsid w:val="00A80C52"/>
    <w:rsid w:val="00AD3388"/>
    <w:rsid w:val="00B36DDB"/>
    <w:rsid w:val="00B425FC"/>
    <w:rsid w:val="00C5701D"/>
    <w:rsid w:val="00D0231F"/>
    <w:rsid w:val="00D533F4"/>
    <w:rsid w:val="00DF6499"/>
    <w:rsid w:val="00E3424F"/>
    <w:rsid w:val="00EE0E59"/>
    <w:rsid w:val="00F4693D"/>
    <w:rsid w:val="00FE5AD3"/>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paragraph" w:styleId="Heading2">
    <w:name w:val="heading 2"/>
    <w:basedOn w:val="Normal"/>
    <w:link w:val="Heading2Char"/>
    <w:uiPriority w:val="9"/>
    <w:qFormat/>
    <w:rsid w:val="00E342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342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99"/>
    <w:qFormat/>
    <w:rsid w:val="00026313"/>
    <w:pPr>
      <w:ind w:left="720"/>
      <w:contextualSpacing/>
    </w:pPr>
  </w:style>
  <w:style w:type="character" w:styleId="Hyperlink">
    <w:name w:val="Hyperlink"/>
    <w:basedOn w:val="DefaultParagraphFont"/>
    <w:uiPriority w:val="99"/>
    <w:unhideWhenUsed/>
    <w:rsid w:val="005318C3"/>
    <w:rPr>
      <w:color w:val="0000FF" w:themeColor="hyperlink"/>
      <w:u w:val="single"/>
    </w:rPr>
  </w:style>
  <w:style w:type="character" w:customStyle="1" w:styleId="Heading2Char">
    <w:name w:val="Heading 2 Char"/>
    <w:basedOn w:val="DefaultParagraphFont"/>
    <w:link w:val="Heading2"/>
    <w:uiPriority w:val="9"/>
    <w:rsid w:val="00E3424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E3424F"/>
    <w:rPr>
      <w:rFonts w:asciiTheme="majorHAnsi" w:eastAsiaTheme="majorEastAsia" w:hAnsiTheme="majorHAnsi" w:cstheme="majorBidi"/>
      <w:b/>
      <w:bCs/>
      <w:color w:val="4F81BD" w:themeColor="accent1"/>
    </w:rPr>
  </w:style>
  <w:style w:type="paragraph" w:customStyle="1" w:styleId="Default">
    <w:name w:val="Default"/>
    <w:rsid w:val="00D0231F"/>
    <w:pPr>
      <w:autoSpaceDE w:val="0"/>
      <w:autoSpaceDN w:val="0"/>
      <w:adjustRightInd w:val="0"/>
      <w:spacing w:after="0" w:line="240" w:lineRule="auto"/>
    </w:pPr>
    <w:rPr>
      <w:rFonts w:ascii="Symbol" w:eastAsia="Times New Roman" w:hAnsi="Symbol" w:cs="Symbol"/>
      <w:color w:val="000000"/>
      <w:sz w:val="24"/>
      <w:szCs w:val="24"/>
      <w:lang w:eastAsia="en-GB"/>
    </w:rPr>
  </w:style>
  <w:style w:type="paragraph" w:styleId="EndnoteText">
    <w:name w:val="endnote text"/>
    <w:basedOn w:val="Normal"/>
    <w:link w:val="EndnoteTextChar"/>
    <w:uiPriority w:val="99"/>
    <w:semiHidden/>
    <w:unhideWhenUsed/>
    <w:rsid w:val="00FE5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5AD3"/>
    <w:rPr>
      <w:sz w:val="20"/>
      <w:szCs w:val="20"/>
    </w:rPr>
  </w:style>
  <w:style w:type="character" w:styleId="EndnoteReference">
    <w:name w:val="endnote reference"/>
    <w:basedOn w:val="DefaultParagraphFont"/>
    <w:uiPriority w:val="99"/>
    <w:semiHidden/>
    <w:unhideWhenUsed/>
    <w:rsid w:val="00FE5AD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webSettings.xml><?xml version="1.0" encoding="utf-8"?>
<w:webSettings xmlns:r="http://schemas.openxmlformats.org/officeDocument/2006/relationships" xmlns:w="http://schemas.openxmlformats.org/wordprocessingml/2006/main">
  <w:divs>
    <w:div w:id="340666915">
      <w:bodyDiv w:val="1"/>
      <w:marLeft w:val="0"/>
      <w:marRight w:val="0"/>
      <w:marTop w:val="0"/>
      <w:marBottom w:val="0"/>
      <w:divBdr>
        <w:top w:val="none" w:sz="0" w:space="0" w:color="auto"/>
        <w:left w:val="none" w:sz="0" w:space="0" w:color="auto"/>
        <w:bottom w:val="none" w:sz="0" w:space="0" w:color="auto"/>
        <w:right w:val="none" w:sz="0" w:space="0" w:color="auto"/>
      </w:divBdr>
    </w:div>
    <w:div w:id="10923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fthouse@cif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ho.int/nutrition/topics/wha_nutrition/en/" TargetMode="External"/><Relationship Id="rId4" Type="http://schemas.openxmlformats.org/officeDocument/2006/relationships/settings" Target="settings.xml"/><Relationship Id="rId9" Type="http://schemas.openxmlformats.org/officeDocument/2006/relationships/hyperlink" Target="http://www.who.int/nutrition/topics/nutrition_globaltargets2025/en/"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37B09-42A6-4BBE-86B5-186C5A95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jlofthouse</cp:lastModifiedBy>
  <cp:revision>2</cp:revision>
  <cp:lastPrinted>2014-03-21T10:33:00Z</cp:lastPrinted>
  <dcterms:created xsi:type="dcterms:W3CDTF">2014-03-21T18:29:00Z</dcterms:created>
  <dcterms:modified xsi:type="dcterms:W3CDTF">2014-03-21T18:29:00Z</dcterms:modified>
</cp:coreProperties>
</file>