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DC920" w14:textId="77777777" w:rsidR="007059C9" w:rsidRDefault="007059C9"/>
    <w:p w14:paraId="0069AD64" w14:textId="77777777" w:rsidR="007059C9" w:rsidRPr="007059C9" w:rsidRDefault="007059C9" w:rsidP="007059C9">
      <w:pPr>
        <w:spacing w:after="200" w:line="276" w:lineRule="auto"/>
        <w:jc w:val="center"/>
        <w:rPr>
          <w:rFonts w:ascii="Calibri" w:eastAsia="Times New Roman" w:hAnsi="Calibri" w:cs="Times New Roman"/>
          <w:b/>
          <w:sz w:val="28"/>
          <w:szCs w:val="28"/>
          <w:lang w:val="en-GB" w:eastAsia="it-IT"/>
        </w:rPr>
      </w:pPr>
      <w:r>
        <w:rPr>
          <w:rFonts w:ascii="Calibri" w:eastAsia="Times New Roman" w:hAnsi="Calibri" w:cs="Times New Roman"/>
          <w:b/>
          <w:sz w:val="28"/>
          <w:szCs w:val="28"/>
          <w:lang w:val="en-GB" w:eastAsia="it-IT"/>
        </w:rPr>
        <w:t>C</w:t>
      </w:r>
      <w:r w:rsidRPr="007059C9">
        <w:rPr>
          <w:rFonts w:ascii="Calibri" w:eastAsia="Times New Roman" w:hAnsi="Calibri" w:cs="Times New Roman"/>
          <w:b/>
          <w:sz w:val="28"/>
          <w:szCs w:val="28"/>
          <w:lang w:val="en-GB" w:eastAsia="it-IT"/>
        </w:rPr>
        <w:t>FS POLICY PROCESS ON THE DEVELOPMENT OF THE VOLUNTARY GUIDELINES ON FOOD SYSTEMS AND NUTRITION</w:t>
      </w:r>
    </w:p>
    <w:p w14:paraId="712D83DB" w14:textId="0C42C6AF" w:rsidR="007059C9" w:rsidRPr="009A73C7" w:rsidRDefault="009A73C7" w:rsidP="007059C9">
      <w:pPr>
        <w:jc w:val="center"/>
        <w:rPr>
          <w:b/>
          <w:color w:val="FF0000"/>
          <w:lang w:val="en-GB"/>
        </w:rPr>
      </w:pPr>
      <w:r w:rsidRPr="009A73C7">
        <w:rPr>
          <w:b/>
          <w:color w:val="FF0000"/>
          <w:lang w:val="en-GB"/>
        </w:rPr>
        <w:t>WORLD CANCER RESEARCH FUND INTERNATIONAL</w:t>
      </w:r>
    </w:p>
    <w:p w14:paraId="7A28610B" w14:textId="77777777" w:rsidR="007059C9" w:rsidRDefault="007059C9" w:rsidP="007059C9">
      <w:pPr>
        <w:rPr>
          <w:lang w:val="en-GB"/>
        </w:rPr>
      </w:pPr>
    </w:p>
    <w:p w14:paraId="7A1FCE37" w14:textId="77777777" w:rsidR="007059C9" w:rsidRPr="008748B5" w:rsidRDefault="008748B5" w:rsidP="004E3B75">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8748B5">
        <w:rPr>
          <w:rFonts w:ascii="Calibri" w:eastAsia="Times New Roman" w:hAnsi="Calibri" w:cs="Times New Roman"/>
          <w:b/>
          <w:lang w:eastAsia="it-IT"/>
        </w:rPr>
        <w:t xml:space="preserve">Does Chapter 1 adequately reflect the current situation of malnutrition and its related causes and impacts, particularly in line with </w:t>
      </w:r>
      <w:r w:rsidR="004E3B75">
        <w:rPr>
          <w:rFonts w:ascii="Calibri" w:eastAsia="Times New Roman" w:hAnsi="Calibri" w:cs="Times New Roman"/>
          <w:b/>
          <w:lang w:eastAsia="it-IT"/>
        </w:rPr>
        <w:t>the g</w:t>
      </w:r>
      <w:r w:rsidRPr="008748B5">
        <w:rPr>
          <w:rFonts w:ascii="Calibri" w:eastAsia="Times New Roman" w:hAnsi="Calibri" w:cs="Times New Roman"/>
          <w:b/>
          <w:lang w:eastAsia="it-IT"/>
        </w:rPr>
        <w:t xml:space="preserve">oals and targets of the 2030 Agenda? What are the underlying problems that currently hinder food systems to deliver healthy diets? </w:t>
      </w:r>
    </w:p>
    <w:tbl>
      <w:tblPr>
        <w:tblStyle w:val="TableGrid"/>
        <w:tblW w:w="9748" w:type="dxa"/>
        <w:tblLook w:val="04A0" w:firstRow="1" w:lastRow="0" w:firstColumn="1" w:lastColumn="0" w:noHBand="0" w:noVBand="1"/>
      </w:tblPr>
      <w:tblGrid>
        <w:gridCol w:w="9748"/>
      </w:tblGrid>
      <w:tr w:rsidR="007059C9" w14:paraId="224D7B1C" w14:textId="77777777" w:rsidTr="00292A31">
        <w:trPr>
          <w:trHeight w:val="372"/>
        </w:trPr>
        <w:tc>
          <w:tcPr>
            <w:tcW w:w="9748" w:type="dxa"/>
          </w:tcPr>
          <w:p w14:paraId="797E8018" w14:textId="5375D35A" w:rsidR="006B2DE3" w:rsidRPr="006B2DE3" w:rsidRDefault="006B2DE3" w:rsidP="00990962">
            <w:pPr>
              <w:spacing w:after="80" w:line="20" w:lineRule="atLeast"/>
              <w:rPr>
                <w:b/>
                <w:szCs w:val="24"/>
                <w:u w:val="single"/>
              </w:rPr>
            </w:pPr>
            <w:r w:rsidRPr="006B2DE3">
              <w:rPr>
                <w:b/>
                <w:szCs w:val="24"/>
                <w:u w:val="single"/>
              </w:rPr>
              <w:t>General comments:</w:t>
            </w:r>
          </w:p>
          <w:p w14:paraId="2DE4FB24" w14:textId="77777777" w:rsidR="006B2DE3" w:rsidRDefault="006B2DE3" w:rsidP="00990962">
            <w:pPr>
              <w:spacing w:after="80" w:line="20" w:lineRule="atLeast"/>
              <w:rPr>
                <w:szCs w:val="24"/>
              </w:rPr>
            </w:pPr>
          </w:p>
          <w:p w14:paraId="776E423F" w14:textId="05050D89" w:rsidR="00BF358A" w:rsidRDefault="004F64AE" w:rsidP="00990962">
            <w:pPr>
              <w:spacing w:after="80" w:line="20" w:lineRule="atLeast"/>
              <w:rPr>
                <w:szCs w:val="24"/>
              </w:rPr>
            </w:pPr>
            <w:r>
              <w:rPr>
                <w:szCs w:val="24"/>
              </w:rPr>
              <w:t>W</w:t>
            </w:r>
            <w:r w:rsidR="00565F77">
              <w:rPr>
                <w:szCs w:val="24"/>
              </w:rPr>
              <w:t xml:space="preserve">e welcome the ambition to </w:t>
            </w:r>
            <w:r w:rsidR="00DC3109">
              <w:rPr>
                <w:szCs w:val="24"/>
              </w:rPr>
              <w:t>develop</w:t>
            </w:r>
            <w:r w:rsidR="00565F77">
              <w:rPr>
                <w:szCs w:val="24"/>
              </w:rPr>
              <w:t xml:space="preserve"> evidence-based guidance and promote policy coherence and address fragmentation</w:t>
            </w:r>
            <w:r w:rsidR="00C43AED">
              <w:rPr>
                <w:szCs w:val="24"/>
              </w:rPr>
              <w:t xml:space="preserve"> in food systems</w:t>
            </w:r>
            <w:r w:rsidR="00565F77">
              <w:rPr>
                <w:szCs w:val="24"/>
              </w:rPr>
              <w:t>.</w:t>
            </w:r>
            <w:r w:rsidR="00DC3109">
              <w:rPr>
                <w:szCs w:val="24"/>
              </w:rPr>
              <w:t xml:space="preserve"> We believe that the current food system is not delivering healthy diets and requires significant transformation. </w:t>
            </w:r>
            <w:r w:rsidR="00565F77">
              <w:rPr>
                <w:szCs w:val="24"/>
              </w:rPr>
              <w:t xml:space="preserve"> </w:t>
            </w:r>
            <w:r w:rsidR="00DC3109">
              <w:rPr>
                <w:szCs w:val="24"/>
              </w:rPr>
              <w:t>To achieve this</w:t>
            </w:r>
            <w:r w:rsidR="00331815">
              <w:rPr>
                <w:szCs w:val="24"/>
              </w:rPr>
              <w:t>,</w:t>
            </w:r>
            <w:r w:rsidR="00565F77">
              <w:rPr>
                <w:szCs w:val="24"/>
              </w:rPr>
              <w:t xml:space="preserve"> we urge that the guidelines </w:t>
            </w:r>
            <w:r w:rsidR="00DC3109">
              <w:rPr>
                <w:szCs w:val="24"/>
              </w:rPr>
              <w:t>reinforce and promote</w:t>
            </w:r>
            <w:r w:rsidR="00565F77">
              <w:rPr>
                <w:szCs w:val="24"/>
              </w:rPr>
              <w:t xml:space="preserve"> robust </w:t>
            </w:r>
            <w:r w:rsidR="00C43AED">
              <w:rPr>
                <w:szCs w:val="24"/>
              </w:rPr>
              <w:t xml:space="preserve">evidence-based </w:t>
            </w:r>
            <w:r w:rsidR="00565F77">
              <w:rPr>
                <w:szCs w:val="24"/>
              </w:rPr>
              <w:t>policymaking t</w:t>
            </w:r>
            <w:r w:rsidR="00020E76">
              <w:rPr>
                <w:szCs w:val="24"/>
              </w:rPr>
              <w:t>o the highest standards of governance, transparency and accountability.</w:t>
            </w:r>
            <w:r w:rsidR="00292A31">
              <w:rPr>
                <w:szCs w:val="24"/>
              </w:rPr>
              <w:t xml:space="preserve"> </w:t>
            </w:r>
          </w:p>
          <w:p w14:paraId="00A98B91" w14:textId="77777777" w:rsidR="00DF15EE" w:rsidRDefault="00DF15EE" w:rsidP="00990962">
            <w:pPr>
              <w:spacing w:after="80" w:line="20" w:lineRule="atLeast"/>
              <w:rPr>
                <w:szCs w:val="24"/>
              </w:rPr>
            </w:pPr>
          </w:p>
          <w:p w14:paraId="4DE2038B" w14:textId="3662776A" w:rsidR="008C63E9" w:rsidRDefault="008C63E9" w:rsidP="00990962">
            <w:pPr>
              <w:spacing w:after="80" w:line="20" w:lineRule="atLeast"/>
              <w:rPr>
                <w:szCs w:val="24"/>
              </w:rPr>
            </w:pPr>
            <w:r>
              <w:rPr>
                <w:szCs w:val="24"/>
              </w:rPr>
              <w:t>We think there could be further elaboration on the impact of food and nutrition on the global burden of disease</w:t>
            </w:r>
            <w:r w:rsidR="00FF350F">
              <w:rPr>
                <w:szCs w:val="24"/>
              </w:rPr>
              <w:t xml:space="preserve"> and the significant contribution that poor diet and nutrition makes</w:t>
            </w:r>
            <w:r>
              <w:rPr>
                <w:szCs w:val="24"/>
              </w:rPr>
              <w:t xml:space="preserve">. </w:t>
            </w:r>
            <w:r w:rsidR="00DF15EE">
              <w:rPr>
                <w:szCs w:val="24"/>
              </w:rPr>
              <w:t xml:space="preserve">For example, our evidence shows that </w:t>
            </w:r>
            <w:r w:rsidR="00791F25">
              <w:rPr>
                <w:szCs w:val="24"/>
              </w:rPr>
              <w:t>body fatness and weight gain</w:t>
            </w:r>
            <w:r w:rsidR="00DF15EE">
              <w:rPr>
                <w:szCs w:val="24"/>
              </w:rPr>
              <w:t xml:space="preserve"> </w:t>
            </w:r>
            <w:r w:rsidR="00AC7376">
              <w:rPr>
                <w:szCs w:val="24"/>
              </w:rPr>
              <w:t>increase</w:t>
            </w:r>
            <w:r w:rsidR="00DF15EE">
              <w:rPr>
                <w:szCs w:val="24"/>
              </w:rPr>
              <w:t xml:space="preserve"> the risk of up to </w:t>
            </w:r>
            <w:hyperlink r:id="rId8" w:history="1">
              <w:r w:rsidR="00DF15EE" w:rsidRPr="00791F25">
                <w:rPr>
                  <w:rStyle w:val="Hyperlink"/>
                  <w:szCs w:val="24"/>
                </w:rPr>
                <w:t>13 different types of cancer</w:t>
              </w:r>
            </w:hyperlink>
            <w:r w:rsidR="00DF15EE">
              <w:rPr>
                <w:szCs w:val="24"/>
              </w:rPr>
              <w:t>.</w:t>
            </w:r>
          </w:p>
          <w:p w14:paraId="36877DE6" w14:textId="2B27BFFD" w:rsidR="008C63E9" w:rsidRDefault="008C63E9" w:rsidP="00990962">
            <w:pPr>
              <w:spacing w:after="80" w:line="20" w:lineRule="atLeast"/>
              <w:rPr>
                <w:szCs w:val="24"/>
              </w:rPr>
            </w:pPr>
          </w:p>
          <w:p w14:paraId="2EFD1358" w14:textId="51E36BF6" w:rsidR="00F1213F" w:rsidRPr="00F1213F" w:rsidRDefault="00F1213F" w:rsidP="00990962">
            <w:pPr>
              <w:spacing w:after="80" w:line="20" w:lineRule="atLeast"/>
              <w:rPr>
                <w:b/>
                <w:szCs w:val="24"/>
                <w:u w:val="single"/>
              </w:rPr>
            </w:pPr>
            <w:r w:rsidRPr="00F1213F">
              <w:rPr>
                <w:b/>
                <w:szCs w:val="24"/>
                <w:u w:val="single"/>
              </w:rPr>
              <w:t>Specific comments:</w:t>
            </w:r>
          </w:p>
          <w:p w14:paraId="3137117D" w14:textId="56125000" w:rsidR="007059C9" w:rsidRPr="008C63E9" w:rsidRDefault="00B4375E" w:rsidP="00990962">
            <w:pPr>
              <w:spacing w:after="80" w:line="20" w:lineRule="atLeast"/>
              <w:rPr>
                <w:szCs w:val="24"/>
              </w:rPr>
            </w:pPr>
            <w:r w:rsidRPr="0048026C">
              <w:rPr>
                <w:b/>
                <w:szCs w:val="24"/>
              </w:rPr>
              <w:t>Para 9</w:t>
            </w:r>
            <w:r w:rsidRPr="008C63E9">
              <w:rPr>
                <w:szCs w:val="24"/>
              </w:rPr>
              <w:t xml:space="preserve">: </w:t>
            </w:r>
            <w:r w:rsidR="008C63E9" w:rsidRPr="008C63E9">
              <w:rPr>
                <w:szCs w:val="24"/>
              </w:rPr>
              <w:t>We think the following text should be added</w:t>
            </w:r>
            <w:r w:rsidR="00292A31">
              <w:rPr>
                <w:szCs w:val="24"/>
              </w:rPr>
              <w:t xml:space="preserve"> as follows</w:t>
            </w:r>
            <w:r w:rsidR="008C63E9" w:rsidRPr="008C63E9">
              <w:rPr>
                <w:szCs w:val="24"/>
              </w:rPr>
              <w:t xml:space="preserve">: </w:t>
            </w:r>
            <w:r w:rsidRPr="008C63E9">
              <w:rPr>
                <w:szCs w:val="24"/>
              </w:rPr>
              <w:t>‘Food systems and diets are major contributors to</w:t>
            </w:r>
            <w:r w:rsidR="008C63E9" w:rsidRPr="008C63E9">
              <w:rPr>
                <w:szCs w:val="24"/>
              </w:rPr>
              <w:t xml:space="preserve"> the nutritional </w:t>
            </w:r>
            <w:r w:rsidR="008C63E9" w:rsidRPr="008C63E9">
              <w:rPr>
                <w:color w:val="FF0000"/>
                <w:szCs w:val="24"/>
              </w:rPr>
              <w:t xml:space="preserve">and health </w:t>
            </w:r>
            <w:r w:rsidR="008C63E9" w:rsidRPr="008C63E9">
              <w:rPr>
                <w:szCs w:val="24"/>
              </w:rPr>
              <w:t>status of populations”.</w:t>
            </w:r>
          </w:p>
          <w:p w14:paraId="28A6A57A" w14:textId="1B9D2519" w:rsidR="007059C9" w:rsidRDefault="007059C9" w:rsidP="00990962">
            <w:pPr>
              <w:spacing w:after="80" w:line="20" w:lineRule="atLeast"/>
              <w:rPr>
                <w:b/>
                <w:szCs w:val="24"/>
              </w:rPr>
            </w:pPr>
          </w:p>
          <w:p w14:paraId="76A4F550" w14:textId="501213CF" w:rsidR="008C63E9" w:rsidRDefault="008C63E9" w:rsidP="00990962">
            <w:pPr>
              <w:spacing w:after="80" w:line="20" w:lineRule="atLeast"/>
              <w:rPr>
                <w:szCs w:val="24"/>
              </w:rPr>
            </w:pPr>
            <w:r w:rsidRPr="0048026C">
              <w:rPr>
                <w:b/>
                <w:szCs w:val="24"/>
              </w:rPr>
              <w:t>Para 10:</w:t>
            </w:r>
            <w:r w:rsidRPr="008C63E9">
              <w:rPr>
                <w:szCs w:val="24"/>
              </w:rPr>
              <w:t xml:space="preserve"> We think the following text should be a</w:t>
            </w:r>
            <w:r>
              <w:rPr>
                <w:szCs w:val="24"/>
              </w:rPr>
              <w:t>mended</w:t>
            </w:r>
            <w:r w:rsidR="00292A31">
              <w:rPr>
                <w:szCs w:val="24"/>
              </w:rPr>
              <w:t xml:space="preserve"> as follows</w:t>
            </w:r>
            <w:r w:rsidRPr="008C63E9">
              <w:rPr>
                <w:szCs w:val="24"/>
              </w:rPr>
              <w:t xml:space="preserve"> </w:t>
            </w:r>
            <w:r>
              <w:rPr>
                <w:szCs w:val="24"/>
              </w:rPr>
              <w:t>‘</w:t>
            </w:r>
            <w:r w:rsidRPr="008C63E9">
              <w:rPr>
                <w:szCs w:val="24"/>
              </w:rPr>
              <w:t>Fostering policy, institutional and behavioural changes</w:t>
            </w:r>
            <w:r w:rsidRPr="008C63E9">
              <w:rPr>
                <w:color w:val="FF0000"/>
                <w:szCs w:val="24"/>
              </w:rPr>
              <w:t xml:space="preserve"> are </w:t>
            </w:r>
            <w:r w:rsidRPr="008C63E9">
              <w:rPr>
                <w:szCs w:val="24"/>
              </w:rPr>
              <w:t>key to reshaping or promotion sustainable food systems that improve nutrition and enable healthy diets that meet the evolving dietary needs of growing populations</w:t>
            </w:r>
            <w:r>
              <w:rPr>
                <w:szCs w:val="24"/>
              </w:rPr>
              <w:t>.</w:t>
            </w:r>
          </w:p>
          <w:p w14:paraId="0A4F6269" w14:textId="227F0594" w:rsidR="00292A31" w:rsidRDefault="00292A31" w:rsidP="00990962">
            <w:pPr>
              <w:spacing w:after="80" w:line="20" w:lineRule="atLeast"/>
              <w:rPr>
                <w:szCs w:val="24"/>
              </w:rPr>
            </w:pPr>
          </w:p>
          <w:p w14:paraId="7E05C868" w14:textId="66C52131" w:rsidR="00292A31" w:rsidRDefault="00292A31" w:rsidP="00990962">
            <w:pPr>
              <w:spacing w:after="80" w:line="20" w:lineRule="atLeast"/>
              <w:rPr>
                <w:szCs w:val="24"/>
              </w:rPr>
            </w:pPr>
            <w:r w:rsidRPr="00292A31">
              <w:rPr>
                <w:b/>
                <w:szCs w:val="24"/>
              </w:rPr>
              <w:t>Para 24</w:t>
            </w:r>
            <w:r w:rsidR="001E7C78">
              <w:rPr>
                <w:b/>
                <w:szCs w:val="24"/>
              </w:rPr>
              <w:t xml:space="preserve"> </w:t>
            </w:r>
            <w:r w:rsidR="001E2E37">
              <w:rPr>
                <w:b/>
                <w:szCs w:val="24"/>
              </w:rPr>
              <w:t>(c)</w:t>
            </w:r>
            <w:r w:rsidRPr="00292A31">
              <w:rPr>
                <w:b/>
                <w:szCs w:val="24"/>
              </w:rPr>
              <w:t>:</w:t>
            </w:r>
            <w:r>
              <w:rPr>
                <w:szCs w:val="24"/>
              </w:rPr>
              <w:t xml:space="preserve"> We welcome the consideration of</w:t>
            </w:r>
            <w:r w:rsidR="001E2E37">
              <w:rPr>
                <w:szCs w:val="24"/>
              </w:rPr>
              <w:t xml:space="preserve"> including</w:t>
            </w:r>
            <w:r>
              <w:rPr>
                <w:szCs w:val="24"/>
              </w:rPr>
              <w:t xml:space="preserve"> fiscal policies </w:t>
            </w:r>
            <w:r w:rsidR="001E2E37">
              <w:rPr>
                <w:szCs w:val="24"/>
              </w:rPr>
              <w:t xml:space="preserve">separately </w:t>
            </w:r>
            <w:r>
              <w:rPr>
                <w:szCs w:val="24"/>
              </w:rPr>
              <w:t xml:space="preserve">(which is broader than food policy) </w:t>
            </w:r>
            <w:r w:rsidR="0054096E">
              <w:rPr>
                <w:szCs w:val="24"/>
              </w:rPr>
              <w:t xml:space="preserve">(which would be </w:t>
            </w:r>
            <w:r>
              <w:rPr>
                <w:szCs w:val="24"/>
              </w:rPr>
              <w:t>in addition to the</w:t>
            </w:r>
            <w:r w:rsidR="0054096E">
              <w:rPr>
                <w:szCs w:val="24"/>
              </w:rPr>
              <w:t xml:space="preserve"> categories in the</w:t>
            </w:r>
            <w:r>
              <w:rPr>
                <w:szCs w:val="24"/>
              </w:rPr>
              <w:t xml:space="preserve"> five areas highlighted by the </w:t>
            </w:r>
            <w:r w:rsidR="00AC7376">
              <w:rPr>
                <w:szCs w:val="24"/>
              </w:rPr>
              <w:t>High-Level</w:t>
            </w:r>
            <w:r>
              <w:rPr>
                <w:szCs w:val="24"/>
              </w:rPr>
              <w:t xml:space="preserve"> Panel of Experts</w:t>
            </w:r>
            <w:r w:rsidR="0054096E">
              <w:rPr>
                <w:szCs w:val="24"/>
              </w:rPr>
              <w:t>)</w:t>
            </w:r>
            <w:r>
              <w:rPr>
                <w:szCs w:val="24"/>
              </w:rPr>
              <w:t>.</w:t>
            </w:r>
          </w:p>
          <w:p w14:paraId="3B5269F5" w14:textId="63B7A043" w:rsidR="008C63E9" w:rsidRDefault="008C63E9" w:rsidP="00990962">
            <w:pPr>
              <w:spacing w:after="80" w:line="20" w:lineRule="atLeast"/>
              <w:rPr>
                <w:szCs w:val="24"/>
              </w:rPr>
            </w:pPr>
          </w:p>
          <w:p w14:paraId="1C271496" w14:textId="5E8571D5" w:rsidR="007059C9" w:rsidRPr="001E7C78" w:rsidRDefault="008C63E9" w:rsidP="001857EB">
            <w:pPr>
              <w:spacing w:after="80" w:line="20" w:lineRule="atLeast"/>
              <w:rPr>
                <w:szCs w:val="24"/>
              </w:rPr>
            </w:pPr>
            <w:r w:rsidRPr="0048026C">
              <w:rPr>
                <w:b/>
                <w:szCs w:val="24"/>
              </w:rPr>
              <w:t>Para 26</w:t>
            </w:r>
            <w:r>
              <w:rPr>
                <w:szCs w:val="24"/>
              </w:rPr>
              <w:t>: Caution should be applied in listing the private sector in policy discussion and implementation processes</w:t>
            </w:r>
            <w:r w:rsidR="00FF350F">
              <w:rPr>
                <w:szCs w:val="24"/>
              </w:rPr>
              <w:t>. There should be</w:t>
            </w:r>
            <w:r w:rsidR="00A06C8E">
              <w:rPr>
                <w:szCs w:val="24"/>
              </w:rPr>
              <w:t xml:space="preserve"> stipulated</w:t>
            </w:r>
            <w:r w:rsidR="00FF350F">
              <w:rPr>
                <w:szCs w:val="24"/>
              </w:rPr>
              <w:t xml:space="preserve"> limits in the role that the private sector (namely food manufacturing companies) should play, given that these companies are often the targets that policy makers seek to regulate.</w:t>
            </w:r>
            <w:r w:rsidR="00374CB6">
              <w:rPr>
                <w:szCs w:val="24"/>
              </w:rPr>
              <w:t xml:space="preserve"> Managing conflict of interest should be a key priority.</w:t>
            </w:r>
          </w:p>
        </w:tc>
      </w:tr>
    </w:tbl>
    <w:p w14:paraId="1178B8FE" w14:textId="77777777" w:rsidR="007059C9" w:rsidRPr="007059C9" w:rsidRDefault="007059C9" w:rsidP="007059C9">
      <w:pPr>
        <w:autoSpaceDE w:val="0"/>
        <w:autoSpaceDN w:val="0"/>
        <w:adjustRightInd w:val="0"/>
        <w:spacing w:after="200" w:line="276" w:lineRule="auto"/>
        <w:jc w:val="both"/>
        <w:rPr>
          <w:rFonts w:ascii="Calibri" w:eastAsia="Times New Roman" w:hAnsi="Calibri" w:cs="Times New Roman"/>
          <w:lang w:eastAsia="it-IT"/>
        </w:rPr>
      </w:pPr>
    </w:p>
    <w:p w14:paraId="5F5D9740" w14:textId="77777777"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lastRenderedPageBreak/>
        <w:t>What should be the guiding principles to promote sustainable food systems that improve nutrition and enable healthy diets? What are your comments about the principles outlined in Chapter 2? Are they the most appropriate for your national/regional contexts?</w:t>
      </w:r>
    </w:p>
    <w:tbl>
      <w:tblPr>
        <w:tblStyle w:val="TableGrid"/>
        <w:tblW w:w="9748" w:type="dxa"/>
        <w:tblLook w:val="04A0" w:firstRow="1" w:lastRow="0" w:firstColumn="1" w:lastColumn="0" w:noHBand="0" w:noVBand="1"/>
      </w:tblPr>
      <w:tblGrid>
        <w:gridCol w:w="9748"/>
      </w:tblGrid>
      <w:tr w:rsidR="007059C9" w14:paraId="6FB83C4E" w14:textId="77777777" w:rsidTr="00775550">
        <w:trPr>
          <w:trHeight w:val="1648"/>
        </w:trPr>
        <w:tc>
          <w:tcPr>
            <w:tcW w:w="9748" w:type="dxa"/>
          </w:tcPr>
          <w:p w14:paraId="6E0C7A2F" w14:textId="3BE28445" w:rsidR="001857EB" w:rsidRPr="001E7C78" w:rsidRDefault="001857EB" w:rsidP="001857EB">
            <w:pPr>
              <w:spacing w:after="80" w:line="20" w:lineRule="atLeast"/>
              <w:rPr>
                <w:szCs w:val="24"/>
              </w:rPr>
            </w:pPr>
            <w:r w:rsidRPr="0048026C">
              <w:rPr>
                <w:b/>
                <w:szCs w:val="24"/>
              </w:rPr>
              <w:t>Para 36 (c):</w:t>
            </w:r>
            <w:r w:rsidRPr="001857EB">
              <w:rPr>
                <w:szCs w:val="24"/>
              </w:rPr>
              <w:t xml:space="preserve"> We think there should be a specific mention of policies that contribute to the reduction of non-communicable disease</w:t>
            </w:r>
            <w:r w:rsidR="00791F25">
              <w:rPr>
                <w:szCs w:val="24"/>
              </w:rPr>
              <w:t>s</w:t>
            </w:r>
            <w:r w:rsidRPr="001857EB">
              <w:rPr>
                <w:szCs w:val="24"/>
              </w:rPr>
              <w:t xml:space="preserve">. </w:t>
            </w:r>
          </w:p>
        </w:tc>
      </w:tr>
    </w:tbl>
    <w:p w14:paraId="09EE7772" w14:textId="77777777" w:rsidR="007059C9" w:rsidRPr="007059C9" w:rsidRDefault="007059C9" w:rsidP="007059C9">
      <w:pPr>
        <w:autoSpaceDE w:val="0"/>
        <w:autoSpaceDN w:val="0"/>
        <w:adjustRightInd w:val="0"/>
        <w:spacing w:after="200" w:line="276" w:lineRule="auto"/>
        <w:ind w:left="-76"/>
        <w:jc w:val="both"/>
        <w:rPr>
          <w:rFonts w:ascii="Calibri" w:eastAsia="Times New Roman" w:hAnsi="Calibri" w:cs="Times New Roman"/>
          <w:lang w:eastAsia="it-IT"/>
        </w:rPr>
      </w:pPr>
    </w:p>
    <w:p w14:paraId="1C6914AD" w14:textId="77777777"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In consideration of the polic</w:t>
      </w:r>
      <w:r w:rsidR="004E3B75">
        <w:rPr>
          <w:rFonts w:ascii="Calibri" w:eastAsia="Times New Roman" w:hAnsi="Calibri" w:cs="Times New Roman"/>
          <w:b/>
          <w:lang w:eastAsia="it-IT"/>
        </w:rPr>
        <w:t>y areas identified in Chapter 3</w:t>
      </w:r>
      <w:r w:rsidRPr="007059C9">
        <w:rPr>
          <w:rFonts w:ascii="Calibri" w:eastAsia="Times New Roman" w:hAnsi="Calibri" w:cs="Times New Roman"/>
          <w:b/>
          <w:lang w:eastAsia="it-IT"/>
        </w:rPr>
        <w:t xml:space="preserve"> and the enabling factors suggested in paragraph 41 of the Zero Draft, what policy entry points should be covered in Chapter 3, taking into account the need to foster policy coherence and address policy fragmentation? </w:t>
      </w:r>
    </w:p>
    <w:tbl>
      <w:tblPr>
        <w:tblStyle w:val="TableGrid"/>
        <w:tblW w:w="9748" w:type="dxa"/>
        <w:tblLook w:val="04A0" w:firstRow="1" w:lastRow="0" w:firstColumn="1" w:lastColumn="0" w:noHBand="0" w:noVBand="1"/>
      </w:tblPr>
      <w:tblGrid>
        <w:gridCol w:w="9748"/>
      </w:tblGrid>
      <w:tr w:rsidR="007059C9" w14:paraId="2DDDAA7F" w14:textId="77777777" w:rsidTr="00D8646D">
        <w:trPr>
          <w:trHeight w:val="1790"/>
        </w:trPr>
        <w:tc>
          <w:tcPr>
            <w:tcW w:w="9748" w:type="dxa"/>
          </w:tcPr>
          <w:p w14:paraId="64B996F7" w14:textId="1FA2DC10" w:rsidR="00F1213F" w:rsidRPr="00F1213F" w:rsidRDefault="00F1213F" w:rsidP="00990962">
            <w:pPr>
              <w:spacing w:after="80" w:line="20" w:lineRule="atLeast"/>
              <w:rPr>
                <w:szCs w:val="24"/>
                <w:u w:val="single"/>
              </w:rPr>
            </w:pPr>
            <w:r w:rsidRPr="00F1213F">
              <w:rPr>
                <w:b/>
                <w:szCs w:val="24"/>
                <w:u w:val="single"/>
              </w:rPr>
              <w:t>General comments</w:t>
            </w:r>
            <w:r w:rsidRPr="00F1213F">
              <w:rPr>
                <w:szCs w:val="24"/>
                <w:u w:val="single"/>
              </w:rPr>
              <w:t>:</w:t>
            </w:r>
          </w:p>
          <w:p w14:paraId="04E09667" w14:textId="0D14BE2F" w:rsidR="007059C9" w:rsidRDefault="00DC3109" w:rsidP="00990962">
            <w:pPr>
              <w:spacing w:after="80" w:line="20" w:lineRule="atLeast"/>
              <w:rPr>
                <w:szCs w:val="24"/>
              </w:rPr>
            </w:pPr>
            <w:r>
              <w:rPr>
                <w:szCs w:val="24"/>
              </w:rPr>
              <w:t xml:space="preserve">From our experience </w:t>
            </w:r>
            <w:r w:rsidR="00D8646D">
              <w:rPr>
                <w:szCs w:val="24"/>
              </w:rPr>
              <w:t>of</w:t>
            </w:r>
            <w:r>
              <w:rPr>
                <w:szCs w:val="24"/>
              </w:rPr>
              <w:t xml:space="preserve"> monitoring food policy around the world</w:t>
            </w:r>
            <w:r w:rsidR="00D8646D">
              <w:rPr>
                <w:szCs w:val="24"/>
              </w:rPr>
              <w:t xml:space="preserve"> (through </w:t>
            </w:r>
            <w:hyperlink r:id="rId9" w:history="1">
              <w:r w:rsidR="00D8646D" w:rsidRPr="00D8646D">
                <w:rPr>
                  <w:rStyle w:val="Hyperlink"/>
                  <w:szCs w:val="24"/>
                </w:rPr>
                <w:t>our policy database</w:t>
              </w:r>
            </w:hyperlink>
            <w:r w:rsidR="00D8646D">
              <w:rPr>
                <w:szCs w:val="24"/>
              </w:rPr>
              <w:t xml:space="preserve"> NOURISHING),</w:t>
            </w:r>
            <w:r>
              <w:rPr>
                <w:szCs w:val="24"/>
              </w:rPr>
              <w:t xml:space="preserve"> we have seen that voluntary policy action is not as effective as mandatory policy action and is very vulnerable to conflicts of interest and industry interference. Therefore, when Part III is developed in further drafts we consider it would benefit from the most rigorous wording possible in relation to good practice policy design</w:t>
            </w:r>
            <w:r w:rsidR="00CF1530">
              <w:rPr>
                <w:szCs w:val="24"/>
              </w:rPr>
              <w:t xml:space="preserve">. </w:t>
            </w:r>
            <w:r>
              <w:rPr>
                <w:szCs w:val="24"/>
              </w:rPr>
              <w:t>We would advocate that the guidelines promote mandatory measures where possible as it is shown that these are the most effective tools for delivering change within the food system.</w:t>
            </w:r>
          </w:p>
          <w:p w14:paraId="3539805E" w14:textId="45E1261B" w:rsidR="001E7C78" w:rsidRDefault="001E7C78" w:rsidP="00990962">
            <w:pPr>
              <w:spacing w:after="80" w:line="20" w:lineRule="atLeast"/>
              <w:rPr>
                <w:szCs w:val="24"/>
              </w:rPr>
            </w:pPr>
          </w:p>
          <w:p w14:paraId="697FC0E8" w14:textId="7A2C9B1B" w:rsidR="00F1213F" w:rsidRPr="00F1213F" w:rsidRDefault="00F1213F" w:rsidP="00990962">
            <w:pPr>
              <w:spacing w:after="80" w:line="20" w:lineRule="atLeast"/>
              <w:rPr>
                <w:b/>
                <w:szCs w:val="24"/>
                <w:u w:val="single"/>
              </w:rPr>
            </w:pPr>
            <w:r w:rsidRPr="00F1213F">
              <w:rPr>
                <w:b/>
                <w:szCs w:val="24"/>
                <w:u w:val="single"/>
              </w:rPr>
              <w:t>Specific comments:</w:t>
            </w:r>
          </w:p>
          <w:p w14:paraId="174244F3" w14:textId="77777777" w:rsidR="001E7C78" w:rsidRDefault="001E7C78" w:rsidP="001E7C78">
            <w:pPr>
              <w:spacing w:after="80" w:line="20" w:lineRule="atLeast"/>
              <w:rPr>
                <w:b/>
                <w:szCs w:val="24"/>
              </w:rPr>
            </w:pPr>
            <w:r>
              <w:rPr>
                <w:b/>
                <w:szCs w:val="24"/>
              </w:rPr>
              <w:t xml:space="preserve">Para 40: </w:t>
            </w:r>
            <w:r w:rsidRPr="001857EB">
              <w:rPr>
                <w:szCs w:val="24"/>
              </w:rPr>
              <w:t xml:space="preserve">We think it would be worth adding an objective </w:t>
            </w:r>
            <w:r>
              <w:rPr>
                <w:szCs w:val="24"/>
              </w:rPr>
              <w:t xml:space="preserve">to </w:t>
            </w:r>
            <w:r w:rsidRPr="001857EB">
              <w:rPr>
                <w:szCs w:val="24"/>
              </w:rPr>
              <w:t xml:space="preserve">the Voluntary Guidelines around ‘supporting </w:t>
            </w:r>
            <w:r w:rsidRPr="0048026C">
              <w:rPr>
                <w:color w:val="FF0000"/>
                <w:szCs w:val="24"/>
              </w:rPr>
              <w:t>robust and evidence-based policy design’</w:t>
            </w:r>
            <w:r>
              <w:rPr>
                <w:szCs w:val="24"/>
              </w:rPr>
              <w:t>.</w:t>
            </w:r>
          </w:p>
          <w:p w14:paraId="68267AEA" w14:textId="77777777" w:rsidR="00DC3109" w:rsidRDefault="00DC3109" w:rsidP="00990962">
            <w:pPr>
              <w:spacing w:after="80" w:line="20" w:lineRule="atLeast"/>
              <w:rPr>
                <w:b/>
                <w:szCs w:val="24"/>
              </w:rPr>
            </w:pPr>
          </w:p>
          <w:p w14:paraId="532148F5" w14:textId="79FE668B" w:rsidR="009A73C7" w:rsidRPr="001E7C78" w:rsidRDefault="009A73C7" w:rsidP="00990962">
            <w:pPr>
              <w:spacing w:after="80" w:line="20" w:lineRule="atLeast"/>
              <w:rPr>
                <w:szCs w:val="24"/>
              </w:rPr>
            </w:pPr>
            <w:r w:rsidRPr="009A73C7">
              <w:rPr>
                <w:b/>
                <w:szCs w:val="24"/>
              </w:rPr>
              <w:t>P</w:t>
            </w:r>
            <w:r w:rsidR="00374CB6" w:rsidRPr="009A73C7">
              <w:rPr>
                <w:b/>
                <w:szCs w:val="24"/>
              </w:rPr>
              <w:t>ara 41:</w:t>
            </w:r>
            <w:r w:rsidR="00374CB6">
              <w:rPr>
                <w:szCs w:val="24"/>
              </w:rPr>
              <w:t xml:space="preserve"> It would be helpful to add ‘managing conflict of interest’</w:t>
            </w:r>
            <w:r>
              <w:rPr>
                <w:szCs w:val="24"/>
              </w:rPr>
              <w:t xml:space="preserve"> explicitly when talking about transparent and accountable governance of food systems.</w:t>
            </w:r>
          </w:p>
          <w:p w14:paraId="02B12139" w14:textId="77777777" w:rsidR="001E7C78" w:rsidRDefault="001E7C78" w:rsidP="00990962">
            <w:pPr>
              <w:spacing w:after="80" w:line="20" w:lineRule="atLeast"/>
              <w:rPr>
                <w:b/>
                <w:szCs w:val="24"/>
              </w:rPr>
            </w:pPr>
          </w:p>
          <w:p w14:paraId="7B14E7EB" w14:textId="2270CD6D" w:rsidR="009A73C7" w:rsidRDefault="0054096E" w:rsidP="00990962">
            <w:pPr>
              <w:spacing w:after="80" w:line="20" w:lineRule="atLeast"/>
              <w:rPr>
                <w:szCs w:val="24"/>
              </w:rPr>
            </w:pPr>
            <w:r w:rsidRPr="0054096E">
              <w:rPr>
                <w:b/>
                <w:szCs w:val="24"/>
              </w:rPr>
              <w:t>Para 43:</w:t>
            </w:r>
            <w:r>
              <w:rPr>
                <w:szCs w:val="24"/>
              </w:rPr>
              <w:t xml:space="preserve"> </w:t>
            </w:r>
            <w:r w:rsidR="009A73C7" w:rsidRPr="009A73C7">
              <w:rPr>
                <w:szCs w:val="24"/>
              </w:rPr>
              <w:t xml:space="preserve">Managing commercial practices </w:t>
            </w:r>
            <w:r w:rsidR="009A73C7">
              <w:rPr>
                <w:szCs w:val="24"/>
              </w:rPr>
              <w:t xml:space="preserve">and conflict of interest </w:t>
            </w:r>
            <w:r w:rsidR="009A73C7" w:rsidRPr="009A73C7">
              <w:rPr>
                <w:szCs w:val="24"/>
              </w:rPr>
              <w:t xml:space="preserve">to promote healthy eating would also be welcome </w:t>
            </w:r>
            <w:r w:rsidR="009A73C7">
              <w:rPr>
                <w:szCs w:val="24"/>
              </w:rPr>
              <w:t xml:space="preserve">throughout </w:t>
            </w:r>
            <w:r w:rsidR="009A73C7" w:rsidRPr="009A73C7">
              <w:rPr>
                <w:szCs w:val="24"/>
              </w:rPr>
              <w:t>a-k.</w:t>
            </w:r>
          </w:p>
          <w:p w14:paraId="0B2D5C89" w14:textId="77777777" w:rsidR="009A73C7" w:rsidRDefault="009A73C7" w:rsidP="00990962">
            <w:pPr>
              <w:spacing w:after="80" w:line="20" w:lineRule="atLeast"/>
              <w:rPr>
                <w:szCs w:val="24"/>
              </w:rPr>
            </w:pPr>
          </w:p>
          <w:p w14:paraId="6643BC39" w14:textId="2C98BD39" w:rsidR="009A73C7" w:rsidRDefault="009A73C7" w:rsidP="009A73C7">
            <w:pPr>
              <w:spacing w:after="80" w:line="20" w:lineRule="atLeast"/>
              <w:rPr>
                <w:szCs w:val="24"/>
              </w:rPr>
            </w:pPr>
            <w:r>
              <w:rPr>
                <w:b/>
                <w:szCs w:val="24"/>
              </w:rPr>
              <w:t>Para 47</w:t>
            </w:r>
            <w:r w:rsidR="0054096E">
              <w:rPr>
                <w:b/>
                <w:szCs w:val="24"/>
              </w:rPr>
              <w:t xml:space="preserve">: </w:t>
            </w:r>
            <w:r w:rsidRPr="003E5B44">
              <w:rPr>
                <w:szCs w:val="24"/>
              </w:rPr>
              <w:t xml:space="preserve">It would be good to understand why the </w:t>
            </w:r>
            <w:hyperlink r:id="rId10" w:history="1">
              <w:r w:rsidRPr="00374CB6">
                <w:rPr>
                  <w:rStyle w:val="Hyperlink"/>
                  <w:szCs w:val="24"/>
                </w:rPr>
                <w:t>WHO Best Buys and other recommended interventions</w:t>
              </w:r>
            </w:hyperlink>
            <w:r w:rsidRPr="003E5B44">
              <w:rPr>
                <w:szCs w:val="24"/>
              </w:rPr>
              <w:t xml:space="preserve"> are not </w:t>
            </w:r>
            <w:r w:rsidR="00292A31" w:rsidRPr="003E5B44">
              <w:rPr>
                <w:szCs w:val="24"/>
              </w:rPr>
              <w:t xml:space="preserve">explicitly </w:t>
            </w:r>
            <w:r w:rsidRPr="003E5B44">
              <w:rPr>
                <w:szCs w:val="24"/>
              </w:rPr>
              <w:t>cited in the section relating to Food Environments</w:t>
            </w:r>
            <w:r>
              <w:rPr>
                <w:szCs w:val="24"/>
              </w:rPr>
              <w:t xml:space="preserve"> as this would aid policy coherence and address policy fragmentation.</w:t>
            </w:r>
          </w:p>
          <w:p w14:paraId="4F98C959" w14:textId="77777777" w:rsidR="009A73C7" w:rsidRDefault="009A73C7" w:rsidP="009A73C7">
            <w:pPr>
              <w:spacing w:after="80" w:line="20" w:lineRule="atLeast"/>
              <w:rPr>
                <w:b/>
                <w:szCs w:val="24"/>
              </w:rPr>
            </w:pPr>
          </w:p>
          <w:p w14:paraId="337131BA" w14:textId="19C1D4FB" w:rsidR="009A73C7" w:rsidRDefault="009A73C7" w:rsidP="009A73C7">
            <w:pPr>
              <w:spacing w:after="80" w:line="20" w:lineRule="atLeast"/>
              <w:rPr>
                <w:szCs w:val="24"/>
              </w:rPr>
            </w:pPr>
            <w:r w:rsidRPr="003E5B44">
              <w:rPr>
                <w:szCs w:val="24"/>
              </w:rPr>
              <w:t>Furthermore</w:t>
            </w:r>
            <w:r>
              <w:rPr>
                <w:szCs w:val="24"/>
              </w:rPr>
              <w:t xml:space="preserve">, it is important to add civil society, who also have an important role in supporting the shift towards healthier and more sustainable food environments. </w:t>
            </w:r>
          </w:p>
          <w:p w14:paraId="3C1465E5" w14:textId="7595CB52" w:rsidR="0054096E" w:rsidRDefault="0054096E" w:rsidP="009A73C7">
            <w:pPr>
              <w:spacing w:after="80" w:line="20" w:lineRule="atLeast"/>
              <w:rPr>
                <w:szCs w:val="24"/>
              </w:rPr>
            </w:pPr>
          </w:p>
          <w:p w14:paraId="53FA3B0F" w14:textId="1A26531A" w:rsidR="0054096E" w:rsidRDefault="0054096E" w:rsidP="0054096E">
            <w:pPr>
              <w:spacing w:after="80" w:line="20" w:lineRule="atLeast"/>
              <w:rPr>
                <w:b/>
                <w:szCs w:val="24"/>
              </w:rPr>
            </w:pPr>
            <w:r w:rsidRPr="0054096E">
              <w:rPr>
                <w:b/>
                <w:szCs w:val="24"/>
              </w:rPr>
              <w:lastRenderedPageBreak/>
              <w:t>Para 50 (b):</w:t>
            </w:r>
            <w:r w:rsidRPr="00374CB6">
              <w:rPr>
                <w:szCs w:val="24"/>
              </w:rPr>
              <w:t xml:space="preserve"> </w:t>
            </w:r>
            <w:r w:rsidR="00BF358A">
              <w:rPr>
                <w:szCs w:val="24"/>
              </w:rPr>
              <w:t>We welcome the inclusion of fiscal policies in the document as evidence shows this is an effective way to change consumption pattern</w:t>
            </w:r>
            <w:r w:rsidR="001E7C78">
              <w:rPr>
                <w:szCs w:val="24"/>
              </w:rPr>
              <w:t>s</w:t>
            </w:r>
            <w:r w:rsidR="00BF358A">
              <w:rPr>
                <w:szCs w:val="24"/>
              </w:rPr>
              <w:t xml:space="preserve">. </w:t>
            </w:r>
            <w:r w:rsidR="00D8646D">
              <w:rPr>
                <w:szCs w:val="24"/>
              </w:rPr>
              <w:t>However</w:t>
            </w:r>
            <w:r w:rsidR="00BF358A">
              <w:rPr>
                <w:szCs w:val="24"/>
              </w:rPr>
              <w:t xml:space="preserve"> the introduction of fiscal policies can be vulnerable to attack from the private sector</w:t>
            </w:r>
            <w:r w:rsidR="00D8646D">
              <w:rPr>
                <w:szCs w:val="24"/>
              </w:rPr>
              <w:t xml:space="preserve"> so the guidelines should reflect robust and transparent policy development processes</w:t>
            </w:r>
            <w:r w:rsidR="00BF358A">
              <w:rPr>
                <w:szCs w:val="24"/>
              </w:rPr>
              <w:t xml:space="preserve">. </w:t>
            </w:r>
            <w:r>
              <w:rPr>
                <w:szCs w:val="24"/>
              </w:rPr>
              <w:t xml:space="preserve">More information about designing and implementing sugar sweetened beverage taxes (which can apply to other </w:t>
            </w:r>
            <w:r w:rsidR="00BF358A">
              <w:rPr>
                <w:szCs w:val="24"/>
              </w:rPr>
              <w:t>fiscal policies</w:t>
            </w:r>
            <w:r>
              <w:rPr>
                <w:szCs w:val="24"/>
              </w:rPr>
              <w:t xml:space="preserve">) can be found here in our report </w:t>
            </w:r>
            <w:hyperlink r:id="rId11" w:history="1">
              <w:r w:rsidRPr="0054096E">
                <w:rPr>
                  <w:rStyle w:val="Hyperlink"/>
                  <w:szCs w:val="24"/>
                </w:rPr>
                <w:t>‘Building Momentum: Lessons on implementing a robust sugar sweetened beverage tax.</w:t>
              </w:r>
            </w:hyperlink>
            <w:r>
              <w:rPr>
                <w:szCs w:val="24"/>
              </w:rPr>
              <w:t xml:space="preserve"> </w:t>
            </w:r>
          </w:p>
          <w:p w14:paraId="188D709C" w14:textId="77777777" w:rsidR="009A73C7" w:rsidRDefault="009A73C7" w:rsidP="009A73C7">
            <w:pPr>
              <w:spacing w:after="80" w:line="20" w:lineRule="atLeast"/>
              <w:rPr>
                <w:szCs w:val="24"/>
              </w:rPr>
            </w:pPr>
          </w:p>
          <w:p w14:paraId="36F69C79" w14:textId="42E845DA" w:rsidR="009A73C7" w:rsidRPr="001E7C78" w:rsidRDefault="009A73C7" w:rsidP="00990962">
            <w:pPr>
              <w:spacing w:after="80" w:line="20" w:lineRule="atLeast"/>
              <w:rPr>
                <w:b/>
                <w:szCs w:val="24"/>
              </w:rPr>
            </w:pPr>
            <w:r>
              <w:rPr>
                <w:b/>
                <w:szCs w:val="24"/>
              </w:rPr>
              <w:t xml:space="preserve">Para </w:t>
            </w:r>
            <w:r w:rsidRPr="00570F5F">
              <w:rPr>
                <w:b/>
                <w:szCs w:val="24"/>
              </w:rPr>
              <w:t>51 (b)</w:t>
            </w:r>
            <w:r>
              <w:rPr>
                <w:b/>
                <w:szCs w:val="24"/>
              </w:rPr>
              <w:t xml:space="preserve"> </w:t>
            </w:r>
            <w:r w:rsidRPr="00374CB6">
              <w:rPr>
                <w:szCs w:val="24"/>
              </w:rPr>
              <w:t xml:space="preserve">It would </w:t>
            </w:r>
            <w:r w:rsidR="00471364">
              <w:rPr>
                <w:szCs w:val="24"/>
              </w:rPr>
              <w:t xml:space="preserve">be </w:t>
            </w:r>
            <w:bookmarkStart w:id="0" w:name="_GoBack"/>
            <w:bookmarkEnd w:id="0"/>
            <w:r w:rsidRPr="00374CB6">
              <w:rPr>
                <w:szCs w:val="24"/>
              </w:rPr>
              <w:t>good to</w:t>
            </w:r>
            <w:r>
              <w:rPr>
                <w:b/>
                <w:szCs w:val="24"/>
              </w:rPr>
              <w:t xml:space="preserve"> </w:t>
            </w:r>
            <w:r>
              <w:rPr>
                <w:szCs w:val="24"/>
              </w:rPr>
              <w:t>state</w:t>
            </w:r>
            <w:r w:rsidRPr="00374CB6">
              <w:rPr>
                <w:szCs w:val="24"/>
              </w:rPr>
              <w:t xml:space="preserve"> that mandatory labelling</w:t>
            </w:r>
            <w:r w:rsidR="00D8646D">
              <w:rPr>
                <w:szCs w:val="24"/>
              </w:rPr>
              <w:t xml:space="preserve"> (where possible)</w:t>
            </w:r>
            <w:r w:rsidRPr="00374CB6">
              <w:rPr>
                <w:szCs w:val="24"/>
              </w:rPr>
              <w:t xml:space="preserve"> would be the preferred option</w:t>
            </w:r>
            <w:r>
              <w:rPr>
                <w:szCs w:val="24"/>
              </w:rPr>
              <w:t xml:space="preserve">. More information about designing and implementing front of pack labelling can be found here in our report </w:t>
            </w:r>
            <w:hyperlink r:id="rId12" w:history="1">
              <w:r w:rsidRPr="000A3589">
                <w:rPr>
                  <w:rStyle w:val="Hyperlink"/>
                  <w:szCs w:val="24"/>
                </w:rPr>
                <w:t>‘Building Momentum: Lessons on implementing a robust front-of-pack label</w:t>
              </w:r>
              <w:r w:rsidR="000A3589" w:rsidRPr="000A3589">
                <w:rPr>
                  <w:rStyle w:val="Hyperlink"/>
                  <w:szCs w:val="24"/>
                </w:rPr>
                <w:t>s.</w:t>
              </w:r>
            </w:hyperlink>
            <w:r>
              <w:rPr>
                <w:szCs w:val="24"/>
              </w:rPr>
              <w:t xml:space="preserve"> </w:t>
            </w:r>
          </w:p>
        </w:tc>
      </w:tr>
    </w:tbl>
    <w:p w14:paraId="2BE28A21" w14:textId="77777777" w:rsidR="007059C9" w:rsidRPr="007059C9" w:rsidRDefault="007059C9" w:rsidP="007059C9">
      <w:pPr>
        <w:autoSpaceDE w:val="0"/>
        <w:autoSpaceDN w:val="0"/>
        <w:adjustRightInd w:val="0"/>
        <w:spacing w:after="200" w:line="276" w:lineRule="auto"/>
        <w:ind w:left="-76"/>
        <w:jc w:val="both"/>
        <w:rPr>
          <w:rFonts w:ascii="Calibri" w:eastAsia="Times New Roman" w:hAnsi="Calibri" w:cs="Times New Roman"/>
          <w:lang w:eastAsia="it-IT"/>
        </w:rPr>
      </w:pPr>
    </w:p>
    <w:p w14:paraId="2CD9CC1C" w14:textId="77777777"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 xml:space="preserve">Can you provide specific examples of </w:t>
      </w:r>
      <w:r w:rsidR="00645808">
        <w:rPr>
          <w:rFonts w:ascii="Calibri" w:eastAsia="Times New Roman" w:hAnsi="Calibri" w:cs="Times New Roman"/>
          <w:b/>
          <w:lang w:eastAsia="it-IT"/>
        </w:rPr>
        <w:t>new</w:t>
      </w:r>
      <w:r w:rsidRPr="007059C9">
        <w:rPr>
          <w:rFonts w:ascii="Calibri" w:eastAsia="Times New Roman" w:hAnsi="Calibri" w:cs="Times New Roman"/>
          <w:b/>
          <w:lang w:eastAsia="it-IT"/>
        </w:rPr>
        <w:t xml:space="preserve"> policies, interventions,</w:t>
      </w:r>
      <w:r w:rsidR="00645808">
        <w:rPr>
          <w:rFonts w:ascii="Calibri" w:eastAsia="Times New Roman" w:hAnsi="Calibri" w:cs="Times New Roman"/>
          <w:b/>
          <w:lang w:eastAsia="it-IT"/>
        </w:rPr>
        <w:t xml:space="preserve"> initiatives, alliances</w:t>
      </w:r>
      <w:r w:rsidRPr="007059C9">
        <w:rPr>
          <w:rFonts w:ascii="Calibri" w:eastAsia="Times New Roman" w:hAnsi="Calibri" w:cs="Times New Roman"/>
          <w:b/>
          <w:lang w:eastAsia="it-IT"/>
        </w:rPr>
        <w:t xml:space="preserve"> and institutional arrangements</w:t>
      </w:r>
      <w:r w:rsidR="00645808">
        <w:rPr>
          <w:rFonts w:ascii="Calibri" w:eastAsia="Times New Roman" w:hAnsi="Calibri" w:cs="Times New Roman"/>
          <w:b/>
          <w:lang w:eastAsia="it-IT"/>
        </w:rPr>
        <w:t xml:space="preserve"> which should be considered</w:t>
      </w:r>
      <w:r w:rsidRPr="007059C9">
        <w:rPr>
          <w:rFonts w:ascii="Calibri" w:eastAsia="Times New Roman" w:hAnsi="Calibri" w:cs="Times New Roman"/>
          <w:b/>
          <w:lang w:eastAsia="it-IT"/>
        </w:rPr>
        <w:t>, as well as challenges, constraints, and trade-offs relevant to the three constituent elements of food systems presented in Chapter 3? In your view, what would the “ideal” food system look like, and what targets/metrics can help guide policy-making?</w:t>
      </w:r>
    </w:p>
    <w:tbl>
      <w:tblPr>
        <w:tblStyle w:val="TableGrid"/>
        <w:tblW w:w="9748" w:type="dxa"/>
        <w:tblLook w:val="04A0" w:firstRow="1" w:lastRow="0" w:firstColumn="1" w:lastColumn="0" w:noHBand="0" w:noVBand="1"/>
      </w:tblPr>
      <w:tblGrid>
        <w:gridCol w:w="9748"/>
      </w:tblGrid>
      <w:tr w:rsidR="007059C9" w14:paraId="4AB530BA" w14:textId="77777777" w:rsidTr="00990962">
        <w:trPr>
          <w:trHeight w:val="2529"/>
        </w:trPr>
        <w:tc>
          <w:tcPr>
            <w:tcW w:w="9748" w:type="dxa"/>
          </w:tcPr>
          <w:p w14:paraId="3A7829E3" w14:textId="4684C594" w:rsidR="007059C9" w:rsidRDefault="002425DF" w:rsidP="00990962">
            <w:pPr>
              <w:spacing w:after="80" w:line="20" w:lineRule="atLeast"/>
              <w:rPr>
                <w:szCs w:val="24"/>
              </w:rPr>
            </w:pPr>
            <w:r>
              <w:rPr>
                <w:noProof/>
              </w:rPr>
              <w:drawing>
                <wp:anchor distT="0" distB="0" distL="114300" distR="114300" simplePos="0" relativeHeight="251658240" behindDoc="0" locked="0" layoutInCell="1" allowOverlap="1" wp14:anchorId="3E19D13C" wp14:editId="7BE87D11">
                  <wp:simplePos x="0" y="0"/>
                  <wp:positionH relativeFrom="column">
                    <wp:posOffset>-58805</wp:posOffset>
                  </wp:positionH>
                  <wp:positionV relativeFrom="paragraph">
                    <wp:posOffset>60</wp:posOffset>
                  </wp:positionV>
                  <wp:extent cx="2138045" cy="2738755"/>
                  <wp:effectExtent l="0" t="0" r="0" b="4445"/>
                  <wp:wrapSquare wrapText="bothSides"/>
                  <wp:docPr id="1" name="Picture 1" descr="/var/folders/f7/n173fsm96tqb80xr5x02t0t40000gp/T/com.microsoft.Word/WebArchiveCopyPasteTempFiles/PPA-Nourishing_April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f7/n173fsm96tqb80xr5x02t0t40000gp/T/com.microsoft.Word/WebArchiveCopyPasteTempFiles/PPA-Nourishing_April1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8045" cy="2738755"/>
                          </a:xfrm>
                          <a:prstGeom prst="rect">
                            <a:avLst/>
                          </a:prstGeom>
                          <a:noFill/>
                          <a:ln>
                            <a:noFill/>
                          </a:ln>
                        </pic:spPr>
                      </pic:pic>
                    </a:graphicData>
                  </a:graphic>
                  <wp14:sizeRelH relativeFrom="page">
                    <wp14:pctWidth>0</wp14:pctWidth>
                  </wp14:sizeRelH>
                  <wp14:sizeRelV relativeFrom="page">
                    <wp14:pctHeight>0</wp14:pctHeight>
                  </wp14:sizeRelV>
                </wp:anchor>
              </w:drawing>
            </w:r>
            <w:r w:rsidR="009A73C7" w:rsidRPr="009A73C7">
              <w:rPr>
                <w:szCs w:val="24"/>
              </w:rPr>
              <w:t xml:space="preserve">We have the </w:t>
            </w:r>
            <w:hyperlink r:id="rId14" w:history="1">
              <w:r w:rsidR="009A73C7" w:rsidRPr="000A3589">
                <w:rPr>
                  <w:rStyle w:val="Hyperlink"/>
                  <w:szCs w:val="24"/>
                </w:rPr>
                <w:t>NOURISHING policy framework</w:t>
              </w:r>
              <w:r w:rsidR="00D41C96" w:rsidRPr="000A3589">
                <w:rPr>
                  <w:rStyle w:val="Hyperlink"/>
                  <w:szCs w:val="24"/>
                </w:rPr>
                <w:t xml:space="preserve"> </w:t>
              </w:r>
            </w:hyperlink>
            <w:r w:rsidR="009A73C7" w:rsidRPr="009A73C7">
              <w:rPr>
                <w:szCs w:val="24"/>
              </w:rPr>
              <w:t xml:space="preserve"> which lists a comprehensive package of policy interventions</w:t>
            </w:r>
            <w:r w:rsidR="00A75784">
              <w:rPr>
                <w:szCs w:val="24"/>
              </w:rPr>
              <w:t xml:space="preserve"> that can </w:t>
            </w:r>
            <w:r w:rsidR="00201E8D">
              <w:rPr>
                <w:szCs w:val="24"/>
              </w:rPr>
              <w:t>address</w:t>
            </w:r>
            <w:r w:rsidR="00A75784">
              <w:rPr>
                <w:szCs w:val="24"/>
              </w:rPr>
              <w:t xml:space="preserve"> </w:t>
            </w:r>
            <w:r w:rsidR="00201E8D">
              <w:rPr>
                <w:szCs w:val="24"/>
              </w:rPr>
              <w:t>n</w:t>
            </w:r>
            <w:r w:rsidR="00D8646D">
              <w:rPr>
                <w:szCs w:val="24"/>
              </w:rPr>
              <w:t>on-communicable diseases</w:t>
            </w:r>
            <w:r w:rsidR="00D41C96">
              <w:rPr>
                <w:szCs w:val="24"/>
              </w:rPr>
              <w:t xml:space="preserve"> and obesity</w:t>
            </w:r>
            <w:r w:rsidR="00A75784">
              <w:rPr>
                <w:szCs w:val="24"/>
              </w:rPr>
              <w:t xml:space="preserve">. We believe these should be </w:t>
            </w:r>
            <w:r w:rsidR="000A3589">
              <w:rPr>
                <w:szCs w:val="24"/>
              </w:rPr>
              <w:t xml:space="preserve">considered in </w:t>
            </w:r>
            <w:r w:rsidR="00A75784">
              <w:rPr>
                <w:szCs w:val="24"/>
              </w:rPr>
              <w:t>the design of any food system.</w:t>
            </w:r>
            <w:r w:rsidR="00D41C96">
              <w:rPr>
                <w:szCs w:val="24"/>
              </w:rPr>
              <w:t xml:space="preserve"> The framework is supported by a </w:t>
            </w:r>
            <w:hyperlink r:id="rId15" w:history="1">
              <w:r w:rsidR="00D41C96" w:rsidRPr="000A3589">
                <w:rPr>
                  <w:rStyle w:val="Hyperlink"/>
                  <w:szCs w:val="24"/>
                </w:rPr>
                <w:t>d</w:t>
              </w:r>
              <w:r w:rsidRPr="000A3589">
                <w:rPr>
                  <w:rStyle w:val="Hyperlink"/>
                </w:rPr>
                <w:fldChar w:fldCharType="begin"/>
              </w:r>
              <w:r w:rsidRPr="000A3589">
                <w:rPr>
                  <w:rStyle w:val="Hyperlink"/>
                </w:rPr>
                <w:instrText xml:space="preserve"> INCLUDEPICTURE "/var/folders/f7/n173fsm96tqb80xr5x02t0t40000gp/T/com.microsoft.Word/WebArchiveCopyPasteTempFiles/PPA-Nourishing_April17.jpg" \* MERGEFORMATINET </w:instrText>
              </w:r>
              <w:r w:rsidRPr="000A3589">
                <w:rPr>
                  <w:rStyle w:val="Hyperlink"/>
                </w:rPr>
                <w:fldChar w:fldCharType="end"/>
              </w:r>
              <w:r w:rsidR="00D41C96" w:rsidRPr="000A3589">
                <w:rPr>
                  <w:rStyle w:val="Hyperlink"/>
                  <w:szCs w:val="24"/>
                </w:rPr>
                <w:t>atabase</w:t>
              </w:r>
            </w:hyperlink>
            <w:r w:rsidR="00D41C96">
              <w:rPr>
                <w:szCs w:val="24"/>
              </w:rPr>
              <w:t xml:space="preserve"> which list examples of policy actions and evaluations. </w:t>
            </w:r>
          </w:p>
          <w:p w14:paraId="76148CD0" w14:textId="0D6B00E0" w:rsidR="00A75784" w:rsidRDefault="00A75784" w:rsidP="00990962">
            <w:pPr>
              <w:spacing w:after="80" w:line="20" w:lineRule="atLeast"/>
              <w:rPr>
                <w:szCs w:val="24"/>
              </w:rPr>
            </w:pPr>
          </w:p>
          <w:p w14:paraId="3D039143" w14:textId="0FB566BB" w:rsidR="002425DF" w:rsidRDefault="00A75784" w:rsidP="002425DF">
            <w:pPr>
              <w:rPr>
                <w:szCs w:val="24"/>
              </w:rPr>
            </w:pPr>
            <w:r>
              <w:rPr>
                <w:szCs w:val="24"/>
              </w:rPr>
              <w:t xml:space="preserve">Furthermore, we have developed an index tool within the </w:t>
            </w:r>
            <w:r w:rsidR="00D41C96">
              <w:rPr>
                <w:szCs w:val="24"/>
              </w:rPr>
              <w:t xml:space="preserve">NOURISHING </w:t>
            </w:r>
            <w:r>
              <w:rPr>
                <w:szCs w:val="24"/>
              </w:rPr>
              <w:t xml:space="preserve">policy areas that </w:t>
            </w:r>
            <w:r w:rsidR="00D41C96">
              <w:rPr>
                <w:szCs w:val="24"/>
              </w:rPr>
              <w:t>is undergoing finalization.</w:t>
            </w:r>
            <w:r w:rsidR="001E2E37">
              <w:rPr>
                <w:szCs w:val="24"/>
              </w:rPr>
              <w:t xml:space="preserve"> The index tool is designed to benchmark governments on their nutrition policy environments. </w:t>
            </w:r>
            <w:r w:rsidR="002425DF">
              <w:rPr>
                <w:szCs w:val="24"/>
              </w:rPr>
              <w:t xml:space="preserve"> The </w:t>
            </w:r>
            <w:r w:rsidR="001E2E37">
              <w:rPr>
                <w:szCs w:val="24"/>
              </w:rPr>
              <w:t xml:space="preserve">policy index </w:t>
            </w:r>
            <w:r w:rsidR="002425DF">
              <w:rPr>
                <w:szCs w:val="24"/>
              </w:rPr>
              <w:t xml:space="preserve">comprises </w:t>
            </w:r>
            <w:r w:rsidR="002425DF" w:rsidRPr="002425DF">
              <w:rPr>
                <w:szCs w:val="24"/>
              </w:rPr>
              <w:t>policy areas, benchmarks, indicators and</w:t>
            </w:r>
            <w:r w:rsidR="001E2E37">
              <w:rPr>
                <w:szCs w:val="24"/>
              </w:rPr>
              <w:t xml:space="preserve"> a</w:t>
            </w:r>
            <w:r w:rsidR="002425DF" w:rsidRPr="002425DF">
              <w:rPr>
                <w:szCs w:val="24"/>
              </w:rPr>
              <w:t xml:space="preserve"> coding scheme </w:t>
            </w:r>
            <w:r w:rsidR="001E2E37">
              <w:rPr>
                <w:szCs w:val="24"/>
              </w:rPr>
              <w:t>which attributes values to good practice policy design</w:t>
            </w:r>
            <w:r w:rsidR="002425DF">
              <w:rPr>
                <w:szCs w:val="24"/>
              </w:rPr>
              <w:t xml:space="preserve">. </w:t>
            </w:r>
            <w:r w:rsidR="001E2E37">
              <w:rPr>
                <w:szCs w:val="24"/>
              </w:rPr>
              <w:t xml:space="preserve">The elements of the most effective nutrition policy design have been developed with experts to establish an aspirational standard to hold governments to. </w:t>
            </w:r>
            <w:r w:rsidR="002425DF">
              <w:rPr>
                <w:szCs w:val="24"/>
              </w:rPr>
              <w:t xml:space="preserve">It is important to note that the </w:t>
            </w:r>
            <w:r w:rsidR="002425DF">
              <w:rPr>
                <w:lang w:val="en" w:eastAsia="en-GB"/>
              </w:rPr>
              <w:t xml:space="preserve">index </w:t>
            </w:r>
            <w:r w:rsidR="002425DF" w:rsidRPr="00AD18EC">
              <w:rPr>
                <w:lang w:val="en" w:eastAsia="en-GB"/>
              </w:rPr>
              <w:t>and indicators present a suite of policy options and do not represent a hierarchy of desired or preferable policy options</w:t>
            </w:r>
            <w:r w:rsidR="002425DF">
              <w:rPr>
                <w:lang w:val="en" w:eastAsia="en-GB"/>
              </w:rPr>
              <w:t>.</w:t>
            </w:r>
            <w:r w:rsidR="00D41C96">
              <w:rPr>
                <w:szCs w:val="24"/>
              </w:rPr>
              <w:t xml:space="preserve"> </w:t>
            </w:r>
          </w:p>
          <w:p w14:paraId="10448CD4" w14:textId="77777777" w:rsidR="002425DF" w:rsidRDefault="002425DF" w:rsidP="002425DF">
            <w:pPr>
              <w:rPr>
                <w:lang w:val="en" w:eastAsia="en-GB"/>
              </w:rPr>
            </w:pPr>
          </w:p>
          <w:p w14:paraId="47C2474F" w14:textId="739E038A" w:rsidR="002425DF" w:rsidRDefault="002425DF" w:rsidP="002425DF">
            <w:pPr>
              <w:rPr>
                <w:lang w:val="en" w:eastAsia="en-GB"/>
              </w:rPr>
            </w:pPr>
            <w:r w:rsidRPr="00AD18EC">
              <w:rPr>
                <w:lang w:val="en" w:eastAsia="en-GB"/>
              </w:rPr>
              <w:t xml:space="preserve">It is possible that some policy indicators outlined in the policy indexes are not currently implemented by any government, but through expert consultation, the most practical aspirational policy options were developed to create a robust and comprehensive benchmark. </w:t>
            </w:r>
          </w:p>
          <w:p w14:paraId="0F70F94F" w14:textId="7C190876" w:rsidR="00D41C96" w:rsidRDefault="00D41C96" w:rsidP="00990962">
            <w:pPr>
              <w:spacing w:after="80" w:line="20" w:lineRule="atLeast"/>
              <w:rPr>
                <w:szCs w:val="24"/>
              </w:rPr>
            </w:pPr>
          </w:p>
          <w:p w14:paraId="21D3857F" w14:textId="1C475A44" w:rsidR="007059C9" w:rsidRPr="00F1213F" w:rsidRDefault="00D41C96" w:rsidP="009A73C7">
            <w:pPr>
              <w:spacing w:after="80" w:line="20" w:lineRule="atLeast"/>
              <w:rPr>
                <w:szCs w:val="24"/>
              </w:rPr>
            </w:pPr>
            <w:r>
              <w:rPr>
                <w:szCs w:val="24"/>
              </w:rPr>
              <w:t xml:space="preserve">We would be happy to share a copy of the index with the CFS </w:t>
            </w:r>
            <w:r w:rsidR="002425DF">
              <w:rPr>
                <w:szCs w:val="24"/>
              </w:rPr>
              <w:t xml:space="preserve">in the coming months </w:t>
            </w:r>
            <w:r w:rsidR="0054096E">
              <w:rPr>
                <w:szCs w:val="24"/>
              </w:rPr>
              <w:t xml:space="preserve">when it is finalised </w:t>
            </w:r>
            <w:r w:rsidR="002425DF">
              <w:rPr>
                <w:szCs w:val="24"/>
              </w:rPr>
              <w:t>to support the development of the Voluntary Guidelines further. Please contact Kate Oldridge-Turner (</w:t>
            </w:r>
            <w:hyperlink r:id="rId16" w:history="1">
              <w:r w:rsidR="002425DF" w:rsidRPr="00B347BC">
                <w:rPr>
                  <w:rStyle w:val="Hyperlink"/>
                  <w:szCs w:val="24"/>
                </w:rPr>
                <w:t>k.oldridge-turner@wcrf.org</w:t>
              </w:r>
            </w:hyperlink>
            <w:r w:rsidR="002425DF">
              <w:rPr>
                <w:szCs w:val="24"/>
              </w:rPr>
              <w:t>) if this is of interest.</w:t>
            </w:r>
          </w:p>
        </w:tc>
      </w:tr>
    </w:tbl>
    <w:p w14:paraId="241B3660" w14:textId="77777777" w:rsidR="007059C9" w:rsidRPr="007059C9" w:rsidRDefault="007059C9" w:rsidP="007059C9">
      <w:pPr>
        <w:autoSpaceDE w:val="0"/>
        <w:autoSpaceDN w:val="0"/>
        <w:adjustRightInd w:val="0"/>
        <w:spacing w:after="200" w:line="276" w:lineRule="auto"/>
        <w:ind w:left="-76"/>
        <w:jc w:val="both"/>
        <w:rPr>
          <w:rFonts w:ascii="Calibri" w:eastAsia="Times New Roman" w:hAnsi="Calibri" w:cs="Times New Roman"/>
          <w:lang w:eastAsia="it-IT"/>
        </w:rPr>
      </w:pPr>
    </w:p>
    <w:p w14:paraId="4301BC71" w14:textId="77777777"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lastRenderedPageBreak/>
        <w:t xml:space="preserve">How would these Voluntary Guidelines be most useful for different stakeholders, especially at national and regional levels, once endorsed by CFS?  </w:t>
      </w:r>
    </w:p>
    <w:tbl>
      <w:tblPr>
        <w:tblStyle w:val="TableGrid"/>
        <w:tblW w:w="9748" w:type="dxa"/>
        <w:tblLook w:val="04A0" w:firstRow="1" w:lastRow="0" w:firstColumn="1" w:lastColumn="0" w:noHBand="0" w:noVBand="1"/>
      </w:tblPr>
      <w:tblGrid>
        <w:gridCol w:w="9748"/>
      </w:tblGrid>
      <w:tr w:rsidR="007059C9" w14:paraId="78639E06" w14:textId="77777777" w:rsidTr="001E7C78">
        <w:trPr>
          <w:trHeight w:val="1119"/>
        </w:trPr>
        <w:tc>
          <w:tcPr>
            <w:tcW w:w="9748" w:type="dxa"/>
          </w:tcPr>
          <w:p w14:paraId="3C7BE742" w14:textId="33974139" w:rsidR="007059C9" w:rsidRPr="001E7C78" w:rsidRDefault="000A3589" w:rsidP="00990962">
            <w:pPr>
              <w:spacing w:after="80" w:line="20" w:lineRule="atLeast"/>
              <w:rPr>
                <w:szCs w:val="24"/>
              </w:rPr>
            </w:pPr>
            <w:r w:rsidRPr="000A3589">
              <w:rPr>
                <w:szCs w:val="24"/>
              </w:rPr>
              <w:t>It would be difficult to</w:t>
            </w:r>
            <w:r>
              <w:rPr>
                <w:szCs w:val="24"/>
              </w:rPr>
              <w:t xml:space="preserve"> give an objective answer without seeing an updated draft and to see how the guidelines manage challenging areas such as conflict of interest</w:t>
            </w:r>
            <w:r w:rsidR="00AC7376">
              <w:rPr>
                <w:szCs w:val="24"/>
              </w:rPr>
              <w:t>;</w:t>
            </w:r>
            <w:r>
              <w:rPr>
                <w:szCs w:val="24"/>
              </w:rPr>
              <w:t xml:space="preserve"> and </w:t>
            </w:r>
            <w:r w:rsidR="00775550">
              <w:rPr>
                <w:szCs w:val="24"/>
              </w:rPr>
              <w:t xml:space="preserve">if it promotes </w:t>
            </w:r>
            <w:r>
              <w:rPr>
                <w:szCs w:val="24"/>
              </w:rPr>
              <w:t>mandatory regulation in a range of policy areas.</w:t>
            </w:r>
            <w:r w:rsidR="0054096E">
              <w:rPr>
                <w:szCs w:val="24"/>
              </w:rPr>
              <w:t xml:space="preserve"> It would be welcome to have the support and legitimacy of the CFS to encourage stronger policy action in this area.</w:t>
            </w:r>
          </w:p>
        </w:tc>
      </w:tr>
    </w:tbl>
    <w:p w14:paraId="20B23E39" w14:textId="77777777" w:rsidR="007059C9" w:rsidRPr="007059C9" w:rsidRDefault="007059C9" w:rsidP="007059C9"/>
    <w:sectPr w:rsidR="007059C9" w:rsidRPr="007059C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C2D16" w14:textId="77777777" w:rsidR="00917AF0" w:rsidRDefault="00917AF0" w:rsidP="007059C9">
      <w:pPr>
        <w:spacing w:after="0" w:line="240" w:lineRule="auto"/>
      </w:pPr>
      <w:r>
        <w:separator/>
      </w:r>
    </w:p>
  </w:endnote>
  <w:endnote w:type="continuationSeparator" w:id="0">
    <w:p w14:paraId="02A96F49" w14:textId="77777777" w:rsidR="00917AF0" w:rsidRDefault="00917AF0" w:rsidP="0070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7211C" w14:textId="77777777" w:rsidR="00917AF0" w:rsidRDefault="00917AF0" w:rsidP="007059C9">
      <w:pPr>
        <w:spacing w:after="0" w:line="240" w:lineRule="auto"/>
      </w:pPr>
      <w:r>
        <w:separator/>
      </w:r>
    </w:p>
  </w:footnote>
  <w:footnote w:type="continuationSeparator" w:id="0">
    <w:p w14:paraId="0046137B" w14:textId="77777777" w:rsidR="00917AF0" w:rsidRDefault="00917AF0" w:rsidP="00705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B2695" w14:textId="77777777" w:rsidR="007059C9" w:rsidRDefault="007059C9">
    <w:pPr>
      <w:pStyle w:val="Header"/>
    </w:pPr>
    <w:r w:rsidRPr="00542999">
      <w:rPr>
        <w:rFonts w:cs="Arial"/>
        <w:b/>
        <w:bCs/>
        <w:noProof/>
        <w:color w:val="B43131"/>
        <w:sz w:val="36"/>
        <w:szCs w:val="36"/>
        <w:lang w:val="en-GB" w:eastAsia="zh-CN"/>
      </w:rPr>
      <w:drawing>
        <wp:anchor distT="0" distB="0" distL="114300" distR="114300" simplePos="0" relativeHeight="251659264" behindDoc="0" locked="0" layoutInCell="1" allowOverlap="1" wp14:anchorId="44FCE2B5" wp14:editId="349210D2">
          <wp:simplePos x="0" y="0"/>
          <wp:positionH relativeFrom="margin">
            <wp:posOffset>2443795</wp:posOffset>
          </wp:positionH>
          <wp:positionV relativeFrom="paragraph">
            <wp:posOffset>-215073</wp:posOffset>
          </wp:positionV>
          <wp:extent cx="1168400" cy="1168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slogo_en_200.jpg"/>
                  <pic:cNvPicPr/>
                </pic:nvPicPr>
                <pic:blipFill>
                  <a:blip r:embed="rId1">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14:sizeRelH relativeFrom="page">
            <wp14:pctWidth>0</wp14:pctWidth>
          </wp14:sizeRelH>
          <wp14:sizeRelV relativeFrom="page">
            <wp14:pctHeight>0</wp14:pctHeight>
          </wp14:sizeRelV>
        </wp:anchor>
      </w:drawing>
    </w:r>
  </w:p>
  <w:p w14:paraId="5963E1AB" w14:textId="77777777" w:rsidR="007059C9" w:rsidRDefault="007059C9">
    <w:pPr>
      <w:pStyle w:val="Header"/>
    </w:pPr>
  </w:p>
  <w:p w14:paraId="67D53828" w14:textId="77777777" w:rsidR="007059C9" w:rsidRDefault="007059C9">
    <w:pPr>
      <w:pStyle w:val="Header"/>
    </w:pPr>
  </w:p>
  <w:p w14:paraId="79D84AF7" w14:textId="77777777" w:rsidR="007059C9" w:rsidRDefault="007059C9">
    <w:pPr>
      <w:pStyle w:val="Header"/>
    </w:pPr>
  </w:p>
  <w:p w14:paraId="79C0F045" w14:textId="77777777" w:rsidR="007059C9" w:rsidRDefault="007059C9">
    <w:pPr>
      <w:pStyle w:val="Header"/>
    </w:pPr>
  </w:p>
  <w:p w14:paraId="79CE81B9" w14:textId="77777777" w:rsidR="007059C9" w:rsidRDefault="00705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053057"/>
    <w:multiLevelType w:val="hybridMultilevel"/>
    <w:tmpl w:val="7D8E4374"/>
    <w:lvl w:ilvl="0" w:tplc="7F569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9C9"/>
    <w:rsid w:val="00020E76"/>
    <w:rsid w:val="000428EE"/>
    <w:rsid w:val="000A3589"/>
    <w:rsid w:val="001837A8"/>
    <w:rsid w:val="001857EB"/>
    <w:rsid w:val="001E2E37"/>
    <w:rsid w:val="001E7C78"/>
    <w:rsid w:val="00201E8D"/>
    <w:rsid w:val="002425DF"/>
    <w:rsid w:val="00292A31"/>
    <w:rsid w:val="00331815"/>
    <w:rsid w:val="00374CB6"/>
    <w:rsid w:val="00391967"/>
    <w:rsid w:val="003D6435"/>
    <w:rsid w:val="003E5B44"/>
    <w:rsid w:val="00471364"/>
    <w:rsid w:val="0048026C"/>
    <w:rsid w:val="004812A8"/>
    <w:rsid w:val="004E3B75"/>
    <w:rsid w:val="004F64AE"/>
    <w:rsid w:val="0054096E"/>
    <w:rsid w:val="00565F77"/>
    <w:rsid w:val="00570F5F"/>
    <w:rsid w:val="006352EA"/>
    <w:rsid w:val="00645808"/>
    <w:rsid w:val="006633DC"/>
    <w:rsid w:val="006B2DE3"/>
    <w:rsid w:val="006C5F99"/>
    <w:rsid w:val="007059C9"/>
    <w:rsid w:val="00775550"/>
    <w:rsid w:val="00791F25"/>
    <w:rsid w:val="008748B5"/>
    <w:rsid w:val="008900AD"/>
    <w:rsid w:val="008C63E9"/>
    <w:rsid w:val="00917AF0"/>
    <w:rsid w:val="009A73C7"/>
    <w:rsid w:val="00A06C8E"/>
    <w:rsid w:val="00A75784"/>
    <w:rsid w:val="00AB5D62"/>
    <w:rsid w:val="00AC7376"/>
    <w:rsid w:val="00B4375E"/>
    <w:rsid w:val="00BD111F"/>
    <w:rsid w:val="00BF358A"/>
    <w:rsid w:val="00C43AED"/>
    <w:rsid w:val="00CB6E3C"/>
    <w:rsid w:val="00CF1530"/>
    <w:rsid w:val="00D41C96"/>
    <w:rsid w:val="00D533C8"/>
    <w:rsid w:val="00D8646D"/>
    <w:rsid w:val="00DC3109"/>
    <w:rsid w:val="00DF15EE"/>
    <w:rsid w:val="00E93EAF"/>
    <w:rsid w:val="00ED0EE2"/>
    <w:rsid w:val="00F1213F"/>
    <w:rsid w:val="00FD66B2"/>
    <w:rsid w:val="00FF35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D944"/>
  <w15:chartTrackingRefBased/>
  <w15:docId w15:val="{5DCC378D-59A6-4C2E-A76D-4428B6FB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9C9"/>
  </w:style>
  <w:style w:type="paragraph" w:styleId="Footer">
    <w:name w:val="footer"/>
    <w:basedOn w:val="Normal"/>
    <w:link w:val="FooterChar"/>
    <w:uiPriority w:val="99"/>
    <w:unhideWhenUsed/>
    <w:rsid w:val="0070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9C9"/>
  </w:style>
  <w:style w:type="table" w:styleId="TableGrid">
    <w:name w:val="Table Grid"/>
    <w:basedOn w:val="TableNormal"/>
    <w:uiPriority w:val="59"/>
    <w:rsid w:val="007059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8B5"/>
    <w:pPr>
      <w:ind w:left="720"/>
      <w:contextualSpacing/>
    </w:pPr>
  </w:style>
  <w:style w:type="character" w:styleId="Hyperlink">
    <w:name w:val="Hyperlink"/>
    <w:basedOn w:val="DefaultParagraphFont"/>
    <w:uiPriority w:val="99"/>
    <w:unhideWhenUsed/>
    <w:rsid w:val="00374CB6"/>
    <w:rPr>
      <w:color w:val="0563C1" w:themeColor="hyperlink"/>
      <w:u w:val="single"/>
    </w:rPr>
  </w:style>
  <w:style w:type="character" w:styleId="UnresolvedMention">
    <w:name w:val="Unresolved Mention"/>
    <w:basedOn w:val="DefaultParagraphFont"/>
    <w:uiPriority w:val="99"/>
    <w:semiHidden/>
    <w:unhideWhenUsed/>
    <w:rsid w:val="00374CB6"/>
    <w:rPr>
      <w:color w:val="605E5C"/>
      <w:shd w:val="clear" w:color="auto" w:fill="E1DFDD"/>
    </w:rPr>
  </w:style>
  <w:style w:type="paragraph" w:styleId="BalloonText">
    <w:name w:val="Balloon Text"/>
    <w:basedOn w:val="Normal"/>
    <w:link w:val="BalloonTextChar"/>
    <w:uiPriority w:val="99"/>
    <w:semiHidden/>
    <w:unhideWhenUsed/>
    <w:rsid w:val="001E2E3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2E3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5409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8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rf.org/dietandcancer/exposures/body-fatness"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crf.org/int/policy/our-publications/lessons-implementing-front-of-pack-labe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oldridge-turner@wcr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rf.org/int/policy/our-publications/lessons-implementing-sugar-sweetened-beverage-tax" TargetMode="External"/><Relationship Id="rId5" Type="http://schemas.openxmlformats.org/officeDocument/2006/relationships/webSettings" Target="webSettings.xml"/><Relationship Id="rId15" Type="http://schemas.openxmlformats.org/officeDocument/2006/relationships/hyperlink" Target="https://www.wcrf.org/int/policy/nourishing-database" TargetMode="External"/><Relationship Id="rId10" Type="http://schemas.openxmlformats.org/officeDocument/2006/relationships/hyperlink" Target="https://apps.who.int/iris/handle/10665/25923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crf.org/int/policy/nourishing-database" TargetMode="External"/><Relationship Id="rId14" Type="http://schemas.openxmlformats.org/officeDocument/2006/relationships/hyperlink" Target="https://www.wcrf.org/int/policy/nourishing/our-policy-framework-promote-healthy-diets-reduce-obes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3D197-68ED-7C41-9D63-50AF315D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Colonnelli, Emilio (ESA)</dc:creator>
  <cp:keywords/>
  <dc:description/>
  <cp:lastModifiedBy>Microsoft Office User</cp:lastModifiedBy>
  <cp:revision>25</cp:revision>
  <dcterms:created xsi:type="dcterms:W3CDTF">2019-09-02T12:25:00Z</dcterms:created>
  <dcterms:modified xsi:type="dcterms:W3CDTF">2019-09-02T16:31:00Z</dcterms:modified>
</cp:coreProperties>
</file>