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2143" w:tblpY="509"/>
        <w:tblW w:w="0" w:type="auto"/>
        <w:tblLayout w:type="fixed"/>
        <w:tblCellMar>
          <w:left w:w="70" w:type="dxa"/>
          <w:right w:w="70" w:type="dxa"/>
        </w:tblCellMar>
        <w:tblLook w:val="0000" w:firstRow="0" w:lastRow="0" w:firstColumn="0" w:lastColumn="0" w:noHBand="0" w:noVBand="0"/>
      </w:tblPr>
      <w:tblGrid>
        <w:gridCol w:w="2798"/>
      </w:tblGrid>
      <w:tr w:rsidR="0028388C" w:rsidRPr="004C0E65" w:rsidTr="00557449">
        <w:trPr>
          <w:trHeight w:val="570"/>
        </w:trPr>
        <w:tc>
          <w:tcPr>
            <w:tcW w:w="2798" w:type="dxa"/>
          </w:tcPr>
          <w:p w:rsidR="0028388C" w:rsidRPr="004C0E65" w:rsidRDefault="0028388C" w:rsidP="00557449">
            <w:pPr>
              <w:pStyle w:val="Textonotapie"/>
              <w:tabs>
                <w:tab w:val="left" w:pos="1021"/>
                <w:tab w:val="left" w:pos="8080"/>
              </w:tabs>
              <w:spacing w:before="120" w:after="120" w:line="276" w:lineRule="auto"/>
              <w:rPr>
                <w:rFonts w:ascii="Gill Sans MT" w:hAnsi="Gill Sans MT"/>
                <w:snapToGrid w:val="0"/>
                <w:color w:val="000000"/>
                <w:sz w:val="18"/>
                <w:lang w:val="es-ES"/>
              </w:rPr>
            </w:pPr>
            <w:r w:rsidRPr="004C0E65">
              <w:rPr>
                <w:rFonts w:ascii="Gill Sans MT" w:hAnsi="Gill Sans MT"/>
                <w:snapToGrid w:val="0"/>
                <w:color w:val="000000"/>
                <w:sz w:val="18"/>
                <w:lang w:val="es-ES"/>
              </w:rPr>
              <w:t xml:space="preserve">MINISTERIO </w:t>
            </w:r>
            <w:r w:rsidR="000318AF" w:rsidRPr="004C0E65">
              <w:rPr>
                <w:rFonts w:ascii="Gill Sans MT" w:hAnsi="Gill Sans MT"/>
                <w:snapToGrid w:val="0"/>
                <w:color w:val="000000"/>
                <w:sz w:val="18"/>
                <w:lang w:val="es-ES"/>
              </w:rPr>
              <w:t xml:space="preserve">DE AGRICULTURA, PESCA Y </w:t>
            </w:r>
            <w:r w:rsidRPr="004C0E65">
              <w:rPr>
                <w:rFonts w:ascii="Gill Sans MT" w:hAnsi="Gill Sans MT"/>
                <w:snapToGrid w:val="0"/>
                <w:color w:val="000000"/>
                <w:sz w:val="18"/>
                <w:lang w:val="es-ES"/>
              </w:rPr>
              <w:t xml:space="preserve">ALIMENTACION </w:t>
            </w:r>
          </w:p>
        </w:tc>
      </w:tr>
      <w:tr w:rsidR="0028388C" w:rsidRPr="004C0E65" w:rsidTr="00557449">
        <w:trPr>
          <w:trHeight w:val="458"/>
        </w:trPr>
        <w:tc>
          <w:tcPr>
            <w:tcW w:w="2798" w:type="dxa"/>
          </w:tcPr>
          <w:p w:rsidR="0028388C" w:rsidRPr="004C0E65" w:rsidRDefault="0028388C" w:rsidP="00557449">
            <w:pPr>
              <w:pStyle w:val="Textonotapie"/>
              <w:tabs>
                <w:tab w:val="left" w:pos="1021"/>
                <w:tab w:val="left" w:pos="8080"/>
              </w:tabs>
              <w:spacing w:before="120" w:after="120" w:line="276" w:lineRule="auto"/>
              <w:rPr>
                <w:sz w:val="24"/>
                <w:lang w:val="es-ES"/>
              </w:rPr>
            </w:pPr>
          </w:p>
        </w:tc>
      </w:tr>
    </w:tbl>
    <w:tbl>
      <w:tblPr>
        <w:tblW w:w="0" w:type="auto"/>
        <w:tblInd w:w="-3" w:type="dxa"/>
        <w:tblLayout w:type="fixed"/>
        <w:tblCellMar>
          <w:left w:w="0" w:type="dxa"/>
          <w:right w:w="0" w:type="dxa"/>
        </w:tblCellMar>
        <w:tblLook w:val="0000" w:firstRow="0" w:lastRow="0" w:firstColumn="0" w:lastColumn="0" w:noHBand="0" w:noVBand="0"/>
      </w:tblPr>
      <w:tblGrid>
        <w:gridCol w:w="1846"/>
        <w:gridCol w:w="167"/>
        <w:gridCol w:w="2952"/>
      </w:tblGrid>
      <w:tr w:rsidR="0028388C" w:rsidRPr="004C0E65" w:rsidTr="0027256A">
        <w:trPr>
          <w:trHeight w:val="274"/>
        </w:trPr>
        <w:tc>
          <w:tcPr>
            <w:tcW w:w="1846" w:type="dxa"/>
          </w:tcPr>
          <w:p w:rsidR="0028388C" w:rsidRPr="004C0E65" w:rsidRDefault="0028388C" w:rsidP="0027256A">
            <w:pPr>
              <w:pStyle w:val="Textonotapie"/>
              <w:framePr w:hSpace="142" w:wrap="around" w:vAnchor="text" w:hAnchor="margin" w:xAlign="right" w:y="1"/>
              <w:tabs>
                <w:tab w:val="left" w:pos="1021"/>
                <w:tab w:val="left" w:pos="8080"/>
              </w:tabs>
              <w:spacing w:before="120" w:after="120" w:line="276" w:lineRule="auto"/>
              <w:jc w:val="right"/>
              <w:rPr>
                <w:rFonts w:ascii="Gill Sans MT" w:hAnsi="Gill Sans MT"/>
                <w:sz w:val="14"/>
                <w:lang w:val="es-ES"/>
              </w:rPr>
            </w:pPr>
          </w:p>
        </w:tc>
        <w:tc>
          <w:tcPr>
            <w:tcW w:w="167" w:type="dxa"/>
            <w:tcBorders>
              <w:right w:val="single" w:sz="4" w:space="0" w:color="auto"/>
            </w:tcBorders>
          </w:tcPr>
          <w:p w:rsidR="0028388C" w:rsidRPr="004C0E65" w:rsidRDefault="0028388C" w:rsidP="0027256A">
            <w:pPr>
              <w:pStyle w:val="Textonotapie"/>
              <w:framePr w:hSpace="142" w:wrap="around" w:vAnchor="text" w:hAnchor="margin" w:xAlign="right" w:y="1"/>
              <w:tabs>
                <w:tab w:val="left" w:pos="1021"/>
                <w:tab w:val="left" w:pos="8080"/>
              </w:tabs>
              <w:spacing w:before="120" w:after="120" w:line="276" w:lineRule="auto"/>
              <w:jc w:val="right"/>
              <w:rPr>
                <w:rFonts w:ascii="Gill Sans MT" w:hAnsi="Gill Sans MT"/>
                <w:sz w:val="14"/>
                <w:lang w:val="es-ES"/>
              </w:rPr>
            </w:pPr>
          </w:p>
        </w:tc>
        <w:tc>
          <w:tcPr>
            <w:tcW w:w="2952" w:type="dxa"/>
            <w:tcBorders>
              <w:top w:val="single" w:sz="4" w:space="0" w:color="auto"/>
              <w:left w:val="single" w:sz="4" w:space="0" w:color="auto"/>
              <w:bottom w:val="single" w:sz="4" w:space="0" w:color="auto"/>
              <w:right w:val="single" w:sz="4" w:space="0" w:color="auto"/>
            </w:tcBorders>
            <w:vAlign w:val="center"/>
          </w:tcPr>
          <w:p w:rsidR="0028388C" w:rsidRPr="004C0E65" w:rsidRDefault="0028388C" w:rsidP="0027256A">
            <w:pPr>
              <w:pStyle w:val="Textonotapie"/>
              <w:framePr w:hSpace="142" w:wrap="around" w:vAnchor="text" w:hAnchor="margin" w:xAlign="right" w:y="1"/>
              <w:tabs>
                <w:tab w:val="left" w:pos="1021"/>
                <w:tab w:val="left" w:pos="8080"/>
              </w:tabs>
              <w:spacing w:before="120" w:after="120" w:line="276" w:lineRule="auto"/>
              <w:ind w:right="-82"/>
              <w:rPr>
                <w:rFonts w:ascii="Gill Sans MT" w:hAnsi="Gill Sans MT"/>
                <w:sz w:val="15"/>
                <w:szCs w:val="15"/>
                <w:lang w:val="es-ES"/>
              </w:rPr>
            </w:pPr>
            <w:r w:rsidRPr="004C0E65">
              <w:rPr>
                <w:rFonts w:ascii="Gill Sans MT" w:hAnsi="Gill Sans MT"/>
                <w:sz w:val="15"/>
                <w:szCs w:val="15"/>
                <w:lang w:val="es-ES"/>
              </w:rPr>
              <w:t>SECRETARIA GENERAL DE AGRICULTURA Y ALIMENTACION</w:t>
            </w:r>
          </w:p>
        </w:tc>
      </w:tr>
      <w:tr w:rsidR="0028388C" w:rsidRPr="004C0E65" w:rsidTr="0027256A">
        <w:trPr>
          <w:trHeight w:hRule="exact" w:val="57"/>
        </w:trPr>
        <w:tc>
          <w:tcPr>
            <w:tcW w:w="1846" w:type="dxa"/>
          </w:tcPr>
          <w:p w:rsidR="0028388C" w:rsidRPr="004C0E65" w:rsidRDefault="0028388C" w:rsidP="0027256A">
            <w:pPr>
              <w:pStyle w:val="Textonotapie"/>
              <w:framePr w:hSpace="142" w:wrap="around" w:vAnchor="text" w:hAnchor="margin" w:xAlign="right" w:y="1"/>
              <w:tabs>
                <w:tab w:val="left" w:pos="1021"/>
                <w:tab w:val="left" w:pos="8080"/>
              </w:tabs>
              <w:spacing w:before="120" w:after="120" w:line="276" w:lineRule="auto"/>
              <w:jc w:val="right"/>
              <w:rPr>
                <w:rFonts w:ascii="Gill Sans MT" w:hAnsi="Gill Sans MT"/>
                <w:sz w:val="14"/>
                <w:lang w:val="es-ES"/>
              </w:rPr>
            </w:pPr>
          </w:p>
        </w:tc>
        <w:tc>
          <w:tcPr>
            <w:tcW w:w="167" w:type="dxa"/>
          </w:tcPr>
          <w:p w:rsidR="0028388C" w:rsidRPr="004C0E65" w:rsidRDefault="0028388C" w:rsidP="0027256A">
            <w:pPr>
              <w:pStyle w:val="Textonotapie"/>
              <w:framePr w:hSpace="142" w:wrap="around" w:vAnchor="text" w:hAnchor="margin" w:xAlign="right" w:y="1"/>
              <w:tabs>
                <w:tab w:val="left" w:pos="1021"/>
                <w:tab w:val="left" w:pos="8080"/>
              </w:tabs>
              <w:spacing w:before="120" w:after="120" w:line="276" w:lineRule="auto"/>
              <w:jc w:val="right"/>
              <w:rPr>
                <w:rFonts w:ascii="Gill Sans MT" w:hAnsi="Gill Sans MT"/>
                <w:sz w:val="14"/>
                <w:lang w:val="es-ES"/>
              </w:rPr>
            </w:pPr>
          </w:p>
        </w:tc>
        <w:tc>
          <w:tcPr>
            <w:tcW w:w="2952" w:type="dxa"/>
            <w:tcBorders>
              <w:top w:val="single" w:sz="4" w:space="0" w:color="auto"/>
            </w:tcBorders>
          </w:tcPr>
          <w:p w:rsidR="0028388C" w:rsidRPr="004C0E65" w:rsidRDefault="0028388C" w:rsidP="0027256A">
            <w:pPr>
              <w:pStyle w:val="Textonotapie"/>
              <w:framePr w:hSpace="142" w:wrap="around" w:vAnchor="text" w:hAnchor="margin" w:xAlign="right" w:y="1"/>
              <w:tabs>
                <w:tab w:val="left" w:pos="1021"/>
                <w:tab w:val="left" w:pos="8080"/>
              </w:tabs>
              <w:spacing w:before="120" w:after="120" w:line="276" w:lineRule="auto"/>
              <w:ind w:right="-82"/>
              <w:rPr>
                <w:rFonts w:ascii="Gill Sans MT" w:hAnsi="Gill Sans MT"/>
                <w:sz w:val="14"/>
                <w:lang w:val="es-ES"/>
              </w:rPr>
            </w:pPr>
          </w:p>
        </w:tc>
      </w:tr>
      <w:tr w:rsidR="0028388C" w:rsidRPr="004C0E65" w:rsidTr="0027256A">
        <w:trPr>
          <w:trHeight w:val="504"/>
        </w:trPr>
        <w:tc>
          <w:tcPr>
            <w:tcW w:w="1846" w:type="dxa"/>
          </w:tcPr>
          <w:p w:rsidR="0028388C" w:rsidRPr="004C0E65" w:rsidRDefault="0028388C" w:rsidP="0027256A">
            <w:pPr>
              <w:pStyle w:val="Textonotapie"/>
              <w:framePr w:hSpace="142" w:wrap="around" w:vAnchor="text" w:hAnchor="margin" w:xAlign="right" w:y="1"/>
              <w:tabs>
                <w:tab w:val="left" w:pos="1021"/>
                <w:tab w:val="left" w:pos="8080"/>
              </w:tabs>
              <w:spacing w:before="120" w:after="120" w:line="276" w:lineRule="auto"/>
              <w:jc w:val="right"/>
              <w:rPr>
                <w:rFonts w:ascii="Gill Sans MT" w:hAnsi="Gill Sans MT"/>
                <w:sz w:val="14"/>
                <w:lang w:val="es-ES"/>
              </w:rPr>
            </w:pPr>
          </w:p>
        </w:tc>
        <w:tc>
          <w:tcPr>
            <w:tcW w:w="167" w:type="dxa"/>
          </w:tcPr>
          <w:p w:rsidR="0028388C" w:rsidRPr="004C0E65" w:rsidRDefault="0028388C" w:rsidP="0027256A">
            <w:pPr>
              <w:pStyle w:val="Textonotapie"/>
              <w:framePr w:hSpace="142" w:wrap="around" w:vAnchor="text" w:hAnchor="margin" w:xAlign="right" w:y="1"/>
              <w:tabs>
                <w:tab w:val="left" w:pos="1021"/>
                <w:tab w:val="left" w:pos="8080"/>
              </w:tabs>
              <w:spacing w:before="120" w:after="120" w:line="276" w:lineRule="auto"/>
              <w:jc w:val="right"/>
              <w:rPr>
                <w:rFonts w:ascii="Gill Sans MT" w:hAnsi="Gill Sans MT"/>
                <w:sz w:val="14"/>
                <w:lang w:val="es-ES"/>
              </w:rPr>
            </w:pPr>
          </w:p>
        </w:tc>
        <w:tc>
          <w:tcPr>
            <w:tcW w:w="2952" w:type="dxa"/>
            <w:vAlign w:val="center"/>
          </w:tcPr>
          <w:p w:rsidR="0028388C" w:rsidRPr="004C0E65" w:rsidRDefault="0028388C" w:rsidP="0027256A">
            <w:pPr>
              <w:pStyle w:val="Textonotapie"/>
              <w:framePr w:hSpace="142" w:wrap="around" w:vAnchor="text" w:hAnchor="margin" w:xAlign="right" w:y="1"/>
              <w:tabs>
                <w:tab w:val="left" w:pos="1021"/>
                <w:tab w:val="left" w:pos="8080"/>
              </w:tabs>
              <w:spacing w:before="120" w:after="120" w:line="276" w:lineRule="auto"/>
              <w:ind w:right="-82"/>
              <w:rPr>
                <w:rFonts w:ascii="Gill Sans MT" w:hAnsi="Gill Sans MT"/>
                <w:sz w:val="14"/>
                <w:lang w:val="es-ES"/>
              </w:rPr>
            </w:pPr>
            <w:r w:rsidRPr="004C0E65">
              <w:rPr>
                <w:rFonts w:ascii="Gill Sans MT" w:hAnsi="Gill Sans MT"/>
                <w:sz w:val="14"/>
                <w:lang w:val="es-ES"/>
              </w:rPr>
              <w:t>DIRECCIÓN GENERAL DE LA INDUSTRIA ALIMENTARIA</w:t>
            </w:r>
          </w:p>
        </w:tc>
      </w:tr>
    </w:tbl>
    <w:p w:rsidR="0028388C" w:rsidRPr="004C0E65" w:rsidRDefault="0028388C" w:rsidP="0028388C">
      <w:pPr>
        <w:pStyle w:val="Textonotapie"/>
        <w:tabs>
          <w:tab w:val="left" w:pos="1021"/>
          <w:tab w:val="left" w:pos="8080"/>
        </w:tabs>
        <w:spacing w:before="120" w:after="120" w:line="276" w:lineRule="auto"/>
        <w:ind w:left="-284"/>
        <w:rPr>
          <w:sz w:val="24"/>
          <w:lang w:val="es-ES"/>
        </w:rPr>
      </w:pPr>
      <w:r w:rsidRPr="004C0E65">
        <w:rPr>
          <w:noProof/>
          <w:lang w:val="en-US" w:eastAsia="en-US"/>
        </w:rPr>
        <w:drawing>
          <wp:anchor distT="0" distB="0" distL="114300" distR="114300" simplePos="0" relativeHeight="251659264" behindDoc="0" locked="0" layoutInCell="0" allowOverlap="1" wp14:anchorId="6B31B517" wp14:editId="6CFD313C">
            <wp:simplePos x="0" y="0"/>
            <wp:positionH relativeFrom="page">
              <wp:posOffset>483689</wp:posOffset>
            </wp:positionH>
            <wp:positionV relativeFrom="paragraph">
              <wp:posOffset>581</wp:posOffset>
            </wp:positionV>
            <wp:extent cx="838200" cy="876300"/>
            <wp:effectExtent l="0" t="0" r="0" b="0"/>
            <wp:wrapTopAndBottom/>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cstate="print"/>
                    <a:srcRect/>
                    <a:stretch>
                      <a:fillRect/>
                    </a:stretch>
                  </pic:blipFill>
                  <pic:spPr bwMode="auto">
                    <a:xfrm>
                      <a:off x="0" y="0"/>
                      <a:ext cx="838200" cy="876300"/>
                    </a:xfrm>
                    <a:prstGeom prst="rect">
                      <a:avLst/>
                    </a:prstGeom>
                    <a:noFill/>
                  </pic:spPr>
                </pic:pic>
              </a:graphicData>
            </a:graphic>
          </wp:anchor>
        </w:drawing>
      </w:r>
    </w:p>
    <w:p w:rsidR="0028388C" w:rsidRPr="004C0E65" w:rsidRDefault="0028388C" w:rsidP="00E6488A">
      <w:pPr>
        <w:pStyle w:val="Textonotapie"/>
        <w:tabs>
          <w:tab w:val="left" w:pos="-2552"/>
        </w:tabs>
        <w:spacing w:before="120" w:after="120" w:line="276" w:lineRule="auto"/>
        <w:jc w:val="both"/>
        <w:rPr>
          <w:rFonts w:ascii="Garamond" w:hAnsi="Garamond" w:cs="Arial"/>
          <w:b/>
          <w:snapToGrid w:val="0"/>
          <w:color w:val="000000"/>
          <w:sz w:val="24"/>
          <w:szCs w:val="24"/>
          <w:lang w:val="es-ES"/>
        </w:rPr>
      </w:pPr>
    </w:p>
    <w:p w:rsidR="0028388C" w:rsidRPr="004C0E65" w:rsidRDefault="004C0E65" w:rsidP="00A96619">
      <w:pPr>
        <w:pStyle w:val="Textonotapie"/>
        <w:tabs>
          <w:tab w:val="left" w:pos="-2552"/>
        </w:tabs>
        <w:spacing w:before="120" w:after="120" w:line="276" w:lineRule="auto"/>
        <w:jc w:val="both"/>
        <w:rPr>
          <w:rFonts w:ascii="Garamond" w:hAnsi="Garamond" w:cs="Arial"/>
          <w:b/>
          <w:i/>
          <w:snapToGrid w:val="0"/>
          <w:color w:val="000000"/>
          <w:sz w:val="24"/>
          <w:szCs w:val="24"/>
          <w:lang w:val="es-ES"/>
        </w:rPr>
      </w:pPr>
      <w:r w:rsidRPr="004C0E65">
        <w:rPr>
          <w:rFonts w:ascii="Garamond" w:hAnsi="Garamond" w:cs="Arial"/>
          <w:b/>
          <w:snapToGrid w:val="0"/>
          <w:color w:val="000000"/>
          <w:sz w:val="24"/>
          <w:szCs w:val="24"/>
          <w:lang w:val="es-ES"/>
        </w:rPr>
        <w:t>COMENTARIOS DE ESPAÑA AL ANTEPROYECTO ANOTADO DEL CÓDIGO DE CONDUCTA SOBRE LA REDUCCIÓN DE LAS PÉRDIDAS Y DESPERDICIO DE ALIMENTOS</w:t>
      </w:r>
    </w:p>
    <w:p w:rsidR="0028388C" w:rsidRPr="00683EB7" w:rsidRDefault="004C0E65" w:rsidP="004C0E65">
      <w:pPr>
        <w:pStyle w:val="Textonotapie"/>
        <w:numPr>
          <w:ilvl w:val="0"/>
          <w:numId w:val="17"/>
        </w:numPr>
        <w:tabs>
          <w:tab w:val="left" w:pos="-2552"/>
        </w:tabs>
        <w:spacing w:before="120" w:after="120" w:line="276" w:lineRule="auto"/>
        <w:rPr>
          <w:rFonts w:asciiTheme="majorHAnsi" w:hAnsiTheme="majorHAnsi" w:cstheme="majorHAnsi"/>
          <w:b/>
          <w:snapToGrid w:val="0"/>
          <w:color w:val="000000"/>
          <w:sz w:val="24"/>
          <w:szCs w:val="24"/>
          <w:lang w:val="es-ES"/>
        </w:rPr>
      </w:pPr>
      <w:r w:rsidRPr="00683EB7">
        <w:rPr>
          <w:rFonts w:asciiTheme="majorHAnsi" w:hAnsiTheme="majorHAnsi" w:cstheme="majorHAnsi"/>
          <w:b/>
          <w:snapToGrid w:val="0"/>
          <w:color w:val="000000"/>
          <w:sz w:val="24"/>
          <w:szCs w:val="24"/>
          <w:lang w:val="es-ES"/>
        </w:rPr>
        <w:t>En relación con el proyecto y estructura propuestos para el CdC.</w:t>
      </w:r>
    </w:p>
    <w:p w:rsidR="00683EB7" w:rsidRDefault="004C0E65" w:rsidP="004C0E65">
      <w:pPr>
        <w:pStyle w:val="Textonotapie"/>
        <w:numPr>
          <w:ilvl w:val="1"/>
          <w:numId w:val="17"/>
        </w:numPr>
        <w:tabs>
          <w:tab w:val="left" w:pos="-2552"/>
        </w:tabs>
        <w:spacing w:before="120" w:after="120" w:line="276" w:lineRule="auto"/>
        <w:rPr>
          <w:rFonts w:asciiTheme="majorHAnsi" w:hAnsiTheme="majorHAnsi" w:cstheme="majorHAnsi"/>
          <w:b/>
          <w:snapToGrid w:val="0"/>
          <w:color w:val="000000"/>
          <w:sz w:val="24"/>
          <w:szCs w:val="24"/>
          <w:lang w:val="es-ES"/>
        </w:rPr>
      </w:pPr>
      <w:r w:rsidRPr="00683EB7">
        <w:rPr>
          <w:rFonts w:asciiTheme="majorHAnsi" w:hAnsiTheme="majorHAnsi" w:cstheme="majorHAnsi"/>
          <w:b/>
          <w:snapToGrid w:val="0"/>
          <w:color w:val="000000"/>
          <w:sz w:val="24"/>
          <w:szCs w:val="24"/>
          <w:lang w:val="es-ES"/>
        </w:rPr>
        <w:t>¿Aborda el proyecto propuesto del CdC las cuestiones pertinentes de forma detallada y completa?</w:t>
      </w:r>
    </w:p>
    <w:p w:rsidR="00683EB7" w:rsidRDefault="00683EB7" w:rsidP="00683EB7">
      <w:pPr>
        <w:pStyle w:val="Textonotapie"/>
        <w:tabs>
          <w:tab w:val="left" w:pos="-2552"/>
        </w:tabs>
        <w:spacing w:before="120" w:after="120" w:line="276" w:lineRule="auto"/>
        <w:ind w:left="1440"/>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El proyecto en general tiene una estructura coherente y correcta, en la que se puede incluir mucho contenido. No obstante, sugerimos que, al inicio de cada uno de los apartados destinados a eslabones concretos en los apartados 2.2.</w:t>
      </w:r>
      <w:r w:rsidR="00BF4E5A">
        <w:rPr>
          <w:rFonts w:asciiTheme="majorHAnsi" w:hAnsiTheme="majorHAnsi" w:cstheme="majorHAnsi"/>
          <w:snapToGrid w:val="0"/>
          <w:color w:val="000000"/>
          <w:sz w:val="24"/>
          <w:szCs w:val="24"/>
          <w:lang w:val="es-ES"/>
        </w:rPr>
        <w:t>1</w:t>
      </w:r>
      <w:r>
        <w:rPr>
          <w:rFonts w:asciiTheme="majorHAnsi" w:hAnsiTheme="majorHAnsi" w:cstheme="majorHAnsi"/>
          <w:snapToGrid w:val="0"/>
          <w:color w:val="000000"/>
          <w:sz w:val="24"/>
          <w:szCs w:val="24"/>
          <w:lang w:val="es-ES"/>
        </w:rPr>
        <w:t xml:space="preserve"> </w:t>
      </w:r>
      <w:r w:rsidR="00BF4E5A">
        <w:rPr>
          <w:rFonts w:asciiTheme="majorHAnsi" w:hAnsiTheme="majorHAnsi" w:cstheme="majorHAnsi"/>
          <w:snapToGrid w:val="0"/>
          <w:color w:val="000000"/>
          <w:sz w:val="24"/>
          <w:szCs w:val="24"/>
          <w:lang w:val="es-ES"/>
        </w:rPr>
        <w:t>(</w:t>
      </w:r>
      <w:r>
        <w:rPr>
          <w:rFonts w:asciiTheme="majorHAnsi" w:hAnsiTheme="majorHAnsi" w:cstheme="majorHAnsi"/>
          <w:snapToGrid w:val="0"/>
          <w:color w:val="000000"/>
          <w:sz w:val="24"/>
          <w:szCs w:val="24"/>
          <w:lang w:val="es-ES"/>
        </w:rPr>
        <w:t xml:space="preserve">a), </w:t>
      </w:r>
      <w:r w:rsidR="00BF4E5A">
        <w:rPr>
          <w:rFonts w:asciiTheme="majorHAnsi" w:hAnsiTheme="majorHAnsi" w:cstheme="majorHAnsi"/>
          <w:snapToGrid w:val="0"/>
          <w:color w:val="000000"/>
          <w:sz w:val="24"/>
          <w:szCs w:val="24"/>
          <w:lang w:val="es-ES"/>
        </w:rPr>
        <w:t>(</w:t>
      </w:r>
      <w:r>
        <w:rPr>
          <w:rFonts w:asciiTheme="majorHAnsi" w:hAnsiTheme="majorHAnsi" w:cstheme="majorHAnsi"/>
          <w:snapToGrid w:val="0"/>
          <w:color w:val="000000"/>
          <w:sz w:val="24"/>
          <w:szCs w:val="24"/>
          <w:lang w:val="es-ES"/>
        </w:rPr>
        <w:t xml:space="preserve">b) y </w:t>
      </w:r>
      <w:r w:rsidR="00BF4E5A">
        <w:rPr>
          <w:rFonts w:asciiTheme="majorHAnsi" w:hAnsiTheme="majorHAnsi" w:cstheme="majorHAnsi"/>
          <w:snapToGrid w:val="0"/>
          <w:color w:val="000000"/>
          <w:sz w:val="24"/>
          <w:szCs w:val="24"/>
          <w:lang w:val="es-ES"/>
        </w:rPr>
        <w:t>(</w:t>
      </w:r>
      <w:r>
        <w:rPr>
          <w:rFonts w:asciiTheme="majorHAnsi" w:hAnsiTheme="majorHAnsi" w:cstheme="majorHAnsi"/>
          <w:snapToGrid w:val="0"/>
          <w:color w:val="000000"/>
          <w:sz w:val="24"/>
          <w:szCs w:val="24"/>
          <w:lang w:val="es-ES"/>
        </w:rPr>
        <w:t>c) se incluya un apartado con información sobre las principales causa</w:t>
      </w:r>
      <w:r w:rsidR="005928B1">
        <w:rPr>
          <w:rFonts w:asciiTheme="majorHAnsi" w:hAnsiTheme="majorHAnsi" w:cstheme="majorHAnsi"/>
          <w:snapToGrid w:val="0"/>
          <w:color w:val="000000"/>
          <w:sz w:val="24"/>
          <w:szCs w:val="24"/>
          <w:lang w:val="es-ES"/>
        </w:rPr>
        <w:t>s</w:t>
      </w:r>
      <w:r>
        <w:rPr>
          <w:rFonts w:asciiTheme="majorHAnsi" w:hAnsiTheme="majorHAnsi" w:cstheme="majorHAnsi"/>
          <w:snapToGrid w:val="0"/>
          <w:color w:val="000000"/>
          <w:sz w:val="24"/>
          <w:szCs w:val="24"/>
          <w:lang w:val="es-ES"/>
        </w:rPr>
        <w:t xml:space="preserve"> del desperdicio y las pérdidas de alimentos para ese eslabón de la cadena de suministro, </w:t>
      </w:r>
      <w:r w:rsidR="005928B1">
        <w:rPr>
          <w:rFonts w:asciiTheme="majorHAnsi" w:hAnsiTheme="majorHAnsi" w:cstheme="majorHAnsi"/>
          <w:snapToGrid w:val="0"/>
          <w:color w:val="000000"/>
          <w:sz w:val="24"/>
          <w:szCs w:val="24"/>
          <w:lang w:val="es-ES"/>
        </w:rPr>
        <w:t xml:space="preserve">así como el detalle de los impactos en la sostenibilidad a los tres niveles (social, económico y medioambiental) </w:t>
      </w:r>
      <w:r>
        <w:rPr>
          <w:rFonts w:asciiTheme="majorHAnsi" w:hAnsiTheme="majorHAnsi" w:cstheme="majorHAnsi"/>
          <w:snapToGrid w:val="0"/>
          <w:color w:val="000000"/>
          <w:sz w:val="24"/>
          <w:szCs w:val="24"/>
          <w:lang w:val="es-ES"/>
        </w:rPr>
        <w:t>para que los interesados tengan un primer acercamiento a prácticas que pueden estar causando este problema. De ese modo en el apartado siguiente ya se puede entrar a hacer recomendaciones.</w:t>
      </w:r>
    </w:p>
    <w:p w:rsidR="004C0E65" w:rsidRPr="00683EB7" w:rsidRDefault="004C0E65" w:rsidP="004C0E65">
      <w:pPr>
        <w:pStyle w:val="Textonotapie"/>
        <w:numPr>
          <w:ilvl w:val="1"/>
          <w:numId w:val="17"/>
        </w:numPr>
        <w:tabs>
          <w:tab w:val="left" w:pos="-2552"/>
        </w:tabs>
        <w:spacing w:before="120" w:after="120" w:line="276" w:lineRule="auto"/>
        <w:rPr>
          <w:rFonts w:asciiTheme="majorHAnsi" w:hAnsiTheme="majorHAnsi" w:cstheme="majorHAnsi"/>
          <w:b/>
          <w:snapToGrid w:val="0"/>
          <w:color w:val="000000"/>
          <w:sz w:val="24"/>
          <w:szCs w:val="24"/>
          <w:lang w:val="es-ES"/>
        </w:rPr>
      </w:pPr>
      <w:r w:rsidRPr="00683EB7">
        <w:rPr>
          <w:rFonts w:asciiTheme="majorHAnsi" w:hAnsiTheme="majorHAnsi" w:cstheme="majorHAnsi"/>
          <w:b/>
          <w:snapToGrid w:val="0"/>
          <w:color w:val="000000"/>
          <w:sz w:val="24"/>
          <w:szCs w:val="24"/>
          <w:lang w:val="es-ES"/>
        </w:rPr>
        <w:t>¿Tiene la estructura actual alguna desventaja o laguna?</w:t>
      </w:r>
    </w:p>
    <w:p w:rsidR="00683EB7" w:rsidRDefault="00683EB7" w:rsidP="00683EB7">
      <w:pPr>
        <w:pStyle w:val="Textonotapie"/>
        <w:tabs>
          <w:tab w:val="left" w:pos="-2552"/>
        </w:tabs>
        <w:spacing w:before="120" w:after="120" w:line="276" w:lineRule="auto"/>
        <w:ind w:left="1440"/>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En nuestra opinión sería más interesante que se separasen los eslabones de la restauración y del consumidor, puesto que las prácticas de ambos son diferentes, y las recomendaciones y buenas prácticas también han de ser distintas.</w:t>
      </w:r>
    </w:p>
    <w:p w:rsidR="005928B1" w:rsidRDefault="005928B1" w:rsidP="00683EB7">
      <w:pPr>
        <w:pStyle w:val="Textonotapie"/>
        <w:tabs>
          <w:tab w:val="left" w:pos="-2552"/>
        </w:tabs>
        <w:spacing w:before="120" w:after="120" w:line="276" w:lineRule="auto"/>
        <w:ind w:left="1440"/>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Además, en el apartado 2.2 se incluyen los usos industriales al mismo nivel que la alimentación animal. Habría que distinguir entre usos industriales para alimentación humana (por ejemplo la transformación de excedentes en otros productos de consumo como zumos, salsas, mermeladas, etc.) de la transformación en usos técnicos (como colorantes, colas y pegamentos, etc.). En ese caso, la transformación en otros productos alimentarios estaría en el primer eslabón como “reutilización</w:t>
      </w:r>
      <w:r w:rsidR="00BF4E5A">
        <w:rPr>
          <w:rFonts w:asciiTheme="majorHAnsi" w:hAnsiTheme="majorHAnsi" w:cstheme="majorHAnsi"/>
          <w:snapToGrid w:val="0"/>
          <w:color w:val="000000"/>
          <w:sz w:val="24"/>
          <w:szCs w:val="24"/>
          <w:lang w:val="es-ES"/>
        </w:rPr>
        <w:t xml:space="preserve"> para consumo humano</w:t>
      </w:r>
      <w:r>
        <w:rPr>
          <w:rFonts w:asciiTheme="majorHAnsi" w:hAnsiTheme="majorHAnsi" w:cstheme="majorHAnsi"/>
          <w:snapToGrid w:val="0"/>
          <w:color w:val="000000"/>
          <w:sz w:val="24"/>
          <w:szCs w:val="24"/>
          <w:lang w:val="es-ES"/>
        </w:rPr>
        <w:t>”.</w:t>
      </w:r>
    </w:p>
    <w:p w:rsidR="00DF1EAC" w:rsidRPr="004C0E65" w:rsidRDefault="00BF4E5A" w:rsidP="00DF1EAC">
      <w:pPr>
        <w:pStyle w:val="Textonotapie"/>
        <w:tabs>
          <w:tab w:val="left" w:pos="-2552"/>
        </w:tabs>
        <w:spacing w:before="120" w:after="120" w:line="276" w:lineRule="auto"/>
        <w:ind w:left="1440"/>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 xml:space="preserve">En esta línea, en la pirámide de usos se indica uso de “desechos” en alimentación animal. </w:t>
      </w:r>
      <w:r w:rsidR="00DF1EAC">
        <w:rPr>
          <w:rFonts w:asciiTheme="majorHAnsi" w:hAnsiTheme="majorHAnsi" w:cstheme="majorHAnsi"/>
          <w:snapToGrid w:val="0"/>
          <w:color w:val="000000"/>
          <w:sz w:val="24"/>
          <w:szCs w:val="24"/>
          <w:lang w:val="es-ES"/>
        </w:rPr>
        <w:t>I</w:t>
      </w:r>
      <w:r>
        <w:rPr>
          <w:rFonts w:asciiTheme="majorHAnsi" w:hAnsiTheme="majorHAnsi" w:cstheme="majorHAnsi"/>
          <w:snapToGrid w:val="0"/>
          <w:color w:val="000000"/>
          <w:sz w:val="24"/>
          <w:szCs w:val="24"/>
          <w:lang w:val="es-ES"/>
        </w:rPr>
        <w:t>nsisti</w:t>
      </w:r>
      <w:r w:rsidR="00DF1EAC">
        <w:rPr>
          <w:rFonts w:asciiTheme="majorHAnsi" w:hAnsiTheme="majorHAnsi" w:cstheme="majorHAnsi"/>
          <w:snapToGrid w:val="0"/>
          <w:color w:val="000000"/>
          <w:sz w:val="24"/>
          <w:szCs w:val="24"/>
          <w:lang w:val="es-ES"/>
        </w:rPr>
        <w:t>mos</w:t>
      </w:r>
      <w:r>
        <w:rPr>
          <w:rFonts w:asciiTheme="majorHAnsi" w:hAnsiTheme="majorHAnsi" w:cstheme="majorHAnsi"/>
          <w:snapToGrid w:val="0"/>
          <w:color w:val="000000"/>
          <w:sz w:val="24"/>
          <w:szCs w:val="24"/>
          <w:lang w:val="es-ES"/>
        </w:rPr>
        <w:t xml:space="preserve"> en la necesidad de definir claramente “desperdicio”, “pérdida”, “residuo o desech</w:t>
      </w:r>
      <w:r w:rsidR="00DF1EAC">
        <w:rPr>
          <w:rFonts w:asciiTheme="majorHAnsi" w:hAnsiTheme="majorHAnsi" w:cstheme="majorHAnsi"/>
          <w:snapToGrid w:val="0"/>
          <w:color w:val="000000"/>
          <w:sz w:val="24"/>
          <w:szCs w:val="24"/>
          <w:lang w:val="es-ES"/>
        </w:rPr>
        <w:t>o”, para que no haya confusión, teniendo en cuenta la traducción del inglés a otros idiomas</w:t>
      </w:r>
      <w:r w:rsidR="00DF1EAC" w:rsidRPr="00DF1EAC">
        <w:rPr>
          <w:rFonts w:asciiTheme="majorHAnsi" w:hAnsiTheme="majorHAnsi" w:cstheme="majorHAnsi"/>
          <w:snapToGrid w:val="0"/>
          <w:color w:val="000000"/>
          <w:sz w:val="24"/>
          <w:szCs w:val="24"/>
          <w:lang w:val="es-ES"/>
        </w:rPr>
        <w:t>.</w:t>
      </w:r>
    </w:p>
    <w:p w:rsidR="004C0E65" w:rsidRPr="00683EB7" w:rsidRDefault="004C0E65" w:rsidP="004C0E65">
      <w:pPr>
        <w:pStyle w:val="Textonotapie"/>
        <w:numPr>
          <w:ilvl w:val="0"/>
          <w:numId w:val="17"/>
        </w:numPr>
        <w:tabs>
          <w:tab w:val="left" w:pos="-2552"/>
        </w:tabs>
        <w:spacing w:before="120" w:after="120" w:line="276" w:lineRule="auto"/>
        <w:rPr>
          <w:rFonts w:asciiTheme="majorHAnsi" w:hAnsiTheme="majorHAnsi" w:cstheme="majorHAnsi"/>
          <w:b/>
          <w:snapToGrid w:val="0"/>
          <w:color w:val="000000"/>
          <w:sz w:val="24"/>
          <w:szCs w:val="24"/>
          <w:lang w:val="es-ES"/>
        </w:rPr>
      </w:pPr>
      <w:r w:rsidRPr="00683EB7">
        <w:rPr>
          <w:rFonts w:asciiTheme="majorHAnsi" w:hAnsiTheme="majorHAnsi" w:cstheme="majorHAnsi"/>
          <w:b/>
          <w:snapToGrid w:val="0"/>
          <w:color w:val="000000"/>
          <w:sz w:val="24"/>
          <w:szCs w:val="24"/>
          <w:lang w:val="es-ES"/>
        </w:rPr>
        <w:lastRenderedPageBreak/>
        <w:t>En lo que respecta al contenido de las diferentes secciones del CdC:</w:t>
      </w:r>
    </w:p>
    <w:p w:rsidR="004C0E65" w:rsidRDefault="004C0E65" w:rsidP="004C0E65">
      <w:pPr>
        <w:pStyle w:val="Textonotapie"/>
        <w:numPr>
          <w:ilvl w:val="1"/>
          <w:numId w:val="17"/>
        </w:numPr>
        <w:tabs>
          <w:tab w:val="left" w:pos="-2552"/>
        </w:tabs>
        <w:spacing w:before="120" w:after="120" w:line="276" w:lineRule="auto"/>
        <w:rPr>
          <w:rFonts w:asciiTheme="majorHAnsi" w:hAnsiTheme="majorHAnsi" w:cstheme="majorHAnsi"/>
          <w:b/>
          <w:snapToGrid w:val="0"/>
          <w:color w:val="000000"/>
          <w:sz w:val="24"/>
          <w:szCs w:val="24"/>
          <w:lang w:val="es-ES"/>
        </w:rPr>
      </w:pPr>
      <w:r w:rsidRPr="00683EB7">
        <w:rPr>
          <w:rFonts w:asciiTheme="majorHAnsi" w:hAnsiTheme="majorHAnsi" w:cstheme="majorHAnsi"/>
          <w:b/>
          <w:snapToGrid w:val="0"/>
          <w:color w:val="000000"/>
          <w:sz w:val="24"/>
          <w:szCs w:val="24"/>
          <w:lang w:val="es-ES"/>
        </w:rPr>
        <w:t>¿Qué principios rectores generales son importantes para la sección 2.1?</w:t>
      </w:r>
    </w:p>
    <w:p w:rsidR="005928B1" w:rsidRDefault="005928B1" w:rsidP="005928B1">
      <w:pPr>
        <w:pStyle w:val="Textonotapie"/>
        <w:tabs>
          <w:tab w:val="left" w:pos="-2552"/>
        </w:tabs>
        <w:spacing w:before="120" w:after="120" w:line="276" w:lineRule="auto"/>
        <w:ind w:left="1440"/>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Podría hacerse</w:t>
      </w:r>
      <w:r w:rsidRPr="005928B1">
        <w:rPr>
          <w:rFonts w:asciiTheme="majorHAnsi" w:hAnsiTheme="majorHAnsi" w:cstheme="majorHAnsi"/>
          <w:snapToGrid w:val="0"/>
          <w:color w:val="000000"/>
          <w:sz w:val="24"/>
          <w:szCs w:val="24"/>
          <w:lang w:val="es-ES"/>
        </w:rPr>
        <w:t xml:space="preserve"> más referencias a la sostenibilidad económica en el texto, puesto que se menciona en el primer punto del apartado 2.1 pero no vuelve a aparecer.</w:t>
      </w:r>
      <w:r>
        <w:rPr>
          <w:rFonts w:asciiTheme="majorHAnsi" w:hAnsiTheme="majorHAnsi" w:cstheme="majorHAnsi"/>
          <w:snapToGrid w:val="0"/>
          <w:color w:val="000000"/>
          <w:sz w:val="24"/>
          <w:szCs w:val="24"/>
          <w:lang w:val="es-ES"/>
        </w:rPr>
        <w:t xml:space="preserve"> Esta puede ser una motivación muy potente.</w:t>
      </w:r>
    </w:p>
    <w:p w:rsidR="005928B1" w:rsidRDefault="005928B1" w:rsidP="005928B1">
      <w:pPr>
        <w:pStyle w:val="Textonotapie"/>
        <w:tabs>
          <w:tab w:val="left" w:pos="-2552"/>
        </w:tabs>
        <w:spacing w:before="120" w:after="120" w:line="276" w:lineRule="auto"/>
        <w:ind w:left="1440"/>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Quizá debería incluirse la mención a que la reducción del desperdicio es algo fundamental para la supervivencia de las sociedades, y no sólo algo que podemos hacer de manera voluntaria.</w:t>
      </w:r>
    </w:p>
    <w:p w:rsidR="005928B1" w:rsidRDefault="005928B1" w:rsidP="005928B1">
      <w:pPr>
        <w:pStyle w:val="Textonotapie"/>
        <w:tabs>
          <w:tab w:val="left" w:pos="-2552"/>
        </w:tabs>
        <w:spacing w:before="120" w:after="120" w:line="276" w:lineRule="auto"/>
        <w:ind w:left="1440"/>
        <w:rPr>
          <w:rFonts w:asciiTheme="majorHAnsi" w:hAnsiTheme="majorHAnsi" w:cstheme="majorHAnsi"/>
          <w:snapToGrid w:val="0"/>
          <w:color w:val="000000"/>
          <w:sz w:val="24"/>
          <w:szCs w:val="24"/>
          <w:lang w:val="es-ES"/>
        </w:rPr>
      </w:pPr>
      <w:r w:rsidRPr="005928B1">
        <w:rPr>
          <w:rFonts w:asciiTheme="majorHAnsi" w:hAnsiTheme="majorHAnsi" w:cstheme="majorHAnsi"/>
          <w:snapToGrid w:val="0"/>
          <w:color w:val="000000"/>
          <w:sz w:val="24"/>
          <w:szCs w:val="24"/>
          <w:lang w:val="es-ES"/>
        </w:rPr>
        <w:t>Se podría incluir un punto de “</w:t>
      </w:r>
      <w:r>
        <w:rPr>
          <w:rFonts w:asciiTheme="majorHAnsi" w:hAnsiTheme="majorHAnsi" w:cstheme="majorHAnsi"/>
          <w:snapToGrid w:val="0"/>
          <w:color w:val="000000"/>
          <w:sz w:val="24"/>
          <w:szCs w:val="24"/>
          <w:lang w:val="es-ES"/>
        </w:rPr>
        <w:t>D</w:t>
      </w:r>
      <w:r w:rsidRPr="005928B1">
        <w:rPr>
          <w:rFonts w:asciiTheme="majorHAnsi" w:hAnsiTheme="majorHAnsi" w:cstheme="majorHAnsi"/>
          <w:snapToGrid w:val="0"/>
          <w:color w:val="000000"/>
          <w:sz w:val="24"/>
          <w:szCs w:val="24"/>
          <w:lang w:val="es-ES"/>
        </w:rPr>
        <w:t>esarrollo (por parte de la Administración Pública pertinente) de un documento público (estrategia, programa o texto legislativo, entre otros)</w:t>
      </w:r>
      <w:r w:rsidR="00CC6B52">
        <w:rPr>
          <w:rFonts w:asciiTheme="majorHAnsi" w:hAnsiTheme="majorHAnsi" w:cstheme="majorHAnsi"/>
          <w:snapToGrid w:val="0"/>
          <w:color w:val="000000"/>
          <w:sz w:val="24"/>
          <w:szCs w:val="24"/>
          <w:lang w:val="es-ES"/>
        </w:rPr>
        <w:t>”</w:t>
      </w:r>
      <w:r w:rsidRPr="005928B1">
        <w:rPr>
          <w:rFonts w:asciiTheme="majorHAnsi" w:hAnsiTheme="majorHAnsi" w:cstheme="majorHAnsi"/>
          <w:snapToGrid w:val="0"/>
          <w:color w:val="000000"/>
          <w:sz w:val="24"/>
          <w:szCs w:val="24"/>
          <w:lang w:val="es-ES"/>
        </w:rPr>
        <w:t xml:space="preserve"> en el que se indiquen las acciones a desarrollar.</w:t>
      </w:r>
      <w:r>
        <w:rPr>
          <w:rFonts w:asciiTheme="majorHAnsi" w:hAnsiTheme="majorHAnsi" w:cstheme="majorHAnsi"/>
          <w:snapToGrid w:val="0"/>
          <w:color w:val="000000"/>
          <w:sz w:val="24"/>
          <w:szCs w:val="24"/>
          <w:lang w:val="es-ES"/>
        </w:rPr>
        <w:t xml:space="preserve"> Así como la necesidad de hacer un seguimiento del desarrollo de la aplicación de ese documento.</w:t>
      </w:r>
    </w:p>
    <w:p w:rsidR="005928B1" w:rsidRPr="005928B1" w:rsidRDefault="00176A5E" w:rsidP="00136505">
      <w:pPr>
        <w:pStyle w:val="Textonotapie"/>
        <w:tabs>
          <w:tab w:val="left" w:pos="-2552"/>
        </w:tabs>
        <w:spacing w:before="120" w:after="120" w:line="276" w:lineRule="auto"/>
        <w:ind w:left="1440"/>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Se podrían especificar los aspectos que se van a tener en cuenta a la hora de analizar el efecto de la PDA en materia de sostenibilidad (</w:t>
      </w:r>
      <w:r w:rsidRPr="00176A5E">
        <w:rPr>
          <w:rFonts w:asciiTheme="majorHAnsi" w:hAnsiTheme="majorHAnsi" w:cstheme="majorHAnsi"/>
          <w:snapToGrid w:val="0"/>
          <w:color w:val="000000"/>
          <w:sz w:val="24"/>
          <w:szCs w:val="24"/>
          <w:lang w:val="es-ES"/>
        </w:rPr>
        <w:t>social, económico y medioambiental)</w:t>
      </w:r>
      <w:r>
        <w:rPr>
          <w:rFonts w:asciiTheme="majorHAnsi" w:hAnsiTheme="majorHAnsi" w:cstheme="majorHAnsi"/>
          <w:snapToGrid w:val="0"/>
          <w:color w:val="000000"/>
          <w:sz w:val="24"/>
          <w:szCs w:val="24"/>
          <w:lang w:val="es-ES"/>
        </w:rPr>
        <w:t xml:space="preserve">, así como los recursos naturales que se van a tener en cuenta en las evaluaciones de impacto. </w:t>
      </w:r>
    </w:p>
    <w:p w:rsidR="004C0E65" w:rsidRDefault="004C0E65" w:rsidP="004C0E65">
      <w:pPr>
        <w:pStyle w:val="Textonotapie"/>
        <w:numPr>
          <w:ilvl w:val="1"/>
          <w:numId w:val="17"/>
        </w:numPr>
        <w:tabs>
          <w:tab w:val="left" w:pos="-2552"/>
        </w:tabs>
        <w:spacing w:before="120" w:after="120" w:line="276" w:lineRule="auto"/>
        <w:rPr>
          <w:rFonts w:asciiTheme="majorHAnsi" w:hAnsiTheme="majorHAnsi" w:cstheme="majorHAnsi"/>
          <w:b/>
          <w:snapToGrid w:val="0"/>
          <w:color w:val="000000"/>
          <w:sz w:val="24"/>
          <w:szCs w:val="24"/>
          <w:lang w:val="es-ES"/>
        </w:rPr>
      </w:pPr>
      <w:r w:rsidRPr="00683EB7">
        <w:rPr>
          <w:rFonts w:asciiTheme="majorHAnsi" w:hAnsiTheme="majorHAnsi" w:cstheme="majorHAnsi"/>
          <w:b/>
          <w:snapToGrid w:val="0"/>
          <w:color w:val="000000"/>
          <w:sz w:val="24"/>
          <w:szCs w:val="24"/>
          <w:lang w:val="es-ES"/>
        </w:rPr>
        <w:t>¿Qué principios rectores y prácticas específicas considera importantes para las secciones 2.2.1 (a, b y c), 2.2.2 y 2.2.3?</w:t>
      </w:r>
    </w:p>
    <w:p w:rsidR="00BF4E5A" w:rsidRDefault="00BF4E5A" w:rsidP="00BF4E5A">
      <w:pPr>
        <w:pStyle w:val="Textonotapie"/>
        <w:numPr>
          <w:ilvl w:val="3"/>
          <w:numId w:val="17"/>
        </w:numPr>
        <w:tabs>
          <w:tab w:val="left" w:pos="-2552"/>
        </w:tabs>
        <w:spacing w:before="120" w:after="120" w:line="276" w:lineRule="auto"/>
        <w:ind w:left="1843"/>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En el apartado 2.2.1 (a) se podría hacer referencia a la adaptación a las condiciones edafoclimáticas de la zona de producción, así como a las mejores técnicas disponibles de cultivo,  como buena</w:t>
      </w:r>
      <w:r w:rsidR="00176A5E">
        <w:rPr>
          <w:rFonts w:asciiTheme="majorHAnsi" w:hAnsiTheme="majorHAnsi" w:cstheme="majorHAnsi"/>
          <w:snapToGrid w:val="0"/>
          <w:color w:val="000000"/>
          <w:sz w:val="24"/>
          <w:szCs w:val="24"/>
          <w:lang w:val="es-ES"/>
        </w:rPr>
        <w:t>s</w:t>
      </w:r>
      <w:r>
        <w:rPr>
          <w:rFonts w:asciiTheme="majorHAnsi" w:hAnsiTheme="majorHAnsi" w:cstheme="majorHAnsi"/>
          <w:snapToGrid w:val="0"/>
          <w:color w:val="000000"/>
          <w:sz w:val="24"/>
          <w:szCs w:val="24"/>
          <w:lang w:val="es-ES"/>
        </w:rPr>
        <w:t xml:space="preserve"> práctica</w:t>
      </w:r>
      <w:r w:rsidR="00176A5E">
        <w:rPr>
          <w:rFonts w:asciiTheme="majorHAnsi" w:hAnsiTheme="majorHAnsi" w:cstheme="majorHAnsi"/>
          <w:snapToGrid w:val="0"/>
          <w:color w:val="000000"/>
          <w:sz w:val="24"/>
          <w:szCs w:val="24"/>
          <w:lang w:val="es-ES"/>
        </w:rPr>
        <w:t>s</w:t>
      </w:r>
      <w:r>
        <w:rPr>
          <w:rFonts w:asciiTheme="majorHAnsi" w:hAnsiTheme="majorHAnsi" w:cstheme="majorHAnsi"/>
          <w:snapToGrid w:val="0"/>
          <w:color w:val="000000"/>
          <w:sz w:val="24"/>
          <w:szCs w:val="24"/>
          <w:lang w:val="es-ES"/>
        </w:rPr>
        <w:t xml:space="preserve"> para optimizar el uso de los recursos.</w:t>
      </w:r>
    </w:p>
    <w:p w:rsidR="00BF4E5A" w:rsidRDefault="00BF4E5A" w:rsidP="00BF4E5A">
      <w:pPr>
        <w:pStyle w:val="Textonotapie"/>
        <w:tabs>
          <w:tab w:val="left" w:pos="-2552"/>
        </w:tabs>
        <w:spacing w:before="120" w:after="120" w:line="276" w:lineRule="auto"/>
        <w:ind w:left="1843"/>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Se podrían también incluir, en las prácticas de las asociaciones industriales, el facilitar la aplicación de buenas prácticas a los socios procesadores de pequeño tamaño.</w:t>
      </w:r>
    </w:p>
    <w:p w:rsidR="00BF4E5A" w:rsidRDefault="00BF4E5A" w:rsidP="00BF4E5A">
      <w:pPr>
        <w:pStyle w:val="Textonotapie"/>
        <w:tabs>
          <w:tab w:val="left" w:pos="-2552"/>
        </w:tabs>
        <w:spacing w:before="120" w:after="120" w:line="276" w:lineRule="auto"/>
        <w:ind w:left="1843"/>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 xml:space="preserve">En el caso de la distribución, los actores de la cadena deberían comprometerse a realizar buenas prácticas en las relaciones </w:t>
      </w:r>
      <w:r w:rsidR="00E756BA">
        <w:rPr>
          <w:rFonts w:asciiTheme="majorHAnsi" w:hAnsiTheme="majorHAnsi" w:cstheme="majorHAnsi"/>
          <w:snapToGrid w:val="0"/>
          <w:color w:val="000000"/>
          <w:sz w:val="24"/>
          <w:szCs w:val="24"/>
          <w:lang w:val="es-ES"/>
        </w:rPr>
        <w:t>con sus proveedores y clientes, evitando las prácticas desleales.</w:t>
      </w:r>
    </w:p>
    <w:p w:rsidR="00E756BA" w:rsidRDefault="00E756BA" w:rsidP="00BF4E5A">
      <w:pPr>
        <w:pStyle w:val="Textonotapie"/>
        <w:tabs>
          <w:tab w:val="left" w:pos="-2552"/>
        </w:tabs>
        <w:spacing w:before="120" w:after="120" w:line="276" w:lineRule="auto"/>
        <w:ind w:left="1843"/>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Además, se podría incluir, como recomendación para los Estados y en todos los eslabones, el facilitar la donación de alimentos. Y en el caso de los operadores, se podría incluir la recomendación de tener acuerdos con entidades de redistribución y organizaciones benéficas para dar salida a los excedentes.</w:t>
      </w:r>
    </w:p>
    <w:p w:rsidR="00E756BA" w:rsidRDefault="00E756BA" w:rsidP="00E756BA">
      <w:pPr>
        <w:pStyle w:val="Textonotapie"/>
        <w:numPr>
          <w:ilvl w:val="3"/>
          <w:numId w:val="17"/>
        </w:numPr>
        <w:tabs>
          <w:tab w:val="left" w:pos="-2552"/>
        </w:tabs>
        <w:spacing w:before="120" w:after="120" w:line="276" w:lineRule="auto"/>
        <w:ind w:left="1843"/>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lastRenderedPageBreak/>
        <w:t>En el apartado 2.2.1(b) se podría cambiar el término “modificar las normas” por “revisar las normas”, puesto que puede que las normas sean correctas y no necesiten ser modificadas.</w:t>
      </w:r>
    </w:p>
    <w:p w:rsidR="00176A5E" w:rsidRDefault="00E756BA" w:rsidP="00E756BA">
      <w:pPr>
        <w:pStyle w:val="Textonotapie"/>
        <w:tabs>
          <w:tab w:val="left" w:pos="-2552"/>
        </w:tabs>
        <w:spacing w:before="120" w:after="120" w:line="276" w:lineRule="auto"/>
        <w:ind w:left="1843"/>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 xml:space="preserve">Se </w:t>
      </w:r>
      <w:r w:rsidRPr="00E756BA">
        <w:rPr>
          <w:rFonts w:asciiTheme="majorHAnsi" w:hAnsiTheme="majorHAnsi" w:cstheme="majorHAnsi"/>
          <w:snapToGrid w:val="0"/>
          <w:color w:val="000000"/>
          <w:sz w:val="24"/>
          <w:szCs w:val="24"/>
          <w:lang w:val="es-ES"/>
        </w:rPr>
        <w:t>podría</w:t>
      </w:r>
      <w:r w:rsidR="00176A5E">
        <w:rPr>
          <w:rFonts w:asciiTheme="majorHAnsi" w:hAnsiTheme="majorHAnsi" w:cstheme="majorHAnsi"/>
          <w:snapToGrid w:val="0"/>
          <w:color w:val="000000"/>
          <w:sz w:val="24"/>
          <w:szCs w:val="24"/>
          <w:lang w:val="es-ES"/>
        </w:rPr>
        <w:t>n</w:t>
      </w:r>
      <w:r w:rsidRPr="00E756BA">
        <w:rPr>
          <w:rFonts w:asciiTheme="majorHAnsi" w:hAnsiTheme="majorHAnsi" w:cstheme="majorHAnsi"/>
          <w:snapToGrid w:val="0"/>
          <w:color w:val="000000"/>
          <w:sz w:val="24"/>
          <w:szCs w:val="24"/>
          <w:lang w:val="es-ES"/>
        </w:rPr>
        <w:t xml:space="preserve"> incluir la</w:t>
      </w:r>
      <w:r w:rsidR="00176A5E">
        <w:rPr>
          <w:rFonts w:asciiTheme="majorHAnsi" w:hAnsiTheme="majorHAnsi" w:cstheme="majorHAnsi"/>
          <w:snapToGrid w:val="0"/>
          <w:color w:val="000000"/>
          <w:sz w:val="24"/>
          <w:szCs w:val="24"/>
          <w:lang w:val="es-ES"/>
        </w:rPr>
        <w:t>s siguientes recomendaciones</w:t>
      </w:r>
      <w:r w:rsidR="00845C2D">
        <w:rPr>
          <w:rFonts w:asciiTheme="majorHAnsi" w:hAnsiTheme="majorHAnsi" w:cstheme="majorHAnsi"/>
          <w:snapToGrid w:val="0"/>
          <w:color w:val="000000"/>
          <w:sz w:val="24"/>
          <w:szCs w:val="24"/>
          <w:lang w:val="es-ES"/>
        </w:rPr>
        <w:t xml:space="preserve"> para</w:t>
      </w:r>
      <w:r w:rsidR="00845C2D">
        <w:rPr>
          <w:rFonts w:asciiTheme="majorHAnsi" w:hAnsiTheme="majorHAnsi" w:cstheme="majorHAnsi"/>
          <w:snapToGrid w:val="0"/>
          <w:color w:val="000000"/>
          <w:sz w:val="24"/>
          <w:szCs w:val="24"/>
          <w:lang w:val="es-ES"/>
        </w:rPr>
        <w:t xml:space="preserve"> la distribución</w:t>
      </w:r>
      <w:r w:rsidR="00176A5E">
        <w:rPr>
          <w:rFonts w:asciiTheme="majorHAnsi" w:hAnsiTheme="majorHAnsi" w:cstheme="majorHAnsi"/>
          <w:snapToGrid w:val="0"/>
          <w:color w:val="000000"/>
          <w:sz w:val="24"/>
          <w:szCs w:val="24"/>
          <w:lang w:val="es-ES"/>
        </w:rPr>
        <w:t xml:space="preserve">: </w:t>
      </w:r>
    </w:p>
    <w:p w:rsidR="00E756BA" w:rsidRDefault="00845C2D" w:rsidP="00845C2D">
      <w:pPr>
        <w:pStyle w:val="Textonotapie"/>
        <w:numPr>
          <w:ilvl w:val="0"/>
          <w:numId w:val="19"/>
        </w:numPr>
        <w:tabs>
          <w:tab w:val="left" w:pos="-2552"/>
        </w:tabs>
        <w:spacing w:before="120" w:after="120" w:line="276" w:lineRule="auto"/>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T</w:t>
      </w:r>
      <w:r w:rsidR="00E756BA" w:rsidRPr="00E756BA">
        <w:rPr>
          <w:rFonts w:asciiTheme="majorHAnsi" w:hAnsiTheme="majorHAnsi" w:cstheme="majorHAnsi"/>
          <w:snapToGrid w:val="0"/>
          <w:color w:val="000000"/>
          <w:sz w:val="24"/>
          <w:szCs w:val="24"/>
          <w:lang w:val="es-ES"/>
        </w:rPr>
        <w:t>ener acuerdos con entidades de redistribución y organizaciones benéficas para dar salida a los excedentes</w:t>
      </w:r>
      <w:r w:rsidR="00E756BA">
        <w:rPr>
          <w:rFonts w:asciiTheme="majorHAnsi" w:hAnsiTheme="majorHAnsi" w:cstheme="majorHAnsi"/>
          <w:snapToGrid w:val="0"/>
          <w:color w:val="000000"/>
          <w:sz w:val="24"/>
          <w:szCs w:val="24"/>
          <w:lang w:val="es-ES"/>
        </w:rPr>
        <w:t xml:space="preserve"> y a los productos próximos a la fecha de consumo preferente o de caducidad</w:t>
      </w:r>
      <w:r w:rsidR="00E756BA" w:rsidRPr="00E756BA">
        <w:rPr>
          <w:rFonts w:asciiTheme="majorHAnsi" w:hAnsiTheme="majorHAnsi" w:cstheme="majorHAnsi"/>
          <w:snapToGrid w:val="0"/>
          <w:color w:val="000000"/>
          <w:sz w:val="24"/>
          <w:szCs w:val="24"/>
          <w:lang w:val="es-ES"/>
        </w:rPr>
        <w:t>.</w:t>
      </w:r>
    </w:p>
    <w:p w:rsidR="00E756BA" w:rsidRDefault="00845C2D" w:rsidP="00845C2D">
      <w:pPr>
        <w:pStyle w:val="Textonotapie"/>
        <w:numPr>
          <w:ilvl w:val="0"/>
          <w:numId w:val="19"/>
        </w:numPr>
        <w:tabs>
          <w:tab w:val="left" w:pos="-2552"/>
        </w:tabs>
        <w:spacing w:before="120" w:after="120" w:line="276" w:lineRule="auto"/>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F</w:t>
      </w:r>
      <w:r w:rsidR="00E756BA">
        <w:rPr>
          <w:rFonts w:asciiTheme="majorHAnsi" w:hAnsiTheme="majorHAnsi" w:cstheme="majorHAnsi"/>
          <w:snapToGrid w:val="0"/>
          <w:color w:val="000000"/>
          <w:sz w:val="24"/>
          <w:szCs w:val="24"/>
          <w:lang w:val="es-ES"/>
        </w:rPr>
        <w:t xml:space="preserve">acilitar la venta de productos “feos” o </w:t>
      </w:r>
      <w:r w:rsidR="00E756BA" w:rsidRPr="00E756BA">
        <w:rPr>
          <w:rFonts w:asciiTheme="majorHAnsi" w:hAnsiTheme="majorHAnsi" w:cstheme="majorHAnsi"/>
          <w:snapToGrid w:val="0"/>
          <w:color w:val="000000"/>
          <w:sz w:val="24"/>
          <w:szCs w:val="24"/>
          <w:lang w:val="es-ES"/>
        </w:rPr>
        <w:t>próximos a la fecha de consumo preferente o de caducidad</w:t>
      </w:r>
      <w:r w:rsidR="00E756BA">
        <w:rPr>
          <w:rFonts w:asciiTheme="majorHAnsi" w:hAnsiTheme="majorHAnsi" w:cstheme="majorHAnsi"/>
          <w:snapToGrid w:val="0"/>
          <w:color w:val="000000"/>
          <w:sz w:val="24"/>
          <w:szCs w:val="24"/>
          <w:lang w:val="es-ES"/>
        </w:rPr>
        <w:t xml:space="preserve"> a precios diferenciados.</w:t>
      </w:r>
    </w:p>
    <w:p w:rsidR="00E756BA" w:rsidRDefault="00845C2D" w:rsidP="00845C2D">
      <w:pPr>
        <w:pStyle w:val="Textonotapie"/>
        <w:numPr>
          <w:ilvl w:val="0"/>
          <w:numId w:val="19"/>
        </w:numPr>
        <w:tabs>
          <w:tab w:val="left" w:pos="-2552"/>
        </w:tabs>
        <w:spacing w:before="120" w:after="120" w:line="276" w:lineRule="auto"/>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I</w:t>
      </w:r>
      <w:r w:rsidR="00E756BA">
        <w:rPr>
          <w:rFonts w:asciiTheme="majorHAnsi" w:hAnsiTheme="majorHAnsi" w:cstheme="majorHAnsi"/>
          <w:snapToGrid w:val="0"/>
          <w:color w:val="000000"/>
          <w:sz w:val="24"/>
          <w:szCs w:val="24"/>
          <w:lang w:val="es-ES"/>
        </w:rPr>
        <w:t>mplantar buenas prácticas y formación a los trabajadores para garantizar la mayor vida útil de los productos.</w:t>
      </w:r>
    </w:p>
    <w:p w:rsidR="00E756BA" w:rsidRDefault="00845C2D" w:rsidP="00845C2D">
      <w:pPr>
        <w:pStyle w:val="Textonotapie"/>
        <w:numPr>
          <w:ilvl w:val="0"/>
          <w:numId w:val="19"/>
        </w:numPr>
        <w:tabs>
          <w:tab w:val="left" w:pos="-2552"/>
        </w:tabs>
        <w:spacing w:before="120" w:after="120" w:line="276" w:lineRule="auto"/>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F</w:t>
      </w:r>
      <w:r w:rsidR="00E756BA">
        <w:rPr>
          <w:rFonts w:asciiTheme="majorHAnsi" w:hAnsiTheme="majorHAnsi" w:cstheme="majorHAnsi"/>
          <w:snapToGrid w:val="0"/>
          <w:color w:val="000000"/>
          <w:sz w:val="24"/>
          <w:szCs w:val="24"/>
          <w:lang w:val="es-ES"/>
        </w:rPr>
        <w:t>ormar a sus trabajadores para que puedan sensibilizar a los consumidores-clientes sobre las pérdidas y desperdicio de alimentos, dando opciones y consejos para su reducción.</w:t>
      </w:r>
    </w:p>
    <w:p w:rsidR="00E756BA" w:rsidRDefault="00E756BA" w:rsidP="00E756BA">
      <w:pPr>
        <w:pStyle w:val="Textonotapie"/>
        <w:tabs>
          <w:tab w:val="left" w:pos="-2552"/>
        </w:tabs>
        <w:spacing w:before="120" w:after="120" w:line="276" w:lineRule="auto"/>
        <w:ind w:left="1843"/>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Las asociaciones empresariales podrían apoyar en la diseminación e implantación de buenas prácticas en empresas pequeñas.</w:t>
      </w:r>
    </w:p>
    <w:p w:rsidR="00E756BA" w:rsidRDefault="00845C2D" w:rsidP="00E756BA">
      <w:pPr>
        <w:pStyle w:val="Textonotapie"/>
        <w:tabs>
          <w:tab w:val="left" w:pos="-2552"/>
        </w:tabs>
        <w:spacing w:before="120" w:after="120" w:line="276" w:lineRule="auto"/>
        <w:ind w:left="1843"/>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Como</w:t>
      </w:r>
      <w:r w:rsidR="00E756BA">
        <w:rPr>
          <w:rFonts w:asciiTheme="majorHAnsi" w:hAnsiTheme="majorHAnsi" w:cstheme="majorHAnsi"/>
          <w:snapToGrid w:val="0"/>
          <w:color w:val="000000"/>
          <w:sz w:val="24"/>
          <w:szCs w:val="24"/>
          <w:lang w:val="es-ES"/>
        </w:rPr>
        <w:t xml:space="preserve"> recomendaciones a la restauración, se podrían incluir el sensibilizar a </w:t>
      </w:r>
      <w:r>
        <w:rPr>
          <w:rFonts w:asciiTheme="majorHAnsi" w:hAnsiTheme="majorHAnsi" w:cstheme="majorHAnsi"/>
          <w:snapToGrid w:val="0"/>
          <w:color w:val="000000"/>
          <w:sz w:val="24"/>
          <w:szCs w:val="24"/>
          <w:lang w:val="es-ES"/>
        </w:rPr>
        <w:t xml:space="preserve">los </w:t>
      </w:r>
      <w:r w:rsidR="00E756BA">
        <w:rPr>
          <w:rFonts w:asciiTheme="majorHAnsi" w:hAnsiTheme="majorHAnsi" w:cstheme="majorHAnsi"/>
          <w:snapToGrid w:val="0"/>
          <w:color w:val="000000"/>
          <w:sz w:val="24"/>
          <w:szCs w:val="24"/>
          <w:lang w:val="es-ES"/>
        </w:rPr>
        <w:t xml:space="preserve">consumidores, facilitar a los consumidores el adecuar las raciones al apetito y facilitar que se lleven las sobras a casa, así como tener acuerdos con </w:t>
      </w:r>
      <w:r w:rsidR="00E756BA" w:rsidRPr="00E756BA">
        <w:rPr>
          <w:rFonts w:asciiTheme="majorHAnsi" w:hAnsiTheme="majorHAnsi" w:cstheme="majorHAnsi"/>
          <w:snapToGrid w:val="0"/>
          <w:color w:val="000000"/>
          <w:sz w:val="24"/>
          <w:szCs w:val="24"/>
          <w:lang w:val="es-ES"/>
        </w:rPr>
        <w:t>entidades de redistribución y organizaciones benéficas para dar salida a los excedentes</w:t>
      </w:r>
      <w:r w:rsidR="00E756BA">
        <w:rPr>
          <w:rFonts w:asciiTheme="majorHAnsi" w:hAnsiTheme="majorHAnsi" w:cstheme="majorHAnsi"/>
          <w:snapToGrid w:val="0"/>
          <w:color w:val="000000"/>
          <w:sz w:val="24"/>
          <w:szCs w:val="24"/>
          <w:lang w:val="es-ES"/>
        </w:rPr>
        <w:t>.</w:t>
      </w:r>
    </w:p>
    <w:p w:rsidR="00845C2D" w:rsidRPr="00BF4E5A" w:rsidRDefault="00845C2D" w:rsidP="00845C2D">
      <w:pPr>
        <w:pStyle w:val="Textonotapie"/>
        <w:numPr>
          <w:ilvl w:val="3"/>
          <w:numId w:val="17"/>
        </w:numPr>
        <w:tabs>
          <w:tab w:val="left" w:pos="-2552"/>
        </w:tabs>
        <w:spacing w:before="120" w:after="120" w:line="276" w:lineRule="auto"/>
        <w:ind w:left="1843"/>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En el apartado 2.2.1(b) se</w:t>
      </w:r>
      <w:r>
        <w:rPr>
          <w:rFonts w:asciiTheme="majorHAnsi" w:hAnsiTheme="majorHAnsi" w:cstheme="majorHAnsi"/>
          <w:snapToGrid w:val="0"/>
          <w:color w:val="000000"/>
          <w:sz w:val="24"/>
          <w:szCs w:val="24"/>
          <w:lang w:val="es-ES"/>
        </w:rPr>
        <w:t xml:space="preserve"> podría </w:t>
      </w:r>
      <w:r w:rsidRPr="00845C2D">
        <w:rPr>
          <w:rFonts w:asciiTheme="majorHAnsi" w:hAnsiTheme="majorHAnsi" w:cstheme="majorHAnsi"/>
          <w:snapToGrid w:val="0"/>
          <w:color w:val="000000"/>
          <w:sz w:val="24"/>
          <w:szCs w:val="24"/>
          <w:lang w:val="es-ES"/>
        </w:rPr>
        <w:t>incluir la importancia del equilibrio nutricional de los alimentos redistribuidos en el caso de dietas a personas desfavorecidas</w:t>
      </w:r>
      <w:r>
        <w:rPr>
          <w:rFonts w:asciiTheme="majorHAnsi" w:hAnsiTheme="majorHAnsi" w:cstheme="majorHAnsi"/>
          <w:snapToGrid w:val="0"/>
          <w:color w:val="000000"/>
          <w:sz w:val="24"/>
          <w:szCs w:val="24"/>
          <w:lang w:val="es-ES"/>
        </w:rPr>
        <w:t>.</w:t>
      </w:r>
    </w:p>
    <w:p w:rsidR="004C0E65" w:rsidRDefault="004C0E65" w:rsidP="004C0E65">
      <w:pPr>
        <w:pStyle w:val="Textonotapie"/>
        <w:numPr>
          <w:ilvl w:val="1"/>
          <w:numId w:val="17"/>
        </w:numPr>
        <w:tabs>
          <w:tab w:val="left" w:pos="-2552"/>
        </w:tabs>
        <w:spacing w:before="120" w:after="120" w:line="276" w:lineRule="auto"/>
        <w:rPr>
          <w:rFonts w:asciiTheme="majorHAnsi" w:hAnsiTheme="majorHAnsi" w:cstheme="majorHAnsi"/>
          <w:b/>
          <w:snapToGrid w:val="0"/>
          <w:color w:val="000000"/>
          <w:sz w:val="24"/>
          <w:szCs w:val="24"/>
          <w:lang w:val="es-ES"/>
        </w:rPr>
      </w:pPr>
      <w:r w:rsidRPr="00683EB7">
        <w:rPr>
          <w:rFonts w:asciiTheme="majorHAnsi" w:hAnsiTheme="majorHAnsi" w:cstheme="majorHAnsi"/>
          <w:b/>
          <w:snapToGrid w:val="0"/>
          <w:color w:val="000000"/>
          <w:sz w:val="24"/>
          <w:szCs w:val="24"/>
          <w:lang w:val="es-ES"/>
        </w:rPr>
        <w:t>Teniendo en cuenta la necesidad de fomentar la coherencia normativa en materia de PDA, ¿qué cuestiones transversales mencionadas en la sección 2.2.4 son relevantes para la PDA?</w:t>
      </w:r>
    </w:p>
    <w:p w:rsidR="00845C2D" w:rsidRPr="00845C2D" w:rsidRDefault="00845C2D" w:rsidP="00845C2D">
      <w:pPr>
        <w:pStyle w:val="Textonotapie"/>
        <w:tabs>
          <w:tab w:val="left" w:pos="-2552"/>
        </w:tabs>
        <w:spacing w:before="120" w:after="120" w:line="276" w:lineRule="auto"/>
        <w:ind w:left="1440"/>
        <w:rPr>
          <w:rFonts w:asciiTheme="majorHAnsi" w:hAnsiTheme="majorHAnsi" w:cstheme="majorHAnsi"/>
          <w:snapToGrid w:val="0"/>
          <w:color w:val="000000"/>
          <w:sz w:val="24"/>
          <w:szCs w:val="24"/>
          <w:lang w:val="es-ES"/>
        </w:rPr>
      </w:pPr>
      <w:r w:rsidRPr="00845C2D">
        <w:rPr>
          <w:rFonts w:asciiTheme="majorHAnsi" w:hAnsiTheme="majorHAnsi" w:cstheme="majorHAnsi"/>
          <w:snapToGrid w:val="0"/>
          <w:color w:val="000000"/>
          <w:sz w:val="24"/>
          <w:szCs w:val="24"/>
          <w:lang w:val="es-ES"/>
        </w:rPr>
        <w:t>Se consideran adecuadas las que se identifican en el documento.</w:t>
      </w:r>
    </w:p>
    <w:p w:rsidR="004C0E65" w:rsidRDefault="004C0E65" w:rsidP="004C0E65">
      <w:pPr>
        <w:pStyle w:val="Textonotapie"/>
        <w:numPr>
          <w:ilvl w:val="0"/>
          <w:numId w:val="17"/>
        </w:numPr>
        <w:tabs>
          <w:tab w:val="left" w:pos="-2552"/>
        </w:tabs>
        <w:spacing w:before="120" w:after="120" w:line="276" w:lineRule="auto"/>
        <w:rPr>
          <w:rFonts w:asciiTheme="majorHAnsi" w:hAnsiTheme="majorHAnsi" w:cstheme="majorHAnsi"/>
          <w:b/>
          <w:snapToGrid w:val="0"/>
          <w:color w:val="000000"/>
          <w:sz w:val="24"/>
          <w:szCs w:val="24"/>
          <w:lang w:val="es-ES"/>
        </w:rPr>
      </w:pPr>
      <w:r w:rsidRPr="00683EB7">
        <w:rPr>
          <w:rFonts w:asciiTheme="majorHAnsi" w:hAnsiTheme="majorHAnsi" w:cstheme="majorHAnsi"/>
          <w:b/>
          <w:snapToGrid w:val="0"/>
          <w:color w:val="000000"/>
          <w:sz w:val="24"/>
          <w:szCs w:val="24"/>
          <w:lang w:val="es-ES"/>
        </w:rPr>
        <w:t>¿Cómo podría ser este Código de Conducta sobre la prevención y reducción de la PDA más útil para las diferentes partes interesadas, especialmente a nivel nacional y regional?</w:t>
      </w:r>
    </w:p>
    <w:p w:rsidR="00683EB7" w:rsidRDefault="00683EB7" w:rsidP="00683EB7">
      <w:pPr>
        <w:pStyle w:val="Textonotapie"/>
        <w:tabs>
          <w:tab w:val="left" w:pos="-2552"/>
        </w:tabs>
        <w:spacing w:before="120" w:after="120" w:line="276" w:lineRule="auto"/>
        <w:ind w:left="720"/>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En nuestra opinión, el documento podría mejorar con las siguientes aportaciones:</w:t>
      </w:r>
    </w:p>
    <w:p w:rsidR="00683EB7" w:rsidRDefault="00683EB7" w:rsidP="00683EB7">
      <w:pPr>
        <w:pStyle w:val="Textonotapie"/>
        <w:numPr>
          <w:ilvl w:val="0"/>
          <w:numId w:val="18"/>
        </w:numPr>
        <w:tabs>
          <w:tab w:val="left" w:pos="-2552"/>
        </w:tabs>
        <w:spacing w:before="120" w:after="120" w:line="276" w:lineRule="auto"/>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 xml:space="preserve">Sería interesante que en el apartado 1.2 Justificación, se definiese claramente los términos pérdida de alimentos, desperdicio de alimentos y residuos de alimentos, para establecer un marco claro que permita la comparación con sistemas de medición </w:t>
      </w:r>
      <w:r>
        <w:rPr>
          <w:rFonts w:asciiTheme="majorHAnsi" w:hAnsiTheme="majorHAnsi" w:cstheme="majorHAnsi"/>
          <w:snapToGrid w:val="0"/>
          <w:color w:val="000000"/>
          <w:sz w:val="24"/>
          <w:szCs w:val="24"/>
          <w:lang w:val="es-ES"/>
        </w:rPr>
        <w:lastRenderedPageBreak/>
        <w:t>diversos.</w:t>
      </w:r>
      <w:r w:rsidR="005928B1">
        <w:rPr>
          <w:rFonts w:asciiTheme="majorHAnsi" w:hAnsiTheme="majorHAnsi" w:cstheme="majorHAnsi"/>
          <w:snapToGrid w:val="0"/>
          <w:color w:val="000000"/>
          <w:sz w:val="24"/>
          <w:szCs w:val="24"/>
          <w:lang w:val="es-ES"/>
        </w:rPr>
        <w:t xml:space="preserve"> De ser posible, ser tendrían que utilizar términos diferentes para estos conceptos en todos los idiomas, para evitar confusión.</w:t>
      </w:r>
    </w:p>
    <w:p w:rsidR="00DF1EAC" w:rsidRDefault="005928B1" w:rsidP="00683EB7">
      <w:pPr>
        <w:pStyle w:val="Textonotapie"/>
        <w:numPr>
          <w:ilvl w:val="0"/>
          <w:numId w:val="18"/>
        </w:numPr>
        <w:tabs>
          <w:tab w:val="left" w:pos="-2552"/>
        </w:tabs>
        <w:spacing w:before="120" w:after="120" w:line="276" w:lineRule="auto"/>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En el apartado 1.5 sería interesante que se incluyese</w:t>
      </w:r>
      <w:r w:rsidR="00DF1EAC">
        <w:rPr>
          <w:rFonts w:asciiTheme="majorHAnsi" w:hAnsiTheme="majorHAnsi" w:cstheme="majorHAnsi"/>
          <w:snapToGrid w:val="0"/>
          <w:color w:val="000000"/>
          <w:sz w:val="24"/>
          <w:szCs w:val="24"/>
          <w:lang w:val="es-ES"/>
        </w:rPr>
        <w:t xml:space="preserve">: </w:t>
      </w:r>
    </w:p>
    <w:p w:rsidR="00DF1EAC" w:rsidRDefault="00DF1EAC" w:rsidP="00DF1EAC">
      <w:pPr>
        <w:pStyle w:val="Textonotapie"/>
        <w:numPr>
          <w:ilvl w:val="1"/>
          <w:numId w:val="18"/>
        </w:numPr>
        <w:tabs>
          <w:tab w:val="left" w:pos="-2552"/>
        </w:tabs>
        <w:spacing w:before="120" w:after="120" w:line="276" w:lineRule="auto"/>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 xml:space="preserve">Cómo se va a hacer el seguimiento de la </w:t>
      </w:r>
      <w:r w:rsidRPr="00DF1EAC">
        <w:rPr>
          <w:rFonts w:asciiTheme="majorHAnsi" w:hAnsiTheme="majorHAnsi" w:cstheme="majorHAnsi"/>
          <w:snapToGrid w:val="0"/>
          <w:color w:val="000000"/>
          <w:sz w:val="24"/>
          <w:szCs w:val="24"/>
          <w:lang w:val="es-ES"/>
        </w:rPr>
        <w:t>aplicación y ejecución del CdC</w:t>
      </w:r>
      <w:r w:rsidR="00176A5E">
        <w:rPr>
          <w:rFonts w:asciiTheme="majorHAnsi" w:hAnsiTheme="majorHAnsi" w:cstheme="majorHAnsi"/>
          <w:snapToGrid w:val="0"/>
          <w:color w:val="000000"/>
          <w:sz w:val="24"/>
          <w:szCs w:val="24"/>
          <w:lang w:val="es-ES"/>
        </w:rPr>
        <w:t xml:space="preserve"> (entendemos que mediante el uso de indicadores)</w:t>
      </w:r>
      <w:r>
        <w:rPr>
          <w:rFonts w:asciiTheme="majorHAnsi" w:hAnsiTheme="majorHAnsi" w:cstheme="majorHAnsi"/>
          <w:snapToGrid w:val="0"/>
          <w:color w:val="000000"/>
          <w:sz w:val="24"/>
          <w:szCs w:val="24"/>
          <w:lang w:val="es-ES"/>
        </w:rPr>
        <w:t>.</w:t>
      </w:r>
    </w:p>
    <w:p w:rsidR="005928B1" w:rsidRDefault="00DF1EAC" w:rsidP="00DF1EAC">
      <w:pPr>
        <w:pStyle w:val="Textonotapie"/>
        <w:numPr>
          <w:ilvl w:val="1"/>
          <w:numId w:val="18"/>
        </w:numPr>
        <w:tabs>
          <w:tab w:val="left" w:pos="-2552"/>
        </w:tabs>
        <w:spacing w:before="120" w:after="120" w:line="276" w:lineRule="auto"/>
        <w:rPr>
          <w:rFonts w:asciiTheme="majorHAnsi" w:hAnsiTheme="majorHAnsi" w:cstheme="majorHAnsi"/>
          <w:snapToGrid w:val="0"/>
          <w:color w:val="000000"/>
          <w:sz w:val="24"/>
          <w:szCs w:val="24"/>
          <w:lang w:val="es-ES"/>
        </w:rPr>
      </w:pPr>
      <w:r>
        <w:rPr>
          <w:rFonts w:asciiTheme="majorHAnsi" w:hAnsiTheme="majorHAnsi" w:cstheme="majorHAnsi"/>
          <w:snapToGrid w:val="0"/>
          <w:color w:val="000000"/>
          <w:sz w:val="24"/>
          <w:szCs w:val="24"/>
          <w:lang w:val="es-ES"/>
        </w:rPr>
        <w:t>C</w:t>
      </w:r>
      <w:r w:rsidR="005928B1">
        <w:rPr>
          <w:rFonts w:asciiTheme="majorHAnsi" w:hAnsiTheme="majorHAnsi" w:cstheme="majorHAnsi"/>
          <w:snapToGrid w:val="0"/>
          <w:color w:val="000000"/>
          <w:sz w:val="24"/>
          <w:szCs w:val="24"/>
          <w:lang w:val="es-ES"/>
        </w:rPr>
        <w:t>ómo se va a publicar la información sobre los avances realizados para que el público en general también tenga conocimiento.</w:t>
      </w:r>
    </w:p>
    <w:p w:rsidR="00683EB7" w:rsidRPr="00683EB7" w:rsidRDefault="00683EB7" w:rsidP="00683EB7">
      <w:pPr>
        <w:pStyle w:val="Textonotapie"/>
        <w:tabs>
          <w:tab w:val="left" w:pos="-2552"/>
        </w:tabs>
        <w:spacing w:before="120" w:after="120" w:line="276" w:lineRule="auto"/>
        <w:ind w:left="720"/>
        <w:rPr>
          <w:rFonts w:asciiTheme="majorHAnsi" w:hAnsiTheme="majorHAnsi" w:cstheme="majorHAnsi"/>
          <w:b/>
          <w:snapToGrid w:val="0"/>
          <w:color w:val="000000"/>
          <w:sz w:val="24"/>
          <w:szCs w:val="24"/>
          <w:lang w:val="es-ES"/>
        </w:rPr>
      </w:pPr>
    </w:p>
    <w:p w:rsidR="00E6488A" w:rsidRPr="004C0E65" w:rsidRDefault="00E6488A" w:rsidP="00E6488A">
      <w:pPr>
        <w:pStyle w:val="Textonotapie"/>
        <w:tabs>
          <w:tab w:val="left" w:pos="1021"/>
          <w:tab w:val="left" w:pos="8080"/>
        </w:tabs>
        <w:spacing w:before="120" w:after="120" w:line="276" w:lineRule="auto"/>
        <w:jc w:val="right"/>
        <w:rPr>
          <w:rFonts w:asciiTheme="majorHAnsi" w:hAnsiTheme="majorHAnsi" w:cstheme="majorHAnsi"/>
          <w:sz w:val="24"/>
          <w:szCs w:val="24"/>
          <w:lang w:val="es-ES"/>
        </w:rPr>
      </w:pPr>
      <w:bookmarkStart w:id="0" w:name="_GoBack"/>
      <w:bookmarkEnd w:id="0"/>
      <w:r w:rsidRPr="004C0E65">
        <w:rPr>
          <w:rFonts w:asciiTheme="majorHAnsi" w:hAnsiTheme="majorHAnsi" w:cstheme="majorHAnsi"/>
          <w:sz w:val="24"/>
          <w:szCs w:val="24"/>
          <w:lang w:val="es-ES"/>
        </w:rPr>
        <w:t xml:space="preserve"> Madrid, </w:t>
      </w:r>
      <w:r w:rsidR="00CC6B52">
        <w:rPr>
          <w:rFonts w:asciiTheme="majorHAnsi" w:hAnsiTheme="majorHAnsi" w:cstheme="majorHAnsi"/>
          <w:sz w:val="24"/>
          <w:szCs w:val="24"/>
          <w:lang w:val="es-ES"/>
        </w:rPr>
        <w:t>16</w:t>
      </w:r>
      <w:r w:rsidR="004C0E65">
        <w:rPr>
          <w:rFonts w:asciiTheme="majorHAnsi" w:hAnsiTheme="majorHAnsi" w:cstheme="majorHAnsi"/>
          <w:sz w:val="24"/>
          <w:szCs w:val="24"/>
          <w:lang w:val="es-ES"/>
        </w:rPr>
        <w:t xml:space="preserve"> de </w:t>
      </w:r>
      <w:r w:rsidR="00CC6B52">
        <w:rPr>
          <w:rFonts w:asciiTheme="majorHAnsi" w:hAnsiTheme="majorHAnsi" w:cstheme="majorHAnsi"/>
          <w:sz w:val="24"/>
          <w:szCs w:val="24"/>
          <w:lang w:val="es-ES"/>
        </w:rPr>
        <w:t>agosto</w:t>
      </w:r>
      <w:r w:rsidR="004C0E65">
        <w:rPr>
          <w:rFonts w:asciiTheme="majorHAnsi" w:hAnsiTheme="majorHAnsi" w:cstheme="majorHAnsi"/>
          <w:sz w:val="24"/>
          <w:szCs w:val="24"/>
          <w:lang w:val="es-ES"/>
        </w:rPr>
        <w:t xml:space="preserve"> de</w:t>
      </w:r>
      <w:r w:rsidR="000318AF" w:rsidRPr="004C0E65">
        <w:rPr>
          <w:rFonts w:asciiTheme="majorHAnsi" w:hAnsiTheme="majorHAnsi" w:cstheme="majorHAnsi"/>
          <w:sz w:val="24"/>
          <w:szCs w:val="24"/>
          <w:lang w:val="es-ES"/>
        </w:rPr>
        <w:t xml:space="preserve"> </w:t>
      </w:r>
      <w:r w:rsidRPr="004C0E65">
        <w:rPr>
          <w:rFonts w:asciiTheme="majorHAnsi" w:hAnsiTheme="majorHAnsi" w:cstheme="majorHAnsi"/>
          <w:sz w:val="24"/>
          <w:szCs w:val="24"/>
          <w:lang w:val="es-ES"/>
        </w:rPr>
        <w:t>201</w:t>
      </w:r>
      <w:r w:rsidR="00CC6B52">
        <w:rPr>
          <w:rFonts w:asciiTheme="majorHAnsi" w:hAnsiTheme="majorHAnsi" w:cstheme="majorHAnsi"/>
          <w:sz w:val="24"/>
          <w:szCs w:val="24"/>
          <w:lang w:val="es-ES"/>
        </w:rPr>
        <w:t>9</w:t>
      </w:r>
    </w:p>
    <w:p w:rsidR="0043540C" w:rsidRPr="004C0E65" w:rsidRDefault="00557449">
      <w:pPr>
        <w:rPr>
          <w:rFonts w:asciiTheme="majorHAnsi" w:hAnsiTheme="majorHAnsi" w:cstheme="majorHAnsi"/>
          <w:sz w:val="24"/>
          <w:szCs w:val="24"/>
          <w:lang w:val="es-ES"/>
        </w:rPr>
      </w:pPr>
    </w:p>
    <w:sectPr w:rsidR="0043540C" w:rsidRPr="004C0E65" w:rsidSect="00E6488A">
      <w:headerReference w:type="even" r:id="rId9"/>
      <w:headerReference w:type="default" r:id="rId10"/>
      <w:footerReference w:type="even" r:id="rId11"/>
      <w:footerReference w:type="default" r:id="rId12"/>
      <w:headerReference w:type="first" r:id="rId13"/>
      <w:footerReference w:type="first" r:id="rId14"/>
      <w:pgSz w:w="11906" w:h="16838" w:code="9"/>
      <w:pgMar w:top="992" w:right="567" w:bottom="851" w:left="993" w:header="289" w:footer="1018" w:gutter="0"/>
      <w:cols w:space="720" w:equalWidth="0">
        <w:col w:w="9411"/>
      </w:cols>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8CA" w:rsidRDefault="001648CA" w:rsidP="00E6488A">
      <w:r>
        <w:separator/>
      </w:r>
    </w:p>
  </w:endnote>
  <w:endnote w:type="continuationSeparator" w:id="0">
    <w:p w:rsidR="001648CA" w:rsidRDefault="001648CA" w:rsidP="00E6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B8" w:rsidRDefault="00BB739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EB8" w:rsidRDefault="005574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4" w:space="0" w:color="auto"/>
      </w:tblBorders>
      <w:tblLayout w:type="fixed"/>
      <w:tblCellMar>
        <w:left w:w="70" w:type="dxa"/>
        <w:right w:w="70" w:type="dxa"/>
      </w:tblCellMar>
      <w:tblLook w:val="0000" w:firstRow="0" w:lastRow="0" w:firstColumn="0" w:lastColumn="0" w:noHBand="0" w:noVBand="0"/>
    </w:tblPr>
    <w:tblGrid>
      <w:gridCol w:w="8434"/>
      <w:gridCol w:w="2289"/>
    </w:tblGrid>
    <w:tr w:rsidR="00F22EB8" w:rsidTr="00146E32">
      <w:tc>
        <w:tcPr>
          <w:tcW w:w="8434" w:type="dxa"/>
          <w:vAlign w:val="bottom"/>
        </w:tcPr>
        <w:p w:rsidR="00A8263D" w:rsidRDefault="00A8263D" w:rsidP="00A8263D">
          <w:pPr>
            <w:pStyle w:val="Textonotapie"/>
            <w:framePr w:hSpace="142" w:wrap="around" w:vAnchor="text" w:hAnchor="margin" w:xAlign="right" w:y="1"/>
            <w:tabs>
              <w:tab w:val="left" w:pos="1021"/>
              <w:tab w:val="left" w:pos="8080"/>
            </w:tabs>
            <w:rPr>
              <w:rFonts w:ascii="Gill Sans MT" w:hAnsi="Gill Sans MT"/>
              <w:sz w:val="14"/>
            </w:rPr>
          </w:pPr>
          <w:r>
            <w:rPr>
              <w:rFonts w:ascii="Gill Sans MT" w:hAnsi="Gill Sans MT"/>
              <w:sz w:val="14"/>
            </w:rPr>
            <w:t>www.mapa.es</w:t>
          </w:r>
        </w:p>
        <w:p w:rsidR="00F22EB8" w:rsidRDefault="00BB739A" w:rsidP="00E250D0">
          <w:pPr>
            <w:pStyle w:val="Textonotapie"/>
            <w:framePr w:hSpace="142" w:wrap="around" w:vAnchor="text" w:hAnchor="margin" w:xAlign="right" w:y="1"/>
            <w:tabs>
              <w:tab w:val="left" w:pos="1021"/>
              <w:tab w:val="left" w:pos="8080"/>
            </w:tabs>
            <w:rPr>
              <w:rFonts w:ascii="Gill Sans MT" w:hAnsi="Gill Sans MT"/>
              <w:sz w:val="14"/>
            </w:rPr>
          </w:pPr>
          <w:r>
            <w:rPr>
              <w:rFonts w:ascii="Gill Sans MT" w:hAnsi="Gill Sans MT"/>
              <w:sz w:val="14"/>
            </w:rPr>
            <w:t>dgia@mapama.es</w:t>
          </w:r>
        </w:p>
      </w:tc>
      <w:tc>
        <w:tcPr>
          <w:tcW w:w="2289" w:type="dxa"/>
        </w:tcPr>
        <w:p w:rsidR="00F22EB8" w:rsidRDefault="00BB739A" w:rsidP="00146E32">
          <w:pPr>
            <w:pStyle w:val="Textonotapie"/>
            <w:framePr w:hSpace="142" w:wrap="around" w:vAnchor="text" w:hAnchor="margin" w:xAlign="right" w:y="1"/>
            <w:tabs>
              <w:tab w:val="left" w:pos="1915"/>
              <w:tab w:val="left" w:pos="8080"/>
            </w:tabs>
            <w:ind w:right="-42"/>
            <w:rPr>
              <w:rFonts w:ascii="Gill Sans MT" w:hAnsi="Gill Sans MT"/>
              <w:sz w:val="14"/>
            </w:rPr>
          </w:pPr>
          <w:r>
            <w:rPr>
              <w:rFonts w:ascii="Gill Sans MT" w:hAnsi="Gill Sans MT"/>
              <w:sz w:val="14"/>
            </w:rPr>
            <w:t xml:space="preserve">Pº/ INFANTA ISABEL, 1, </w:t>
          </w:r>
        </w:p>
        <w:p w:rsidR="00F22EB8" w:rsidRDefault="00BB739A" w:rsidP="00146E32">
          <w:pPr>
            <w:pStyle w:val="Textonotapie"/>
            <w:framePr w:hSpace="142" w:wrap="around" w:vAnchor="text" w:hAnchor="margin" w:xAlign="right" w:y="1"/>
            <w:tabs>
              <w:tab w:val="left" w:pos="1915"/>
              <w:tab w:val="left" w:pos="8080"/>
            </w:tabs>
            <w:ind w:right="-42"/>
            <w:rPr>
              <w:rFonts w:ascii="Gill Sans MT" w:hAnsi="Gill Sans MT"/>
              <w:sz w:val="14"/>
            </w:rPr>
          </w:pPr>
          <w:r>
            <w:rPr>
              <w:rFonts w:ascii="Gill Sans MT" w:hAnsi="Gill Sans MT"/>
              <w:sz w:val="14"/>
            </w:rPr>
            <w:t>28071 MADRID</w:t>
          </w:r>
        </w:p>
        <w:p w:rsidR="00F22EB8" w:rsidRDefault="00BB739A" w:rsidP="00146E32">
          <w:pPr>
            <w:pStyle w:val="Textonotapie"/>
            <w:framePr w:hSpace="142" w:wrap="around" w:vAnchor="text" w:hAnchor="margin" w:xAlign="right" w:y="1"/>
            <w:tabs>
              <w:tab w:val="left" w:pos="1915"/>
              <w:tab w:val="left" w:pos="8080"/>
            </w:tabs>
            <w:ind w:right="-42"/>
            <w:rPr>
              <w:rFonts w:ascii="Gill Sans MT" w:hAnsi="Gill Sans MT"/>
              <w:sz w:val="14"/>
            </w:rPr>
          </w:pPr>
          <w:r>
            <w:rPr>
              <w:rFonts w:ascii="Gill Sans MT" w:hAnsi="Gill Sans MT"/>
              <w:sz w:val="14"/>
            </w:rPr>
            <w:t>TEL: 913475361/8477</w:t>
          </w:r>
        </w:p>
        <w:p w:rsidR="00F22EB8" w:rsidRDefault="00BB739A" w:rsidP="00146E32">
          <w:pPr>
            <w:pStyle w:val="Textonotapie"/>
            <w:framePr w:hSpace="142" w:wrap="around" w:vAnchor="text" w:hAnchor="margin" w:xAlign="right" w:y="1"/>
            <w:tabs>
              <w:tab w:val="left" w:pos="1915"/>
              <w:tab w:val="left" w:pos="8080"/>
            </w:tabs>
            <w:ind w:right="-42"/>
            <w:rPr>
              <w:rFonts w:ascii="Gill Sans MT" w:hAnsi="Gill Sans MT"/>
              <w:sz w:val="14"/>
            </w:rPr>
          </w:pPr>
          <w:r>
            <w:rPr>
              <w:rFonts w:ascii="Gill Sans MT" w:hAnsi="Gill Sans MT"/>
              <w:sz w:val="14"/>
            </w:rPr>
            <w:t>FAX: 913475770</w:t>
          </w:r>
        </w:p>
      </w:tc>
    </w:tr>
  </w:tbl>
  <w:p w:rsidR="00F22EB8" w:rsidRDefault="00BB739A" w:rsidP="00146E32">
    <w:pPr>
      <w:pStyle w:val="Piedepgina"/>
      <w:tabs>
        <w:tab w:val="left" w:pos="774"/>
        <w:tab w:val="center" w:pos="5244"/>
      </w:tabs>
    </w:pPr>
    <w:r>
      <w:tab/>
    </w:r>
    <w:r>
      <w:tab/>
    </w:r>
    <w:r>
      <w:tab/>
    </w:r>
    <w:r>
      <w:fldChar w:fldCharType="begin"/>
    </w:r>
    <w:r>
      <w:instrText xml:space="preserve"> PAGE   \* MERGEFORMAT </w:instrText>
    </w:r>
    <w:r>
      <w:fldChar w:fldCharType="separate"/>
    </w:r>
    <w:r w:rsidR="00557449">
      <w:rPr>
        <w:noProof/>
      </w:rPr>
      <w:t>4</w:t>
    </w:r>
    <w:r>
      <w:rPr>
        <w:noProof/>
      </w:rPr>
      <w:fldChar w:fldCharType="end"/>
    </w:r>
  </w:p>
  <w:p w:rsidR="00F22EB8" w:rsidRDefault="00557449">
    <w:pPr>
      <w:pStyle w:val="Piedepgina"/>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B8" w:rsidRDefault="00BB739A">
    <w:pPr>
      <w:pStyle w:val="Piedepgina"/>
      <w:jc w:val="center"/>
    </w:pPr>
    <w:r>
      <w:fldChar w:fldCharType="begin"/>
    </w:r>
    <w:r>
      <w:instrText xml:space="preserve"> PAGE   \* MERGEFORMAT </w:instrText>
    </w:r>
    <w:r>
      <w:fldChar w:fldCharType="separate"/>
    </w:r>
    <w:r w:rsidR="00557449">
      <w:rPr>
        <w:noProof/>
      </w:rPr>
      <w:t>1</w:t>
    </w:r>
    <w:r>
      <w:rPr>
        <w:noProof/>
      </w:rPr>
      <w:fldChar w:fldCharType="end"/>
    </w:r>
  </w:p>
  <w:tbl>
    <w:tblPr>
      <w:tblW w:w="0" w:type="auto"/>
      <w:tblBorders>
        <w:insideV w:val="single" w:sz="4" w:space="0" w:color="auto"/>
      </w:tblBorders>
      <w:tblLayout w:type="fixed"/>
      <w:tblCellMar>
        <w:left w:w="70" w:type="dxa"/>
        <w:right w:w="70" w:type="dxa"/>
      </w:tblCellMar>
      <w:tblLook w:val="0000" w:firstRow="0" w:lastRow="0" w:firstColumn="0" w:lastColumn="0" w:noHBand="0" w:noVBand="0"/>
    </w:tblPr>
    <w:tblGrid>
      <w:gridCol w:w="8434"/>
      <w:gridCol w:w="2289"/>
    </w:tblGrid>
    <w:tr w:rsidR="00F22EB8" w:rsidTr="00146E32">
      <w:tc>
        <w:tcPr>
          <w:tcW w:w="8434" w:type="dxa"/>
          <w:vAlign w:val="bottom"/>
        </w:tcPr>
        <w:p w:rsidR="00F22EB8" w:rsidRDefault="00BB739A" w:rsidP="00146E32">
          <w:pPr>
            <w:pStyle w:val="Textonotapie"/>
            <w:framePr w:hSpace="142" w:wrap="around" w:vAnchor="text" w:hAnchor="margin" w:xAlign="right" w:y="1"/>
            <w:tabs>
              <w:tab w:val="left" w:pos="1021"/>
              <w:tab w:val="left" w:pos="8080"/>
            </w:tabs>
            <w:rPr>
              <w:rFonts w:ascii="Gill Sans MT" w:hAnsi="Gill Sans MT"/>
              <w:sz w:val="14"/>
            </w:rPr>
          </w:pPr>
          <w:r>
            <w:rPr>
              <w:rFonts w:ascii="Gill Sans MT" w:hAnsi="Gill Sans MT"/>
              <w:sz w:val="14"/>
            </w:rPr>
            <w:t>www.ma</w:t>
          </w:r>
          <w:r w:rsidR="000318AF">
            <w:rPr>
              <w:rFonts w:ascii="Gill Sans MT" w:hAnsi="Gill Sans MT"/>
              <w:sz w:val="14"/>
            </w:rPr>
            <w:t>p</w:t>
          </w:r>
          <w:r>
            <w:rPr>
              <w:rFonts w:ascii="Gill Sans MT" w:hAnsi="Gill Sans MT"/>
              <w:sz w:val="14"/>
            </w:rPr>
            <w:t>a.es</w:t>
          </w:r>
        </w:p>
        <w:p w:rsidR="00F22EB8" w:rsidRDefault="00BB739A" w:rsidP="000318AF">
          <w:pPr>
            <w:pStyle w:val="Textonotapie"/>
            <w:framePr w:hSpace="142" w:wrap="around" w:vAnchor="text" w:hAnchor="margin" w:xAlign="right" w:y="1"/>
            <w:tabs>
              <w:tab w:val="left" w:pos="1021"/>
              <w:tab w:val="left" w:pos="8080"/>
            </w:tabs>
            <w:rPr>
              <w:rFonts w:ascii="Gill Sans MT" w:hAnsi="Gill Sans MT"/>
              <w:sz w:val="14"/>
            </w:rPr>
          </w:pPr>
          <w:r>
            <w:rPr>
              <w:rFonts w:ascii="Gill Sans MT" w:hAnsi="Gill Sans MT"/>
              <w:sz w:val="14"/>
            </w:rPr>
            <w:t>dgia@ma</w:t>
          </w:r>
          <w:r w:rsidR="000318AF">
            <w:rPr>
              <w:rFonts w:ascii="Gill Sans MT" w:hAnsi="Gill Sans MT"/>
              <w:sz w:val="14"/>
            </w:rPr>
            <w:t>p</w:t>
          </w:r>
          <w:r>
            <w:rPr>
              <w:rFonts w:ascii="Gill Sans MT" w:hAnsi="Gill Sans MT"/>
              <w:sz w:val="14"/>
            </w:rPr>
            <w:t>ama.es</w:t>
          </w:r>
        </w:p>
      </w:tc>
      <w:tc>
        <w:tcPr>
          <w:tcW w:w="2289" w:type="dxa"/>
        </w:tcPr>
        <w:p w:rsidR="00F22EB8" w:rsidRDefault="00BB739A" w:rsidP="00146E32">
          <w:pPr>
            <w:pStyle w:val="Textonotapie"/>
            <w:framePr w:hSpace="142" w:wrap="around" w:vAnchor="text" w:hAnchor="margin" w:xAlign="right" w:y="1"/>
            <w:tabs>
              <w:tab w:val="left" w:pos="1915"/>
              <w:tab w:val="left" w:pos="8080"/>
            </w:tabs>
            <w:ind w:right="-42"/>
            <w:rPr>
              <w:rFonts w:ascii="Gill Sans MT" w:hAnsi="Gill Sans MT"/>
              <w:sz w:val="14"/>
            </w:rPr>
          </w:pPr>
          <w:r>
            <w:rPr>
              <w:rFonts w:ascii="Gill Sans MT" w:hAnsi="Gill Sans MT"/>
              <w:sz w:val="14"/>
            </w:rPr>
            <w:t xml:space="preserve">Pº/ INFANTA ISABEL, 1, </w:t>
          </w:r>
        </w:p>
        <w:p w:rsidR="00F22EB8" w:rsidRDefault="00BB739A" w:rsidP="00146E32">
          <w:pPr>
            <w:pStyle w:val="Textonotapie"/>
            <w:framePr w:hSpace="142" w:wrap="around" w:vAnchor="text" w:hAnchor="margin" w:xAlign="right" w:y="1"/>
            <w:tabs>
              <w:tab w:val="left" w:pos="1915"/>
              <w:tab w:val="left" w:pos="8080"/>
            </w:tabs>
            <w:ind w:right="-42"/>
            <w:rPr>
              <w:rFonts w:ascii="Gill Sans MT" w:hAnsi="Gill Sans MT"/>
              <w:sz w:val="14"/>
            </w:rPr>
          </w:pPr>
          <w:r>
            <w:rPr>
              <w:rFonts w:ascii="Gill Sans MT" w:hAnsi="Gill Sans MT"/>
              <w:sz w:val="14"/>
            </w:rPr>
            <w:t>28071 MADRID</w:t>
          </w:r>
        </w:p>
        <w:p w:rsidR="00F22EB8" w:rsidRDefault="00BB739A" w:rsidP="00146E32">
          <w:pPr>
            <w:pStyle w:val="Textonotapie"/>
            <w:framePr w:hSpace="142" w:wrap="around" w:vAnchor="text" w:hAnchor="margin" w:xAlign="right" w:y="1"/>
            <w:tabs>
              <w:tab w:val="left" w:pos="1915"/>
              <w:tab w:val="left" w:pos="8080"/>
            </w:tabs>
            <w:ind w:right="-42"/>
            <w:rPr>
              <w:rFonts w:ascii="Gill Sans MT" w:hAnsi="Gill Sans MT"/>
              <w:sz w:val="14"/>
            </w:rPr>
          </w:pPr>
          <w:r>
            <w:rPr>
              <w:rFonts w:ascii="Gill Sans MT" w:hAnsi="Gill Sans MT"/>
              <w:sz w:val="14"/>
            </w:rPr>
            <w:t>TEL: 913475361/8477</w:t>
          </w:r>
        </w:p>
        <w:p w:rsidR="00F22EB8" w:rsidRDefault="00BB739A" w:rsidP="00146E32">
          <w:pPr>
            <w:pStyle w:val="Textonotapie"/>
            <w:framePr w:hSpace="142" w:wrap="around" w:vAnchor="text" w:hAnchor="margin" w:xAlign="right" w:y="1"/>
            <w:tabs>
              <w:tab w:val="left" w:pos="1915"/>
              <w:tab w:val="left" w:pos="8080"/>
            </w:tabs>
            <w:ind w:right="-42"/>
            <w:rPr>
              <w:rFonts w:ascii="Gill Sans MT" w:hAnsi="Gill Sans MT"/>
              <w:sz w:val="14"/>
            </w:rPr>
          </w:pPr>
          <w:r>
            <w:rPr>
              <w:rFonts w:ascii="Gill Sans MT" w:hAnsi="Gill Sans MT"/>
              <w:sz w:val="14"/>
            </w:rPr>
            <w:t>FAX: 913475770</w:t>
          </w:r>
        </w:p>
      </w:tc>
    </w:tr>
  </w:tbl>
  <w:p w:rsidR="00F22EB8" w:rsidRDefault="005574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8CA" w:rsidRDefault="001648CA" w:rsidP="00E6488A">
      <w:r>
        <w:separator/>
      </w:r>
    </w:p>
  </w:footnote>
  <w:footnote w:type="continuationSeparator" w:id="0">
    <w:p w:rsidR="001648CA" w:rsidRDefault="001648CA" w:rsidP="00E64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B8" w:rsidRDefault="00BB739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EB8" w:rsidRDefault="0055744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B8" w:rsidRDefault="00BB739A">
    <w:pPr>
      <w:pStyle w:val="Encabezado"/>
      <w:tabs>
        <w:tab w:val="clear" w:pos="8504"/>
      </w:tabs>
      <w:ind w:right="-87"/>
      <w:jc w:val="right"/>
    </w:pPr>
    <w:r>
      <w:rPr>
        <w:noProof/>
        <w:lang w:val="en-US" w:eastAsia="en-US"/>
      </w:rPr>
      <w:drawing>
        <wp:inline distT="0" distB="0" distL="0" distR="0" wp14:anchorId="3128BBF1" wp14:editId="02BEDB9B">
          <wp:extent cx="845185" cy="87122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5185" cy="8712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B8" w:rsidRDefault="00557449" w:rsidP="00146E32">
    <w:pPr>
      <w:ind w:right="-18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7E9"/>
    <w:multiLevelType w:val="hybridMultilevel"/>
    <w:tmpl w:val="89E47552"/>
    <w:lvl w:ilvl="0" w:tplc="95322F4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8433399"/>
    <w:multiLevelType w:val="hybridMultilevel"/>
    <w:tmpl w:val="5CC8D0A6"/>
    <w:lvl w:ilvl="0" w:tplc="6EAE8B38">
      <w:numFmt w:val="bullet"/>
      <w:lvlText w:val="-"/>
      <w:lvlJc w:val="left"/>
      <w:pPr>
        <w:ind w:left="1080" w:hanging="360"/>
      </w:pPr>
      <w:rPr>
        <w:rFonts w:ascii="Calibri Light" w:eastAsia="Times New Roman" w:hAnsi="Calibri Light" w:cs="Calibri Light"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E1C06A6"/>
    <w:multiLevelType w:val="hybridMultilevel"/>
    <w:tmpl w:val="7692389E"/>
    <w:lvl w:ilvl="0" w:tplc="39E43752">
      <w:numFmt w:val="bullet"/>
      <w:lvlText w:val="-"/>
      <w:lvlJc w:val="left"/>
      <w:pPr>
        <w:ind w:left="1065" w:hanging="360"/>
      </w:pPr>
      <w:rPr>
        <w:rFonts w:ascii="Calibri" w:eastAsia="Calibri" w:hAnsi="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C6A5072"/>
    <w:multiLevelType w:val="hybridMultilevel"/>
    <w:tmpl w:val="D0E46F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1F5D579C"/>
    <w:multiLevelType w:val="hybridMultilevel"/>
    <w:tmpl w:val="97FC3686"/>
    <w:lvl w:ilvl="0" w:tplc="161456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893135"/>
    <w:multiLevelType w:val="hybridMultilevel"/>
    <w:tmpl w:val="15280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56CBD"/>
    <w:multiLevelType w:val="hybridMultilevel"/>
    <w:tmpl w:val="CA104C6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7" w15:restartNumberingAfterBreak="0">
    <w:nsid w:val="2879654D"/>
    <w:multiLevelType w:val="multilevel"/>
    <w:tmpl w:val="282457E8"/>
    <w:lvl w:ilvl="0">
      <w:start w:val="1"/>
      <w:numFmt w:val="decimal"/>
      <w:lvlText w:val="%1."/>
      <w:lvlJc w:val="left"/>
      <w:pPr>
        <w:ind w:left="720" w:hanging="360"/>
      </w:pPr>
      <w:rPr>
        <w:rFonts w:hint="default"/>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3AF93007"/>
    <w:multiLevelType w:val="hybridMultilevel"/>
    <w:tmpl w:val="97CAB93A"/>
    <w:lvl w:ilvl="0" w:tplc="0C0A000F">
      <w:start w:val="1"/>
      <w:numFmt w:val="decimal"/>
      <w:lvlText w:val="%1."/>
      <w:lvlJc w:val="left"/>
      <w:pPr>
        <w:ind w:left="720" w:hanging="360"/>
      </w:pPr>
    </w:lvl>
    <w:lvl w:ilvl="1" w:tplc="39E43752">
      <w:numFmt w:val="bullet"/>
      <w:lvlText w:val="-"/>
      <w:lvlJc w:val="left"/>
      <w:pPr>
        <w:ind w:left="1440" w:hanging="360"/>
      </w:pPr>
      <w:rPr>
        <w:rFonts w:ascii="Calibri" w:eastAsia="Calibri" w:hAnsi="Calibri"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47247CC5"/>
    <w:multiLevelType w:val="hybridMultilevel"/>
    <w:tmpl w:val="0C8E18A4"/>
    <w:lvl w:ilvl="0" w:tplc="0C0A0011">
      <w:start w:val="1"/>
      <w:numFmt w:val="decimal"/>
      <w:lvlText w:val="%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AD7C086E">
      <w:numFmt w:val="bullet"/>
      <w:lvlText w:val="-"/>
      <w:lvlJc w:val="left"/>
      <w:pPr>
        <w:ind w:left="2880" w:hanging="360"/>
      </w:pPr>
      <w:rPr>
        <w:rFonts w:ascii="Calibri Light" w:eastAsia="Times New Roman" w:hAnsi="Calibri Light" w:cs="Calibri Light"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D50ABE"/>
    <w:multiLevelType w:val="hybridMultilevel"/>
    <w:tmpl w:val="B5C4CD1A"/>
    <w:lvl w:ilvl="0" w:tplc="0C0A0017">
      <w:start w:val="1"/>
      <w:numFmt w:val="lowerLetter"/>
      <w:lvlText w:val="%1)"/>
      <w:lvlJc w:val="left"/>
      <w:pPr>
        <w:ind w:left="1249" w:hanging="360"/>
      </w:pPr>
    </w:lvl>
    <w:lvl w:ilvl="1" w:tplc="0C0A0019" w:tentative="1">
      <w:start w:val="1"/>
      <w:numFmt w:val="lowerLetter"/>
      <w:lvlText w:val="%2."/>
      <w:lvlJc w:val="left"/>
      <w:pPr>
        <w:ind w:left="1969" w:hanging="360"/>
      </w:pPr>
    </w:lvl>
    <w:lvl w:ilvl="2" w:tplc="0C0A001B" w:tentative="1">
      <w:start w:val="1"/>
      <w:numFmt w:val="lowerRoman"/>
      <w:lvlText w:val="%3."/>
      <w:lvlJc w:val="right"/>
      <w:pPr>
        <w:ind w:left="2689" w:hanging="180"/>
      </w:pPr>
    </w:lvl>
    <w:lvl w:ilvl="3" w:tplc="0C0A000F" w:tentative="1">
      <w:start w:val="1"/>
      <w:numFmt w:val="decimal"/>
      <w:lvlText w:val="%4."/>
      <w:lvlJc w:val="left"/>
      <w:pPr>
        <w:ind w:left="3409" w:hanging="360"/>
      </w:pPr>
    </w:lvl>
    <w:lvl w:ilvl="4" w:tplc="0C0A0019" w:tentative="1">
      <w:start w:val="1"/>
      <w:numFmt w:val="lowerLetter"/>
      <w:lvlText w:val="%5."/>
      <w:lvlJc w:val="left"/>
      <w:pPr>
        <w:ind w:left="4129" w:hanging="360"/>
      </w:pPr>
    </w:lvl>
    <w:lvl w:ilvl="5" w:tplc="0C0A001B" w:tentative="1">
      <w:start w:val="1"/>
      <w:numFmt w:val="lowerRoman"/>
      <w:lvlText w:val="%6."/>
      <w:lvlJc w:val="right"/>
      <w:pPr>
        <w:ind w:left="4849" w:hanging="180"/>
      </w:pPr>
    </w:lvl>
    <w:lvl w:ilvl="6" w:tplc="0C0A000F" w:tentative="1">
      <w:start w:val="1"/>
      <w:numFmt w:val="decimal"/>
      <w:lvlText w:val="%7."/>
      <w:lvlJc w:val="left"/>
      <w:pPr>
        <w:ind w:left="5569" w:hanging="360"/>
      </w:pPr>
    </w:lvl>
    <w:lvl w:ilvl="7" w:tplc="0C0A0019" w:tentative="1">
      <w:start w:val="1"/>
      <w:numFmt w:val="lowerLetter"/>
      <w:lvlText w:val="%8."/>
      <w:lvlJc w:val="left"/>
      <w:pPr>
        <w:ind w:left="6289" w:hanging="360"/>
      </w:pPr>
    </w:lvl>
    <w:lvl w:ilvl="8" w:tplc="0C0A001B" w:tentative="1">
      <w:start w:val="1"/>
      <w:numFmt w:val="lowerRoman"/>
      <w:lvlText w:val="%9."/>
      <w:lvlJc w:val="right"/>
      <w:pPr>
        <w:ind w:left="7009" w:hanging="180"/>
      </w:pPr>
    </w:lvl>
  </w:abstractNum>
  <w:abstractNum w:abstractNumId="11" w15:restartNumberingAfterBreak="0">
    <w:nsid w:val="54743775"/>
    <w:multiLevelType w:val="hybridMultilevel"/>
    <w:tmpl w:val="968A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2702C"/>
    <w:multiLevelType w:val="hybridMultilevel"/>
    <w:tmpl w:val="D5523506"/>
    <w:lvl w:ilvl="0" w:tplc="0C0A0001">
      <w:start w:val="1"/>
      <w:numFmt w:val="bullet"/>
      <w:lvlText w:val=""/>
      <w:lvlJc w:val="left"/>
      <w:pPr>
        <w:ind w:left="502" w:hanging="360"/>
      </w:pPr>
      <w:rPr>
        <w:rFonts w:ascii="Symbol" w:hAnsi="Symbol" w:hint="default"/>
      </w:rPr>
    </w:lvl>
    <w:lvl w:ilvl="1" w:tplc="0C743ED6">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1310F9"/>
    <w:multiLevelType w:val="hybridMultilevel"/>
    <w:tmpl w:val="B4DAA2DE"/>
    <w:lvl w:ilvl="0" w:tplc="39E43752">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5575A3"/>
    <w:multiLevelType w:val="hybridMultilevel"/>
    <w:tmpl w:val="6EB49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6D519F2"/>
    <w:multiLevelType w:val="multilevel"/>
    <w:tmpl w:val="282457E8"/>
    <w:lvl w:ilvl="0">
      <w:start w:val="1"/>
      <w:numFmt w:val="decimal"/>
      <w:lvlText w:val="%1."/>
      <w:lvlJc w:val="left"/>
      <w:pPr>
        <w:ind w:left="720" w:hanging="360"/>
      </w:pPr>
      <w:rPr>
        <w:rFonts w:hint="default"/>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7A3C1CF5"/>
    <w:multiLevelType w:val="hybridMultilevel"/>
    <w:tmpl w:val="42F66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F23722"/>
    <w:multiLevelType w:val="multilevel"/>
    <w:tmpl w:val="282457E8"/>
    <w:lvl w:ilvl="0">
      <w:start w:val="1"/>
      <w:numFmt w:val="decimal"/>
      <w:lvlText w:val="%1."/>
      <w:lvlJc w:val="left"/>
      <w:pPr>
        <w:ind w:left="720" w:hanging="360"/>
      </w:pPr>
      <w:rPr>
        <w:rFonts w:hint="default"/>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0"/>
  </w:num>
  <w:num w:numId="6">
    <w:abstractNumId w:val="0"/>
  </w:num>
  <w:num w:numId="7">
    <w:abstractNumId w:val="12"/>
  </w:num>
  <w:num w:numId="8">
    <w:abstractNumId w:val="14"/>
  </w:num>
  <w:num w:numId="9">
    <w:abstractNumId w:val="15"/>
  </w:num>
  <w:num w:numId="10">
    <w:abstractNumId w:val="13"/>
  </w:num>
  <w:num w:numId="11">
    <w:abstractNumId w:val="7"/>
  </w:num>
  <w:num w:numId="12">
    <w:abstractNumId w:val="17"/>
  </w:num>
  <w:num w:numId="13">
    <w:abstractNumId w:val="16"/>
  </w:num>
  <w:num w:numId="14">
    <w:abstractNumId w:val="11"/>
  </w:num>
  <w:num w:numId="15">
    <w:abstractNumId w:val="4"/>
  </w:num>
  <w:num w:numId="16">
    <w:abstractNumId w:val="5"/>
  </w:num>
  <w:num w:numId="17">
    <w:abstractNumId w:val="9"/>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8A"/>
    <w:rsid w:val="000318AF"/>
    <w:rsid w:val="00136505"/>
    <w:rsid w:val="001648CA"/>
    <w:rsid w:val="00176A5E"/>
    <w:rsid w:val="0020514C"/>
    <w:rsid w:val="0028388C"/>
    <w:rsid w:val="002F7D88"/>
    <w:rsid w:val="003A5734"/>
    <w:rsid w:val="00405268"/>
    <w:rsid w:val="004B1FF1"/>
    <w:rsid w:val="004C0E65"/>
    <w:rsid w:val="004E0A74"/>
    <w:rsid w:val="00506D60"/>
    <w:rsid w:val="00557355"/>
    <w:rsid w:val="00557449"/>
    <w:rsid w:val="005928B1"/>
    <w:rsid w:val="0063585A"/>
    <w:rsid w:val="00683EB7"/>
    <w:rsid w:val="006F4177"/>
    <w:rsid w:val="00845C2D"/>
    <w:rsid w:val="00852D93"/>
    <w:rsid w:val="009A4A5A"/>
    <w:rsid w:val="009F1014"/>
    <w:rsid w:val="00A35760"/>
    <w:rsid w:val="00A8263D"/>
    <w:rsid w:val="00A96619"/>
    <w:rsid w:val="00B342F1"/>
    <w:rsid w:val="00BB739A"/>
    <w:rsid w:val="00BF4E5A"/>
    <w:rsid w:val="00C06259"/>
    <w:rsid w:val="00CC0027"/>
    <w:rsid w:val="00CC6B52"/>
    <w:rsid w:val="00D04294"/>
    <w:rsid w:val="00DF1EAC"/>
    <w:rsid w:val="00E6488A"/>
    <w:rsid w:val="00E756BA"/>
    <w:rsid w:val="00F83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47337A-4A0D-468C-91B6-4572E6B5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8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E6488A"/>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6488A"/>
    <w:rPr>
      <w:rFonts w:ascii="Gill Sans MT" w:eastAsia="Times New Roman" w:hAnsi="Gill Sans MT" w:cs="Times New Roman"/>
      <w:b/>
      <w:snapToGrid w:val="0"/>
      <w:color w:val="000000"/>
      <w:sz w:val="18"/>
      <w:szCs w:val="20"/>
      <w:lang w:val="es-ES_tradnl" w:eastAsia="es-ES"/>
    </w:rPr>
  </w:style>
  <w:style w:type="paragraph" w:styleId="Encabezado">
    <w:name w:val="header"/>
    <w:basedOn w:val="Normal"/>
    <w:link w:val="EncabezadoCar"/>
    <w:uiPriority w:val="99"/>
    <w:rsid w:val="00E6488A"/>
    <w:pPr>
      <w:tabs>
        <w:tab w:val="center" w:pos="4252"/>
        <w:tab w:val="right" w:pos="8504"/>
      </w:tabs>
    </w:pPr>
  </w:style>
  <w:style w:type="character" w:customStyle="1" w:styleId="EncabezadoCar">
    <w:name w:val="Encabezado Car"/>
    <w:basedOn w:val="Fuentedeprrafopredeter"/>
    <w:link w:val="Encabezado"/>
    <w:uiPriority w:val="99"/>
    <w:rsid w:val="00E6488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E6488A"/>
    <w:pPr>
      <w:tabs>
        <w:tab w:val="center" w:pos="4252"/>
        <w:tab w:val="right" w:pos="8504"/>
      </w:tabs>
    </w:pPr>
  </w:style>
  <w:style w:type="character" w:customStyle="1" w:styleId="PiedepginaCar">
    <w:name w:val="Pie de página Car"/>
    <w:basedOn w:val="Fuentedeprrafopredeter"/>
    <w:link w:val="Piedepgina"/>
    <w:uiPriority w:val="99"/>
    <w:rsid w:val="00E6488A"/>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uiPriority w:val="99"/>
    <w:semiHidden/>
    <w:rsid w:val="00E6488A"/>
  </w:style>
  <w:style w:type="character" w:customStyle="1" w:styleId="TextonotapieCar">
    <w:name w:val="Texto nota pie Car"/>
    <w:basedOn w:val="Fuentedeprrafopredeter"/>
    <w:link w:val="Textonotapie"/>
    <w:uiPriority w:val="99"/>
    <w:semiHidden/>
    <w:rsid w:val="00E6488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rsid w:val="00E6488A"/>
    <w:rPr>
      <w:vertAlign w:val="superscript"/>
    </w:rPr>
  </w:style>
  <w:style w:type="character" w:styleId="Hipervnculo">
    <w:name w:val="Hyperlink"/>
    <w:basedOn w:val="Fuentedeprrafopredeter"/>
    <w:uiPriority w:val="99"/>
    <w:rsid w:val="00E6488A"/>
    <w:rPr>
      <w:color w:val="0000FF"/>
      <w:u w:val="single"/>
    </w:rPr>
  </w:style>
  <w:style w:type="character" w:styleId="Nmerodepgina">
    <w:name w:val="page number"/>
    <w:basedOn w:val="Fuentedeprrafopredeter"/>
    <w:rsid w:val="00E6488A"/>
  </w:style>
  <w:style w:type="paragraph" w:styleId="Prrafodelista">
    <w:name w:val="List Paragraph"/>
    <w:aliases w:val="Dot pt,Lettre d'introduction,List Paragraph1,1st level - Bullet List Paragraph,List Paragraph in table,Table of contents numbered,Bullet OFM,Bullet Points,Renkli Liste - Vurgu 11,Liste Paragraf1,Liste Paragraf,Citation List,PROVERE 1"/>
    <w:basedOn w:val="Normal"/>
    <w:link w:val="PrrafodelistaCar"/>
    <w:uiPriority w:val="34"/>
    <w:qFormat/>
    <w:rsid w:val="00E6488A"/>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uiPriority w:val="39"/>
    <w:rsid w:val="00E6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qFormat/>
    <w:rsid w:val="000318AF"/>
    <w:pPr>
      <w:spacing w:line="280" w:lineRule="atLeast"/>
      <w:jc w:val="both"/>
    </w:pPr>
    <w:rPr>
      <w:rFonts w:ascii="Arial" w:hAnsi="Arial"/>
      <w:sz w:val="18"/>
      <w:szCs w:val="24"/>
      <w:lang w:val="lt-LT" w:eastAsia="nl-NL"/>
    </w:rPr>
  </w:style>
  <w:style w:type="character" w:customStyle="1" w:styleId="DefaultTextChar">
    <w:name w:val="Default Text Char"/>
    <w:basedOn w:val="Fuentedeprrafopredeter"/>
    <w:link w:val="DefaultText"/>
    <w:rsid w:val="000318AF"/>
    <w:rPr>
      <w:rFonts w:ascii="Arial" w:eastAsia="Times New Roman" w:hAnsi="Arial" w:cs="Times New Roman"/>
      <w:sz w:val="18"/>
      <w:szCs w:val="24"/>
      <w:lang w:val="lt-LT" w:eastAsia="nl-NL"/>
    </w:rPr>
  </w:style>
  <w:style w:type="character" w:customStyle="1" w:styleId="PrrafodelistaCar">
    <w:name w:val="Párrafo de lista Car"/>
    <w:aliases w:val="Dot pt Car,Lettre d'introduction Car,List Paragraph1 Car,1st level - Bullet List Paragraph Car,List Paragraph in table Car,Table of contents numbered Car,Bullet OFM Car,Bullet Points Car,Renkli Liste - Vurgu 11 Car,Citation List Car"/>
    <w:link w:val="Prrafodelista"/>
    <w:uiPriority w:val="34"/>
    <w:qFormat/>
    <w:rsid w:val="000318AF"/>
    <w:rPr>
      <w:rFonts w:ascii="Calibri" w:eastAsia="Calibri" w:hAnsi="Calibri" w:cs="Times New Roman"/>
    </w:rPr>
  </w:style>
  <w:style w:type="character" w:styleId="Refdecomentario">
    <w:name w:val="annotation reference"/>
    <w:basedOn w:val="Fuentedeprrafopredeter"/>
    <w:uiPriority w:val="99"/>
    <w:semiHidden/>
    <w:unhideWhenUsed/>
    <w:rsid w:val="00176A5E"/>
    <w:rPr>
      <w:sz w:val="16"/>
      <w:szCs w:val="16"/>
    </w:rPr>
  </w:style>
  <w:style w:type="paragraph" w:styleId="Textocomentario">
    <w:name w:val="annotation text"/>
    <w:basedOn w:val="Normal"/>
    <w:link w:val="TextocomentarioCar"/>
    <w:uiPriority w:val="99"/>
    <w:unhideWhenUsed/>
    <w:rsid w:val="00176A5E"/>
    <w:pPr>
      <w:spacing w:after="160"/>
    </w:pPr>
    <w:rPr>
      <w:rFonts w:asciiTheme="minorHAnsi" w:eastAsiaTheme="minorHAnsi" w:hAnsiTheme="minorHAnsi" w:cstheme="minorBidi"/>
      <w:lang w:val="en-US" w:eastAsia="en-US"/>
    </w:rPr>
  </w:style>
  <w:style w:type="character" w:customStyle="1" w:styleId="TextocomentarioCar">
    <w:name w:val="Texto comentario Car"/>
    <w:basedOn w:val="Fuentedeprrafopredeter"/>
    <w:link w:val="Textocomentario"/>
    <w:uiPriority w:val="99"/>
    <w:rsid w:val="00176A5E"/>
    <w:rPr>
      <w:sz w:val="20"/>
      <w:szCs w:val="20"/>
      <w:lang w:val="en-US"/>
    </w:rPr>
  </w:style>
  <w:style w:type="paragraph" w:styleId="Textodeglobo">
    <w:name w:val="Balloon Text"/>
    <w:basedOn w:val="Normal"/>
    <w:link w:val="TextodegloboCar"/>
    <w:uiPriority w:val="99"/>
    <w:semiHidden/>
    <w:unhideWhenUsed/>
    <w:rsid w:val="00176A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6A5E"/>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Spa141</b:Tag>
    <b:SourceType>DocumentFromInternetSite</b:SourceType>
    <b:Guid>{5A13F64E-8327-4E4F-8A71-607F384835EE}</b:Guid>
    <b:LCID>en-GB</b:LCID>
    <b:Author>
      <b:Author>
        <b:Corporate>Spain Ministry of Agriculture, Food and Environment</b:Corporate>
      </b:Author>
    </b:Author>
    <b:Title>Practical Guide to reduce food waste at education centres</b:Title>
    <b:Year>2014</b:Year>
    <b:URL>http://www.menosdesperdicio.es/sites/default/files/documentos/relacionados/guia_centros_educativos_2014_0.pdf</b:URL>
    <b:RefOrder>1</b:RefOrder>
  </b:Source>
  <b:Source>
    <b:Tag>Spa14</b:Tag>
    <b:SourceType>DocumentFromInternetSite</b:SourceType>
    <b:Guid>{12F254D6-717A-41E4-8057-7E06D1A78899}</b:Guid>
    <b:LCID>en-GB</b:LCID>
    <b:Author>
      <b:Author>
        <b:Corporate>Spain Ministry of Agriculture, Food and Environment</b:Corporate>
      </b:Author>
    </b:Author>
    <b:Title>Practical guide for the consumer: how to reduce food waste</b:Title>
    <b:Year>2014</b:Year>
    <b:URL>http://www.menosdesperdicio.es/sites/default/files/documentos/relacionados/guia_consumidor_2014.pdf</b:URL>
    <b:RefOrder>2</b:RefOrder>
  </b:Source>
  <b:Source xmlns:b="http://schemas.openxmlformats.org/officeDocument/2006/bibliography">
    <b:Tag>Spa15</b:Tag>
    <b:SourceType>DocumentFromInternetSite</b:SourceType>
    <b:Guid>{01EE56F4-DA8B-4F8F-96FC-A4899EFC6C01}</b:Guid>
    <b:LCID>en-GB</b:LCID>
    <b:Author>
      <b:Author>
        <b:Corporate>Spain Ministry of Agriculture, Food and Environment</b:Corporate>
      </b:Author>
    </b:Author>
    <b:Title>Practical guide to reduce food waste in the retail sector</b:Title>
    <b:Year>2015</b:Year>
    <b:URL>http://www.menosdesperdicio.es/sites/default/files/documentos/relacionados/guia_comercio_minorista_2015_0.pdf</b:URL>
    <b:RefOrder>120</b:RefOrder>
  </b:Source>
  <b:Source>
    <b:Tag>Sup14</b:Tag>
    <b:SourceType>InternetSite</b:SourceType>
    <b:Guid>{759CFA4A-ACF8-4754-BD60-AD5CAD1E876C}</b:Guid>
    <b:Title>Supermarkets and charities work together against food waste in Catalonia</b:Title>
    <b:Year>2014</b:Year>
    <b:Month>November</b:Month>
    <b:Day>29 </b:Day>
    <b:URL>http://www.catalannews.com/society-science/item/supermarkets-and-charities-work-together-against-food-waste-in-catalonia</b:URL>
    <b:RefOrder>127</b:RefOrder>
  </b:Source>
</b:Sources>
</file>

<file path=customXml/itemProps1.xml><?xml version="1.0" encoding="utf-8"?>
<ds:datastoreItem xmlns:ds="http://schemas.openxmlformats.org/officeDocument/2006/customXml" ds:itemID="{954A640E-6E81-476B-93DF-BB0CB863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1052</Words>
  <Characters>5998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Martínez, Ana</dc:creator>
  <cp:keywords/>
  <dc:description/>
  <cp:lastModifiedBy>Díaz Molist, Raquel</cp:lastModifiedBy>
  <cp:revision>7</cp:revision>
  <dcterms:created xsi:type="dcterms:W3CDTF">2019-08-14T15:49:00Z</dcterms:created>
  <dcterms:modified xsi:type="dcterms:W3CDTF">2019-08-16T10:13:00Z</dcterms:modified>
</cp:coreProperties>
</file>