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83" w:rsidRDefault="00621383" w:rsidP="00621383">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Responses</w:t>
      </w:r>
    </w:p>
    <w:p w:rsidR="00621383" w:rsidRDefault="00621383" w:rsidP="00621383">
      <w:pPr>
        <w:shd w:val="clear" w:color="auto" w:fill="FFFFFF"/>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Asnake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Fikre</w:t>
      </w:r>
      <w:proofErr w:type="spellEnd"/>
      <w:r>
        <w:rPr>
          <w:rFonts w:ascii="Times New Roman" w:eastAsia="Times New Roman" w:hAnsi="Times New Roman" w:cs="Times New Roman"/>
          <w:color w:val="000000"/>
          <w:sz w:val="18"/>
          <w:szCs w:val="18"/>
        </w:rPr>
        <w:t xml:space="preserve">  (PhD)</w:t>
      </w:r>
    </w:p>
    <w:p w:rsidR="00621383" w:rsidRDefault="00621383" w:rsidP="00621383">
      <w:pPr>
        <w:shd w:val="clear" w:color="auto" w:fill="FFFFFF"/>
        <w:spacing w:after="0" w:line="240" w:lineRule="auto"/>
        <w:rPr>
          <w:rFonts w:ascii="Times New Roman" w:eastAsia="Times New Roman" w:hAnsi="Times New Roman" w:cs="Times New Roman"/>
          <w:color w:val="000000"/>
          <w:sz w:val="18"/>
          <w:szCs w:val="18"/>
        </w:rPr>
      </w:pPr>
    </w:p>
    <w:p w:rsidR="00621383" w:rsidRPr="00621383" w:rsidRDefault="00621383" w:rsidP="00621383">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18"/>
        </w:rPr>
      </w:pPr>
      <w:r w:rsidRPr="00621383">
        <w:rPr>
          <w:rFonts w:ascii="Times New Roman" w:eastAsia="Times New Roman" w:hAnsi="Times New Roman" w:cs="Times New Roman"/>
          <w:bCs/>
          <w:color w:val="000000"/>
          <w:sz w:val="28"/>
        </w:rPr>
        <w:t xml:space="preserve">Some countries produce large amounts of pulses, but these are not a part of their respective diets. How can the use of pulses be increased in communities where these crops do not play an important role in the local cuisine/traditional meals? </w:t>
      </w:r>
    </w:p>
    <w:p w:rsidR="00621383" w:rsidRPr="00621383" w:rsidRDefault="00621383" w:rsidP="00621383">
      <w:pPr>
        <w:pStyle w:val="ListParagraph"/>
        <w:shd w:val="clear" w:color="auto" w:fill="FFFFFF"/>
        <w:spacing w:after="0" w:line="240" w:lineRule="auto"/>
        <w:rPr>
          <w:rFonts w:ascii="Times New Roman" w:eastAsia="Times New Roman" w:hAnsi="Times New Roman" w:cs="Times New Roman"/>
          <w:color w:val="000000"/>
          <w:sz w:val="28"/>
          <w:szCs w:val="18"/>
        </w:rPr>
      </w:pPr>
      <w:r>
        <w:rPr>
          <w:rFonts w:ascii="Times New Roman" w:eastAsia="Times New Roman" w:hAnsi="Times New Roman" w:cs="Times New Roman"/>
          <w:bCs/>
          <w:color w:val="000000"/>
          <w:sz w:val="28"/>
          <w:highlight w:val="yellow"/>
        </w:rPr>
        <w:t xml:space="preserve">View: </w:t>
      </w:r>
      <w:r w:rsidRPr="00621383">
        <w:rPr>
          <w:rFonts w:ascii="Times New Roman" w:eastAsia="Times New Roman" w:hAnsi="Times New Roman" w:cs="Times New Roman"/>
          <w:bCs/>
          <w:color w:val="000000"/>
          <w:sz w:val="28"/>
          <w:highlight w:val="yellow"/>
        </w:rPr>
        <w:t>One of the critical issue to look into is working on social factors and customs. There are hundreds if not thousands of traditional preparations and consumption habits in the world of pulses.  So with the recently emerging issues in making pulses part of the diets of the riches as a consequence of health, driving the culture that encourage mass population could be improved. It is about the food industrial application part of pulse , that still is too far behind, that make its utilization limited. It is also important to make a learning processes of pulses from most consumers to least consumers tradition</w:t>
      </w:r>
      <w:r>
        <w:rPr>
          <w:rFonts w:ascii="Times New Roman" w:eastAsia="Times New Roman" w:hAnsi="Times New Roman" w:cs="Times New Roman"/>
          <w:bCs/>
          <w:color w:val="000000"/>
          <w:sz w:val="28"/>
        </w:rPr>
        <w:t xml:space="preserve">. </w:t>
      </w:r>
    </w:p>
    <w:p w:rsidR="00621383" w:rsidRDefault="00621383" w:rsidP="00621383">
      <w:pPr>
        <w:shd w:val="clear" w:color="auto" w:fill="FFFFFF"/>
        <w:spacing w:after="0" w:line="240" w:lineRule="auto"/>
        <w:rPr>
          <w:rFonts w:ascii="Times New Roman" w:eastAsia="Times New Roman" w:hAnsi="Times New Roman" w:cs="Times New Roman"/>
          <w:bCs/>
          <w:color w:val="000000"/>
          <w:sz w:val="28"/>
        </w:rPr>
      </w:pPr>
      <w:r w:rsidRPr="00621383">
        <w:rPr>
          <w:rFonts w:ascii="Times New Roman" w:eastAsia="Times New Roman" w:hAnsi="Symbol" w:cs="Times New Roman"/>
          <w:color w:val="000000"/>
          <w:sz w:val="28"/>
          <w:szCs w:val="18"/>
        </w:rPr>
        <w:t></w:t>
      </w:r>
      <w:r w:rsidRPr="00621383">
        <w:rPr>
          <w:rFonts w:ascii="Times New Roman" w:eastAsia="Times New Roman" w:hAnsi="Times New Roman" w:cs="Times New Roman"/>
          <w:color w:val="000000"/>
          <w:sz w:val="28"/>
          <w:szCs w:val="18"/>
        </w:rPr>
        <w:t xml:space="preserve">  </w:t>
      </w:r>
      <w:r w:rsidRPr="00621383">
        <w:rPr>
          <w:rFonts w:ascii="Times New Roman" w:eastAsia="Times New Roman" w:hAnsi="Times New Roman" w:cs="Times New Roman"/>
          <w:bCs/>
          <w:color w:val="000000"/>
          <w:sz w:val="28"/>
        </w:rPr>
        <w:t>Do you have any examples on how the consumption of pulses contributes to household food security and nutrition in your community or country, which may be useful in different contexts?</w:t>
      </w:r>
    </w:p>
    <w:p w:rsidR="00621383" w:rsidRPr="00621383" w:rsidRDefault="00621383" w:rsidP="00621383">
      <w:pPr>
        <w:shd w:val="clear" w:color="auto" w:fill="FFFFFF"/>
        <w:spacing w:after="0" w:line="240" w:lineRule="auto"/>
        <w:rPr>
          <w:rFonts w:ascii="Times New Roman" w:eastAsia="Times New Roman" w:hAnsi="Times New Roman" w:cs="Times New Roman"/>
          <w:color w:val="000000"/>
          <w:sz w:val="28"/>
          <w:szCs w:val="18"/>
        </w:rPr>
      </w:pPr>
      <w:r w:rsidRPr="007368A2">
        <w:rPr>
          <w:rFonts w:ascii="Times New Roman" w:eastAsia="Times New Roman" w:hAnsi="Times New Roman" w:cs="Times New Roman"/>
          <w:bCs/>
          <w:color w:val="000000"/>
          <w:sz w:val="28"/>
          <w:highlight w:val="yellow"/>
        </w:rPr>
        <w:t>View:</w:t>
      </w:r>
      <w:r w:rsidR="007368A2" w:rsidRPr="007368A2">
        <w:rPr>
          <w:rFonts w:ascii="Times New Roman" w:eastAsia="Times New Roman" w:hAnsi="Times New Roman" w:cs="Times New Roman"/>
          <w:bCs/>
          <w:color w:val="000000"/>
          <w:sz w:val="28"/>
          <w:highlight w:val="yellow"/>
        </w:rPr>
        <w:t xml:space="preserve"> </w:t>
      </w:r>
      <w:r w:rsidRPr="007368A2">
        <w:rPr>
          <w:rFonts w:ascii="Times New Roman" w:eastAsia="Times New Roman" w:hAnsi="Times New Roman" w:cs="Times New Roman"/>
          <w:bCs/>
          <w:color w:val="000000"/>
          <w:sz w:val="28"/>
          <w:highlight w:val="yellow"/>
        </w:rPr>
        <w:t xml:space="preserve">yes. There are different preparations and consumption habit in my community. In Ethiopia, coffee </w:t>
      </w:r>
      <w:r w:rsidR="007368A2" w:rsidRPr="007368A2">
        <w:rPr>
          <w:rFonts w:ascii="Times New Roman" w:eastAsia="Times New Roman" w:hAnsi="Times New Roman" w:cs="Times New Roman"/>
          <w:bCs/>
          <w:color w:val="000000"/>
          <w:sz w:val="28"/>
          <w:highlight w:val="yellow"/>
        </w:rPr>
        <w:t>ceremony</w:t>
      </w:r>
      <w:r w:rsidRPr="007368A2">
        <w:rPr>
          <w:rFonts w:ascii="Times New Roman" w:eastAsia="Times New Roman" w:hAnsi="Times New Roman" w:cs="Times New Roman"/>
          <w:bCs/>
          <w:color w:val="000000"/>
          <w:sz w:val="28"/>
          <w:highlight w:val="yellow"/>
        </w:rPr>
        <w:t xml:space="preserve"> is always accompanied by </w:t>
      </w:r>
      <w:r w:rsidR="007368A2" w:rsidRPr="007368A2">
        <w:rPr>
          <w:rFonts w:ascii="Times New Roman" w:eastAsia="Times New Roman" w:hAnsi="Times New Roman" w:cs="Times New Roman"/>
          <w:bCs/>
          <w:color w:val="000000"/>
          <w:sz w:val="28"/>
          <w:highlight w:val="yellow"/>
        </w:rPr>
        <w:t>snacks</w:t>
      </w:r>
      <w:r w:rsidRPr="007368A2">
        <w:rPr>
          <w:rFonts w:ascii="Times New Roman" w:eastAsia="Times New Roman" w:hAnsi="Times New Roman" w:cs="Times New Roman"/>
          <w:bCs/>
          <w:color w:val="000000"/>
          <w:sz w:val="28"/>
          <w:highlight w:val="yellow"/>
        </w:rPr>
        <w:t xml:space="preserve"> , which often is made out of pulses. Curry /</w:t>
      </w:r>
      <w:proofErr w:type="spellStart"/>
      <w:r w:rsidRPr="007368A2">
        <w:rPr>
          <w:rFonts w:ascii="Times New Roman" w:eastAsia="Times New Roman" w:hAnsi="Times New Roman" w:cs="Times New Roman"/>
          <w:bCs/>
          <w:color w:val="000000"/>
          <w:sz w:val="28"/>
          <w:highlight w:val="yellow"/>
        </w:rPr>
        <w:t>shiro</w:t>
      </w:r>
      <w:proofErr w:type="spellEnd"/>
      <w:r w:rsidRPr="007368A2">
        <w:rPr>
          <w:rFonts w:ascii="Times New Roman" w:eastAsia="Times New Roman" w:hAnsi="Times New Roman" w:cs="Times New Roman"/>
          <w:bCs/>
          <w:color w:val="000000"/>
          <w:sz w:val="28"/>
          <w:highlight w:val="yellow"/>
        </w:rPr>
        <w:t>/which is be</w:t>
      </w:r>
      <w:r w:rsidR="007368A2" w:rsidRPr="007368A2">
        <w:rPr>
          <w:rFonts w:ascii="Times New Roman" w:eastAsia="Times New Roman" w:hAnsi="Times New Roman" w:cs="Times New Roman"/>
          <w:bCs/>
          <w:color w:val="000000"/>
          <w:sz w:val="28"/>
          <w:highlight w:val="yellow"/>
        </w:rPr>
        <w:t xml:space="preserve">st </w:t>
      </w:r>
      <w:r w:rsidR="007368A2">
        <w:rPr>
          <w:rFonts w:ascii="Times New Roman" w:eastAsia="Times New Roman" w:hAnsi="Times New Roman" w:cs="Times New Roman"/>
          <w:bCs/>
          <w:color w:val="000000"/>
          <w:sz w:val="28"/>
          <w:highlight w:val="yellow"/>
        </w:rPr>
        <w:t xml:space="preserve">compatible </w:t>
      </w:r>
      <w:r w:rsidR="007368A2" w:rsidRPr="007368A2">
        <w:rPr>
          <w:rFonts w:ascii="Times New Roman" w:eastAsia="Times New Roman" w:hAnsi="Times New Roman" w:cs="Times New Roman"/>
          <w:bCs/>
          <w:color w:val="000000"/>
          <w:sz w:val="28"/>
          <w:highlight w:val="yellow"/>
        </w:rPr>
        <w:t xml:space="preserve"> staple food with </w:t>
      </w:r>
      <w:proofErr w:type="spellStart"/>
      <w:r w:rsidR="007368A2" w:rsidRPr="007368A2">
        <w:rPr>
          <w:rFonts w:ascii="Times New Roman" w:eastAsia="Times New Roman" w:hAnsi="Times New Roman" w:cs="Times New Roman"/>
          <w:bCs/>
          <w:color w:val="000000"/>
          <w:sz w:val="28"/>
          <w:highlight w:val="yellow"/>
        </w:rPr>
        <w:t>Enjera</w:t>
      </w:r>
      <w:proofErr w:type="spellEnd"/>
      <w:r w:rsidR="007368A2" w:rsidRPr="007368A2">
        <w:rPr>
          <w:rFonts w:ascii="Times New Roman" w:eastAsia="Times New Roman" w:hAnsi="Times New Roman" w:cs="Times New Roman"/>
          <w:bCs/>
          <w:color w:val="000000"/>
          <w:sz w:val="28"/>
          <w:highlight w:val="yellow"/>
        </w:rPr>
        <w:t xml:space="preserve">, have already been co-evolved </w:t>
      </w:r>
      <w:r w:rsidR="007368A2">
        <w:rPr>
          <w:rFonts w:ascii="Times New Roman" w:eastAsia="Times New Roman" w:hAnsi="Times New Roman" w:cs="Times New Roman"/>
          <w:bCs/>
          <w:color w:val="000000"/>
          <w:sz w:val="28"/>
          <w:highlight w:val="yellow"/>
        </w:rPr>
        <w:t xml:space="preserve">over centuries </w:t>
      </w:r>
      <w:r w:rsidR="007368A2" w:rsidRPr="007368A2">
        <w:rPr>
          <w:rFonts w:ascii="Times New Roman" w:eastAsia="Times New Roman" w:hAnsi="Times New Roman" w:cs="Times New Roman"/>
          <w:bCs/>
          <w:color w:val="000000"/>
          <w:sz w:val="28"/>
          <w:highlight w:val="yellow"/>
        </w:rPr>
        <w:t>and well serving as staple food of the community. Ethiopia as producer of some 15+ sp</w:t>
      </w:r>
      <w:r w:rsidR="007368A2">
        <w:rPr>
          <w:rFonts w:ascii="Times New Roman" w:eastAsia="Times New Roman" w:hAnsi="Times New Roman" w:cs="Times New Roman"/>
          <w:bCs/>
          <w:color w:val="000000"/>
          <w:sz w:val="28"/>
          <w:highlight w:val="yellow"/>
        </w:rPr>
        <w:t>e</w:t>
      </w:r>
      <w:r w:rsidR="007368A2" w:rsidRPr="007368A2">
        <w:rPr>
          <w:rFonts w:ascii="Times New Roman" w:eastAsia="Times New Roman" w:hAnsi="Times New Roman" w:cs="Times New Roman"/>
          <w:bCs/>
          <w:color w:val="000000"/>
          <w:sz w:val="28"/>
          <w:highlight w:val="yellow"/>
        </w:rPr>
        <w:t>ci</w:t>
      </w:r>
      <w:r w:rsidR="007368A2">
        <w:rPr>
          <w:rFonts w:ascii="Times New Roman" w:eastAsia="Times New Roman" w:hAnsi="Times New Roman" w:cs="Times New Roman"/>
          <w:bCs/>
          <w:color w:val="000000"/>
          <w:sz w:val="28"/>
          <w:highlight w:val="yellow"/>
        </w:rPr>
        <w:t>e</w:t>
      </w:r>
      <w:r w:rsidR="007368A2" w:rsidRPr="007368A2">
        <w:rPr>
          <w:rFonts w:ascii="Times New Roman" w:eastAsia="Times New Roman" w:hAnsi="Times New Roman" w:cs="Times New Roman"/>
          <w:bCs/>
          <w:color w:val="000000"/>
          <w:sz w:val="28"/>
          <w:highlight w:val="yellow"/>
        </w:rPr>
        <w:t>s of pulses, and with some 80 different traditional community of 100 million population, could demonstrate the diverse but strong utilization of pulses as food and nutrition sources.</w:t>
      </w:r>
      <w:r w:rsidR="007368A2">
        <w:rPr>
          <w:rFonts w:ascii="Times New Roman" w:eastAsia="Times New Roman" w:hAnsi="Times New Roman" w:cs="Times New Roman"/>
          <w:bCs/>
          <w:color w:val="000000"/>
          <w:sz w:val="28"/>
        </w:rPr>
        <w:t xml:space="preserve"> </w:t>
      </w:r>
    </w:p>
    <w:p w:rsidR="00621383" w:rsidRDefault="00621383" w:rsidP="00621383">
      <w:pPr>
        <w:shd w:val="clear" w:color="auto" w:fill="FFFFFF"/>
        <w:spacing w:after="0" w:line="240" w:lineRule="auto"/>
        <w:rPr>
          <w:rFonts w:ascii="Times New Roman" w:eastAsia="Times New Roman" w:hAnsi="Times New Roman" w:cs="Times New Roman"/>
          <w:bCs/>
          <w:color w:val="000000"/>
          <w:sz w:val="28"/>
        </w:rPr>
      </w:pPr>
      <w:r w:rsidRPr="00621383">
        <w:rPr>
          <w:rFonts w:ascii="Times New Roman" w:eastAsia="Times New Roman" w:hAnsi="Symbol" w:cs="Times New Roman"/>
          <w:color w:val="000000"/>
          <w:sz w:val="28"/>
          <w:szCs w:val="18"/>
        </w:rPr>
        <w:t></w:t>
      </w:r>
      <w:r w:rsidRPr="00621383">
        <w:rPr>
          <w:rFonts w:ascii="Times New Roman" w:eastAsia="Times New Roman" w:hAnsi="Times New Roman" w:cs="Times New Roman"/>
          <w:color w:val="000000"/>
          <w:sz w:val="28"/>
          <w:szCs w:val="18"/>
        </w:rPr>
        <w:t xml:space="preserve">  </w:t>
      </w:r>
      <w:r w:rsidRPr="00621383">
        <w:rPr>
          <w:rFonts w:ascii="Times New Roman" w:eastAsia="Times New Roman" w:hAnsi="Times New Roman" w:cs="Times New Roman"/>
          <w:bCs/>
          <w:color w:val="000000"/>
          <w:sz w:val="28"/>
        </w:rPr>
        <w:t xml:space="preserve">What are the main challenges that farmers in your country face with regard to the production of pulses? How should these be addressed? </w:t>
      </w:r>
    </w:p>
    <w:p w:rsidR="007368A2" w:rsidRPr="00FD0845" w:rsidRDefault="007368A2" w:rsidP="00621383">
      <w:pPr>
        <w:shd w:val="clear" w:color="auto" w:fill="FFFFFF"/>
        <w:spacing w:after="0" w:line="240" w:lineRule="auto"/>
        <w:rPr>
          <w:rFonts w:ascii="Times New Roman" w:eastAsia="Times New Roman" w:hAnsi="Times New Roman" w:cs="Times New Roman"/>
          <w:bCs/>
          <w:color w:val="000000"/>
          <w:sz w:val="28"/>
          <w:highlight w:val="yellow"/>
        </w:rPr>
      </w:pPr>
      <w:r w:rsidRPr="00FD0845">
        <w:rPr>
          <w:rFonts w:ascii="Times New Roman" w:eastAsia="Times New Roman" w:hAnsi="Times New Roman" w:cs="Times New Roman"/>
          <w:bCs/>
          <w:color w:val="000000"/>
          <w:sz w:val="28"/>
          <w:highlight w:val="yellow"/>
        </w:rPr>
        <w:t xml:space="preserve">view: the seed system is poorly developed. poor investment is made in pulse research and development. poor involvement of the </w:t>
      </w:r>
      <w:proofErr w:type="spellStart"/>
      <w:r w:rsidRPr="00FD0845">
        <w:rPr>
          <w:rFonts w:ascii="Times New Roman" w:eastAsia="Times New Roman" w:hAnsi="Times New Roman" w:cs="Times New Roman"/>
          <w:bCs/>
          <w:color w:val="000000"/>
          <w:sz w:val="28"/>
          <w:highlight w:val="yellow"/>
        </w:rPr>
        <w:t>Pvt</w:t>
      </w:r>
      <w:proofErr w:type="spellEnd"/>
      <w:r w:rsidRPr="00FD0845">
        <w:rPr>
          <w:rFonts w:ascii="Times New Roman" w:eastAsia="Times New Roman" w:hAnsi="Times New Roman" w:cs="Times New Roman"/>
          <w:bCs/>
          <w:color w:val="000000"/>
          <w:sz w:val="28"/>
          <w:highlight w:val="yellow"/>
        </w:rPr>
        <w:t xml:space="preserve"> sector. weak policy support on radically changing the sector.</w:t>
      </w:r>
    </w:p>
    <w:p w:rsidR="007368A2" w:rsidRDefault="007368A2" w:rsidP="00621383">
      <w:pPr>
        <w:shd w:val="clear" w:color="auto" w:fill="FFFFFF"/>
        <w:spacing w:after="0" w:line="240" w:lineRule="auto"/>
        <w:rPr>
          <w:rFonts w:ascii="Times New Roman" w:eastAsia="Times New Roman" w:hAnsi="Times New Roman" w:cs="Times New Roman"/>
          <w:bCs/>
          <w:color w:val="000000"/>
          <w:sz w:val="28"/>
        </w:rPr>
      </w:pPr>
      <w:proofErr w:type="spellStart"/>
      <w:r w:rsidRPr="00FD0845">
        <w:rPr>
          <w:rFonts w:ascii="Times New Roman" w:eastAsia="Times New Roman" w:hAnsi="Times New Roman" w:cs="Times New Roman"/>
          <w:bCs/>
          <w:color w:val="000000"/>
          <w:sz w:val="28"/>
          <w:highlight w:val="yellow"/>
        </w:rPr>
        <w:t>soln</w:t>
      </w:r>
      <w:proofErr w:type="spellEnd"/>
      <w:r w:rsidRPr="00FD0845">
        <w:rPr>
          <w:rFonts w:ascii="Times New Roman" w:eastAsia="Times New Roman" w:hAnsi="Times New Roman" w:cs="Times New Roman"/>
          <w:bCs/>
          <w:color w:val="000000"/>
          <w:sz w:val="28"/>
          <w:highlight w:val="yellow"/>
        </w:rPr>
        <w:t xml:space="preserve">: The public </w:t>
      </w:r>
      <w:r w:rsidR="00FD0845" w:rsidRPr="00FD0845">
        <w:rPr>
          <w:rFonts w:ascii="Times New Roman" w:eastAsia="Times New Roman" w:hAnsi="Times New Roman" w:cs="Times New Roman"/>
          <w:bCs/>
          <w:color w:val="000000"/>
          <w:sz w:val="28"/>
          <w:highlight w:val="yellow"/>
        </w:rPr>
        <w:t>system</w:t>
      </w:r>
      <w:r w:rsidRPr="00FD0845">
        <w:rPr>
          <w:rFonts w:ascii="Times New Roman" w:eastAsia="Times New Roman" w:hAnsi="Times New Roman" w:cs="Times New Roman"/>
          <w:bCs/>
          <w:color w:val="000000"/>
          <w:sz w:val="28"/>
          <w:highlight w:val="yellow"/>
        </w:rPr>
        <w:t xml:space="preserve"> is mainstreaming an </w:t>
      </w:r>
      <w:r w:rsidR="00FD0845" w:rsidRPr="00FD0845">
        <w:rPr>
          <w:rFonts w:ascii="Times New Roman" w:eastAsia="Times New Roman" w:hAnsi="Times New Roman" w:cs="Times New Roman"/>
          <w:bCs/>
          <w:color w:val="000000"/>
          <w:sz w:val="28"/>
          <w:highlight w:val="yellow"/>
        </w:rPr>
        <w:t>innovative</w:t>
      </w:r>
      <w:r w:rsidRPr="00FD0845">
        <w:rPr>
          <w:rFonts w:ascii="Times New Roman" w:eastAsia="Times New Roman" w:hAnsi="Times New Roman" w:cs="Times New Roman"/>
          <w:bCs/>
          <w:color w:val="000000"/>
          <w:sz w:val="28"/>
          <w:highlight w:val="yellow"/>
        </w:rPr>
        <w:t xml:space="preserve"> approach of seed system </w:t>
      </w:r>
      <w:r w:rsidR="00FD0845" w:rsidRPr="00FD0845">
        <w:rPr>
          <w:rFonts w:ascii="Times New Roman" w:eastAsia="Times New Roman" w:hAnsi="Times New Roman" w:cs="Times New Roman"/>
          <w:bCs/>
          <w:color w:val="000000"/>
          <w:sz w:val="28"/>
          <w:highlight w:val="yellow"/>
        </w:rPr>
        <w:t>enhancement</w:t>
      </w:r>
      <w:r w:rsidRPr="00FD0845">
        <w:rPr>
          <w:rFonts w:ascii="Times New Roman" w:eastAsia="Times New Roman" w:hAnsi="Times New Roman" w:cs="Times New Roman"/>
          <w:bCs/>
          <w:color w:val="000000"/>
          <w:sz w:val="28"/>
          <w:highlight w:val="yellow"/>
        </w:rPr>
        <w:t xml:space="preserve"> by coordinating the farming community into seed production sources, with limited incentives. The </w:t>
      </w:r>
      <w:proofErr w:type="spellStart"/>
      <w:r w:rsidRPr="00FD0845">
        <w:rPr>
          <w:rFonts w:ascii="Times New Roman" w:eastAsia="Times New Roman" w:hAnsi="Times New Roman" w:cs="Times New Roman"/>
          <w:bCs/>
          <w:color w:val="000000"/>
          <w:sz w:val="28"/>
          <w:highlight w:val="yellow"/>
        </w:rPr>
        <w:t>PvT</w:t>
      </w:r>
      <w:proofErr w:type="spellEnd"/>
      <w:r w:rsidRPr="00FD0845">
        <w:rPr>
          <w:rFonts w:ascii="Times New Roman" w:eastAsia="Times New Roman" w:hAnsi="Times New Roman" w:cs="Times New Roman"/>
          <w:bCs/>
          <w:color w:val="000000"/>
          <w:sz w:val="28"/>
          <w:highlight w:val="yellow"/>
        </w:rPr>
        <w:t xml:space="preserve"> is expected to share some of the areas in seed.  The </w:t>
      </w:r>
      <w:proofErr w:type="spellStart"/>
      <w:r w:rsidRPr="00FD0845">
        <w:rPr>
          <w:rFonts w:ascii="Times New Roman" w:eastAsia="Times New Roman" w:hAnsi="Times New Roman" w:cs="Times New Roman"/>
          <w:bCs/>
          <w:color w:val="000000"/>
          <w:sz w:val="28"/>
          <w:highlight w:val="yellow"/>
        </w:rPr>
        <w:t>govt</w:t>
      </w:r>
      <w:proofErr w:type="spellEnd"/>
      <w:r w:rsidR="00FD0845" w:rsidRPr="00FD0845">
        <w:rPr>
          <w:rFonts w:ascii="Times New Roman" w:eastAsia="Times New Roman" w:hAnsi="Times New Roman" w:cs="Times New Roman"/>
          <w:bCs/>
          <w:color w:val="000000"/>
          <w:sz w:val="28"/>
          <w:highlight w:val="yellow"/>
        </w:rPr>
        <w:t>/</w:t>
      </w:r>
      <w:proofErr w:type="spellStart"/>
      <w:r w:rsidR="00FD0845" w:rsidRPr="00FD0845">
        <w:rPr>
          <w:rFonts w:ascii="Times New Roman" w:eastAsia="Times New Roman" w:hAnsi="Times New Roman" w:cs="Times New Roman"/>
          <w:bCs/>
          <w:color w:val="000000"/>
          <w:sz w:val="28"/>
          <w:highlight w:val="yellow"/>
        </w:rPr>
        <w:t>pvt</w:t>
      </w:r>
      <w:proofErr w:type="spellEnd"/>
      <w:r w:rsidRPr="00FD0845">
        <w:rPr>
          <w:rFonts w:ascii="Times New Roman" w:eastAsia="Times New Roman" w:hAnsi="Times New Roman" w:cs="Times New Roman"/>
          <w:bCs/>
          <w:color w:val="000000"/>
          <w:sz w:val="28"/>
          <w:highlight w:val="yellow"/>
        </w:rPr>
        <w:t xml:space="preserve"> is to make substantial </w:t>
      </w:r>
      <w:r w:rsidR="00FD0845" w:rsidRPr="00FD0845">
        <w:rPr>
          <w:rFonts w:ascii="Times New Roman" w:eastAsia="Times New Roman" w:hAnsi="Times New Roman" w:cs="Times New Roman"/>
          <w:bCs/>
          <w:color w:val="000000"/>
          <w:sz w:val="28"/>
          <w:highlight w:val="yellow"/>
        </w:rPr>
        <w:t>investment</w:t>
      </w:r>
      <w:r w:rsidRPr="00FD0845">
        <w:rPr>
          <w:rFonts w:ascii="Times New Roman" w:eastAsia="Times New Roman" w:hAnsi="Times New Roman" w:cs="Times New Roman"/>
          <w:bCs/>
          <w:color w:val="000000"/>
          <w:sz w:val="28"/>
          <w:highlight w:val="yellow"/>
        </w:rPr>
        <w:t xml:space="preserve"> in the sector to respond best for market, consumption and agricultural health.</w:t>
      </w:r>
      <w:r w:rsidR="00FD0845">
        <w:rPr>
          <w:rFonts w:ascii="Times New Roman" w:eastAsia="Times New Roman" w:hAnsi="Times New Roman" w:cs="Times New Roman"/>
          <w:bCs/>
          <w:color w:val="000000"/>
          <w:sz w:val="28"/>
        </w:rPr>
        <w:t xml:space="preserve"> </w:t>
      </w:r>
      <w:r w:rsidR="00FD0845" w:rsidRPr="00FD0845">
        <w:rPr>
          <w:rFonts w:ascii="Times New Roman" w:eastAsia="Times New Roman" w:hAnsi="Times New Roman" w:cs="Times New Roman"/>
          <w:bCs/>
          <w:color w:val="000000"/>
          <w:sz w:val="28"/>
          <w:highlight w:val="yellow"/>
        </w:rPr>
        <w:t>The R4D part has to be capacitated like happening in other crops.</w:t>
      </w:r>
    </w:p>
    <w:p w:rsidR="00FD0845" w:rsidRDefault="00FD0845" w:rsidP="00621383">
      <w:pPr>
        <w:shd w:val="clear" w:color="auto" w:fill="FFFFFF"/>
        <w:spacing w:after="0" w:line="240" w:lineRule="auto"/>
        <w:rPr>
          <w:rFonts w:ascii="Times New Roman" w:eastAsia="Times New Roman" w:hAnsi="Times New Roman" w:cs="Times New Roman"/>
          <w:bCs/>
          <w:color w:val="000000"/>
          <w:sz w:val="28"/>
        </w:rPr>
      </w:pPr>
      <w:r w:rsidRPr="00FD0845">
        <w:rPr>
          <w:rFonts w:ascii="Times New Roman" w:eastAsia="Times New Roman" w:hAnsi="Times New Roman" w:cs="Times New Roman"/>
          <w:bCs/>
          <w:color w:val="000000"/>
          <w:sz w:val="28"/>
        </w:rPr>
        <w:lastRenderedPageBreak/>
        <w:drawing>
          <wp:inline distT="0" distB="0" distL="0" distR="0">
            <wp:extent cx="6696075" cy="6956612"/>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368A2" w:rsidRPr="00621383" w:rsidRDefault="007368A2" w:rsidP="00621383">
      <w:pPr>
        <w:shd w:val="clear" w:color="auto" w:fill="FFFFFF"/>
        <w:spacing w:after="0" w:line="240" w:lineRule="auto"/>
        <w:rPr>
          <w:rFonts w:ascii="Times New Roman" w:eastAsia="Times New Roman" w:hAnsi="Times New Roman" w:cs="Times New Roman"/>
          <w:color w:val="000000"/>
          <w:sz w:val="28"/>
          <w:szCs w:val="18"/>
        </w:rPr>
      </w:pPr>
    </w:p>
    <w:p w:rsidR="00621383" w:rsidRDefault="00621383" w:rsidP="00621383">
      <w:pPr>
        <w:shd w:val="clear" w:color="auto" w:fill="FFFFFF"/>
        <w:spacing w:after="0" w:line="240" w:lineRule="auto"/>
        <w:rPr>
          <w:rFonts w:ascii="Times New Roman" w:eastAsia="Times New Roman" w:hAnsi="Times New Roman" w:cs="Times New Roman"/>
          <w:bCs/>
          <w:color w:val="000000"/>
          <w:sz w:val="28"/>
        </w:rPr>
      </w:pPr>
      <w:r w:rsidRPr="00621383">
        <w:rPr>
          <w:rFonts w:ascii="Times New Roman" w:eastAsia="Times New Roman" w:hAnsi="Symbol" w:cs="Times New Roman"/>
          <w:color w:val="000000"/>
          <w:sz w:val="28"/>
          <w:szCs w:val="18"/>
        </w:rPr>
        <w:t></w:t>
      </w:r>
      <w:r w:rsidRPr="00621383">
        <w:rPr>
          <w:rFonts w:ascii="Times New Roman" w:eastAsia="Times New Roman" w:hAnsi="Times New Roman" w:cs="Times New Roman"/>
          <w:color w:val="000000"/>
          <w:sz w:val="28"/>
          <w:szCs w:val="18"/>
        </w:rPr>
        <w:t xml:space="preserve">  </w:t>
      </w:r>
      <w:r w:rsidRPr="00621383">
        <w:rPr>
          <w:rFonts w:ascii="Times New Roman" w:eastAsia="Times New Roman" w:hAnsi="Times New Roman" w:cs="Times New Roman"/>
          <w:bCs/>
          <w:color w:val="000000"/>
          <w:sz w:val="28"/>
        </w:rPr>
        <w:t xml:space="preserve">Are you aware of any research or studies on the role of pulses in climate change adaptation or mitigation? Please share them with us. </w:t>
      </w:r>
    </w:p>
    <w:p w:rsidR="00FD0845" w:rsidRPr="00621383" w:rsidRDefault="00FD0845" w:rsidP="00621383">
      <w:pPr>
        <w:shd w:val="clear" w:color="auto" w:fill="FFFFFF"/>
        <w:spacing w:after="0" w:line="240" w:lineRule="auto"/>
        <w:rPr>
          <w:rFonts w:ascii="Times New Roman" w:eastAsia="Times New Roman" w:hAnsi="Times New Roman" w:cs="Times New Roman"/>
          <w:color w:val="000000"/>
          <w:sz w:val="28"/>
          <w:szCs w:val="18"/>
        </w:rPr>
      </w:pPr>
      <w:r w:rsidRPr="00FD0845">
        <w:rPr>
          <w:rFonts w:ascii="Times New Roman" w:eastAsia="Times New Roman" w:hAnsi="Times New Roman" w:cs="Times New Roman"/>
          <w:bCs/>
          <w:color w:val="000000"/>
          <w:sz w:val="28"/>
          <w:highlight w:val="yellow"/>
        </w:rPr>
        <w:t>view yes: some of the attribution with pulses is by substituting the chemical N source fertilizer b/c of their ability to fix N2 from the air. By this it contributes for reduction of GHG emission into the air.</w:t>
      </w:r>
      <w:r>
        <w:rPr>
          <w:rFonts w:ascii="Times New Roman" w:eastAsia="Times New Roman" w:hAnsi="Times New Roman" w:cs="Times New Roman"/>
          <w:bCs/>
          <w:color w:val="000000"/>
          <w:sz w:val="28"/>
        </w:rPr>
        <w:t xml:space="preserve"> </w:t>
      </w:r>
    </w:p>
    <w:p w:rsidR="00621383" w:rsidRPr="00621383" w:rsidRDefault="00621383" w:rsidP="00621383">
      <w:pPr>
        <w:shd w:val="clear" w:color="auto" w:fill="FFFFFF"/>
        <w:spacing w:after="0" w:line="240" w:lineRule="auto"/>
        <w:rPr>
          <w:rFonts w:ascii="Times New Roman" w:eastAsia="Times New Roman" w:hAnsi="Times New Roman" w:cs="Times New Roman"/>
          <w:color w:val="000000"/>
          <w:sz w:val="28"/>
          <w:szCs w:val="18"/>
        </w:rPr>
      </w:pPr>
      <w:r w:rsidRPr="00621383">
        <w:rPr>
          <w:rFonts w:ascii="Times New Roman" w:eastAsia="Times New Roman" w:hAnsi="Symbol" w:cs="Times New Roman"/>
          <w:color w:val="000000"/>
          <w:sz w:val="28"/>
          <w:szCs w:val="18"/>
        </w:rPr>
        <w:lastRenderedPageBreak/>
        <w:t></w:t>
      </w:r>
      <w:r w:rsidRPr="00621383">
        <w:rPr>
          <w:rFonts w:ascii="Times New Roman" w:eastAsia="Times New Roman" w:hAnsi="Times New Roman" w:cs="Times New Roman"/>
          <w:color w:val="000000"/>
          <w:sz w:val="28"/>
          <w:szCs w:val="18"/>
        </w:rPr>
        <w:t xml:space="preserve">  </w:t>
      </w:r>
      <w:r w:rsidRPr="00621383">
        <w:rPr>
          <w:rFonts w:ascii="Times New Roman" w:eastAsia="Times New Roman" w:hAnsi="Times New Roman" w:cs="Times New Roman"/>
          <w:bCs/>
          <w:color w:val="000000"/>
          <w:sz w:val="28"/>
        </w:rPr>
        <w:t xml:space="preserve">The International Year of Pulses also includes a call for recipes to provide ideas and inspiration on how to consume these nutritious seeds. Would you like to share yours? </w:t>
      </w:r>
    </w:p>
    <w:p w:rsidR="00621383" w:rsidRPr="00621383" w:rsidRDefault="00FD0845" w:rsidP="00621383">
      <w:pPr>
        <w:shd w:val="clear" w:color="auto" w:fill="FFFFFF"/>
        <w:spacing w:after="0" w:line="240" w:lineRule="auto"/>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 xml:space="preserve"> </w:t>
      </w:r>
      <w:r w:rsidRPr="00FD0845">
        <w:rPr>
          <w:rFonts w:ascii="Times New Roman" w:eastAsia="Times New Roman" w:hAnsi="Times New Roman" w:cs="Times New Roman"/>
          <w:color w:val="000000"/>
          <w:sz w:val="28"/>
          <w:szCs w:val="18"/>
          <w:highlight w:val="yellow"/>
        </w:rPr>
        <w:t>View; we did competition at national level of recipes made out of pulses. The idea was to enhance its application among the public. We learnt a lot on the industrial pathways of the competitors recipes/products that can easily be transferred into a standard industrial products. We had also the chance to collect taste preference and got interesting feedbacks.</w:t>
      </w:r>
    </w:p>
    <w:p w:rsidR="00CF1B3C" w:rsidRDefault="00CF1B3C"/>
    <w:p w:rsidR="00FD0845" w:rsidRDefault="00FD0845"/>
    <w:sectPr w:rsidR="00FD0845" w:rsidSect="00CF1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421C"/>
    <w:multiLevelType w:val="hybridMultilevel"/>
    <w:tmpl w:val="E84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621383"/>
    <w:rsid w:val="00080C19"/>
    <w:rsid w:val="00621383"/>
    <w:rsid w:val="007368A2"/>
    <w:rsid w:val="00CF1B3C"/>
    <w:rsid w:val="00FD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383"/>
    <w:rPr>
      <w:b/>
      <w:bCs/>
    </w:rPr>
  </w:style>
  <w:style w:type="paragraph" w:styleId="ListParagraph">
    <w:name w:val="List Paragraph"/>
    <w:basedOn w:val="Normal"/>
    <w:uiPriority w:val="34"/>
    <w:qFormat/>
    <w:rsid w:val="00621383"/>
    <w:pPr>
      <w:ind w:left="720"/>
      <w:contextualSpacing/>
    </w:pPr>
  </w:style>
  <w:style w:type="paragraph" w:styleId="BalloonText">
    <w:name w:val="Balloon Text"/>
    <w:basedOn w:val="Normal"/>
    <w:link w:val="BalloonTextChar"/>
    <w:uiPriority w:val="99"/>
    <w:semiHidden/>
    <w:unhideWhenUsed/>
    <w:rsid w:val="00FD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717236">
      <w:bodyDiv w:val="1"/>
      <w:marLeft w:val="0"/>
      <w:marRight w:val="0"/>
      <w:marTop w:val="0"/>
      <w:marBottom w:val="0"/>
      <w:divBdr>
        <w:top w:val="none" w:sz="0" w:space="0" w:color="auto"/>
        <w:left w:val="none" w:sz="0" w:space="0" w:color="auto"/>
        <w:bottom w:val="none" w:sz="0" w:space="0" w:color="auto"/>
        <w:right w:val="none" w:sz="0" w:space="0" w:color="auto"/>
      </w:divBdr>
      <w:divsChild>
        <w:div w:id="585767886">
          <w:marLeft w:val="0"/>
          <w:marRight w:val="0"/>
          <w:marTop w:val="0"/>
          <w:marBottom w:val="0"/>
          <w:divBdr>
            <w:top w:val="none" w:sz="0" w:space="0" w:color="auto"/>
            <w:left w:val="none" w:sz="0" w:space="0" w:color="auto"/>
            <w:bottom w:val="none" w:sz="0" w:space="0" w:color="auto"/>
            <w:right w:val="none" w:sz="0" w:space="0" w:color="auto"/>
          </w:divBdr>
          <w:divsChild>
            <w:div w:id="197163614">
              <w:marLeft w:val="0"/>
              <w:marRight w:val="0"/>
              <w:marTop w:val="0"/>
              <w:marBottom w:val="0"/>
              <w:divBdr>
                <w:top w:val="none" w:sz="0" w:space="0" w:color="auto"/>
                <w:left w:val="none" w:sz="0" w:space="0" w:color="auto"/>
                <w:bottom w:val="none" w:sz="0" w:space="0" w:color="auto"/>
                <w:right w:val="none" w:sz="0" w:space="0" w:color="auto"/>
              </w:divBdr>
              <w:divsChild>
                <w:div w:id="761075167">
                  <w:marLeft w:val="0"/>
                  <w:marRight w:val="0"/>
                  <w:marTop w:val="0"/>
                  <w:marBottom w:val="0"/>
                  <w:divBdr>
                    <w:top w:val="none" w:sz="0" w:space="0" w:color="auto"/>
                    <w:left w:val="none" w:sz="0" w:space="0" w:color="auto"/>
                    <w:bottom w:val="none" w:sz="0" w:space="0" w:color="auto"/>
                    <w:right w:val="none" w:sz="0" w:space="0" w:color="auto"/>
                  </w:divBdr>
                  <w:divsChild>
                    <w:div w:id="453524495">
                      <w:marLeft w:val="0"/>
                      <w:marRight w:val="0"/>
                      <w:marTop w:val="0"/>
                      <w:marBottom w:val="0"/>
                      <w:divBdr>
                        <w:top w:val="none" w:sz="0" w:space="0" w:color="auto"/>
                        <w:left w:val="none" w:sz="0" w:space="0" w:color="auto"/>
                        <w:bottom w:val="none" w:sz="0" w:space="0" w:color="auto"/>
                        <w:right w:val="none" w:sz="0" w:space="0" w:color="auto"/>
                      </w:divBdr>
                      <w:divsChild>
                        <w:div w:id="2075002260">
                          <w:marLeft w:val="0"/>
                          <w:marRight w:val="0"/>
                          <w:marTop w:val="0"/>
                          <w:marBottom w:val="0"/>
                          <w:divBdr>
                            <w:top w:val="none" w:sz="0" w:space="0" w:color="auto"/>
                            <w:left w:val="none" w:sz="0" w:space="0" w:color="auto"/>
                            <w:bottom w:val="none" w:sz="0" w:space="0" w:color="auto"/>
                            <w:right w:val="none" w:sz="0" w:space="0" w:color="auto"/>
                          </w:divBdr>
                          <w:divsChild>
                            <w:div w:id="458034817">
                              <w:marLeft w:val="0"/>
                              <w:marRight w:val="0"/>
                              <w:marTop w:val="0"/>
                              <w:marBottom w:val="0"/>
                              <w:divBdr>
                                <w:top w:val="none" w:sz="0" w:space="0" w:color="auto"/>
                                <w:left w:val="none" w:sz="0" w:space="0" w:color="auto"/>
                                <w:bottom w:val="none" w:sz="0" w:space="0" w:color="auto"/>
                                <w:right w:val="none" w:sz="0" w:space="0" w:color="auto"/>
                              </w:divBdr>
                              <w:divsChild>
                                <w:div w:id="808743744">
                                  <w:marLeft w:val="0"/>
                                  <w:marRight w:val="0"/>
                                  <w:marTop w:val="0"/>
                                  <w:marBottom w:val="0"/>
                                  <w:divBdr>
                                    <w:top w:val="none" w:sz="0" w:space="0" w:color="auto"/>
                                    <w:left w:val="none" w:sz="0" w:space="0" w:color="auto"/>
                                    <w:bottom w:val="none" w:sz="0" w:space="0" w:color="auto"/>
                                    <w:right w:val="none" w:sz="0" w:space="0" w:color="auto"/>
                                  </w:divBdr>
                                  <w:divsChild>
                                    <w:div w:id="527110683">
                                      <w:marLeft w:val="0"/>
                                      <w:marRight w:val="0"/>
                                      <w:marTop w:val="0"/>
                                      <w:marBottom w:val="0"/>
                                      <w:divBdr>
                                        <w:top w:val="none" w:sz="0" w:space="0" w:color="auto"/>
                                        <w:left w:val="none" w:sz="0" w:space="0" w:color="auto"/>
                                        <w:bottom w:val="none" w:sz="0" w:space="0" w:color="auto"/>
                                        <w:right w:val="none" w:sz="0" w:space="0" w:color="auto"/>
                                      </w:divBdr>
                                      <w:divsChild>
                                        <w:div w:id="116292557">
                                          <w:marLeft w:val="0"/>
                                          <w:marRight w:val="0"/>
                                          <w:marTop w:val="0"/>
                                          <w:marBottom w:val="0"/>
                                          <w:divBdr>
                                            <w:top w:val="none" w:sz="0" w:space="0" w:color="auto"/>
                                            <w:left w:val="none" w:sz="0" w:space="0" w:color="auto"/>
                                            <w:bottom w:val="none" w:sz="0" w:space="0" w:color="auto"/>
                                            <w:right w:val="none" w:sz="0" w:space="0" w:color="auto"/>
                                          </w:divBdr>
                                          <w:divsChild>
                                            <w:div w:id="848449207">
                                              <w:marLeft w:val="0"/>
                                              <w:marRight w:val="0"/>
                                              <w:marTop w:val="0"/>
                                              <w:marBottom w:val="0"/>
                                              <w:divBdr>
                                                <w:top w:val="none" w:sz="0" w:space="0" w:color="auto"/>
                                                <w:left w:val="none" w:sz="0" w:space="0" w:color="auto"/>
                                                <w:bottom w:val="none" w:sz="0" w:space="0" w:color="auto"/>
                                                <w:right w:val="none" w:sz="0" w:space="0" w:color="auto"/>
                                              </w:divBdr>
                                            </w:div>
                                            <w:div w:id="1376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shiba%20I7\Desktop\crops%20change%20map95-2014%20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
          <c:y val="0"/>
          <c:w val="1"/>
          <c:h val="1"/>
        </c:manualLayout>
      </c:layout>
      <c:lineChart>
        <c:grouping val="standard"/>
        <c:ser>
          <c:idx val="8"/>
          <c:order val="0"/>
          <c:tx>
            <c:strRef>
              <c:f>'change slop'!$A$11</c:f>
              <c:strCache>
                <c:ptCount val="1"/>
                <c:pt idx="0">
                  <c:v>HORSEBEANS</c:v>
                </c:pt>
              </c:strCache>
            </c:strRef>
          </c:tx>
          <c:dLbls>
            <c:dLbl>
              <c:idx val="0"/>
              <c:layout>
                <c:manualLayout>
                  <c:x val="-8.5057471264367954E-2"/>
                  <c:y val="1.220752797558484E-2"/>
                </c:manualLayout>
              </c:layout>
              <c:tx>
                <c:rich>
                  <a:bodyPr/>
                  <a:lstStyle/>
                  <a:p>
                    <a:pPr>
                      <a:defRPr/>
                    </a:pPr>
                    <a:r>
                      <a:rPr lang="en-US"/>
                      <a:t>10.67</a:t>
                    </a:r>
                    <a:r>
                      <a:rPr lang="en-US" b="1">
                        <a:solidFill>
                          <a:srgbClr val="FF0000"/>
                        </a:solidFill>
                      </a:rPr>
                      <a:t>fababea</a:t>
                    </a:r>
                    <a:r>
                      <a:rPr lang="en-US"/>
                      <a:t>n</a:t>
                    </a:r>
                  </a:p>
                </c:rich>
              </c:tx>
              <c:spPr/>
              <c:dLblPos val="r"/>
            </c:dLbl>
            <c:showVal val="1"/>
          </c:dLbls>
          <c:val>
            <c:numRef>
              <c:f>'change slop'!$E$11:$F$11</c:f>
              <c:numCache>
                <c:formatCode>General</c:formatCode>
                <c:ptCount val="2"/>
                <c:pt idx="0">
                  <c:v>10.67</c:v>
                </c:pt>
                <c:pt idx="1">
                  <c:v>18.420000000000002</c:v>
                </c:pt>
              </c:numCache>
            </c:numRef>
          </c:val>
        </c:ser>
        <c:ser>
          <c:idx val="9"/>
          <c:order val="1"/>
          <c:tx>
            <c:strRef>
              <c:f>'change slop'!$A$12</c:f>
              <c:strCache>
                <c:ptCount val="1"/>
                <c:pt idx="0">
                  <c:v>FIELD PEAS</c:v>
                </c:pt>
              </c:strCache>
            </c:strRef>
          </c:tx>
          <c:dLbls>
            <c:dLbl>
              <c:idx val="1"/>
              <c:tx>
                <c:rich>
                  <a:bodyPr/>
                  <a:lstStyle/>
                  <a:p>
                    <a:pPr>
                      <a:defRPr/>
                    </a:pPr>
                    <a:r>
                      <a:rPr lang="en-US"/>
                      <a:t>13.79 </a:t>
                    </a:r>
                    <a:r>
                      <a:rPr lang="en-US" b="1">
                        <a:solidFill>
                          <a:srgbClr val="FF0000"/>
                        </a:solidFill>
                      </a:rPr>
                      <a:t>fieldpea</a:t>
                    </a:r>
                  </a:p>
                </c:rich>
              </c:tx>
              <c:spPr/>
            </c:dLbl>
            <c:showVal val="1"/>
          </c:dLbls>
          <c:val>
            <c:numRef>
              <c:f>'change slop'!$E$12:$F$12</c:f>
              <c:numCache>
                <c:formatCode>General</c:formatCode>
                <c:ptCount val="2"/>
                <c:pt idx="0">
                  <c:v>7.73</c:v>
                </c:pt>
                <c:pt idx="1">
                  <c:v>13.79</c:v>
                </c:pt>
              </c:numCache>
            </c:numRef>
          </c:val>
        </c:ser>
        <c:ser>
          <c:idx val="10"/>
          <c:order val="2"/>
          <c:tx>
            <c:strRef>
              <c:f>'change slop'!$A$13</c:f>
              <c:strCache>
                <c:ptCount val="1"/>
                <c:pt idx="0">
                  <c:v>HARICOTBEANS</c:v>
                </c:pt>
              </c:strCache>
            </c:strRef>
          </c:tx>
          <c:dLbls>
            <c:dLbl>
              <c:idx val="0"/>
              <c:layout>
                <c:manualLayout>
                  <c:x val="-6.4367816091954022E-2"/>
                  <c:y val="3.648683568102256E-3"/>
                </c:manualLayout>
              </c:layout>
              <c:dLblPos val="r"/>
              <c:showVal val="1"/>
            </c:dLbl>
            <c:dLbl>
              <c:idx val="1"/>
              <c:tx>
                <c:rich>
                  <a:bodyPr/>
                  <a:lstStyle/>
                  <a:p>
                    <a:r>
                      <a:rPr lang="en-US"/>
                      <a:t>14.9 </a:t>
                    </a:r>
                    <a:r>
                      <a:rPr lang="en-US" b="1">
                        <a:solidFill>
                          <a:srgbClr val="FF0000"/>
                        </a:solidFill>
                      </a:rPr>
                      <a:t>haricotbean</a:t>
                    </a:r>
                  </a:p>
                </c:rich>
              </c:tx>
            </c:dLbl>
            <c:txPr>
              <a:bodyPr/>
              <a:lstStyle/>
              <a:p>
                <a:pPr>
                  <a:defRPr sz="1000" b="0" i="0" u="none" strike="noStrike" baseline="0">
                    <a:solidFill>
                      <a:srgbClr val="000000"/>
                    </a:solidFill>
                    <a:latin typeface="Calibri"/>
                    <a:ea typeface="Calibri"/>
                    <a:cs typeface="Calibri"/>
                  </a:defRPr>
                </a:pPr>
                <a:endParaRPr lang="en-US"/>
              </a:p>
            </c:txPr>
            <c:showVal val="1"/>
          </c:dLbls>
          <c:val>
            <c:numRef>
              <c:f>'change slop'!$E$13:$F$13</c:f>
              <c:numCache>
                <c:formatCode>General</c:formatCode>
                <c:ptCount val="2"/>
                <c:pt idx="0">
                  <c:v>7.75</c:v>
                </c:pt>
                <c:pt idx="1">
                  <c:v>14.9</c:v>
                </c:pt>
              </c:numCache>
            </c:numRef>
          </c:val>
        </c:ser>
        <c:ser>
          <c:idx val="11"/>
          <c:order val="3"/>
          <c:tx>
            <c:strRef>
              <c:f>'change slop'!$A$14</c:f>
              <c:strCache>
                <c:ptCount val="1"/>
                <c:pt idx="0">
                  <c:v>CHICKPEAS</c:v>
                </c:pt>
              </c:strCache>
            </c:strRef>
          </c:tx>
          <c:dLbls>
            <c:dLbl>
              <c:idx val="0"/>
              <c:layout>
                <c:manualLayout>
                  <c:x val="-0.14942528735632235"/>
                  <c:y val="2.084962038915574E-3"/>
                </c:manualLayout>
              </c:layout>
              <c:tx>
                <c:rich>
                  <a:bodyPr/>
                  <a:lstStyle/>
                  <a:p>
                    <a:r>
                      <a:rPr lang="en-US"/>
                      <a:t>8.5 </a:t>
                    </a:r>
                    <a:r>
                      <a:rPr lang="en-US" b="1">
                        <a:solidFill>
                          <a:srgbClr val="FF0000"/>
                        </a:solidFill>
                      </a:rPr>
                      <a:t>chickpea </a:t>
                    </a:r>
                  </a:p>
                </c:rich>
              </c:tx>
              <c:dLblPos val="r"/>
            </c:dLbl>
            <c:txPr>
              <a:bodyPr/>
              <a:lstStyle/>
              <a:p>
                <a:pPr>
                  <a:defRPr sz="1000" b="0" i="0" u="none" strike="noStrike" baseline="0">
                    <a:solidFill>
                      <a:srgbClr val="000000"/>
                    </a:solidFill>
                    <a:latin typeface="Calibri"/>
                    <a:ea typeface="Calibri"/>
                    <a:cs typeface="Calibri"/>
                  </a:defRPr>
                </a:pPr>
                <a:endParaRPr lang="en-US"/>
              </a:p>
            </c:txPr>
            <c:showVal val="1"/>
          </c:dLbls>
          <c:val>
            <c:numRef>
              <c:f>'change slop'!$E$14:$F$14</c:f>
              <c:numCache>
                <c:formatCode>General</c:formatCode>
                <c:ptCount val="2"/>
                <c:pt idx="0">
                  <c:v>8.5</c:v>
                </c:pt>
                <c:pt idx="1">
                  <c:v>18.45</c:v>
                </c:pt>
              </c:numCache>
            </c:numRef>
          </c:val>
        </c:ser>
        <c:ser>
          <c:idx val="12"/>
          <c:order val="4"/>
          <c:tx>
            <c:strRef>
              <c:f>'change slop'!$A$15</c:f>
              <c:strCache>
                <c:ptCount val="1"/>
                <c:pt idx="0">
                  <c:v>LENTIL</c:v>
                </c:pt>
              </c:strCache>
            </c:strRef>
          </c:tx>
          <c:dLbls>
            <c:dLbl>
              <c:idx val="0"/>
              <c:layout>
                <c:manualLayout>
                  <c:x val="-5.9770114942528894E-2"/>
                  <c:y val="-1.5637215291866788E-3"/>
                </c:manualLayout>
              </c:layout>
              <c:dLblPos val="r"/>
              <c:showVal val="1"/>
            </c:dLbl>
            <c:dLbl>
              <c:idx val="1"/>
              <c:tx>
                <c:rich>
                  <a:bodyPr/>
                  <a:lstStyle/>
                  <a:p>
                    <a:r>
                      <a:rPr lang="en-US"/>
                      <a:t>12.65 </a:t>
                    </a:r>
                    <a:r>
                      <a:rPr lang="en-US" b="1">
                        <a:solidFill>
                          <a:srgbClr val="FF0000"/>
                        </a:solidFill>
                      </a:rPr>
                      <a:t>lentil</a:t>
                    </a:r>
                  </a:p>
                </c:rich>
              </c:tx>
            </c:dLbl>
            <c:txPr>
              <a:bodyPr/>
              <a:lstStyle/>
              <a:p>
                <a:pPr>
                  <a:defRPr sz="1000" b="0" i="0" u="none" strike="noStrike" baseline="0">
                    <a:solidFill>
                      <a:srgbClr val="000000"/>
                    </a:solidFill>
                    <a:latin typeface="Calibri"/>
                    <a:ea typeface="Calibri"/>
                    <a:cs typeface="Calibri"/>
                  </a:defRPr>
                </a:pPr>
                <a:endParaRPr lang="en-US"/>
              </a:p>
            </c:txPr>
            <c:showVal val="1"/>
          </c:dLbls>
          <c:val>
            <c:numRef>
              <c:f>'change slop'!$E$15:$F$15</c:f>
              <c:numCache>
                <c:formatCode>General</c:formatCode>
                <c:ptCount val="2"/>
                <c:pt idx="0">
                  <c:v>5.09</c:v>
                </c:pt>
                <c:pt idx="1">
                  <c:v>12.65</c:v>
                </c:pt>
              </c:numCache>
            </c:numRef>
          </c:val>
        </c:ser>
        <c:ser>
          <c:idx val="14"/>
          <c:order val="5"/>
          <c:tx>
            <c:strRef>
              <c:f>'change slop'!$A$17</c:f>
              <c:strCache>
                <c:ptCount val="1"/>
                <c:pt idx="0">
                  <c:v>soybean(98)</c:v>
                </c:pt>
              </c:strCache>
            </c:strRef>
          </c:tx>
          <c:dLbls>
            <c:dLbl>
              <c:idx val="0"/>
              <c:layout>
                <c:manualLayout>
                  <c:x val="-8.798647925114321E-2"/>
                  <c:y val="4.7961630695443789E-3"/>
                </c:manualLayout>
              </c:layout>
              <c:dLblPos val="r"/>
              <c:showVal val="1"/>
            </c:dLbl>
            <c:dLbl>
              <c:idx val="1"/>
              <c:tx>
                <c:rich>
                  <a:bodyPr/>
                  <a:lstStyle/>
                  <a:p>
                    <a:r>
                      <a:rPr lang="en-US"/>
                      <a:t>20</a:t>
                    </a:r>
                    <a:r>
                      <a:rPr lang="en-US" b="1">
                        <a:solidFill>
                          <a:srgbClr val="FF0000"/>
                        </a:solidFill>
                      </a:rPr>
                      <a:t>soybean</a:t>
                    </a:r>
                    <a:r>
                      <a:rPr lang="en-US"/>
                      <a:t> </a:t>
                    </a:r>
                  </a:p>
                </c:rich>
              </c:tx>
            </c:dLbl>
            <c:txPr>
              <a:bodyPr/>
              <a:lstStyle/>
              <a:p>
                <a:pPr>
                  <a:defRPr sz="1000" b="0" i="0" u="none" strike="noStrike" baseline="0">
                    <a:solidFill>
                      <a:srgbClr val="000000"/>
                    </a:solidFill>
                    <a:latin typeface="Calibri"/>
                    <a:ea typeface="Calibri"/>
                    <a:cs typeface="Calibri"/>
                  </a:defRPr>
                </a:pPr>
                <a:endParaRPr lang="en-US"/>
              </a:p>
            </c:txPr>
            <c:showVal val="1"/>
          </c:dLbls>
          <c:val>
            <c:numRef>
              <c:f>'change slop'!$E$17:$F$17</c:f>
              <c:numCache>
                <c:formatCode>General</c:formatCode>
                <c:ptCount val="2"/>
                <c:pt idx="0">
                  <c:v>11.46</c:v>
                </c:pt>
                <c:pt idx="1">
                  <c:v>20</c:v>
                </c:pt>
              </c:numCache>
            </c:numRef>
          </c:val>
        </c:ser>
        <c:ser>
          <c:idx val="18"/>
          <c:order val="6"/>
          <c:tx>
            <c:strRef>
              <c:f>'change slop'!$A$21</c:f>
              <c:strCache>
                <c:ptCount val="1"/>
                <c:pt idx="0">
                  <c:v>GROUNDNUIS</c:v>
                </c:pt>
              </c:strCache>
            </c:strRef>
          </c:tx>
          <c:dLbls>
            <c:dLbl>
              <c:idx val="0"/>
              <c:layout>
                <c:manualLayout>
                  <c:x val="-6.8965517241379323E-2"/>
                  <c:y val="-1.0424810194577863E-3"/>
                </c:manualLayout>
              </c:layout>
              <c:dLblPos val="r"/>
              <c:showVal val="1"/>
            </c:dLbl>
            <c:dLbl>
              <c:idx val="1"/>
              <c:tx>
                <c:rich>
                  <a:bodyPr/>
                  <a:lstStyle/>
                  <a:p>
                    <a:r>
                      <a:rPr lang="en-US"/>
                      <a:t>14.02 </a:t>
                    </a:r>
                    <a:r>
                      <a:rPr lang="en-US" b="1">
                        <a:solidFill>
                          <a:srgbClr val="FF0000"/>
                        </a:solidFill>
                      </a:rPr>
                      <a:t>groundnut </a:t>
                    </a:r>
                  </a:p>
                </c:rich>
              </c:tx>
            </c:dLbl>
            <c:txPr>
              <a:bodyPr/>
              <a:lstStyle/>
              <a:p>
                <a:pPr>
                  <a:defRPr sz="1000" b="0" i="0" u="none" strike="noStrike" baseline="0">
                    <a:solidFill>
                      <a:srgbClr val="000000"/>
                    </a:solidFill>
                    <a:latin typeface="Calibri"/>
                    <a:ea typeface="Calibri"/>
                    <a:cs typeface="Calibri"/>
                  </a:defRPr>
                </a:pPr>
                <a:endParaRPr lang="en-US"/>
              </a:p>
            </c:txPr>
            <c:showVal val="1"/>
          </c:dLbls>
          <c:val>
            <c:numRef>
              <c:f>'change slop'!$E$21:$F$21</c:f>
              <c:numCache>
                <c:formatCode>General</c:formatCode>
                <c:ptCount val="2"/>
                <c:pt idx="0">
                  <c:v>7.1899999999999995</c:v>
                </c:pt>
                <c:pt idx="1">
                  <c:v>14.02</c:v>
                </c:pt>
              </c:numCache>
            </c:numRef>
          </c:val>
        </c:ser>
        <c:marker val="1"/>
        <c:axId val="73923968"/>
        <c:axId val="100328576"/>
      </c:lineChart>
      <c:catAx>
        <c:axId val="73923968"/>
        <c:scaling>
          <c:orientation val="minMax"/>
        </c:scaling>
        <c:delete val="1"/>
        <c:axPos val="b"/>
        <c:tickLblPos val="none"/>
        <c:crossAx val="100328576"/>
        <c:crosses val="autoZero"/>
        <c:auto val="1"/>
        <c:lblAlgn val="ctr"/>
        <c:lblOffset val="100"/>
      </c:catAx>
      <c:valAx>
        <c:axId val="100328576"/>
        <c:scaling>
          <c:orientation val="minMax"/>
        </c:scaling>
        <c:delete val="1"/>
        <c:axPos val="l"/>
        <c:numFmt formatCode="General" sourceLinked="1"/>
        <c:tickLblPos val="none"/>
        <c:crossAx val="73923968"/>
        <c:crosses val="autoZero"/>
        <c:crossBetween val="between"/>
      </c:valAx>
      <c:spPr>
        <a:solidFill>
          <a:schemeClr val="bg1">
            <a:lumMod val="95000"/>
          </a:schemeClr>
        </a:solidFill>
        <a:ln w="25400">
          <a:noFill/>
        </a:ln>
      </c:spPr>
    </c:plotArea>
    <c:plotVisOnly val="1"/>
    <c:dispBlanksAs val="gap"/>
  </c:chart>
  <c:spPr>
    <a:solidFill>
      <a:srgbClr val="00B050"/>
    </a:solidFill>
  </c:spPr>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0.02931</cdr:x>
      <cdr:y>0.00313</cdr:y>
    </cdr:from>
    <cdr:to>
      <cdr:x>0.96724</cdr:x>
      <cdr:y>0.19178</cdr:y>
    </cdr:to>
    <cdr:sp macro="" textlink="">
      <cdr:nvSpPr>
        <cdr:cNvPr id="2" name="TextBox 1"/>
        <cdr:cNvSpPr txBox="1"/>
      </cdr:nvSpPr>
      <cdr:spPr>
        <a:xfrm xmlns:a="http://schemas.openxmlformats.org/drawingml/2006/main">
          <a:off x="145172" y="21762"/>
          <a:ext cx="4645568" cy="1311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200" b="1"/>
        </a:p>
        <a:p xmlns:a="http://schemas.openxmlformats.org/drawingml/2006/main">
          <a:pPr algn="ctr"/>
          <a:endParaRPr lang="en-US" sz="1200" b="1"/>
        </a:p>
        <a:p xmlns:a="http://schemas.openxmlformats.org/drawingml/2006/main">
          <a:pPr algn="ctr"/>
          <a:endParaRPr lang="en-US" sz="1200" b="1"/>
        </a:p>
        <a:p xmlns:a="http://schemas.openxmlformats.org/drawingml/2006/main">
          <a:pPr algn="ctr"/>
          <a:endParaRPr lang="en-US" sz="1200" b="1"/>
        </a:p>
        <a:p xmlns:a="http://schemas.openxmlformats.org/drawingml/2006/main">
          <a:pPr algn="ctr"/>
          <a:r>
            <a:rPr lang="en-US" sz="1200" b="1"/>
            <a:t>Two decades in Yield </a:t>
          </a:r>
          <a:r>
            <a:rPr lang="en-US" sz="1200" b="1" baseline="0">
              <a:solidFill>
                <a:sysClr val="windowText" lastClr="000000"/>
              </a:solidFill>
            </a:rPr>
            <a:t> </a:t>
          </a:r>
          <a:r>
            <a:rPr lang="en-US" sz="1200" b="1"/>
            <a:t>Slope Change of Legumes</a:t>
          </a:r>
          <a:r>
            <a:rPr lang="en-US" sz="1200" b="1" baseline="0"/>
            <a:t> </a:t>
          </a:r>
          <a:r>
            <a:rPr lang="en-US" sz="1200" b="1"/>
            <a:t>1995/6-2013/14 through partnership (</a:t>
          </a:r>
          <a:r>
            <a:rPr lang="en-US" sz="1050" b="1" i="1"/>
            <a:t>NARS-Extention-CGIARS-Funders-NGOs-PVT</a:t>
          </a:r>
          <a:r>
            <a:rPr lang="en-US" sz="1200" b="1"/>
            <a:t>)</a:t>
          </a:r>
          <a:r>
            <a:rPr lang="en-US" sz="1200" b="1" baseline="0"/>
            <a:t> </a:t>
          </a:r>
          <a:endParaRPr lang="en-US" sz="1200" b="1"/>
        </a:p>
      </cdr:txBody>
    </cdr:sp>
  </cdr:relSizeAnchor>
  <cdr:relSizeAnchor xmlns:cdr="http://schemas.openxmlformats.org/drawingml/2006/chartDrawing">
    <cdr:from>
      <cdr:x>0.40565</cdr:x>
      <cdr:y>0.24789</cdr:y>
    </cdr:from>
    <cdr:to>
      <cdr:x>0.48846</cdr:x>
      <cdr:y>0.29977</cdr:y>
    </cdr:to>
    <cdr:sp macro="" textlink="">
      <cdr:nvSpPr>
        <cdr:cNvPr id="3" name="TextBox 2"/>
        <cdr:cNvSpPr txBox="1"/>
      </cdr:nvSpPr>
      <cdr:spPr>
        <a:xfrm xmlns:a="http://schemas.openxmlformats.org/drawingml/2006/main" rot="18612988">
          <a:off x="2025011" y="1792779"/>
          <a:ext cx="378524" cy="410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a:t>
          </a:r>
        </a:p>
      </cdr:txBody>
    </cdr:sp>
  </cdr:relSizeAnchor>
  <cdr:relSizeAnchor xmlns:cdr="http://schemas.openxmlformats.org/drawingml/2006/chartDrawing">
    <cdr:from>
      <cdr:x>0.45282</cdr:x>
      <cdr:y>0.37948</cdr:y>
    </cdr:from>
    <cdr:to>
      <cdr:x>0.51373</cdr:x>
      <cdr:y>0.45266</cdr:y>
    </cdr:to>
    <cdr:sp macro="" textlink="">
      <cdr:nvSpPr>
        <cdr:cNvPr id="4" name="TextBox 3"/>
        <cdr:cNvSpPr txBox="1"/>
      </cdr:nvSpPr>
      <cdr:spPr>
        <a:xfrm xmlns:a="http://schemas.openxmlformats.org/drawingml/2006/main" rot="18601384">
          <a:off x="2139267" y="2742205"/>
          <a:ext cx="508785" cy="3016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73%</a:t>
          </a:r>
        </a:p>
      </cdr:txBody>
    </cdr:sp>
  </cdr:relSizeAnchor>
  <cdr:relSizeAnchor xmlns:cdr="http://schemas.openxmlformats.org/drawingml/2006/chartDrawing">
    <cdr:from>
      <cdr:x>0.44615</cdr:x>
      <cdr:y>0.30728</cdr:y>
    </cdr:from>
    <cdr:to>
      <cdr:x>0.57034</cdr:x>
      <cdr:y>0.34956</cdr:y>
    </cdr:to>
    <cdr:sp macro="" textlink="">
      <cdr:nvSpPr>
        <cdr:cNvPr id="5" name="TextBox 4"/>
        <cdr:cNvSpPr txBox="1"/>
      </cdr:nvSpPr>
      <cdr:spPr>
        <a:xfrm xmlns:a="http://schemas.openxmlformats.org/drawingml/2006/main" rot="19068319">
          <a:off x="2209775" y="2136581"/>
          <a:ext cx="615141" cy="2939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75%</a:t>
          </a:r>
        </a:p>
      </cdr:txBody>
    </cdr:sp>
  </cdr:relSizeAnchor>
  <cdr:relSizeAnchor xmlns:cdr="http://schemas.openxmlformats.org/drawingml/2006/chartDrawing">
    <cdr:from>
      <cdr:x>0.64536</cdr:x>
      <cdr:y>0.36835</cdr:y>
    </cdr:from>
    <cdr:to>
      <cdr:x>0.72984</cdr:x>
      <cdr:y>0.40364</cdr:y>
    </cdr:to>
    <cdr:sp macro="" textlink="">
      <cdr:nvSpPr>
        <cdr:cNvPr id="6" name="TextBox 5"/>
        <cdr:cNvSpPr txBox="1"/>
      </cdr:nvSpPr>
      <cdr:spPr>
        <a:xfrm xmlns:a="http://schemas.openxmlformats.org/drawingml/2006/main" rot="19334101">
          <a:off x="3196491" y="2687571"/>
          <a:ext cx="418430" cy="2574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66%</a:t>
          </a:r>
        </a:p>
      </cdr:txBody>
    </cdr:sp>
  </cdr:relSizeAnchor>
  <cdr:relSizeAnchor xmlns:cdr="http://schemas.openxmlformats.org/drawingml/2006/chartDrawing">
    <cdr:from>
      <cdr:x>0.44025</cdr:x>
      <cdr:y>0.55253</cdr:y>
    </cdr:from>
    <cdr:to>
      <cdr:x>0.52818</cdr:x>
      <cdr:y>0.57593</cdr:y>
    </cdr:to>
    <cdr:sp macro="" textlink="">
      <cdr:nvSpPr>
        <cdr:cNvPr id="7" name="TextBox 6"/>
        <cdr:cNvSpPr txBox="1"/>
      </cdr:nvSpPr>
      <cdr:spPr>
        <a:xfrm xmlns:a="http://schemas.openxmlformats.org/drawingml/2006/main" rot="19079860">
          <a:off x="2180554" y="3841891"/>
          <a:ext cx="435518" cy="162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78%</a:t>
          </a:r>
        </a:p>
      </cdr:txBody>
    </cdr:sp>
  </cdr:relSizeAnchor>
  <cdr:relSizeAnchor xmlns:cdr="http://schemas.openxmlformats.org/drawingml/2006/chartDrawing">
    <cdr:from>
      <cdr:x>0.50639</cdr:x>
      <cdr:y>0.71193</cdr:y>
    </cdr:from>
    <cdr:to>
      <cdr:x>0.60496</cdr:x>
      <cdr:y>0.73899</cdr:y>
    </cdr:to>
    <cdr:sp macro="" textlink="">
      <cdr:nvSpPr>
        <cdr:cNvPr id="8" name="TextBox 7"/>
        <cdr:cNvSpPr txBox="1"/>
      </cdr:nvSpPr>
      <cdr:spPr>
        <a:xfrm xmlns:a="http://schemas.openxmlformats.org/drawingml/2006/main" rot="19565134">
          <a:off x="2508126" y="5194355"/>
          <a:ext cx="488237" cy="197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0.34227</cdr:x>
      <cdr:y>0.84634</cdr:y>
    </cdr:from>
    <cdr:to>
      <cdr:x>0.43162</cdr:x>
      <cdr:y>0.87866</cdr:y>
    </cdr:to>
    <cdr:sp macro="" textlink="">
      <cdr:nvSpPr>
        <cdr:cNvPr id="9" name="TextBox 8"/>
        <cdr:cNvSpPr txBox="1"/>
      </cdr:nvSpPr>
      <cdr:spPr>
        <a:xfrm xmlns:a="http://schemas.openxmlformats.org/drawingml/2006/main" rot="20728111">
          <a:off x="1695272" y="6175014"/>
          <a:ext cx="442558" cy="2358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0.39421</cdr:x>
      <cdr:y>0.54069</cdr:y>
    </cdr:from>
    <cdr:to>
      <cdr:x>0.48735</cdr:x>
      <cdr:y>0.56669</cdr:y>
    </cdr:to>
    <cdr:sp macro="" textlink="">
      <cdr:nvSpPr>
        <cdr:cNvPr id="11" name="TextBox 10"/>
        <cdr:cNvSpPr txBox="1"/>
      </cdr:nvSpPr>
      <cdr:spPr>
        <a:xfrm xmlns:a="http://schemas.openxmlformats.org/drawingml/2006/main" rot="19641180">
          <a:off x="1952522" y="3759553"/>
          <a:ext cx="461323" cy="1807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92%</a:t>
          </a:r>
        </a:p>
      </cdr:txBody>
    </cdr:sp>
  </cdr:relSizeAnchor>
  <cdr:relSizeAnchor xmlns:cdr="http://schemas.openxmlformats.org/drawingml/2006/chartDrawing">
    <cdr:from>
      <cdr:x>0.54483</cdr:x>
      <cdr:y>0.75788</cdr:y>
    </cdr:from>
    <cdr:to>
      <cdr:x>0.63966</cdr:x>
      <cdr:y>0.78026</cdr:y>
    </cdr:to>
    <cdr:sp macro="" textlink="">
      <cdr:nvSpPr>
        <cdr:cNvPr id="12" name="TextBox 11"/>
        <cdr:cNvSpPr txBox="1"/>
      </cdr:nvSpPr>
      <cdr:spPr>
        <a:xfrm xmlns:a="http://schemas.openxmlformats.org/drawingml/2006/main" rot="20438383">
          <a:off x="3009900" y="7096125"/>
          <a:ext cx="5238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0.38415</cdr:x>
      <cdr:y>0.66457</cdr:y>
    </cdr:from>
    <cdr:to>
      <cdr:x>0.42358</cdr:x>
      <cdr:y>0.71983</cdr:y>
    </cdr:to>
    <cdr:sp macro="" textlink="">
      <cdr:nvSpPr>
        <cdr:cNvPr id="13" name="TextBox 12"/>
        <cdr:cNvSpPr txBox="1"/>
      </cdr:nvSpPr>
      <cdr:spPr>
        <a:xfrm xmlns:a="http://schemas.openxmlformats.org/drawingml/2006/main" rot="18803705">
          <a:off x="1808218" y="4715374"/>
          <a:ext cx="384236" cy="1952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t>107%</a:t>
          </a:r>
        </a:p>
      </cdr:txBody>
    </cdr:sp>
  </cdr:relSizeAnchor>
  <cdr:relSizeAnchor xmlns:cdr="http://schemas.openxmlformats.org/drawingml/2006/chartDrawing">
    <cdr:from>
      <cdr:x>0.39659</cdr:x>
      <cdr:y>0.47671</cdr:y>
    </cdr:from>
    <cdr:to>
      <cdr:x>0.42547</cdr:x>
      <cdr:y>0.54826</cdr:y>
    </cdr:to>
    <cdr:sp macro="" textlink="">
      <cdr:nvSpPr>
        <cdr:cNvPr id="14" name="TextBox 13"/>
        <cdr:cNvSpPr txBox="1"/>
      </cdr:nvSpPr>
      <cdr:spPr>
        <a:xfrm xmlns:a="http://schemas.openxmlformats.org/drawingml/2006/main" rot="18644961">
          <a:off x="1787082" y="3491935"/>
          <a:ext cx="497520" cy="1430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117%</a:t>
          </a:r>
        </a:p>
      </cdr:txBody>
    </cdr:sp>
  </cdr:relSizeAnchor>
  <cdr:relSizeAnchor xmlns:cdr="http://schemas.openxmlformats.org/drawingml/2006/chartDrawing">
    <cdr:from>
      <cdr:x>0.62986</cdr:x>
      <cdr:y>0.57337</cdr:y>
    </cdr:from>
    <cdr:to>
      <cdr:x>0.72296</cdr:x>
      <cdr:y>0.59869</cdr:y>
    </cdr:to>
    <cdr:sp macro="" textlink="">
      <cdr:nvSpPr>
        <cdr:cNvPr id="15" name="TextBox 14"/>
        <cdr:cNvSpPr txBox="1"/>
      </cdr:nvSpPr>
      <cdr:spPr>
        <a:xfrm xmlns:a="http://schemas.openxmlformats.org/drawingml/2006/main" rot="19834868">
          <a:off x="3119697" y="4183403"/>
          <a:ext cx="461125" cy="184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0.31235</cdr:x>
      <cdr:y>0.71006</cdr:y>
    </cdr:from>
    <cdr:to>
      <cdr:x>0.37959</cdr:x>
      <cdr:y>0.73907</cdr:y>
    </cdr:to>
    <cdr:sp macro="" textlink="">
      <cdr:nvSpPr>
        <cdr:cNvPr id="16" name="TextBox 15"/>
        <cdr:cNvSpPr txBox="1"/>
      </cdr:nvSpPr>
      <cdr:spPr>
        <a:xfrm xmlns:a="http://schemas.openxmlformats.org/drawingml/2006/main" rot="19614980">
          <a:off x="1547056" y="5180674"/>
          <a:ext cx="333040" cy="2116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0.28673</cdr:x>
      <cdr:y>0.64562</cdr:y>
    </cdr:from>
    <cdr:to>
      <cdr:x>0.37294</cdr:x>
      <cdr:y>0.67518</cdr:y>
    </cdr:to>
    <cdr:sp macro="" textlink="">
      <cdr:nvSpPr>
        <cdr:cNvPr id="17" name="TextBox 16"/>
        <cdr:cNvSpPr txBox="1"/>
      </cdr:nvSpPr>
      <cdr:spPr>
        <a:xfrm xmlns:a="http://schemas.openxmlformats.org/drawingml/2006/main" rot="19251004">
          <a:off x="1420194" y="4710563"/>
          <a:ext cx="426998" cy="2156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73%</a:t>
          </a:r>
        </a:p>
      </cdr:txBody>
    </cdr:sp>
  </cdr:relSizeAnchor>
  <cdr:relSizeAnchor xmlns:cdr="http://schemas.openxmlformats.org/drawingml/2006/chartDrawing">
    <cdr:from>
      <cdr:x>0.41897</cdr:x>
      <cdr:y>0.78433</cdr:y>
    </cdr:from>
    <cdr:to>
      <cdr:x>0.48621</cdr:x>
      <cdr:y>0.80468</cdr:y>
    </cdr:to>
    <cdr:sp macro="" textlink="">
      <cdr:nvSpPr>
        <cdr:cNvPr id="18" name="TextBox 17"/>
        <cdr:cNvSpPr txBox="1"/>
      </cdr:nvSpPr>
      <cdr:spPr>
        <a:xfrm xmlns:a="http://schemas.openxmlformats.org/drawingml/2006/main">
          <a:off x="2314575" y="7343775"/>
          <a:ext cx="3714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0.42468</cdr:x>
      <cdr:y>0.80892</cdr:y>
    </cdr:from>
    <cdr:to>
      <cdr:x>0.49537</cdr:x>
      <cdr:y>0.83223</cdr:y>
    </cdr:to>
    <cdr:sp macro="" textlink="">
      <cdr:nvSpPr>
        <cdr:cNvPr id="19" name="TextBox 18"/>
        <cdr:cNvSpPr txBox="1"/>
      </cdr:nvSpPr>
      <cdr:spPr>
        <a:xfrm xmlns:a="http://schemas.openxmlformats.org/drawingml/2006/main" rot="20894378">
          <a:off x="2346152" y="6418234"/>
          <a:ext cx="390526" cy="184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2016-06-02T12:38:00Z</dcterms:created>
  <dcterms:modified xsi:type="dcterms:W3CDTF">2016-06-02T13:10:00Z</dcterms:modified>
</cp:coreProperties>
</file>