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973FDF" w:rsidRDefault="00174E48" w:rsidP="00AD3388">
      <w:pPr>
        <w:spacing w:after="0" w:line="240" w:lineRule="auto"/>
        <w:ind w:right="-46"/>
        <w:jc w:val="center"/>
        <w:outlineLvl w:val="2"/>
        <w:rPr>
          <w:rFonts w:asciiTheme="majorHAnsi" w:eastAsia="Times New Roman" w:hAnsiTheme="majorHAnsi"/>
          <w:b/>
          <w:bCs/>
          <w:color w:val="D2232A"/>
          <w:sz w:val="36"/>
          <w:szCs w:val="36"/>
        </w:rPr>
      </w:pPr>
      <w:r w:rsidRPr="00973FDF">
        <w:rPr>
          <w:rFonts w:asciiTheme="majorHAnsi" w:eastAsia="Times New Roman" w:hAnsiTheme="majorHAnsi"/>
          <w:b/>
          <w:bCs/>
          <w:color w:val="D2232A"/>
          <w:sz w:val="36"/>
          <w:szCs w:val="36"/>
        </w:rPr>
        <w:t>Invitation to an open discussion</w:t>
      </w:r>
    </w:p>
    <w:p w:rsidR="00174E48" w:rsidRPr="00973FDF" w:rsidRDefault="00174E48" w:rsidP="00AD3388">
      <w:pPr>
        <w:ind w:right="-46"/>
        <w:jc w:val="center"/>
        <w:rPr>
          <w:rFonts w:asciiTheme="majorHAnsi" w:hAnsiTheme="majorHAnsi"/>
          <w:sz w:val="36"/>
          <w:szCs w:val="36"/>
        </w:rPr>
      </w:pPr>
      <w:r w:rsidRPr="00973FDF">
        <w:rPr>
          <w:rFonts w:asciiTheme="majorHAnsi" w:eastAsia="Times New Roman" w:hAnsiTheme="majorHAnsi"/>
          <w:b/>
          <w:bCs/>
          <w:color w:val="D2232A"/>
          <w:sz w:val="36"/>
          <w:szCs w:val="36"/>
        </w:rPr>
        <w:t>on the political outcome document of the ICN</w:t>
      </w:r>
      <w:r w:rsidR="003504AB" w:rsidRPr="00973FDF">
        <w:rPr>
          <w:rFonts w:asciiTheme="majorHAnsi" w:eastAsia="Times New Roman" w:hAnsiTheme="majorHAnsi"/>
          <w:b/>
          <w:bCs/>
          <w:color w:val="D2232A"/>
          <w:sz w:val="36"/>
          <w:szCs w:val="36"/>
        </w:rPr>
        <w:t>2</w:t>
      </w:r>
    </w:p>
    <w:p w:rsidR="00026313" w:rsidRPr="00973FDF" w:rsidRDefault="00026313" w:rsidP="006B71BD">
      <w:pPr>
        <w:jc w:val="center"/>
        <w:rPr>
          <w:rFonts w:asciiTheme="majorHAnsi" w:hAnsiTheme="majorHAnsi"/>
          <w:b/>
          <w:bCs/>
          <w:color w:val="31849B" w:themeColor="accent5" w:themeShade="BF"/>
        </w:rPr>
      </w:pPr>
    </w:p>
    <w:p w:rsidR="006B71BD" w:rsidRPr="00973FDF" w:rsidRDefault="00174E48" w:rsidP="006B71BD">
      <w:pPr>
        <w:jc w:val="center"/>
        <w:rPr>
          <w:rFonts w:asciiTheme="majorHAnsi" w:hAnsiTheme="majorHAnsi"/>
          <w:b/>
          <w:bCs/>
          <w:color w:val="31849B" w:themeColor="accent5" w:themeShade="BF"/>
        </w:rPr>
      </w:pPr>
      <w:r w:rsidRPr="00973FDF">
        <w:rPr>
          <w:rFonts w:asciiTheme="majorHAnsi" w:hAnsiTheme="majorHAnsi"/>
          <w:b/>
          <w:bCs/>
          <w:color w:val="31849B" w:themeColor="accent5" w:themeShade="BF"/>
        </w:rPr>
        <w:t>Comm</w:t>
      </w:r>
      <w:bookmarkStart w:id="0" w:name="_GoBack"/>
      <w:bookmarkEnd w:id="0"/>
      <w:r w:rsidRPr="00973FDF">
        <w:rPr>
          <w:rFonts w:asciiTheme="majorHAnsi" w:hAnsiTheme="majorHAnsi"/>
          <w:b/>
          <w:bCs/>
          <w:color w:val="31849B" w:themeColor="accent5" w:themeShade="BF"/>
        </w:rPr>
        <w:t xml:space="preserve">ent </w:t>
      </w:r>
      <w:r w:rsidR="006B71BD" w:rsidRPr="00973FDF">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973FDF" w:rsidTr="00026313">
        <w:tc>
          <w:tcPr>
            <w:tcW w:w="9242" w:type="dxa"/>
          </w:tcPr>
          <w:p w:rsidR="00026313" w:rsidRPr="00973FDF" w:rsidRDefault="00026313" w:rsidP="00026313">
            <w:pPr>
              <w:spacing w:line="360" w:lineRule="auto"/>
              <w:rPr>
                <w:rFonts w:asciiTheme="majorHAnsi" w:hAnsiTheme="majorHAnsi"/>
                <w:b/>
                <w:bCs/>
              </w:rPr>
            </w:pPr>
            <w:r w:rsidRPr="00973FDF">
              <w:rPr>
                <w:rFonts w:asciiTheme="majorHAnsi" w:hAnsiTheme="majorHAnsi"/>
                <w:b/>
                <w:bCs/>
              </w:rPr>
              <w:t>Personal information</w:t>
            </w:r>
            <w:r w:rsidRPr="00973FDF">
              <w:rPr>
                <w:rFonts w:asciiTheme="majorHAnsi" w:hAnsiTheme="majorHAnsi"/>
                <w:b/>
                <w:bCs/>
              </w:rPr>
              <w:tab/>
            </w:r>
          </w:p>
          <w:p w:rsidR="00026313" w:rsidRPr="00973FDF" w:rsidRDefault="00026313" w:rsidP="00026313">
            <w:pPr>
              <w:spacing w:line="360" w:lineRule="auto"/>
              <w:rPr>
                <w:rFonts w:asciiTheme="majorHAnsi" w:hAnsiTheme="majorHAnsi"/>
              </w:rPr>
            </w:pPr>
            <w:r w:rsidRPr="00973FDF">
              <w:rPr>
                <w:rFonts w:asciiTheme="majorHAnsi" w:hAnsiTheme="majorHAnsi"/>
              </w:rPr>
              <w:t>Name:</w:t>
            </w:r>
            <w:r w:rsidR="003D04D1">
              <w:rPr>
                <w:rFonts w:asciiTheme="majorHAnsi" w:hAnsiTheme="majorHAnsi"/>
              </w:rPr>
              <w:t xml:space="preserve"> Anna Glayzer</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Organization: </w:t>
            </w:r>
            <w:r w:rsidR="003D04D1">
              <w:rPr>
                <w:rFonts w:asciiTheme="majorHAnsi" w:hAnsiTheme="majorHAnsi"/>
              </w:rPr>
              <w:t>Consumers International</w:t>
            </w:r>
          </w:p>
          <w:p w:rsidR="00026313" w:rsidRPr="00973FDF" w:rsidRDefault="00026313" w:rsidP="00026313">
            <w:pPr>
              <w:spacing w:line="360" w:lineRule="auto"/>
              <w:rPr>
                <w:rFonts w:asciiTheme="majorHAnsi" w:hAnsiTheme="majorHAnsi"/>
              </w:rPr>
            </w:pPr>
            <w:r w:rsidRPr="00973FDF">
              <w:rPr>
                <w:rFonts w:asciiTheme="majorHAnsi" w:hAnsiTheme="majorHAnsi"/>
              </w:rPr>
              <w:t>Location:</w:t>
            </w:r>
            <w:r w:rsidR="003D04D1">
              <w:rPr>
                <w:rFonts w:asciiTheme="majorHAnsi" w:hAnsiTheme="majorHAnsi"/>
              </w:rPr>
              <w:t xml:space="preserve"> London</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Email: </w:t>
            </w:r>
            <w:hyperlink r:id="rId7" w:history="1">
              <w:r w:rsidR="003D04D1" w:rsidRPr="00E577B4">
                <w:rPr>
                  <w:rStyle w:val="Hyperlink"/>
                  <w:rFonts w:asciiTheme="majorHAnsi" w:hAnsiTheme="majorHAnsi"/>
                </w:rPr>
                <w:t>aglayzer@consint.org</w:t>
              </w:r>
            </w:hyperlink>
            <w:r w:rsidR="003D04D1">
              <w:rPr>
                <w:rFonts w:asciiTheme="majorHAnsi" w:hAnsiTheme="majorHAnsi"/>
              </w:rPr>
              <w:t xml:space="preserve"> </w:t>
            </w:r>
          </w:p>
        </w:tc>
      </w:tr>
    </w:tbl>
    <w:p w:rsidR="00026313" w:rsidRPr="00973FDF" w:rsidRDefault="00026313" w:rsidP="006B71BD">
      <w:pPr>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rPr>
      </w:pPr>
      <w:r w:rsidRPr="00973FDF">
        <w:rPr>
          <w:rFonts w:asciiTheme="majorHAnsi" w:eastAsia="Times New Roman" w:hAnsiTheme="majorHAnsi" w:cstheme="majorBidi"/>
          <w:b/>
          <w:bCs/>
        </w:rPr>
        <w:t>General comments on the Draft of the Rome Declaration on Nutrition.</w:t>
      </w:r>
    </w:p>
    <w:p w:rsidR="006B71BD" w:rsidRPr="00973FDF" w:rsidRDefault="006B71BD" w:rsidP="003504AB">
      <w:pPr>
        <w:pStyle w:val="ListParagraph"/>
        <w:spacing w:after="0" w:line="360" w:lineRule="auto"/>
        <w:ind w:left="426"/>
        <w:rPr>
          <w:rFonts w:asciiTheme="majorHAnsi" w:hAnsiTheme="majorHAnsi"/>
          <w:b/>
          <w:bCs/>
        </w:rPr>
      </w:pPr>
      <w:r w:rsidRPr="00973FDF">
        <w:rPr>
          <w:rFonts w:asciiTheme="majorHAnsi" w:hAnsiTheme="majorHAnsi"/>
          <w:b/>
          <w:bCs/>
        </w:rPr>
        <w:tab/>
      </w:r>
    </w:p>
    <w:p w:rsidR="003D04D1" w:rsidRDefault="004972C9" w:rsidP="004972C9">
      <w:pPr>
        <w:spacing w:before="100" w:beforeAutospacing="1" w:after="100" w:afterAutospacing="1"/>
      </w:pPr>
      <w:r>
        <w:t>We welcome the current Draft of the Rome Declaration on Nutrition</w:t>
      </w:r>
      <w:r w:rsidR="003D04D1">
        <w:t xml:space="preserve">. </w:t>
      </w:r>
      <w:r>
        <w:t xml:space="preserve"> We have</w:t>
      </w:r>
      <w:r w:rsidR="003D04D1">
        <w:t xml:space="preserve"> a few suggestions for how it could be improved. These are intended to:</w:t>
      </w:r>
    </w:p>
    <w:p w:rsidR="003D04D1" w:rsidRDefault="003D04D1" w:rsidP="00631F5A">
      <w:pPr>
        <w:spacing w:before="100" w:beforeAutospacing="1"/>
        <w:ind w:left="720"/>
      </w:pPr>
      <w:r>
        <w:t>- make it clear that production methods need to be acceptable to consumers and take account of social and cultural aspects</w:t>
      </w:r>
    </w:p>
    <w:p w:rsidR="003D04D1" w:rsidRDefault="003D04D1" w:rsidP="00631F5A">
      <w:pPr>
        <w:spacing w:before="100" w:beforeAutospacing="1"/>
        <w:ind w:left="720"/>
      </w:pPr>
      <w:r>
        <w:t xml:space="preserve">- stress the importance of consumer choice over production methods </w:t>
      </w:r>
    </w:p>
    <w:p w:rsidR="003D04D1" w:rsidRDefault="003D04D1" w:rsidP="00631F5A">
      <w:pPr>
        <w:spacing w:before="100" w:beforeAutospacing="1"/>
        <w:ind w:left="720"/>
      </w:pPr>
      <w:r>
        <w:t xml:space="preserve">- give greater emphasis to </w:t>
      </w:r>
      <w:r w:rsidR="004972C9">
        <w:t xml:space="preserve">food </w:t>
      </w:r>
      <w:r>
        <w:t xml:space="preserve">marketing not undermining </w:t>
      </w:r>
      <w:r w:rsidR="008129A2">
        <w:t>efforts to protect and promote healthy diets</w:t>
      </w:r>
    </w:p>
    <w:p w:rsidR="003D04D1" w:rsidRDefault="003D04D1" w:rsidP="00631F5A">
      <w:pPr>
        <w:spacing w:before="100" w:beforeAutospacing="1"/>
        <w:ind w:left="720"/>
      </w:pPr>
      <w:r>
        <w:t>- require cross-cutting food policies</w:t>
      </w:r>
    </w:p>
    <w:p w:rsidR="003D04D1" w:rsidRDefault="003D04D1" w:rsidP="00631F5A">
      <w:pPr>
        <w:spacing w:before="100" w:beforeAutospacing="1"/>
        <w:ind w:left="720"/>
      </w:pPr>
      <w:r>
        <w:t xml:space="preserve">- include </w:t>
      </w:r>
      <w:r w:rsidR="004972C9">
        <w:t>a</w:t>
      </w:r>
      <w:r>
        <w:t xml:space="preserve"> way of monitoring progress</w:t>
      </w:r>
    </w:p>
    <w:p w:rsidR="00631F5A" w:rsidRPr="0021319F" w:rsidRDefault="00631F5A" w:rsidP="00631F5A">
      <w:pPr>
        <w:spacing w:before="100" w:beforeAutospacing="1" w:after="100" w:afterAutospacing="1"/>
        <w:rPr>
          <w:rFonts w:cstheme="minorHAnsi"/>
        </w:rPr>
      </w:pPr>
      <w:r w:rsidRPr="0021319F">
        <w:rPr>
          <w:rFonts w:cstheme="minorHAnsi"/>
        </w:rPr>
        <w:t>Furthermore, we call on the WHO to initiate work on a Framework Convention to promote and protect healthy diets.</w:t>
      </w:r>
    </w:p>
    <w:p w:rsidR="00631F5A" w:rsidRPr="00973FDF" w:rsidRDefault="00631F5A" w:rsidP="003504AB">
      <w:pPr>
        <w:spacing w:after="0" w:line="360" w:lineRule="auto"/>
        <w:rPr>
          <w:rFonts w:asciiTheme="majorHAnsi" w:hAnsiTheme="majorHAnsi"/>
        </w:rPr>
      </w:pPr>
    </w:p>
    <w:p w:rsidR="006B71BD" w:rsidRPr="00973FDF" w:rsidRDefault="006B71BD" w:rsidP="003504AB">
      <w:pPr>
        <w:spacing w:after="0" w:line="360" w:lineRule="auto"/>
        <w:rPr>
          <w:rFonts w:asciiTheme="majorHAnsi" w:hAnsiTheme="majorHAnsi"/>
        </w:rPr>
      </w:pPr>
    </w:p>
    <w:p w:rsidR="006B71BD" w:rsidRPr="00973FDF" w:rsidRDefault="006B71BD" w:rsidP="003504AB">
      <w:pPr>
        <w:spacing w:after="0" w:line="360" w:lineRule="auto"/>
        <w:rPr>
          <w:rFonts w:asciiTheme="majorHAnsi" w:hAnsiTheme="majorHAnsi"/>
        </w:rPr>
      </w:pPr>
    </w:p>
    <w:p w:rsidR="00026313" w:rsidRPr="00973FDF" w:rsidRDefault="00026313" w:rsidP="003504AB">
      <w:pPr>
        <w:spacing w:after="0" w:line="360" w:lineRule="auto"/>
        <w:rPr>
          <w:rFonts w:asciiTheme="majorHAnsi" w:hAnsiTheme="majorHAnsi"/>
        </w:rPr>
      </w:pPr>
    </w:p>
    <w:p w:rsidR="00026313" w:rsidRPr="00973FDF" w:rsidRDefault="00026313" w:rsidP="003504AB">
      <w:pPr>
        <w:spacing w:after="0" w:line="360" w:lineRule="auto"/>
        <w:rPr>
          <w:rFonts w:asciiTheme="majorHAnsi" w:hAnsiTheme="majorHAnsi"/>
        </w:rPr>
      </w:pPr>
    </w:p>
    <w:p w:rsidR="006B71BD" w:rsidRPr="00973FDF" w:rsidRDefault="006B71BD"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on the paragraphs related to the multiple threats that malnutrition poses to sustainable development (paragraphs 4-10).</w:t>
      </w: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 xml:space="preserve">Specific comments on the vision for global action to end all forms of malnutrition (paragraphs 11-12). </w:t>
      </w:r>
    </w:p>
    <w:p w:rsidR="003D04D1" w:rsidRDefault="003D04D1" w:rsidP="003D04D1">
      <w:pPr>
        <w:spacing w:before="100" w:beforeAutospacing="1" w:after="100" w:afterAutospacing="1"/>
      </w:pPr>
      <w:r>
        <w:t>12 (d) – include after ‘other sectors’: that take account of consumer acceptability.</w:t>
      </w:r>
    </w:p>
    <w:p w:rsidR="003D04D1" w:rsidRDefault="003D04D1" w:rsidP="003D04D1">
      <w:pPr>
        <w:spacing w:before="100" w:beforeAutospacing="1" w:after="100" w:afterAutospacing="1"/>
      </w:pPr>
      <w:r>
        <w:t xml:space="preserve">12 (g) – add reference to chemical contamination </w:t>
      </w:r>
    </w:p>
    <w:p w:rsidR="003D04D1" w:rsidRDefault="003D04D1" w:rsidP="003D04D1">
      <w:pPr>
        <w:spacing w:before="100" w:beforeAutospacing="1" w:after="100" w:afterAutospacing="1"/>
      </w:pPr>
      <w:r>
        <w:t>12 new (h) – add a paragraph: ‘food systems, associated government policies and market actors should recognise the importance of ensuring the cultural and social acceptability of food production methods and consumers’ right to make informed choices about what they eat’</w:t>
      </w:r>
    </w:p>
    <w:p w:rsidR="003504AB" w:rsidRPr="00F41AE6" w:rsidRDefault="003504AB" w:rsidP="00F41AE6">
      <w:pPr>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in the appropriate fields relating to these commitments (paragraph 13):</w:t>
      </w: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t>Commitment a): eradicate hunger and all forms of malnutrition, particularly to eliminate stunting, wasting and overweight in children under 5 and anemia in women; eliminating undernourishment and reversing rising trends in obesity;</w:t>
      </w:r>
    </w:p>
    <w:p w:rsidR="003504AB" w:rsidRPr="00F41AE6" w:rsidRDefault="00F41AE6" w:rsidP="00F41AE6">
      <w:pPr>
        <w:spacing w:before="100" w:beforeAutospacing="1" w:after="100" w:afterAutospacing="1"/>
      </w:pPr>
      <w:r>
        <w:t>13 (a) – at the end of the sentence add ‘and other diet-related NCDs’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lastRenderedPageBreak/>
        <w:t>Commitment b):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F41AE6" w:rsidRDefault="00F41AE6" w:rsidP="00F41AE6">
      <w:pPr>
        <w:spacing w:before="100" w:beforeAutospacing="1" w:after="100" w:afterAutospacing="1"/>
      </w:pPr>
      <w:r>
        <w:t>13 (b) – add ‘that is acceptable to consumers’</w:t>
      </w:r>
    </w:p>
    <w:p w:rsidR="003504AB" w:rsidRPr="00F41AE6" w:rsidRDefault="00F41AE6" w:rsidP="00F41AE6">
      <w:pPr>
        <w:spacing w:before="100" w:beforeAutospacing="1" w:after="100" w:afterAutospacing="1"/>
      </w:pPr>
      <w:r>
        <w:t>13 new para after (b) – to ensure that marketing communications and information that is provided to consumers is consistent with this aim and tackle marketing communications that undermine efforts to promote safe, nutritious and healthy foods particularly to children.</w:t>
      </w:r>
    </w:p>
    <w:p w:rsidR="00F41AE6" w:rsidRDefault="00F41AE6" w:rsidP="003504AB">
      <w:pPr>
        <w:spacing w:after="0" w:line="360" w:lineRule="auto"/>
        <w:jc w:val="both"/>
        <w:rPr>
          <w:rFonts w:asciiTheme="majorHAnsi" w:hAnsiTheme="majorHAnsi" w:cstheme="majorBidi"/>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t>Commitment c): take leadership to shape and manage food systems and improve nutrition by strengthening institutional capacity, ensuring adequate resourcing and coordinating effectively across sectors;</w:t>
      </w:r>
    </w:p>
    <w:p w:rsidR="003504AB" w:rsidRPr="00631F5A" w:rsidRDefault="00F41AE6" w:rsidP="00631F5A">
      <w:pPr>
        <w:spacing w:before="100" w:beforeAutospacing="1" w:after="100" w:afterAutospacing="1"/>
      </w:pPr>
      <w:r>
        <w:t>13 (c ) – after capacity add ‘adopting coherent cross-governmental food policies’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t>Commitment d): encourage and facilitate contributions by all stakeholders in society and promote collaboration within and across countries, including North-South, South-South and triangular cooperation;</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t>Commitment e): enhance people’s nutrition, including people with special needs, through policies and initiatives for healthy diets throughout the life course, starting from the early stages of life, before and during pregnancy, promoting and supporting adequate breast feeding and appropriate complementary feeding, healthy eating by families, and at school during childhood;</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631F5A"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lastRenderedPageBreak/>
        <w:t>Commitment f): adopt and implement a Framework for Action that should be used to monitor progress in achieving targets and fulfilling commitments;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F41AE6" w:rsidRDefault="003504AB" w:rsidP="003504AB">
      <w:pPr>
        <w:spacing w:after="0" w:line="360" w:lineRule="auto"/>
        <w:jc w:val="both"/>
        <w:rPr>
          <w:rFonts w:asciiTheme="majorHAnsi" w:hAnsiTheme="majorHAnsi" w:cstheme="majorBidi"/>
          <w:b/>
          <w:sz w:val="24"/>
          <w:szCs w:val="24"/>
        </w:rPr>
      </w:pPr>
      <w:r w:rsidRPr="00F41AE6">
        <w:rPr>
          <w:rFonts w:asciiTheme="majorHAnsi" w:hAnsiTheme="majorHAnsi" w:cstheme="majorBidi"/>
          <w:b/>
          <w:sz w:val="24"/>
          <w:szCs w:val="24"/>
        </w:rPr>
        <w:t xml:space="preserve">Commitment g): integrate the objectives of the Framework for Action into the post-2015 development agenda including a possible global goal on food security and nutrition.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pStyle w:val="ListParagraph"/>
        <w:numPr>
          <w:ilvl w:val="0"/>
          <w:numId w:val="2"/>
        </w:numPr>
        <w:spacing w:after="0" w:line="360" w:lineRule="auto"/>
        <w:jc w:val="both"/>
        <w:rPr>
          <w:rFonts w:asciiTheme="majorHAnsi" w:hAnsiTheme="majorHAnsi" w:cstheme="majorBidi"/>
          <w:b/>
          <w:bCs/>
          <w:sz w:val="24"/>
          <w:szCs w:val="24"/>
        </w:rPr>
      </w:pPr>
      <w:r w:rsidRPr="00973FDF">
        <w:rPr>
          <w:rFonts w:asciiTheme="majorHAnsi" w:hAnsiTheme="majorHAnsi" w:cstheme="majorBidi"/>
          <w:b/>
          <w:bCs/>
          <w:sz w:val="24"/>
          <w:szCs w:val="24"/>
        </w:rPr>
        <w:t xml:space="preserve">We would also appreciate your vision on policies, programmes and investment that might help translate such commitments into action. </w:t>
      </w:r>
    </w:p>
    <w:p w:rsidR="003504AB" w:rsidRDefault="003504AB" w:rsidP="003504AB">
      <w:pPr>
        <w:spacing w:after="0" w:line="360" w:lineRule="auto"/>
      </w:pPr>
    </w:p>
    <w:p w:rsidR="00631F5A" w:rsidRDefault="00631F5A" w:rsidP="00F41AE6">
      <w:pPr>
        <w:spacing w:before="100" w:beforeAutospacing="1" w:after="100" w:afterAutospacing="1"/>
      </w:pPr>
      <w:r>
        <w:t>We suggest the following edits:</w:t>
      </w:r>
    </w:p>
    <w:p w:rsidR="00F41AE6" w:rsidRDefault="00F41AE6" w:rsidP="00F41AE6">
      <w:pPr>
        <w:spacing w:before="100" w:beforeAutospacing="1" w:after="100" w:afterAutospacing="1"/>
      </w:pPr>
      <w:r>
        <w:t>Paragraph 14 (about FAO and WHO co-operation and support), ad</w:t>
      </w:r>
      <w:r w:rsidR="00631F5A">
        <w:t>d: ‘and develop a mechanism to </w:t>
      </w:r>
      <w:r>
        <w:t>monitor progress on meeting these commitments every 2 years to their governing bodies.’</w:t>
      </w:r>
    </w:p>
    <w:p w:rsidR="00F41AE6" w:rsidRDefault="00F41AE6" w:rsidP="00F41AE6">
      <w:pPr>
        <w:spacing w:before="100" w:beforeAutospacing="1" w:after="100" w:afterAutospacing="1"/>
      </w:pPr>
      <w:r>
        <w:t>New ‘15’ – We call on WHO</w:t>
      </w:r>
      <w:r w:rsidR="00631F5A">
        <w:t xml:space="preserve"> to</w:t>
      </w:r>
      <w:r>
        <w:t xml:space="preserve"> initiate work on a Framework Convention to promote and protect healthy diets.</w:t>
      </w:r>
    </w:p>
    <w:p w:rsidR="00AD3388" w:rsidRPr="00174E48" w:rsidRDefault="00AD3388" w:rsidP="003504AB">
      <w:pPr>
        <w:spacing w:after="0" w:line="360" w:lineRule="auto"/>
        <w:rPr>
          <w:rFonts w:asciiTheme="majorHAnsi" w:hAnsiTheme="majorHAnsi"/>
        </w:rPr>
      </w:pPr>
    </w:p>
    <w:sectPr w:rsidR="00AD3388" w:rsidRPr="00174E48" w:rsidSect="00AD3388">
      <w:headerReference w:type="default" r:id="rId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2A" w:rsidRDefault="00E45B2A" w:rsidP="00AD3388">
      <w:pPr>
        <w:spacing w:after="0" w:line="240" w:lineRule="auto"/>
      </w:pPr>
      <w:r>
        <w:separator/>
      </w:r>
    </w:p>
  </w:endnote>
  <w:endnote w:type="continuationSeparator" w:id="0">
    <w:p w:rsidR="00E45B2A" w:rsidRDefault="00E45B2A"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2A" w:rsidRDefault="00E45B2A" w:rsidP="00AD3388">
      <w:pPr>
        <w:spacing w:after="0" w:line="240" w:lineRule="auto"/>
      </w:pPr>
      <w:r>
        <w:separator/>
      </w:r>
    </w:p>
  </w:footnote>
  <w:footnote w:type="continuationSeparator" w:id="0">
    <w:p w:rsidR="00E45B2A" w:rsidRDefault="00E45B2A"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eastAsia="en-GB"/>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eastAsia="en-GB"/>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174E48"/>
    <w:rsid w:val="001C5C9A"/>
    <w:rsid w:val="0020048C"/>
    <w:rsid w:val="0021319F"/>
    <w:rsid w:val="00315676"/>
    <w:rsid w:val="003504AB"/>
    <w:rsid w:val="003D04D1"/>
    <w:rsid w:val="004972C9"/>
    <w:rsid w:val="004C669C"/>
    <w:rsid w:val="005A5D4E"/>
    <w:rsid w:val="00631F5A"/>
    <w:rsid w:val="006B71BD"/>
    <w:rsid w:val="0078725F"/>
    <w:rsid w:val="008129A2"/>
    <w:rsid w:val="0096455F"/>
    <w:rsid w:val="00973FDF"/>
    <w:rsid w:val="009E7928"/>
    <w:rsid w:val="00A04712"/>
    <w:rsid w:val="00AD3388"/>
    <w:rsid w:val="00B36DDB"/>
    <w:rsid w:val="00DF6499"/>
    <w:rsid w:val="00E45B2A"/>
    <w:rsid w:val="00F41AE6"/>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3D0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divs>
    <w:div w:id="1040790276">
      <w:bodyDiv w:val="1"/>
      <w:marLeft w:val="0"/>
      <w:marRight w:val="0"/>
      <w:marTop w:val="0"/>
      <w:marBottom w:val="0"/>
      <w:divBdr>
        <w:top w:val="none" w:sz="0" w:space="0" w:color="auto"/>
        <w:left w:val="none" w:sz="0" w:space="0" w:color="auto"/>
        <w:bottom w:val="none" w:sz="0" w:space="0" w:color="auto"/>
        <w:right w:val="none" w:sz="0" w:space="0" w:color="auto"/>
      </w:divBdr>
    </w:div>
    <w:div w:id="12742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layzer@cons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Max Blanck (ESA)</cp:lastModifiedBy>
  <cp:revision>2</cp:revision>
  <dcterms:created xsi:type="dcterms:W3CDTF">2014-05-28T10:20:00Z</dcterms:created>
  <dcterms:modified xsi:type="dcterms:W3CDTF">2014-05-28T10:20:00Z</dcterms:modified>
</cp:coreProperties>
</file>