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EA" w:rsidRDefault="00170AEA" w:rsidP="00170AEA">
      <w:pPr>
        <w:jc w:val="center"/>
      </w:pPr>
      <w:r w:rsidRPr="00422E6F">
        <w:rPr>
          <w:noProof/>
        </w:rPr>
        <w:drawing>
          <wp:inline distT="0" distB="0" distL="0" distR="0">
            <wp:extent cx="5351611" cy="1269473"/>
            <wp:effectExtent l="25400" t="0" r="778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320" t="7231" r="3320" b="7231"/>
                    <a:stretch>
                      <a:fillRect/>
                    </a:stretch>
                  </pic:blipFill>
                  <pic:spPr bwMode="auto">
                    <a:xfrm>
                      <a:off x="0" y="0"/>
                      <a:ext cx="5351611" cy="1269473"/>
                    </a:xfrm>
                    <a:prstGeom prst="rect">
                      <a:avLst/>
                    </a:prstGeom>
                    <a:noFill/>
                    <a:ln w="9525">
                      <a:noFill/>
                      <a:miter lim="800000"/>
                      <a:headEnd/>
                      <a:tailEnd/>
                    </a:ln>
                  </pic:spPr>
                </pic:pic>
              </a:graphicData>
            </a:graphic>
          </wp:inline>
        </w:drawing>
      </w:r>
    </w:p>
    <w:p w:rsidR="00170AEA" w:rsidRPr="00595727" w:rsidRDefault="00170AEA" w:rsidP="00170AEA">
      <w:pPr>
        <w:jc w:val="center"/>
        <w:rPr>
          <w:rFonts w:ascii="Helvetica" w:hAnsi="Helvetica"/>
          <w:b/>
        </w:rPr>
      </w:pPr>
      <w:r w:rsidRPr="00595727">
        <w:rPr>
          <w:rFonts w:ascii="Helvetica" w:hAnsi="Helvetica"/>
          <w:b/>
        </w:rPr>
        <w:t>Feedback from the Global Renewable Fuels Alliance</w:t>
      </w:r>
      <w:r>
        <w:rPr>
          <w:rFonts w:ascii="Helvetica" w:hAnsi="Helvetica"/>
          <w:b/>
        </w:rPr>
        <w:t xml:space="preserve"> (GRFA)</w:t>
      </w:r>
    </w:p>
    <w:p w:rsidR="00170AEA" w:rsidRPr="00800226" w:rsidRDefault="00170AEA" w:rsidP="00170AEA">
      <w:pPr>
        <w:jc w:val="center"/>
        <w:rPr>
          <w:rFonts w:ascii="Helvetica" w:hAnsi="Helvetica"/>
        </w:rPr>
      </w:pPr>
      <w:r w:rsidRPr="00800226">
        <w:rPr>
          <w:rFonts w:ascii="Helvetica" w:hAnsi="Helvetica"/>
        </w:rPr>
        <w:t>For</w:t>
      </w:r>
    </w:p>
    <w:p w:rsidR="00170AEA" w:rsidRPr="00595727" w:rsidRDefault="00170AEA" w:rsidP="00170AEA">
      <w:pPr>
        <w:jc w:val="center"/>
        <w:rPr>
          <w:rFonts w:ascii="Helvetica" w:hAnsi="Helvetica"/>
          <w:b/>
        </w:rPr>
      </w:pPr>
      <w:r w:rsidRPr="00595727">
        <w:rPr>
          <w:rFonts w:ascii="Helvetica" w:hAnsi="Helvetica"/>
          <w:b/>
        </w:rPr>
        <w:t>The FAO Committee on World Food Security/High Level Panel</w:t>
      </w:r>
      <w:r>
        <w:rPr>
          <w:rFonts w:ascii="Helvetica" w:hAnsi="Helvetica"/>
          <w:b/>
        </w:rPr>
        <w:t xml:space="preserve"> (HLPE)</w:t>
      </w:r>
      <w:r w:rsidRPr="00595727">
        <w:rPr>
          <w:rFonts w:ascii="Helvetica" w:hAnsi="Helvetica"/>
          <w:b/>
        </w:rPr>
        <w:t xml:space="preserve"> of Experts on Food Security and Nutrition</w:t>
      </w:r>
    </w:p>
    <w:p w:rsidR="00170AEA" w:rsidRPr="00800226" w:rsidRDefault="00170AEA" w:rsidP="00170AEA">
      <w:pPr>
        <w:jc w:val="center"/>
        <w:rPr>
          <w:rFonts w:ascii="Helvetica" w:hAnsi="Helvetica"/>
        </w:rPr>
      </w:pPr>
      <w:r w:rsidRPr="00800226">
        <w:rPr>
          <w:rFonts w:ascii="Helvetica" w:hAnsi="Helvetica"/>
        </w:rPr>
        <w:t>On</w:t>
      </w:r>
    </w:p>
    <w:p w:rsidR="00170AEA" w:rsidRPr="00595727" w:rsidRDefault="00170AEA" w:rsidP="00170AEA">
      <w:pPr>
        <w:jc w:val="center"/>
        <w:rPr>
          <w:rFonts w:ascii="Helvetica" w:hAnsi="Helvetica"/>
          <w:b/>
        </w:rPr>
      </w:pPr>
      <w:r w:rsidRPr="00595727">
        <w:rPr>
          <w:rFonts w:ascii="Helvetica" w:hAnsi="Helvetica"/>
          <w:b/>
        </w:rPr>
        <w:t>Biofuels and Food Security, A zero-draf</w:t>
      </w:r>
      <w:r>
        <w:rPr>
          <w:rFonts w:ascii="Helvetica" w:hAnsi="Helvetica"/>
          <w:b/>
        </w:rPr>
        <w:t xml:space="preserve">t consultation paper, January </w:t>
      </w:r>
      <w:r w:rsidR="002A5583">
        <w:rPr>
          <w:rFonts w:ascii="Helvetica" w:hAnsi="Helvetica"/>
          <w:b/>
        </w:rPr>
        <w:t>28</w:t>
      </w:r>
      <w:r w:rsidR="002A5583" w:rsidRPr="002A5583">
        <w:rPr>
          <w:rFonts w:ascii="Helvetica" w:hAnsi="Helvetica"/>
          <w:b/>
          <w:vertAlign w:val="superscript"/>
        </w:rPr>
        <w:t>th</w:t>
      </w:r>
      <w:r w:rsidRPr="00595727">
        <w:rPr>
          <w:rFonts w:ascii="Helvetica" w:hAnsi="Helvetica"/>
          <w:b/>
        </w:rPr>
        <w:t>, 2013</w:t>
      </w:r>
    </w:p>
    <w:p w:rsidR="00170AEA" w:rsidRPr="00800226" w:rsidRDefault="00170AEA" w:rsidP="00170AEA">
      <w:pPr>
        <w:jc w:val="center"/>
        <w:rPr>
          <w:rFonts w:ascii="Helvetica" w:hAnsi="Helvetica"/>
        </w:rPr>
      </w:pPr>
    </w:p>
    <w:p w:rsidR="00170AEA" w:rsidRDefault="00170AEA" w:rsidP="00170AEA">
      <w:pPr>
        <w:rPr>
          <w:rFonts w:ascii="Helvetica" w:hAnsi="Helvetica"/>
        </w:rPr>
      </w:pPr>
      <w:r w:rsidRPr="00800226">
        <w:rPr>
          <w:rFonts w:ascii="Helvetica" w:hAnsi="Helvetica"/>
        </w:rPr>
        <w:t xml:space="preserve">The Global Renewable Fuels Alliance feels the current draft </w:t>
      </w:r>
      <w:r>
        <w:rPr>
          <w:rFonts w:ascii="Helvetica" w:hAnsi="Helvetica"/>
        </w:rPr>
        <w:t xml:space="preserve">of the HLPE’s </w:t>
      </w:r>
      <w:r w:rsidRPr="00C43920">
        <w:rPr>
          <w:rFonts w:ascii="Helvetica" w:hAnsi="Helvetica"/>
        </w:rPr>
        <w:t>Biofuels and Food Security report</w:t>
      </w:r>
      <w:r>
        <w:rPr>
          <w:rFonts w:ascii="Helvetica" w:hAnsi="Helvetica"/>
          <w:b/>
        </w:rPr>
        <w:t xml:space="preserve"> </w:t>
      </w:r>
      <w:r>
        <w:rPr>
          <w:rFonts w:ascii="Helvetica" w:hAnsi="Helvetica"/>
        </w:rPr>
        <w:t>i</w:t>
      </w:r>
      <w:r w:rsidRPr="00800226">
        <w:rPr>
          <w:rFonts w:ascii="Helvetica" w:hAnsi="Helvetica"/>
        </w:rPr>
        <w:t xml:space="preserve">s negatively biased </w:t>
      </w:r>
      <w:r>
        <w:rPr>
          <w:rFonts w:ascii="Helvetica" w:hAnsi="Helvetica"/>
        </w:rPr>
        <w:t>against</w:t>
      </w:r>
      <w:r w:rsidRPr="00800226">
        <w:rPr>
          <w:rFonts w:ascii="Helvetica" w:hAnsi="Helvetica"/>
        </w:rPr>
        <w:t xml:space="preserve"> biofuels</w:t>
      </w:r>
      <w:r>
        <w:rPr>
          <w:rFonts w:ascii="Helvetica" w:hAnsi="Helvetica"/>
        </w:rPr>
        <w:t xml:space="preserve">. The draft report uses data that is incorrect, unsubstantiated and omits key areas of research that would change the reports final recommendations dramatically if this information </w:t>
      </w:r>
      <w:r w:rsidR="00B74D36">
        <w:rPr>
          <w:rFonts w:ascii="Helvetica" w:hAnsi="Helvetica"/>
        </w:rPr>
        <w:t>were</w:t>
      </w:r>
      <w:r>
        <w:rPr>
          <w:rFonts w:ascii="Helvetica" w:hAnsi="Helvetica"/>
        </w:rPr>
        <w:t xml:space="preserve"> included in the final report. </w:t>
      </w:r>
    </w:p>
    <w:p w:rsidR="00170AEA" w:rsidRPr="00800226" w:rsidRDefault="00170AEA" w:rsidP="00170AEA">
      <w:pPr>
        <w:rPr>
          <w:rFonts w:ascii="Helvetica" w:hAnsi="Helvetica"/>
        </w:rPr>
      </w:pPr>
      <w:r>
        <w:rPr>
          <w:rFonts w:ascii="Helvetica" w:hAnsi="Helvetica"/>
        </w:rPr>
        <w:t>The GRFA would like to make the following suggested changes to the draft report</w:t>
      </w:r>
      <w:r w:rsidRPr="00800226">
        <w:rPr>
          <w:rFonts w:ascii="Helvetica" w:hAnsi="Helvetica"/>
        </w:rPr>
        <w:t>:</w:t>
      </w:r>
    </w:p>
    <w:p w:rsidR="00170AEA" w:rsidRPr="00800226" w:rsidRDefault="00170AEA" w:rsidP="00170AEA">
      <w:pPr>
        <w:pStyle w:val="ListParagraph"/>
        <w:numPr>
          <w:ilvl w:val="0"/>
          <w:numId w:val="1"/>
        </w:numPr>
        <w:rPr>
          <w:rFonts w:ascii="Helvetica" w:hAnsi="Helvetica"/>
        </w:rPr>
      </w:pPr>
      <w:r w:rsidRPr="00800226">
        <w:rPr>
          <w:rFonts w:ascii="Helvetica" w:hAnsi="Helvetica"/>
        </w:rPr>
        <w:t xml:space="preserve">The HLPE draft report should </w:t>
      </w:r>
      <w:r>
        <w:rPr>
          <w:rFonts w:ascii="Helvetica" w:hAnsi="Helvetica"/>
        </w:rPr>
        <w:t xml:space="preserve">not rely, in any capacity, </w:t>
      </w:r>
      <w:r w:rsidRPr="00800226">
        <w:rPr>
          <w:rFonts w:ascii="Helvetica" w:hAnsi="Helvetica"/>
        </w:rPr>
        <w:t>on the sci</w:t>
      </w:r>
      <w:r>
        <w:rPr>
          <w:rFonts w:ascii="Helvetica" w:hAnsi="Helvetica"/>
        </w:rPr>
        <w:t>ence of Indirect Land Use Change</w:t>
      </w:r>
      <w:r w:rsidRPr="00800226">
        <w:rPr>
          <w:rFonts w:ascii="Helvetica" w:hAnsi="Helvetica"/>
        </w:rPr>
        <w:t>.</w:t>
      </w:r>
    </w:p>
    <w:p w:rsidR="00170AEA" w:rsidRPr="00800226" w:rsidRDefault="00170AEA" w:rsidP="00170AEA">
      <w:pPr>
        <w:pStyle w:val="ListParagraph"/>
        <w:rPr>
          <w:rFonts w:ascii="Helvetica" w:hAnsi="Helvetica"/>
        </w:rPr>
      </w:pPr>
    </w:p>
    <w:p w:rsidR="00170AEA" w:rsidRDefault="00170AEA" w:rsidP="00170AEA">
      <w:pPr>
        <w:pStyle w:val="ListParagraph"/>
        <w:numPr>
          <w:ilvl w:val="1"/>
          <w:numId w:val="1"/>
        </w:numPr>
        <w:rPr>
          <w:rFonts w:ascii="Helvetica" w:hAnsi="Helvetica"/>
        </w:rPr>
      </w:pPr>
      <w:r w:rsidRPr="00800226">
        <w:rPr>
          <w:rFonts w:ascii="Helvetica" w:hAnsi="Helvetica"/>
        </w:rPr>
        <w:t xml:space="preserve">The indirect land use change impacts of biofuels, or ILUC, </w:t>
      </w:r>
      <w:r>
        <w:rPr>
          <w:rFonts w:ascii="Helvetica" w:hAnsi="Helvetica"/>
        </w:rPr>
        <w:t>are</w:t>
      </w:r>
      <w:r w:rsidRPr="00800226">
        <w:rPr>
          <w:rFonts w:ascii="Helvetica" w:hAnsi="Helvetica"/>
        </w:rPr>
        <w:t xml:space="preserve"> controversial because the science is flawed, immature and there are massive disparities in the final data. ILUC is an untested and heavily disputed theory that assumes that crops used for biofuels will displace other crops used for food. ILUC estimates vary drastically depending on the input data assumptions of the researchers and some are based on false or out-of-date assumptions. Often key inputs, such as co-products, are not included in the scientific models that seek to measure ILUC. While s</w:t>
      </w:r>
      <w:r>
        <w:rPr>
          <w:rFonts w:ascii="Helvetica" w:hAnsi="Helvetica"/>
        </w:rPr>
        <w:t>ome</w:t>
      </w:r>
      <w:r w:rsidRPr="00800226">
        <w:rPr>
          <w:rFonts w:ascii="Helvetica" w:hAnsi="Helvetica"/>
        </w:rPr>
        <w:t xml:space="preserve"> studies such as a </w:t>
      </w:r>
      <w:r>
        <w:rPr>
          <w:rFonts w:ascii="Helvetica" w:hAnsi="Helvetica"/>
        </w:rPr>
        <w:t xml:space="preserve">recent </w:t>
      </w:r>
      <w:r w:rsidRPr="00800226">
        <w:rPr>
          <w:rFonts w:ascii="Helvetica" w:hAnsi="Helvetica"/>
        </w:rPr>
        <w:t>report from the</w:t>
      </w:r>
      <w:r>
        <w:rPr>
          <w:rFonts w:ascii="Helvetica" w:hAnsi="Helvetica"/>
        </w:rPr>
        <w:t xml:space="preserve"> US Department of Energy that </w:t>
      </w:r>
      <w:r w:rsidRPr="00800226">
        <w:rPr>
          <w:rFonts w:ascii="Helvetica" w:hAnsi="Helvetica"/>
        </w:rPr>
        <w:t>looked at historical data, determine</w:t>
      </w:r>
      <w:r w:rsidR="00B74D36">
        <w:rPr>
          <w:rFonts w:ascii="Helvetica" w:hAnsi="Helvetica"/>
        </w:rPr>
        <w:t>d that indirect land use change</w:t>
      </w:r>
      <w:r w:rsidRPr="00800226">
        <w:rPr>
          <w:rFonts w:ascii="Helvetica" w:hAnsi="Helvetica"/>
        </w:rPr>
        <w:t xml:space="preserve"> resulting from corn ethanol expansion over the past decade has likely been “minimal to zero.” </w:t>
      </w:r>
      <w:r>
        <w:rPr>
          <w:rFonts w:ascii="Helvetica" w:hAnsi="Helvetica"/>
        </w:rPr>
        <w:t xml:space="preserve">(United States Department of Energy, </w:t>
      </w:r>
      <w:r w:rsidRPr="00170AEA">
        <w:rPr>
          <w:rFonts w:ascii="Helvetica" w:hAnsi="Helvetica"/>
        </w:rPr>
        <w:t>Decomposition Analysis of U.S. Corn Use for Ethanol Production from 2001-2008</w:t>
      </w:r>
      <w:r>
        <w:rPr>
          <w:rFonts w:ascii="Helvetica" w:hAnsi="Helvetica"/>
        </w:rPr>
        <w:t>, 2010)</w:t>
      </w:r>
    </w:p>
    <w:p w:rsidR="00170AEA" w:rsidRDefault="00170AEA" w:rsidP="00170AEA">
      <w:pPr>
        <w:pStyle w:val="ListParagraph"/>
        <w:numPr>
          <w:ilvl w:val="1"/>
          <w:numId w:val="1"/>
        </w:numPr>
        <w:rPr>
          <w:rFonts w:ascii="Helvetica" w:hAnsi="Helvetica"/>
        </w:rPr>
      </w:pPr>
      <w:r w:rsidRPr="00800226">
        <w:rPr>
          <w:rFonts w:ascii="Helvetica" w:hAnsi="Helvetica"/>
        </w:rPr>
        <w:t xml:space="preserve">More proof of ILUC flaws come from the National Institute of Space Research, which found that deforestation in the Amazon has declined sharply just as biofuels production in the United States quadrupled. </w:t>
      </w:r>
      <w:r>
        <w:rPr>
          <w:rFonts w:ascii="Helvetica" w:hAnsi="Helvetica"/>
        </w:rPr>
        <w:t>The same study</w:t>
      </w:r>
      <w:r w:rsidRPr="00800226">
        <w:rPr>
          <w:rFonts w:ascii="Helvetica" w:hAnsi="Helvetica"/>
        </w:rPr>
        <w:t xml:space="preserve"> found that in 2004, 10,588 square miles of the Amazon was cut down but in 2009/10, that number dropped to 2,490.7 square miles. In the meantime, U.S. ethanol production had gone from approximately 3 billion gallons in 2004 to approximately 13.23 billion gallons in 2010. In Brazil the tropical protection program, Amazon Region Protected Area, resulted in a 75 percent reduction in tropical forest clearing since 2004, even as ethanol production doubled.</w:t>
      </w:r>
    </w:p>
    <w:p w:rsidR="00170AEA" w:rsidRDefault="00170AEA">
      <w:pPr>
        <w:pStyle w:val="ListParagraph"/>
        <w:numPr>
          <w:ilvl w:val="1"/>
          <w:numId w:val="1"/>
        </w:numPr>
        <w:rPr>
          <w:rFonts w:ascii="Helvetica" w:hAnsi="Helvetica"/>
        </w:rPr>
      </w:pPr>
      <w:r w:rsidRPr="00800226">
        <w:rPr>
          <w:rFonts w:ascii="Helvetica" w:hAnsi="Helvetica"/>
        </w:rPr>
        <w:t xml:space="preserve">While the indirect land effects of biofuels production have not been proven, the environmental impact of oil production is widely known and getting worse. Oil exploration is now venturing into extremely sensitive environments as conventional supplies disappear. Oil companies today must undertake risky exploration in areas such as </w:t>
      </w:r>
      <w:r>
        <w:rPr>
          <w:rFonts w:ascii="Helvetica" w:hAnsi="Helvetica"/>
        </w:rPr>
        <w:t xml:space="preserve">the </w:t>
      </w:r>
      <w:r w:rsidRPr="00800226">
        <w:rPr>
          <w:rFonts w:ascii="Helvetica" w:hAnsi="Helvetica"/>
        </w:rPr>
        <w:t xml:space="preserve">arctic, offshore in some of the deepest oceans in the world and </w:t>
      </w:r>
      <w:r>
        <w:rPr>
          <w:rFonts w:ascii="Helvetica" w:hAnsi="Helvetica"/>
        </w:rPr>
        <w:t xml:space="preserve">in </w:t>
      </w:r>
      <w:r w:rsidRPr="00800226">
        <w:rPr>
          <w:rFonts w:ascii="Helvetica" w:hAnsi="Helvetica"/>
        </w:rPr>
        <w:t xml:space="preserve">large parts of the Canadian boreal forest </w:t>
      </w:r>
      <w:r>
        <w:rPr>
          <w:rFonts w:ascii="Helvetica" w:hAnsi="Helvetica"/>
        </w:rPr>
        <w:t>for</w:t>
      </w:r>
      <w:r w:rsidRPr="00800226">
        <w:rPr>
          <w:rFonts w:ascii="Helvetica" w:hAnsi="Helvetica"/>
        </w:rPr>
        <w:t xml:space="preserve"> the Canadi</w:t>
      </w:r>
      <w:r>
        <w:rPr>
          <w:rFonts w:ascii="Helvetica" w:hAnsi="Helvetica"/>
        </w:rPr>
        <w:t>an oil</w:t>
      </w:r>
      <w:r w:rsidRPr="00800226">
        <w:rPr>
          <w:rFonts w:ascii="Helvetica" w:hAnsi="Helvetica"/>
        </w:rPr>
        <w:t xml:space="preserve"> sands. </w:t>
      </w:r>
    </w:p>
    <w:p w:rsidR="00170AEA" w:rsidRPr="00800226" w:rsidRDefault="00170AEA" w:rsidP="00170AEA">
      <w:pPr>
        <w:pStyle w:val="ListParagraph"/>
        <w:ind w:left="1440"/>
        <w:rPr>
          <w:rFonts w:ascii="Helvetica" w:hAnsi="Helvetica"/>
        </w:rPr>
      </w:pPr>
    </w:p>
    <w:p w:rsidR="00170AEA" w:rsidRPr="00800226" w:rsidRDefault="00170AEA" w:rsidP="00170AEA">
      <w:pPr>
        <w:pStyle w:val="ListParagraph"/>
        <w:numPr>
          <w:ilvl w:val="0"/>
          <w:numId w:val="1"/>
        </w:numPr>
        <w:rPr>
          <w:rFonts w:ascii="Helvetica" w:hAnsi="Helvetica"/>
        </w:rPr>
      </w:pPr>
      <w:r w:rsidRPr="00800226">
        <w:rPr>
          <w:rFonts w:ascii="Helvetica" w:hAnsi="Helvetica"/>
        </w:rPr>
        <w:t xml:space="preserve">The HLPE draft report fails to explore and should include a chapter summarizing the impact </w:t>
      </w:r>
      <w:r>
        <w:rPr>
          <w:rFonts w:ascii="Helvetica" w:hAnsi="Helvetica"/>
        </w:rPr>
        <w:t>oil prices have</w:t>
      </w:r>
      <w:r w:rsidRPr="00800226">
        <w:rPr>
          <w:rFonts w:ascii="Helvetica" w:hAnsi="Helvetica"/>
        </w:rPr>
        <w:t xml:space="preserve"> on the price of food.</w:t>
      </w:r>
    </w:p>
    <w:p w:rsidR="00170AEA" w:rsidRPr="00800226" w:rsidRDefault="00170AEA" w:rsidP="00170AEA">
      <w:pPr>
        <w:pStyle w:val="ListParagraph"/>
        <w:rPr>
          <w:rFonts w:ascii="Helvetica" w:hAnsi="Helvetica"/>
        </w:rPr>
      </w:pPr>
    </w:p>
    <w:p w:rsidR="00170AEA" w:rsidRPr="00800226" w:rsidRDefault="00170AEA" w:rsidP="00170AEA">
      <w:pPr>
        <w:pStyle w:val="ListParagraph"/>
        <w:numPr>
          <w:ilvl w:val="1"/>
          <w:numId w:val="1"/>
        </w:numPr>
        <w:rPr>
          <w:rFonts w:ascii="Helvetica" w:hAnsi="Helvetica"/>
        </w:rPr>
      </w:pPr>
      <w:r w:rsidRPr="00800226">
        <w:rPr>
          <w:rFonts w:ascii="Helvetica" w:hAnsi="Helvetica"/>
        </w:rPr>
        <w:t xml:space="preserve">The GRFA has demonstrated over the long term that the price of food is directly </w:t>
      </w:r>
      <w:r>
        <w:rPr>
          <w:rFonts w:ascii="Helvetica" w:hAnsi="Helvetica"/>
        </w:rPr>
        <w:t>affected by</w:t>
      </w:r>
      <w:r w:rsidRPr="00800226">
        <w:rPr>
          <w:rFonts w:ascii="Helvetica" w:hAnsi="Helvetica"/>
        </w:rPr>
        <w:t xml:space="preserve"> the price of oil.</w:t>
      </w:r>
    </w:p>
    <w:p w:rsidR="00170AEA" w:rsidRPr="00800226" w:rsidRDefault="00170AEA" w:rsidP="00170AEA">
      <w:pPr>
        <w:pStyle w:val="ListParagraph"/>
        <w:numPr>
          <w:ilvl w:val="1"/>
          <w:numId w:val="1"/>
        </w:numPr>
        <w:rPr>
          <w:rFonts w:ascii="Helvetica" w:hAnsi="Helvetica"/>
        </w:rPr>
      </w:pPr>
      <w:r w:rsidRPr="00800226">
        <w:rPr>
          <w:rFonts w:ascii="Helvetica" w:hAnsi="Helvetica"/>
        </w:rPr>
        <w:t>In fact as the below chart illustrates, the price of food follows the price of oil resulting in food price spikes soon after a spike i</w:t>
      </w:r>
      <w:r>
        <w:rPr>
          <w:rFonts w:ascii="Helvetica" w:hAnsi="Helvetica"/>
        </w:rPr>
        <w:t>n the price of oil</w:t>
      </w:r>
      <w:r w:rsidRPr="00800226">
        <w:rPr>
          <w:rFonts w:ascii="Helvetica" w:hAnsi="Helvetica"/>
        </w:rPr>
        <w:t>.</w:t>
      </w:r>
    </w:p>
    <w:p w:rsidR="00170AEA" w:rsidRPr="00800226" w:rsidRDefault="00170AEA" w:rsidP="00170AEA">
      <w:pPr>
        <w:jc w:val="center"/>
        <w:rPr>
          <w:rFonts w:ascii="Helvetica" w:hAnsi="Helvetica"/>
        </w:rPr>
      </w:pPr>
      <w:r w:rsidRPr="00800226">
        <w:rPr>
          <w:rFonts w:ascii="Helvetica" w:hAnsi="Helvetica"/>
          <w:noProof/>
        </w:rPr>
        <w:drawing>
          <wp:inline distT="0" distB="0" distL="0" distR="0">
            <wp:extent cx="5486400" cy="2925445"/>
            <wp:effectExtent l="25400" t="25400" r="0" b="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70AEA" w:rsidRDefault="00170AEA" w:rsidP="00170AEA">
      <w:pPr>
        <w:jc w:val="right"/>
        <w:rPr>
          <w:rFonts w:ascii="Helvetica" w:hAnsi="Helvetica"/>
        </w:rPr>
      </w:pPr>
      <w:r>
        <w:rPr>
          <w:rFonts w:ascii="Helvetica" w:hAnsi="Helvetica"/>
        </w:rPr>
        <w:t xml:space="preserve">  </w:t>
      </w:r>
      <w:r w:rsidRPr="00846120">
        <w:rPr>
          <w:rFonts w:ascii="Helvetica" w:hAnsi="Helvetica"/>
        </w:rPr>
        <w:t>Source: IMF – Primary Commodity Prices</w:t>
      </w:r>
    </w:p>
    <w:p w:rsidR="00170AEA" w:rsidRPr="00251F2D" w:rsidRDefault="00170AEA" w:rsidP="00170AEA">
      <w:pPr>
        <w:pStyle w:val="ListParagraph"/>
        <w:numPr>
          <w:ilvl w:val="1"/>
          <w:numId w:val="1"/>
        </w:numPr>
        <w:rPr>
          <w:rFonts w:ascii="Helvetica" w:hAnsi="Helvetica"/>
        </w:rPr>
      </w:pPr>
      <w:r w:rsidRPr="00800226">
        <w:rPr>
          <w:rFonts w:ascii="Helvetica" w:hAnsi="Helvetica"/>
        </w:rPr>
        <w:t>Oil prices impact global food prices in many ways. High oil prices increase the cost of fertilizer, inflate the cost of packaging and raise the cost of transportation.</w:t>
      </w:r>
    </w:p>
    <w:p w:rsidR="00170AEA" w:rsidRPr="00800226" w:rsidRDefault="00170AEA" w:rsidP="00170AEA">
      <w:pPr>
        <w:pStyle w:val="ListParagraph"/>
        <w:numPr>
          <w:ilvl w:val="1"/>
          <w:numId w:val="1"/>
        </w:numPr>
        <w:rPr>
          <w:rFonts w:ascii="Helvetica" w:hAnsi="Helvetica"/>
        </w:rPr>
      </w:pPr>
      <w:r w:rsidRPr="00800226">
        <w:rPr>
          <w:rFonts w:ascii="Helvetica" w:hAnsi="Helvetica"/>
        </w:rPr>
        <w:t xml:space="preserve">David Hallam, the FAO’s Deputy Director </w:t>
      </w:r>
      <w:r>
        <w:rPr>
          <w:rFonts w:ascii="Helvetica" w:hAnsi="Helvetica"/>
        </w:rPr>
        <w:t xml:space="preserve">confirmed this when he said </w:t>
      </w:r>
      <w:r w:rsidRPr="00800226">
        <w:rPr>
          <w:rFonts w:ascii="Helvetica" w:hAnsi="Helvetica"/>
        </w:rPr>
        <w:t>“unexpected oil price spikes could further exacerbate an already precarious situation in food markets.”</w:t>
      </w:r>
    </w:p>
    <w:p w:rsidR="00170AEA" w:rsidRDefault="00170AEA" w:rsidP="00170AEA">
      <w:pPr>
        <w:pStyle w:val="ListParagraph"/>
        <w:numPr>
          <w:ilvl w:val="1"/>
          <w:numId w:val="1"/>
        </w:numPr>
        <w:rPr>
          <w:rFonts w:ascii="Helvetica" w:hAnsi="Helvetica"/>
        </w:rPr>
      </w:pPr>
      <w:r w:rsidRPr="00800226">
        <w:rPr>
          <w:rFonts w:ascii="Helvetica" w:hAnsi="Helvetica"/>
        </w:rPr>
        <w:t>Access to food is irrelevant if prices are at levels where people are unable to afford it.</w:t>
      </w:r>
    </w:p>
    <w:p w:rsidR="00170AEA" w:rsidRPr="00800226" w:rsidRDefault="00170AEA" w:rsidP="00170AEA">
      <w:pPr>
        <w:pStyle w:val="ListParagraph"/>
        <w:ind w:left="1440"/>
        <w:rPr>
          <w:rFonts w:ascii="Helvetica" w:hAnsi="Helvetica"/>
        </w:rPr>
      </w:pPr>
    </w:p>
    <w:p w:rsidR="00170AEA" w:rsidRPr="00800226" w:rsidRDefault="00170AEA" w:rsidP="00170AEA">
      <w:pPr>
        <w:pStyle w:val="ListParagraph"/>
        <w:numPr>
          <w:ilvl w:val="0"/>
          <w:numId w:val="1"/>
        </w:numPr>
        <w:rPr>
          <w:rFonts w:ascii="Helvetica" w:hAnsi="Helvetica"/>
        </w:rPr>
      </w:pPr>
      <w:r w:rsidRPr="00800226">
        <w:rPr>
          <w:rFonts w:ascii="Helvetica" w:hAnsi="Helvetica"/>
        </w:rPr>
        <w:t xml:space="preserve">The HLPE draft report fails to explore and should include a </w:t>
      </w:r>
      <w:r>
        <w:rPr>
          <w:rFonts w:ascii="Helvetica" w:hAnsi="Helvetica"/>
        </w:rPr>
        <w:t>section</w:t>
      </w:r>
      <w:r w:rsidRPr="00800226">
        <w:rPr>
          <w:rFonts w:ascii="Helvetica" w:hAnsi="Helvetica"/>
        </w:rPr>
        <w:t xml:space="preserve"> on the economic development benefits biofuels offer</w:t>
      </w:r>
      <w:r>
        <w:rPr>
          <w:rFonts w:ascii="Helvetica" w:hAnsi="Helvetica"/>
        </w:rPr>
        <w:t>, especially in</w:t>
      </w:r>
      <w:r w:rsidRPr="00800226">
        <w:rPr>
          <w:rFonts w:ascii="Helvetica" w:hAnsi="Helvetica"/>
        </w:rPr>
        <w:t xml:space="preserve"> developing countries.</w:t>
      </w:r>
    </w:p>
    <w:p w:rsidR="00170AEA" w:rsidRPr="00800226" w:rsidRDefault="00170AEA" w:rsidP="00170AEA">
      <w:pPr>
        <w:pStyle w:val="ListParagraph"/>
        <w:rPr>
          <w:rFonts w:ascii="Helvetica" w:hAnsi="Helvetica"/>
        </w:rPr>
      </w:pPr>
    </w:p>
    <w:p w:rsidR="00170AEA" w:rsidRPr="00800226" w:rsidRDefault="00170AEA" w:rsidP="00170AEA">
      <w:pPr>
        <w:pStyle w:val="ListParagraph"/>
        <w:numPr>
          <w:ilvl w:val="1"/>
          <w:numId w:val="1"/>
        </w:numPr>
        <w:rPr>
          <w:rFonts w:ascii="Helvetica" w:hAnsi="Helvetica"/>
        </w:rPr>
      </w:pPr>
      <w:r w:rsidRPr="00800226">
        <w:rPr>
          <w:rFonts w:ascii="Helvetica" w:hAnsi="Helvetica"/>
        </w:rPr>
        <w:t>The GRFA finds the positions expressed in the HLPE draft report inconsistent with the positions of senior FAO policy makers.</w:t>
      </w:r>
    </w:p>
    <w:p w:rsidR="00170AEA" w:rsidRPr="00800226" w:rsidRDefault="00170AEA" w:rsidP="00170AEA">
      <w:pPr>
        <w:pStyle w:val="ListParagraph"/>
        <w:numPr>
          <w:ilvl w:val="1"/>
          <w:numId w:val="1"/>
        </w:numPr>
        <w:rPr>
          <w:rFonts w:ascii="Helvetica" w:hAnsi="Helvetica"/>
        </w:rPr>
      </w:pPr>
      <w:r w:rsidRPr="00800226">
        <w:rPr>
          <w:rFonts w:ascii="Helvetica" w:hAnsi="Helvetica"/>
        </w:rPr>
        <w:t xml:space="preserve">As recently as May 2011 the UNFAO said that investment in biofuels could actually help to improve food security in rural economies by creating jobs and boosting incomes. </w:t>
      </w:r>
    </w:p>
    <w:p w:rsidR="00170AEA" w:rsidRPr="00800226" w:rsidRDefault="00170AEA" w:rsidP="00170AEA">
      <w:pPr>
        <w:pStyle w:val="ListParagraph"/>
        <w:numPr>
          <w:ilvl w:val="1"/>
          <w:numId w:val="1"/>
        </w:numPr>
        <w:rPr>
          <w:rFonts w:ascii="Helvetica" w:hAnsi="Helvetica"/>
        </w:rPr>
      </w:pPr>
      <w:r w:rsidRPr="00800226">
        <w:rPr>
          <w:rFonts w:ascii="Helvetica" w:hAnsi="Helvetica"/>
        </w:rPr>
        <w:t xml:space="preserve">Heiner Thofern, head of the FAO Bioenergy and Food Security </w:t>
      </w:r>
      <w:r>
        <w:rPr>
          <w:rFonts w:ascii="Helvetica" w:hAnsi="Helvetica"/>
        </w:rPr>
        <w:t>P</w:t>
      </w:r>
      <w:r w:rsidRPr="00800226">
        <w:rPr>
          <w:rFonts w:ascii="Helvetica" w:hAnsi="Helvetica"/>
        </w:rPr>
        <w:t>roject, said that if "done properly and when appropriate, bio-energy development offers a chance to drive investment and jobs into areas that are literally starving for them."</w:t>
      </w:r>
    </w:p>
    <w:p w:rsidR="00170AEA" w:rsidRPr="00800226" w:rsidRDefault="00170AEA" w:rsidP="00170AEA">
      <w:pPr>
        <w:pStyle w:val="ListParagraph"/>
        <w:numPr>
          <w:ilvl w:val="1"/>
          <w:numId w:val="1"/>
        </w:numPr>
        <w:rPr>
          <w:rFonts w:ascii="Helvetica" w:hAnsi="Helvetica"/>
        </w:rPr>
      </w:pPr>
      <w:r>
        <w:rPr>
          <w:rFonts w:ascii="Helvetica" w:hAnsi="Helvetica"/>
        </w:rPr>
        <w:t xml:space="preserve">In 2011, the </w:t>
      </w:r>
      <w:r w:rsidRPr="00800226">
        <w:rPr>
          <w:rFonts w:ascii="Helvetica" w:hAnsi="Helvetica"/>
        </w:rPr>
        <w:t xml:space="preserve">FAO released the study, </w:t>
      </w:r>
      <w:r w:rsidRPr="00800226">
        <w:rPr>
          <w:rFonts w:ascii="Helvetica" w:hAnsi="Helvetica"/>
          <w:i/>
        </w:rPr>
        <w:t>Making Integrated Food-Energy Systems work for People and Climate</w:t>
      </w:r>
      <w:r>
        <w:rPr>
          <w:rFonts w:ascii="Helvetica" w:hAnsi="Helvetica"/>
        </w:rPr>
        <w:t xml:space="preserve">, </w:t>
      </w:r>
      <w:r w:rsidRPr="00800226">
        <w:rPr>
          <w:rFonts w:ascii="Helvetica" w:hAnsi="Helvetica"/>
        </w:rPr>
        <w:t>which stated that "investment in bioenergy could spark much-needed investment in agricultural and transport infrastructure in rural areas and, by creating jobs and boosting household incomes, could alleviate poverty and food security."</w:t>
      </w:r>
    </w:p>
    <w:p w:rsidR="00170AEA" w:rsidRPr="00800226" w:rsidRDefault="00170AEA" w:rsidP="00170AEA">
      <w:pPr>
        <w:pStyle w:val="ListParagraph"/>
        <w:numPr>
          <w:ilvl w:val="1"/>
          <w:numId w:val="1"/>
        </w:numPr>
        <w:rPr>
          <w:rFonts w:ascii="Helvetica" w:hAnsi="Helvetica"/>
        </w:rPr>
      </w:pPr>
      <w:r w:rsidRPr="00800226">
        <w:rPr>
          <w:rFonts w:ascii="Helvetica" w:hAnsi="Helvetica"/>
        </w:rPr>
        <w:t xml:space="preserve">A recent GRFA report, </w:t>
      </w:r>
      <w:r w:rsidRPr="00800226">
        <w:rPr>
          <w:rFonts w:ascii="Helvetica" w:hAnsi="Helvetica"/>
          <w:i/>
        </w:rPr>
        <w:t>Contribution of Biofuels to the Global Economy</w:t>
      </w:r>
      <w:r w:rsidRPr="00800226">
        <w:rPr>
          <w:rFonts w:ascii="Helvetica" w:hAnsi="Helvetica"/>
        </w:rPr>
        <w:t xml:space="preserve"> done in partnership with the global economic research company, Cardno Entrix, found that the global biofuels industry contributed $277.3 billion and supported nearly 1.4 million jobs in all sectors of the global economy in 2010. </w:t>
      </w:r>
    </w:p>
    <w:p w:rsidR="00170AEA" w:rsidRPr="00800226" w:rsidRDefault="00170AEA" w:rsidP="00170AEA">
      <w:pPr>
        <w:pStyle w:val="ListParagraph"/>
        <w:numPr>
          <w:ilvl w:val="1"/>
          <w:numId w:val="1"/>
        </w:numPr>
        <w:rPr>
          <w:rFonts w:ascii="Helvetica" w:hAnsi="Helvetica"/>
        </w:rPr>
      </w:pPr>
      <w:r w:rsidRPr="00800226">
        <w:rPr>
          <w:rFonts w:ascii="Helvetica" w:hAnsi="Helvetica"/>
        </w:rPr>
        <w:t xml:space="preserve">The global biofuels industry is a bright spot in the current world economy, defying current economic conditions and growing. </w:t>
      </w:r>
    </w:p>
    <w:p w:rsidR="00170AEA" w:rsidRPr="00800226" w:rsidRDefault="00170AEA" w:rsidP="00170AEA">
      <w:pPr>
        <w:pStyle w:val="ListParagraph"/>
        <w:numPr>
          <w:ilvl w:val="1"/>
          <w:numId w:val="1"/>
        </w:numPr>
        <w:rPr>
          <w:rFonts w:ascii="Helvetica" w:hAnsi="Helvetica"/>
        </w:rPr>
      </w:pPr>
      <w:r w:rsidRPr="00800226">
        <w:rPr>
          <w:rFonts w:ascii="Helvetica" w:hAnsi="Helvetica"/>
        </w:rPr>
        <w:t>A</w:t>
      </w:r>
      <w:r>
        <w:rPr>
          <w:rFonts w:ascii="Helvetica" w:hAnsi="Helvetica"/>
        </w:rPr>
        <w:t xml:space="preserve">nother </w:t>
      </w:r>
      <w:r w:rsidRPr="00800226">
        <w:rPr>
          <w:rFonts w:ascii="Helvetica" w:hAnsi="Helvetica"/>
        </w:rPr>
        <w:t xml:space="preserve">recent case study, </w:t>
      </w:r>
      <w:r w:rsidRPr="00800226">
        <w:rPr>
          <w:rFonts w:ascii="Helvetica" w:hAnsi="Helvetica"/>
          <w:i/>
        </w:rPr>
        <w:t>Biofuels, poverty, and growth: a computable general equilibrium analysis of Mozambique</w:t>
      </w:r>
      <w:r w:rsidRPr="00800226">
        <w:rPr>
          <w:rFonts w:ascii="Helvetica" w:hAnsi="Helvetica"/>
        </w:rPr>
        <w:t xml:space="preserve">, </w:t>
      </w:r>
      <w:r>
        <w:rPr>
          <w:rFonts w:ascii="Helvetica" w:hAnsi="Helvetica"/>
        </w:rPr>
        <w:t xml:space="preserve">demonstrated the economic development benefits of a biofuels industry in a developing nation. It </w:t>
      </w:r>
      <w:r w:rsidRPr="00800226">
        <w:rPr>
          <w:rFonts w:ascii="Helvetica" w:hAnsi="Helvetica"/>
        </w:rPr>
        <w:t>found that "the proposed biofuel investments increase Mozambique's annual economic growth by 0.6 percentage points and reduce the incidence of poverty by about six percentage points over the 12-year phase-in period."</w:t>
      </w:r>
    </w:p>
    <w:p w:rsidR="00170AEA" w:rsidRPr="00800226" w:rsidRDefault="00170AEA" w:rsidP="00170AEA">
      <w:pPr>
        <w:pStyle w:val="ListParagraph"/>
        <w:numPr>
          <w:ilvl w:val="1"/>
          <w:numId w:val="1"/>
        </w:numPr>
        <w:rPr>
          <w:rFonts w:ascii="Helvetica" w:hAnsi="Helvetica"/>
        </w:rPr>
      </w:pPr>
      <w:r w:rsidRPr="00800226">
        <w:rPr>
          <w:rFonts w:ascii="Helvetica" w:hAnsi="Helvetica"/>
        </w:rPr>
        <w:t xml:space="preserve">Oil producing nations are prosperous because they are geographically located on top of an oil reserve unlike the wide array of biofuel feedstocks, which can be developed anywhere. </w:t>
      </w:r>
    </w:p>
    <w:p w:rsidR="00170AEA" w:rsidRPr="00800226" w:rsidRDefault="00170AEA" w:rsidP="00170AEA">
      <w:pPr>
        <w:pStyle w:val="ListParagraph"/>
        <w:numPr>
          <w:ilvl w:val="1"/>
          <w:numId w:val="1"/>
        </w:numPr>
        <w:rPr>
          <w:rFonts w:ascii="Helvetica" w:hAnsi="Helvetica"/>
        </w:rPr>
      </w:pPr>
      <w:r w:rsidRPr="00800226">
        <w:rPr>
          <w:rFonts w:ascii="Helvetica" w:hAnsi="Helvetica"/>
        </w:rPr>
        <w:t>This means that any nation, especially developing countries, can develop their own biofu</w:t>
      </w:r>
      <w:r>
        <w:rPr>
          <w:rFonts w:ascii="Helvetica" w:hAnsi="Helvetica"/>
        </w:rPr>
        <w:t>els industry, which in turn will increase</w:t>
      </w:r>
      <w:r w:rsidRPr="00800226">
        <w:rPr>
          <w:rFonts w:ascii="Helvetica" w:hAnsi="Helvetica"/>
        </w:rPr>
        <w:t xml:space="preserve"> their employment rates, </w:t>
      </w:r>
      <w:r>
        <w:rPr>
          <w:rFonts w:ascii="Helvetica" w:hAnsi="Helvetica"/>
        </w:rPr>
        <w:t>boost s</w:t>
      </w:r>
      <w:r w:rsidRPr="00800226">
        <w:rPr>
          <w:rFonts w:ascii="Helvetica" w:hAnsi="Helvetica"/>
        </w:rPr>
        <w:t xml:space="preserve">alaries, relieve poverty </w:t>
      </w:r>
      <w:r>
        <w:rPr>
          <w:rFonts w:ascii="Helvetica" w:hAnsi="Helvetica"/>
        </w:rPr>
        <w:t>and</w:t>
      </w:r>
      <w:r w:rsidRPr="00800226">
        <w:rPr>
          <w:rFonts w:ascii="Helvetica" w:hAnsi="Helvetica"/>
        </w:rPr>
        <w:t xml:space="preserve"> </w:t>
      </w:r>
      <w:r>
        <w:rPr>
          <w:rFonts w:ascii="Helvetica" w:hAnsi="Helvetica"/>
        </w:rPr>
        <w:t xml:space="preserve">improve </w:t>
      </w:r>
      <w:r w:rsidRPr="00800226">
        <w:rPr>
          <w:rFonts w:ascii="Helvetica" w:hAnsi="Helvetica"/>
        </w:rPr>
        <w:t>food security.</w:t>
      </w:r>
    </w:p>
    <w:p w:rsidR="00170AEA" w:rsidRPr="00800226" w:rsidRDefault="00170AEA" w:rsidP="00170AEA">
      <w:pPr>
        <w:pStyle w:val="ListParagraph"/>
        <w:rPr>
          <w:rFonts w:ascii="Helvetica" w:hAnsi="Helvetica"/>
        </w:rPr>
      </w:pPr>
    </w:p>
    <w:p w:rsidR="00170AEA" w:rsidRPr="00800226" w:rsidRDefault="00170AEA" w:rsidP="00170AEA">
      <w:pPr>
        <w:pStyle w:val="ListParagraph"/>
        <w:numPr>
          <w:ilvl w:val="0"/>
          <w:numId w:val="1"/>
        </w:numPr>
        <w:rPr>
          <w:rFonts w:ascii="Helvetica" w:hAnsi="Helvetica"/>
        </w:rPr>
      </w:pPr>
      <w:r w:rsidRPr="00800226">
        <w:rPr>
          <w:rFonts w:ascii="Helvetica" w:hAnsi="Helvetica"/>
        </w:rPr>
        <w:t xml:space="preserve">The HLPE draft report incorrectly promotes </w:t>
      </w:r>
      <w:r>
        <w:rPr>
          <w:rFonts w:ascii="Helvetica" w:hAnsi="Helvetica"/>
        </w:rPr>
        <w:t>out</w:t>
      </w:r>
      <w:r w:rsidRPr="00800226">
        <w:rPr>
          <w:rFonts w:ascii="Helvetica" w:hAnsi="Helvetica"/>
        </w:rPr>
        <w:t>dated biofuels vs. food myths</w:t>
      </w:r>
      <w:r>
        <w:rPr>
          <w:rFonts w:ascii="Helvetica" w:hAnsi="Helvetica"/>
        </w:rPr>
        <w:t xml:space="preserve"> and</w:t>
      </w:r>
      <w:r w:rsidRPr="00800226">
        <w:rPr>
          <w:rFonts w:ascii="Helvetica" w:hAnsi="Helvetica"/>
        </w:rPr>
        <w:t xml:space="preserve"> conveniently does not address </w:t>
      </w:r>
      <w:r>
        <w:rPr>
          <w:rFonts w:ascii="Helvetica" w:hAnsi="Helvetica"/>
        </w:rPr>
        <w:t xml:space="preserve">other </w:t>
      </w:r>
      <w:r w:rsidRPr="00800226">
        <w:rPr>
          <w:rFonts w:ascii="Helvetica" w:hAnsi="Helvetica"/>
        </w:rPr>
        <w:t>issues related to food</w:t>
      </w:r>
      <w:r>
        <w:rPr>
          <w:rFonts w:ascii="Helvetica" w:hAnsi="Helvetica"/>
        </w:rPr>
        <w:t xml:space="preserve"> security</w:t>
      </w:r>
      <w:r w:rsidRPr="00800226">
        <w:rPr>
          <w:rFonts w:ascii="Helvetica" w:hAnsi="Helvetica"/>
        </w:rPr>
        <w:t>.</w:t>
      </w:r>
    </w:p>
    <w:p w:rsidR="00170AEA" w:rsidRPr="00800226" w:rsidRDefault="00170AEA" w:rsidP="00170AEA">
      <w:pPr>
        <w:pStyle w:val="ListParagraph"/>
        <w:ind w:left="0"/>
        <w:rPr>
          <w:rFonts w:ascii="Helvetica" w:hAnsi="Helvetica"/>
        </w:rPr>
      </w:pPr>
    </w:p>
    <w:p w:rsidR="00170AEA" w:rsidRPr="00800226" w:rsidRDefault="00170AEA" w:rsidP="00170AEA">
      <w:pPr>
        <w:pStyle w:val="ListParagraph"/>
        <w:numPr>
          <w:ilvl w:val="1"/>
          <w:numId w:val="1"/>
        </w:numPr>
        <w:rPr>
          <w:rFonts w:ascii="Helvetica" w:hAnsi="Helvetica"/>
        </w:rPr>
      </w:pPr>
      <w:r w:rsidRPr="00800226">
        <w:rPr>
          <w:rFonts w:ascii="Helvetica" w:hAnsi="Helvetica"/>
        </w:rPr>
        <w:t xml:space="preserve">The HLPE </w:t>
      </w:r>
      <w:r>
        <w:rPr>
          <w:rFonts w:ascii="Helvetica" w:hAnsi="Helvetica"/>
        </w:rPr>
        <w:t xml:space="preserve">draft </w:t>
      </w:r>
      <w:r w:rsidRPr="00800226">
        <w:rPr>
          <w:rFonts w:ascii="Helvetica" w:hAnsi="Helvetica"/>
        </w:rPr>
        <w:t xml:space="preserve">report </w:t>
      </w:r>
      <w:r>
        <w:rPr>
          <w:rFonts w:ascii="Helvetica" w:hAnsi="Helvetica"/>
        </w:rPr>
        <w:t>makes a biased assertion</w:t>
      </w:r>
      <w:r w:rsidRPr="00800226">
        <w:rPr>
          <w:rFonts w:ascii="Helvetica" w:hAnsi="Helvetica"/>
        </w:rPr>
        <w:t xml:space="preserve"> that food security and biofuels cannot coexist, which is simply incorrect.</w:t>
      </w:r>
    </w:p>
    <w:p w:rsidR="00170AEA" w:rsidRDefault="00170AEA" w:rsidP="00170AEA">
      <w:pPr>
        <w:pStyle w:val="ListParagraph"/>
        <w:numPr>
          <w:ilvl w:val="1"/>
          <w:numId w:val="1"/>
        </w:numPr>
        <w:rPr>
          <w:rFonts w:ascii="Helvetica" w:hAnsi="Helvetica"/>
        </w:rPr>
      </w:pPr>
      <w:r>
        <w:rPr>
          <w:rFonts w:ascii="Helvetica" w:hAnsi="Helvetica"/>
        </w:rPr>
        <w:t>The HLPE report is incorrect regarding the amount of land used to grow biofuel feedstocks.</w:t>
      </w:r>
    </w:p>
    <w:p w:rsidR="00170AEA" w:rsidRPr="00251F2D" w:rsidRDefault="00170AEA" w:rsidP="00170AEA">
      <w:pPr>
        <w:pStyle w:val="ListParagraph"/>
        <w:numPr>
          <w:ilvl w:val="1"/>
          <w:numId w:val="1"/>
        </w:numPr>
        <w:rPr>
          <w:rFonts w:ascii="Helvetica" w:hAnsi="Helvetica"/>
        </w:rPr>
      </w:pPr>
      <w:r w:rsidRPr="00800226">
        <w:rPr>
          <w:rFonts w:ascii="Helvetica" w:hAnsi="Helvetica"/>
        </w:rPr>
        <w:t xml:space="preserve">Current global land use for biofuels is minimal, using about 3% of total arable land area. There are currently massive amounts of unused, underproductive or marginal land available </w:t>
      </w:r>
      <w:r>
        <w:rPr>
          <w:rFonts w:ascii="Helvetica" w:hAnsi="Helvetica"/>
        </w:rPr>
        <w:t xml:space="preserve">that could be used </w:t>
      </w:r>
      <w:r w:rsidRPr="00800226">
        <w:rPr>
          <w:rFonts w:ascii="Helvetica" w:hAnsi="Helvetica"/>
        </w:rPr>
        <w:t>for biofuel production without compromising food production. A 2011 study by the University of Illinois found that there is an additional 320 – 702 million hectares of global land available for sustainable biofuels production. This is “an area that would produce 26% to 56% of the world’s current liquid fuel consumption,” (University of Illinois at Urbana−Champaign, Department of Civil and Environmental Engineering, Land Availability for Biofuel Production, 2011).</w:t>
      </w:r>
    </w:p>
    <w:p w:rsidR="00170AEA" w:rsidRDefault="00170AEA" w:rsidP="00170AEA">
      <w:pPr>
        <w:pStyle w:val="ListParagraph"/>
        <w:numPr>
          <w:ilvl w:val="1"/>
          <w:numId w:val="1"/>
        </w:numPr>
        <w:rPr>
          <w:rFonts w:ascii="Helvetica" w:hAnsi="Helvetica"/>
        </w:rPr>
      </w:pPr>
      <w:r>
        <w:rPr>
          <w:rFonts w:ascii="Helvetica" w:hAnsi="Helvetica"/>
        </w:rPr>
        <w:t>The HLPE report unfairly characterizes biofuels as the greatest threat to food security when it is in fact our reliance on crude oil that threatens the environment and the global economy.</w:t>
      </w:r>
    </w:p>
    <w:p w:rsidR="00170AEA" w:rsidRPr="00800226" w:rsidRDefault="00170AEA" w:rsidP="00170AEA">
      <w:pPr>
        <w:pStyle w:val="ListParagraph"/>
        <w:numPr>
          <w:ilvl w:val="1"/>
          <w:numId w:val="1"/>
        </w:numPr>
        <w:rPr>
          <w:rFonts w:ascii="Helvetica" w:hAnsi="Helvetica"/>
        </w:rPr>
      </w:pPr>
      <w:r w:rsidRPr="00800226">
        <w:rPr>
          <w:rFonts w:ascii="Helvetica" w:hAnsi="Helvetica"/>
        </w:rPr>
        <w:t xml:space="preserve">The International Energy Agency (IEA) has clearly noted in its last two World Energy Outlook’s (WEO) that crude oil is the world’s largest energy problem. </w:t>
      </w:r>
    </w:p>
    <w:p w:rsidR="00170AEA" w:rsidRPr="00800226" w:rsidRDefault="00170AEA" w:rsidP="00170AEA">
      <w:pPr>
        <w:pStyle w:val="ListParagraph"/>
        <w:numPr>
          <w:ilvl w:val="2"/>
          <w:numId w:val="1"/>
        </w:numPr>
        <w:rPr>
          <w:rFonts w:ascii="Helvetica" w:hAnsi="Helvetica"/>
        </w:rPr>
      </w:pPr>
      <w:r w:rsidRPr="00800226">
        <w:rPr>
          <w:rFonts w:ascii="Helvetica" w:hAnsi="Helvetica"/>
        </w:rPr>
        <w:t xml:space="preserve">In 2011 the IEA stated oil demand </w:t>
      </w:r>
      <w:r w:rsidR="00B74D36" w:rsidRPr="00800226">
        <w:rPr>
          <w:rFonts w:ascii="Helvetica" w:hAnsi="Helvetica"/>
        </w:rPr>
        <w:t>would</w:t>
      </w:r>
      <w:r w:rsidRPr="00800226">
        <w:rPr>
          <w:rFonts w:ascii="Helvetica" w:hAnsi="Helvetica"/>
        </w:rPr>
        <w:t xml:space="preserve"> rise 14% between 2010 and 2035, from 87 million barrels per day (mb/d) in 2010 to 99 mb/d in 2035</w:t>
      </w:r>
      <w:r>
        <w:rPr>
          <w:rFonts w:ascii="Helvetica" w:hAnsi="Helvetica"/>
        </w:rPr>
        <w:t>.</w:t>
      </w:r>
    </w:p>
    <w:p w:rsidR="00170AEA" w:rsidRPr="00800226" w:rsidRDefault="00170AEA" w:rsidP="00170AEA">
      <w:pPr>
        <w:pStyle w:val="ListParagraph"/>
        <w:numPr>
          <w:ilvl w:val="2"/>
          <w:numId w:val="1"/>
        </w:numPr>
        <w:rPr>
          <w:rFonts w:ascii="Helvetica" w:hAnsi="Helvetica"/>
        </w:rPr>
      </w:pPr>
      <w:r w:rsidRPr="00800226">
        <w:rPr>
          <w:rFonts w:ascii="Helvetica" w:hAnsi="Helvetica"/>
        </w:rPr>
        <w:t xml:space="preserve">This means to meet demand new reserves will have to be exploited – namely environmentally damaging </w:t>
      </w:r>
      <w:r>
        <w:rPr>
          <w:rFonts w:ascii="Helvetica" w:hAnsi="Helvetica"/>
        </w:rPr>
        <w:t>oil</w:t>
      </w:r>
      <w:r w:rsidRPr="00800226">
        <w:rPr>
          <w:rFonts w:ascii="Helvetica" w:hAnsi="Helvetica"/>
        </w:rPr>
        <w:t xml:space="preserve"> sands or dangerous deep well oil.</w:t>
      </w:r>
    </w:p>
    <w:p w:rsidR="00170AEA" w:rsidRPr="00800226" w:rsidRDefault="00170AEA" w:rsidP="00170AEA">
      <w:pPr>
        <w:pStyle w:val="ListParagraph"/>
        <w:numPr>
          <w:ilvl w:val="2"/>
          <w:numId w:val="1"/>
        </w:numPr>
        <w:rPr>
          <w:rFonts w:ascii="Helvetica" w:hAnsi="Helvetica"/>
        </w:rPr>
      </w:pPr>
      <w:r w:rsidRPr="00800226">
        <w:rPr>
          <w:rFonts w:ascii="Helvetica" w:hAnsi="Helvetica"/>
        </w:rPr>
        <w:t>There is a growing dependence on</w:t>
      </w:r>
      <w:r>
        <w:rPr>
          <w:rFonts w:ascii="Helvetica" w:hAnsi="Helvetica"/>
        </w:rPr>
        <w:t xml:space="preserve"> the</w:t>
      </w:r>
      <w:r w:rsidRPr="00800226">
        <w:rPr>
          <w:rFonts w:ascii="Helvetica" w:hAnsi="Helvetica"/>
        </w:rPr>
        <w:t xml:space="preserve"> OPEC countries as a supplier of the world’s oil. Over 90% of the required growth in world oil output will come from OPEC countries, pushing the share of OPEC in global production above 50% by 2035.</w:t>
      </w:r>
    </w:p>
    <w:p w:rsidR="00170AEA" w:rsidRPr="00800226" w:rsidRDefault="00170AEA" w:rsidP="00170AEA">
      <w:pPr>
        <w:pStyle w:val="ListParagraph"/>
        <w:numPr>
          <w:ilvl w:val="2"/>
          <w:numId w:val="1"/>
        </w:numPr>
        <w:rPr>
          <w:rFonts w:ascii="Helvetica" w:hAnsi="Helvetica"/>
        </w:rPr>
      </w:pPr>
      <w:r w:rsidRPr="00800226">
        <w:rPr>
          <w:rFonts w:ascii="Helvetica" w:hAnsi="Helvetica"/>
        </w:rPr>
        <w:t>The 2012 WEO stated that</w:t>
      </w:r>
      <w:r w:rsidR="00B74D36">
        <w:rPr>
          <w:rFonts w:ascii="Helvetica" w:hAnsi="Helvetica"/>
        </w:rPr>
        <w:t xml:space="preserve"> crude</w:t>
      </w:r>
      <w:r w:rsidRPr="00800226">
        <w:rPr>
          <w:rFonts w:ascii="Helvetica" w:hAnsi="Helvetica"/>
        </w:rPr>
        <w:t xml:space="preserve"> oil was putting the “brakes on the global economy” because oil subsidies ha</w:t>
      </w:r>
      <w:r>
        <w:rPr>
          <w:rFonts w:ascii="Helvetica" w:hAnsi="Helvetica"/>
        </w:rPr>
        <w:t>ve</w:t>
      </w:r>
      <w:r w:rsidRPr="00800226">
        <w:rPr>
          <w:rFonts w:ascii="Helvetica" w:hAnsi="Helvetica"/>
        </w:rPr>
        <w:t xml:space="preserve"> reached an all time high of $660 billion </w:t>
      </w:r>
      <w:r>
        <w:rPr>
          <w:rFonts w:ascii="Helvetica" w:hAnsi="Helvetica"/>
        </w:rPr>
        <w:t>but</w:t>
      </w:r>
      <w:r w:rsidRPr="00800226">
        <w:rPr>
          <w:rFonts w:ascii="Helvetica" w:hAnsi="Helvetica"/>
        </w:rPr>
        <w:t xml:space="preserve"> oil prices </w:t>
      </w:r>
      <w:r>
        <w:rPr>
          <w:rFonts w:ascii="Helvetica" w:hAnsi="Helvetica"/>
        </w:rPr>
        <w:t xml:space="preserve">are </w:t>
      </w:r>
      <w:r w:rsidRPr="00800226">
        <w:rPr>
          <w:rFonts w:ascii="Helvetica" w:hAnsi="Helvetica"/>
        </w:rPr>
        <w:t>still at an all time high making our energy system “unsustainable” according to the IEA.</w:t>
      </w:r>
    </w:p>
    <w:p w:rsidR="00170AEA" w:rsidRPr="00800226" w:rsidRDefault="00170AEA" w:rsidP="00170AEA">
      <w:pPr>
        <w:pStyle w:val="ListParagraph"/>
        <w:numPr>
          <w:ilvl w:val="1"/>
          <w:numId w:val="1"/>
        </w:numPr>
        <w:rPr>
          <w:rFonts w:ascii="Helvetica" w:hAnsi="Helvetica"/>
        </w:rPr>
      </w:pPr>
      <w:r w:rsidRPr="00800226">
        <w:rPr>
          <w:rFonts w:ascii="Helvetica" w:hAnsi="Helvetica"/>
        </w:rPr>
        <w:t>To lower food prices we must break our addiction to crude oil and increase the use of alternative fuels, like biofuels.</w:t>
      </w:r>
    </w:p>
    <w:p w:rsidR="00170AEA" w:rsidRPr="00800226" w:rsidRDefault="00170AEA" w:rsidP="00170AEA">
      <w:pPr>
        <w:pStyle w:val="ListParagraph"/>
        <w:numPr>
          <w:ilvl w:val="1"/>
          <w:numId w:val="1"/>
        </w:numPr>
        <w:rPr>
          <w:rFonts w:ascii="Helvetica" w:hAnsi="Helvetica"/>
        </w:rPr>
      </w:pPr>
      <w:r w:rsidRPr="00800226">
        <w:rPr>
          <w:rFonts w:ascii="Helvetica" w:hAnsi="Helvetica"/>
        </w:rPr>
        <w:t xml:space="preserve">The International Energy Agency’s </w:t>
      </w:r>
      <w:r w:rsidRPr="00800226">
        <w:rPr>
          <w:rFonts w:ascii="Helvetica" w:hAnsi="Helvetica"/>
          <w:i/>
        </w:rPr>
        <w:t>Technology Roadmap – Biofuels for Transport</w:t>
      </w:r>
      <w:r>
        <w:rPr>
          <w:rFonts w:ascii="Helvetica" w:hAnsi="Helvetica"/>
        </w:rPr>
        <w:t xml:space="preserve"> </w:t>
      </w:r>
      <w:r w:rsidRPr="00800226">
        <w:rPr>
          <w:rFonts w:ascii="Helvetica" w:hAnsi="Helvetica"/>
        </w:rPr>
        <w:t xml:space="preserve">stated that biofuels could make up 27% of the worlds transport fuels by 2050, eliminate 2.1 gigatonnes of CO2 emissions and not jeopardize food security. </w:t>
      </w:r>
    </w:p>
    <w:p w:rsidR="00170AEA" w:rsidRPr="00800226" w:rsidRDefault="00170AEA" w:rsidP="00170AEA">
      <w:pPr>
        <w:pStyle w:val="ListParagraph"/>
        <w:numPr>
          <w:ilvl w:val="1"/>
          <w:numId w:val="1"/>
        </w:numPr>
        <w:rPr>
          <w:rFonts w:ascii="Helvetica" w:hAnsi="Helvetica"/>
        </w:rPr>
      </w:pPr>
      <w:r w:rsidRPr="00800226">
        <w:rPr>
          <w:rFonts w:ascii="Helvetica" w:hAnsi="Helvetica"/>
        </w:rPr>
        <w:t>The same IEA report also revealed that current global biofuels production utilizes only 2% of global arable land, which is simply not significant enough to have any impact on food prices.</w:t>
      </w:r>
    </w:p>
    <w:p w:rsidR="00170AEA" w:rsidRPr="00800226" w:rsidRDefault="00170AEA" w:rsidP="00170AEA">
      <w:pPr>
        <w:pStyle w:val="ListParagraph"/>
        <w:numPr>
          <w:ilvl w:val="1"/>
          <w:numId w:val="1"/>
        </w:numPr>
        <w:rPr>
          <w:rFonts w:ascii="Helvetica" w:hAnsi="Helvetica"/>
        </w:rPr>
      </w:pPr>
      <w:r w:rsidRPr="00800226">
        <w:rPr>
          <w:rFonts w:ascii="Helvetica" w:hAnsi="Helvetica"/>
        </w:rPr>
        <w:t>A 2012 report by the United Kingdom’s National Non-Food Crops Centre found that “We can minimize competition for land by increasing its productivity. Improved breeding and management techniques will increase the productivity of crops. An annual yield increase of just 2% would double biofuels production volumes by 2050 without any land expansion,” (National Non-Food Crops Centre, The changing face of the planet: The role of bioenergy, biofuels and bio-based products in global land use change, 2012).</w:t>
      </w:r>
    </w:p>
    <w:p w:rsidR="00170AEA" w:rsidRPr="00800226" w:rsidRDefault="00170AEA" w:rsidP="00170AEA">
      <w:pPr>
        <w:pStyle w:val="ListParagraph"/>
        <w:numPr>
          <w:ilvl w:val="1"/>
          <w:numId w:val="1"/>
        </w:numPr>
        <w:rPr>
          <w:rFonts w:ascii="Helvetica" w:hAnsi="Helvetica"/>
        </w:rPr>
      </w:pPr>
      <w:r w:rsidRPr="00800226">
        <w:rPr>
          <w:rFonts w:ascii="Helvetica" w:hAnsi="Helvetica"/>
        </w:rPr>
        <w:t xml:space="preserve">The primary challenge is still not how much food we grow but how efficiently we grow it, distribute it and </w:t>
      </w:r>
      <w:r>
        <w:rPr>
          <w:rFonts w:ascii="Helvetica" w:hAnsi="Helvetica"/>
        </w:rPr>
        <w:t xml:space="preserve">how much of it we </w:t>
      </w:r>
      <w:r w:rsidRPr="00800226">
        <w:rPr>
          <w:rFonts w:ascii="Helvetica" w:hAnsi="Helvetica"/>
        </w:rPr>
        <w:t>waste.</w:t>
      </w:r>
    </w:p>
    <w:p w:rsidR="00170AEA" w:rsidRPr="00800226" w:rsidRDefault="00170AEA" w:rsidP="00170AEA">
      <w:pPr>
        <w:pStyle w:val="ListParagraph"/>
        <w:numPr>
          <w:ilvl w:val="1"/>
          <w:numId w:val="1"/>
        </w:numPr>
        <w:rPr>
          <w:rFonts w:ascii="Helvetica" w:hAnsi="Helvetica"/>
        </w:rPr>
      </w:pPr>
      <w:r w:rsidRPr="00800226">
        <w:rPr>
          <w:rFonts w:ascii="Helvetica" w:hAnsi="Helvetica"/>
        </w:rPr>
        <w:t>Food waste is an issue not properly addressed by the HLPE draft</w:t>
      </w:r>
      <w:r>
        <w:rPr>
          <w:rFonts w:ascii="Helvetica" w:hAnsi="Helvetica"/>
        </w:rPr>
        <w:t xml:space="preserve"> report</w:t>
      </w:r>
      <w:r w:rsidRPr="00800226">
        <w:rPr>
          <w:rFonts w:ascii="Helvetica" w:hAnsi="Helvetica"/>
        </w:rPr>
        <w:t xml:space="preserve">. </w:t>
      </w:r>
    </w:p>
    <w:p w:rsidR="00170AEA" w:rsidRPr="00800226" w:rsidRDefault="00170AEA" w:rsidP="00170AEA">
      <w:pPr>
        <w:pStyle w:val="ListParagraph"/>
        <w:numPr>
          <w:ilvl w:val="1"/>
          <w:numId w:val="1"/>
        </w:numPr>
        <w:rPr>
          <w:rFonts w:ascii="Helvetica" w:hAnsi="Helvetica"/>
        </w:rPr>
      </w:pPr>
      <w:r w:rsidRPr="00800226">
        <w:rPr>
          <w:rFonts w:ascii="Helvetica" w:hAnsi="Helvetica"/>
        </w:rPr>
        <w:t>It is well understood, that global food production far exceeds our needs today; however hunger is still a global challenge but there are other ways to combat this problem. The scale of food waste worldwide is unacceptably high. According to a report for the UN by the Swedish Institute for Food and Biotechnology, around 1.3 billion tonnes of food is either lost, or wasted, globally each year. The figure represents 33% of the world's total food production; and the study says that reducing losses in developing countries could have an "immediate and significant" impact on livelihoods and food security.</w:t>
      </w:r>
    </w:p>
    <w:p w:rsidR="00170AEA" w:rsidRPr="00800226" w:rsidRDefault="00170AEA" w:rsidP="00170AEA">
      <w:pPr>
        <w:pStyle w:val="ListParagraph"/>
        <w:ind w:left="1440"/>
        <w:rPr>
          <w:rFonts w:ascii="Helvetica" w:hAnsi="Helvetica"/>
        </w:rPr>
      </w:pPr>
    </w:p>
    <w:p w:rsidR="00170AEA" w:rsidRPr="00800226" w:rsidRDefault="00170AEA" w:rsidP="00170AEA">
      <w:pPr>
        <w:pStyle w:val="ListParagraph"/>
        <w:numPr>
          <w:ilvl w:val="0"/>
          <w:numId w:val="1"/>
        </w:numPr>
        <w:rPr>
          <w:rFonts w:ascii="Helvetica" w:hAnsi="Helvetica"/>
        </w:rPr>
      </w:pPr>
      <w:r w:rsidRPr="00800226">
        <w:rPr>
          <w:rFonts w:ascii="Helvetica" w:hAnsi="Helvetica"/>
        </w:rPr>
        <w:t xml:space="preserve">The HLPE draft report’s view of </w:t>
      </w:r>
      <w:r>
        <w:rPr>
          <w:rFonts w:ascii="Helvetica" w:hAnsi="Helvetica"/>
        </w:rPr>
        <w:t>advanced</w:t>
      </w:r>
      <w:r w:rsidRPr="00800226">
        <w:rPr>
          <w:rFonts w:ascii="Helvetica" w:hAnsi="Helvetica"/>
        </w:rPr>
        <w:t xml:space="preserve"> biofuels incorrectly represents the</w:t>
      </w:r>
      <w:r>
        <w:rPr>
          <w:rFonts w:ascii="Helvetica" w:hAnsi="Helvetica"/>
        </w:rPr>
        <w:t xml:space="preserve">ir </w:t>
      </w:r>
      <w:r w:rsidRPr="00800226">
        <w:rPr>
          <w:rFonts w:ascii="Helvetica" w:hAnsi="Helvetica"/>
        </w:rPr>
        <w:t>pot</w:t>
      </w:r>
      <w:r>
        <w:rPr>
          <w:rFonts w:ascii="Helvetica" w:hAnsi="Helvetica"/>
        </w:rPr>
        <w:t>ential and commercial viability and must be corrected</w:t>
      </w:r>
      <w:r w:rsidRPr="00800226">
        <w:rPr>
          <w:rFonts w:ascii="Helvetica" w:hAnsi="Helvetica"/>
        </w:rPr>
        <w:t>.</w:t>
      </w:r>
    </w:p>
    <w:p w:rsidR="00170AEA" w:rsidRPr="00800226" w:rsidRDefault="00170AEA" w:rsidP="00170AEA">
      <w:pPr>
        <w:pStyle w:val="ListParagraph"/>
        <w:rPr>
          <w:rFonts w:ascii="Helvetica" w:hAnsi="Helvetica"/>
        </w:rPr>
      </w:pPr>
    </w:p>
    <w:p w:rsidR="00170AEA" w:rsidRPr="00800226" w:rsidRDefault="00170AEA" w:rsidP="00170AEA">
      <w:pPr>
        <w:pStyle w:val="ListParagraph"/>
        <w:numPr>
          <w:ilvl w:val="1"/>
          <w:numId w:val="1"/>
        </w:numPr>
        <w:rPr>
          <w:rFonts w:ascii="Helvetica" w:hAnsi="Helvetica"/>
        </w:rPr>
      </w:pPr>
      <w:r w:rsidRPr="00800226">
        <w:rPr>
          <w:rFonts w:ascii="Helvetica" w:hAnsi="Helvetica"/>
        </w:rPr>
        <w:t>Biofuels continue to grow in importance as the rising price of oil impacts every aspect of the global economy.</w:t>
      </w:r>
    </w:p>
    <w:p w:rsidR="00170AEA" w:rsidRPr="00800226" w:rsidRDefault="00170AEA" w:rsidP="00170AEA">
      <w:pPr>
        <w:pStyle w:val="ListParagraph"/>
        <w:numPr>
          <w:ilvl w:val="1"/>
          <w:numId w:val="1"/>
        </w:numPr>
        <w:rPr>
          <w:rFonts w:ascii="Helvetica" w:hAnsi="Helvetica"/>
        </w:rPr>
      </w:pPr>
      <w:r w:rsidRPr="00800226">
        <w:rPr>
          <w:rFonts w:ascii="Helvetica" w:hAnsi="Helvetica"/>
        </w:rPr>
        <w:t>More than 700 new biorefineries are r</w:t>
      </w:r>
      <w:r>
        <w:rPr>
          <w:rFonts w:ascii="Helvetica" w:hAnsi="Helvetica"/>
        </w:rPr>
        <w:t>equired (at 193 million litres/</w:t>
      </w:r>
      <w:r w:rsidRPr="00800226">
        <w:rPr>
          <w:rFonts w:ascii="Helvetica" w:hAnsi="Helvetica"/>
        </w:rPr>
        <w:t>refinery</w:t>
      </w:r>
      <w:r>
        <w:rPr>
          <w:rFonts w:ascii="Helvetica" w:hAnsi="Helvetica"/>
        </w:rPr>
        <w:t>)</w:t>
      </w:r>
      <w:r w:rsidR="00F150CE">
        <w:rPr>
          <w:rFonts w:ascii="Helvetica" w:hAnsi="Helvetica"/>
        </w:rPr>
        <w:t xml:space="preserve"> by 2025 to meet</w:t>
      </w:r>
      <w:r w:rsidRPr="00800226">
        <w:rPr>
          <w:rFonts w:ascii="Helvetica" w:hAnsi="Helvetica"/>
        </w:rPr>
        <w:t xml:space="preserve"> the known and existing mandates around the world.</w:t>
      </w:r>
    </w:p>
    <w:p w:rsidR="00170AEA" w:rsidRPr="00800226" w:rsidRDefault="00170AEA" w:rsidP="00170AEA">
      <w:pPr>
        <w:pStyle w:val="ListParagraph"/>
        <w:numPr>
          <w:ilvl w:val="1"/>
          <w:numId w:val="1"/>
        </w:numPr>
        <w:rPr>
          <w:rFonts w:ascii="Helvetica" w:hAnsi="Helvetica"/>
        </w:rPr>
      </w:pPr>
      <w:r w:rsidRPr="00800226">
        <w:rPr>
          <w:rFonts w:ascii="Helvetica" w:hAnsi="Helvetica"/>
        </w:rPr>
        <w:t>The total announced annual capacity under development is nearly 20 billion litres, at an average annual capacity of 100 million litres.</w:t>
      </w:r>
    </w:p>
    <w:p w:rsidR="00170AEA" w:rsidRPr="00800226" w:rsidRDefault="00170AEA" w:rsidP="00170AEA">
      <w:pPr>
        <w:pStyle w:val="ListParagraph"/>
        <w:numPr>
          <w:ilvl w:val="1"/>
          <w:numId w:val="1"/>
        </w:numPr>
        <w:rPr>
          <w:rFonts w:ascii="Helvetica" w:hAnsi="Helvetica"/>
        </w:rPr>
      </w:pPr>
      <w:r w:rsidRPr="00800226">
        <w:rPr>
          <w:rFonts w:ascii="Helvetica" w:hAnsi="Helvetica"/>
        </w:rPr>
        <w:t>The United States Department of Agriculture recently released its Billion-Ton Update, which is excellent at suggesting both the volume and variety of potential feedstocks. It stated that there would be enough available, sustainable biomass to support 3 times the fuel production required under the Renewable Fuel Standard, using known processing technologies.</w:t>
      </w:r>
    </w:p>
    <w:p w:rsidR="00170AEA" w:rsidRDefault="00170AEA" w:rsidP="00170AEA">
      <w:pPr>
        <w:pStyle w:val="ListParagraph"/>
        <w:numPr>
          <w:ilvl w:val="1"/>
          <w:numId w:val="1"/>
        </w:numPr>
        <w:rPr>
          <w:rFonts w:ascii="Helvetica" w:hAnsi="Helvetica"/>
        </w:rPr>
      </w:pPr>
      <w:r w:rsidRPr="00800226">
        <w:rPr>
          <w:rFonts w:ascii="Helvetica" w:hAnsi="Helvetica"/>
        </w:rPr>
        <w:t xml:space="preserve">By the end of 2013 there are 23 signature commercial-scale advanced biorefineries slated for completion. </w:t>
      </w:r>
    </w:p>
    <w:p w:rsidR="00170AEA" w:rsidRPr="00800226" w:rsidRDefault="00170AEA" w:rsidP="00170AEA">
      <w:pPr>
        <w:pStyle w:val="ListParagraph"/>
        <w:numPr>
          <w:ilvl w:val="1"/>
          <w:numId w:val="1"/>
        </w:numPr>
        <w:rPr>
          <w:rFonts w:ascii="Helvetica" w:hAnsi="Helvetica"/>
        </w:rPr>
      </w:pPr>
      <w:r w:rsidRPr="00800226">
        <w:rPr>
          <w:rFonts w:ascii="Helvetica" w:hAnsi="Helvetica"/>
        </w:rPr>
        <w:t>Of these 23</w:t>
      </w:r>
      <w:r>
        <w:rPr>
          <w:rFonts w:ascii="Helvetica" w:hAnsi="Helvetica"/>
        </w:rPr>
        <w:t xml:space="preserve"> refineries</w:t>
      </w:r>
      <w:r w:rsidRPr="00800226">
        <w:rPr>
          <w:rFonts w:ascii="Helvetica" w:hAnsi="Helvetica"/>
        </w:rPr>
        <w:t xml:space="preserve">, they are in five different countries, </w:t>
      </w:r>
      <w:r>
        <w:rPr>
          <w:rFonts w:ascii="Helvetica" w:hAnsi="Helvetica"/>
        </w:rPr>
        <w:t xml:space="preserve">using </w:t>
      </w:r>
      <w:r w:rsidRPr="00800226">
        <w:rPr>
          <w:rFonts w:ascii="Helvetica" w:hAnsi="Helvetica"/>
        </w:rPr>
        <w:t xml:space="preserve">12 different feedstock strategies, </w:t>
      </w:r>
      <w:r>
        <w:rPr>
          <w:rFonts w:ascii="Helvetica" w:hAnsi="Helvetica"/>
        </w:rPr>
        <w:t xml:space="preserve">employing </w:t>
      </w:r>
      <w:r w:rsidRPr="00800226">
        <w:rPr>
          <w:rFonts w:ascii="Helvetica" w:hAnsi="Helvetica"/>
        </w:rPr>
        <w:t>12 different processing technologies and 8 product sets representing 649 million gallons of capacity.</w:t>
      </w:r>
    </w:p>
    <w:p w:rsidR="00170AEA" w:rsidRPr="00800226" w:rsidRDefault="00170AEA" w:rsidP="00170AEA">
      <w:pPr>
        <w:pStyle w:val="ListParagraph"/>
        <w:numPr>
          <w:ilvl w:val="1"/>
          <w:numId w:val="1"/>
        </w:numPr>
        <w:rPr>
          <w:rFonts w:ascii="Helvetica" w:hAnsi="Helvetica"/>
        </w:rPr>
      </w:pPr>
      <w:r w:rsidRPr="00800226">
        <w:rPr>
          <w:rFonts w:ascii="Helvetica" w:hAnsi="Helvetica"/>
        </w:rPr>
        <w:t xml:space="preserve">With the hundreds of refineries planned, ample proven feedstock supplies and </w:t>
      </w:r>
      <w:r>
        <w:rPr>
          <w:rFonts w:ascii="Helvetica" w:hAnsi="Helvetica"/>
        </w:rPr>
        <w:t>dozens more commercial scale refineries coming online by the end of 2013</w:t>
      </w:r>
      <w:r w:rsidRPr="00800226">
        <w:rPr>
          <w:rFonts w:ascii="Helvetica" w:hAnsi="Helvetica"/>
        </w:rPr>
        <w:t xml:space="preserve">, it is clear that the HLPE draft is incorrect </w:t>
      </w:r>
      <w:r>
        <w:rPr>
          <w:rFonts w:ascii="Helvetica" w:hAnsi="Helvetica"/>
        </w:rPr>
        <w:t>in assuming</w:t>
      </w:r>
      <w:r w:rsidRPr="00800226">
        <w:rPr>
          <w:rFonts w:ascii="Helvetica" w:hAnsi="Helvetica"/>
        </w:rPr>
        <w:t xml:space="preserve"> that advanced biofuels are delayed or </w:t>
      </w:r>
      <w:r w:rsidR="00F150CE">
        <w:rPr>
          <w:rFonts w:ascii="Helvetica" w:hAnsi="Helvetica"/>
        </w:rPr>
        <w:t xml:space="preserve">that </w:t>
      </w:r>
      <w:r w:rsidRPr="00800226">
        <w:rPr>
          <w:rFonts w:ascii="Helvetica" w:hAnsi="Helvetica"/>
        </w:rPr>
        <w:t>concerns over their adoption</w:t>
      </w:r>
      <w:r w:rsidR="00F150CE">
        <w:rPr>
          <w:rFonts w:ascii="Helvetica" w:hAnsi="Helvetica"/>
        </w:rPr>
        <w:t xml:space="preserve"> exist</w:t>
      </w:r>
      <w:r w:rsidRPr="00800226">
        <w:rPr>
          <w:rFonts w:ascii="Helvetica" w:hAnsi="Helvetica"/>
        </w:rPr>
        <w:t>.</w:t>
      </w:r>
    </w:p>
    <w:p w:rsidR="00170AEA" w:rsidRDefault="00170AEA" w:rsidP="00170AEA"/>
    <w:p w:rsidR="00170AEA" w:rsidRDefault="00170AEA" w:rsidP="00170AEA"/>
    <w:p w:rsidR="004B1343" w:rsidRDefault="004B1343" w:rsidP="00170AEA"/>
    <w:sectPr w:rsidR="004B1343" w:rsidSect="004B1343">
      <w:pgSz w:w="12240" w:h="15840"/>
      <w:pgMar w:top="992" w:right="1230" w:bottom="992" w:left="1230" w:header="709" w:footer="284"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35EB"/>
    <w:multiLevelType w:val="hybridMultilevel"/>
    <w:tmpl w:val="A8F6902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262E2"/>
    <w:multiLevelType w:val="multilevel"/>
    <w:tmpl w:val="405A40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134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333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C597F"/>
    <w:pPr>
      <w:ind w:left="720"/>
      <w:contextualSpacing/>
    </w:pPr>
  </w:style>
  <w:style w:type="paragraph" w:styleId="BalloonText">
    <w:name w:val="Balloon Text"/>
    <w:basedOn w:val="Normal"/>
    <w:link w:val="BalloonTextChar"/>
    <w:rsid w:val="00292760"/>
    <w:pPr>
      <w:spacing w:after="0"/>
    </w:pPr>
    <w:rPr>
      <w:rFonts w:ascii="Lucida Grande" w:hAnsi="Lucida Grande"/>
      <w:sz w:val="18"/>
      <w:szCs w:val="18"/>
    </w:rPr>
  </w:style>
  <w:style w:type="character" w:customStyle="1" w:styleId="BalloonTextChar">
    <w:name w:val="Balloon Text Char"/>
    <w:basedOn w:val="DefaultParagraphFont"/>
    <w:link w:val="BalloonText"/>
    <w:rsid w:val="0029276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giancarlodrennan:Library:Mail%20Downloads:IMF%20Price%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4453125"/>
          <c:y val="0.0732600405022856"/>
          <c:w val="0.744140625"/>
          <c:h val="0.63369935034477"/>
        </c:manualLayout>
      </c:layout>
      <c:lineChart>
        <c:grouping val="standard"/>
        <c:ser>
          <c:idx val="0"/>
          <c:order val="1"/>
          <c:tx>
            <c:v>Oil Price</c:v>
          </c:tx>
          <c:spPr>
            <a:ln w="25400">
              <a:solidFill>
                <a:srgbClr val="DD0806"/>
              </a:solidFill>
              <a:prstDash val="solid"/>
            </a:ln>
          </c:spPr>
          <c:marker>
            <c:symbol val="none"/>
          </c:marker>
          <c:cat>
            <c:strRef>
              <c:f>'External_Data-020911'!$A$245:$A$390</c:f>
              <c:strCache>
                <c:ptCount val="145"/>
                <c:pt idx="0">
                  <c:v>2000M01</c:v>
                </c:pt>
                <c:pt idx="1">
                  <c:v>2000M02</c:v>
                </c:pt>
                <c:pt idx="2">
                  <c:v>2000M03</c:v>
                </c:pt>
                <c:pt idx="3">
                  <c:v>2000M04</c:v>
                </c:pt>
                <c:pt idx="4">
                  <c:v>2000M05</c:v>
                </c:pt>
                <c:pt idx="5">
                  <c:v>2000M06</c:v>
                </c:pt>
                <c:pt idx="6">
                  <c:v>2000M07</c:v>
                </c:pt>
                <c:pt idx="7">
                  <c:v>2000M08</c:v>
                </c:pt>
                <c:pt idx="8">
                  <c:v>2000M09</c:v>
                </c:pt>
                <c:pt idx="9">
                  <c:v>2000M10</c:v>
                </c:pt>
                <c:pt idx="10">
                  <c:v>2000M11</c:v>
                </c:pt>
                <c:pt idx="11">
                  <c:v>2000M12</c:v>
                </c:pt>
                <c:pt idx="12">
                  <c:v>2001M01</c:v>
                </c:pt>
                <c:pt idx="13">
                  <c:v>2001M02</c:v>
                </c:pt>
                <c:pt idx="14">
                  <c:v>2001M03</c:v>
                </c:pt>
                <c:pt idx="15">
                  <c:v>2001M04</c:v>
                </c:pt>
                <c:pt idx="16">
                  <c:v>2001M05</c:v>
                </c:pt>
                <c:pt idx="17">
                  <c:v>2001M06</c:v>
                </c:pt>
                <c:pt idx="18">
                  <c:v>2001M07</c:v>
                </c:pt>
                <c:pt idx="19">
                  <c:v>2001M08</c:v>
                </c:pt>
                <c:pt idx="20">
                  <c:v>2001M09</c:v>
                </c:pt>
                <c:pt idx="21">
                  <c:v>2001M10</c:v>
                </c:pt>
                <c:pt idx="22">
                  <c:v>2001M11</c:v>
                </c:pt>
                <c:pt idx="23">
                  <c:v>2001M12</c:v>
                </c:pt>
                <c:pt idx="24">
                  <c:v>2002M01</c:v>
                </c:pt>
                <c:pt idx="25">
                  <c:v>2002M02</c:v>
                </c:pt>
                <c:pt idx="26">
                  <c:v>2002M03</c:v>
                </c:pt>
                <c:pt idx="27">
                  <c:v>2002M04</c:v>
                </c:pt>
                <c:pt idx="28">
                  <c:v>2002M05</c:v>
                </c:pt>
                <c:pt idx="29">
                  <c:v>2002M06</c:v>
                </c:pt>
                <c:pt idx="30">
                  <c:v>2002M07</c:v>
                </c:pt>
                <c:pt idx="31">
                  <c:v>2002M08</c:v>
                </c:pt>
                <c:pt idx="32">
                  <c:v>2002M09</c:v>
                </c:pt>
                <c:pt idx="33">
                  <c:v>2002M10</c:v>
                </c:pt>
                <c:pt idx="34">
                  <c:v>2002M11</c:v>
                </c:pt>
                <c:pt idx="35">
                  <c:v>2002M12</c:v>
                </c:pt>
                <c:pt idx="36">
                  <c:v>2003M01</c:v>
                </c:pt>
                <c:pt idx="37">
                  <c:v>2003M02</c:v>
                </c:pt>
                <c:pt idx="38">
                  <c:v>2003M03</c:v>
                </c:pt>
                <c:pt idx="39">
                  <c:v>2003M04</c:v>
                </c:pt>
                <c:pt idx="40">
                  <c:v>2003M05</c:v>
                </c:pt>
                <c:pt idx="41">
                  <c:v>2003M06</c:v>
                </c:pt>
                <c:pt idx="42">
                  <c:v>2003M07</c:v>
                </c:pt>
                <c:pt idx="43">
                  <c:v>2003M08</c:v>
                </c:pt>
                <c:pt idx="44">
                  <c:v>2003M09</c:v>
                </c:pt>
                <c:pt idx="45">
                  <c:v>2003M10</c:v>
                </c:pt>
                <c:pt idx="46">
                  <c:v>2003M11</c:v>
                </c:pt>
                <c:pt idx="47">
                  <c:v>2003M12</c:v>
                </c:pt>
                <c:pt idx="48">
                  <c:v>2004M01</c:v>
                </c:pt>
                <c:pt idx="49">
                  <c:v>2004M02</c:v>
                </c:pt>
                <c:pt idx="50">
                  <c:v>2004M03</c:v>
                </c:pt>
                <c:pt idx="51">
                  <c:v>2004M04</c:v>
                </c:pt>
                <c:pt idx="52">
                  <c:v>2004M05</c:v>
                </c:pt>
                <c:pt idx="53">
                  <c:v>2004M06</c:v>
                </c:pt>
                <c:pt idx="54">
                  <c:v>2004M07</c:v>
                </c:pt>
                <c:pt idx="55">
                  <c:v>2004M08</c:v>
                </c:pt>
                <c:pt idx="56">
                  <c:v>2004M09</c:v>
                </c:pt>
                <c:pt idx="57">
                  <c:v>2004M10</c:v>
                </c:pt>
                <c:pt idx="58">
                  <c:v>2004M11</c:v>
                </c:pt>
                <c:pt idx="59">
                  <c:v>2004M12</c:v>
                </c:pt>
                <c:pt idx="60">
                  <c:v>2005M01</c:v>
                </c:pt>
                <c:pt idx="61">
                  <c:v>2005M02</c:v>
                </c:pt>
                <c:pt idx="62">
                  <c:v>2005M03</c:v>
                </c:pt>
                <c:pt idx="63">
                  <c:v>2005M04</c:v>
                </c:pt>
                <c:pt idx="64">
                  <c:v>2005M05</c:v>
                </c:pt>
                <c:pt idx="65">
                  <c:v>2005M06</c:v>
                </c:pt>
                <c:pt idx="66">
                  <c:v>2005M07</c:v>
                </c:pt>
                <c:pt idx="67">
                  <c:v>2005M08</c:v>
                </c:pt>
                <c:pt idx="68">
                  <c:v>2005M09</c:v>
                </c:pt>
                <c:pt idx="69">
                  <c:v>2005M10</c:v>
                </c:pt>
                <c:pt idx="70">
                  <c:v>2005M11</c:v>
                </c:pt>
                <c:pt idx="71">
                  <c:v>2005M12</c:v>
                </c:pt>
                <c:pt idx="72">
                  <c:v>2006M01</c:v>
                </c:pt>
                <c:pt idx="73">
                  <c:v>2006M02</c:v>
                </c:pt>
                <c:pt idx="74">
                  <c:v>2006M03</c:v>
                </c:pt>
                <c:pt idx="75">
                  <c:v>2006M04</c:v>
                </c:pt>
                <c:pt idx="76">
                  <c:v>2006M05</c:v>
                </c:pt>
                <c:pt idx="77">
                  <c:v>2006M06</c:v>
                </c:pt>
                <c:pt idx="78">
                  <c:v>2006M07</c:v>
                </c:pt>
                <c:pt idx="79">
                  <c:v>2006M08</c:v>
                </c:pt>
                <c:pt idx="80">
                  <c:v>2006M09</c:v>
                </c:pt>
                <c:pt idx="81">
                  <c:v>2006M10</c:v>
                </c:pt>
                <c:pt idx="82">
                  <c:v>2006M11</c:v>
                </c:pt>
                <c:pt idx="83">
                  <c:v>2006M12</c:v>
                </c:pt>
                <c:pt idx="84">
                  <c:v>2007M01</c:v>
                </c:pt>
                <c:pt idx="85">
                  <c:v>2007M02</c:v>
                </c:pt>
                <c:pt idx="86">
                  <c:v>2007M03</c:v>
                </c:pt>
                <c:pt idx="87">
                  <c:v>2007M04</c:v>
                </c:pt>
                <c:pt idx="88">
                  <c:v>2007M05</c:v>
                </c:pt>
                <c:pt idx="89">
                  <c:v>2007M06</c:v>
                </c:pt>
                <c:pt idx="90">
                  <c:v>2007M07</c:v>
                </c:pt>
                <c:pt idx="91">
                  <c:v>2007M08</c:v>
                </c:pt>
                <c:pt idx="92">
                  <c:v>2007M09</c:v>
                </c:pt>
                <c:pt idx="93">
                  <c:v>2007M10</c:v>
                </c:pt>
                <c:pt idx="94">
                  <c:v>2007M11</c:v>
                </c:pt>
                <c:pt idx="95">
                  <c:v>2007M12</c:v>
                </c:pt>
                <c:pt idx="96">
                  <c:v>2008M01</c:v>
                </c:pt>
                <c:pt idx="97">
                  <c:v>2008M02</c:v>
                </c:pt>
                <c:pt idx="98">
                  <c:v>2008M03</c:v>
                </c:pt>
                <c:pt idx="99">
                  <c:v>2008M04</c:v>
                </c:pt>
                <c:pt idx="100">
                  <c:v>2008M05</c:v>
                </c:pt>
                <c:pt idx="101">
                  <c:v>2008M06</c:v>
                </c:pt>
                <c:pt idx="102">
                  <c:v>2008M07</c:v>
                </c:pt>
                <c:pt idx="103">
                  <c:v>2008M08</c:v>
                </c:pt>
                <c:pt idx="104">
                  <c:v>2008M09</c:v>
                </c:pt>
                <c:pt idx="105">
                  <c:v>2008M10</c:v>
                </c:pt>
                <c:pt idx="106">
                  <c:v>2008M11</c:v>
                </c:pt>
                <c:pt idx="107">
                  <c:v>2008M12</c:v>
                </c:pt>
                <c:pt idx="108">
                  <c:v>2009M01</c:v>
                </c:pt>
                <c:pt idx="109">
                  <c:v>2009M02</c:v>
                </c:pt>
                <c:pt idx="110">
                  <c:v>2009M03</c:v>
                </c:pt>
                <c:pt idx="111">
                  <c:v>2009M04</c:v>
                </c:pt>
                <c:pt idx="112">
                  <c:v>2009M05</c:v>
                </c:pt>
                <c:pt idx="113">
                  <c:v>2009M06</c:v>
                </c:pt>
                <c:pt idx="114">
                  <c:v>2009M07</c:v>
                </c:pt>
                <c:pt idx="115">
                  <c:v>2009M08</c:v>
                </c:pt>
                <c:pt idx="116">
                  <c:v>2009M09</c:v>
                </c:pt>
                <c:pt idx="117">
                  <c:v>2009M10</c:v>
                </c:pt>
                <c:pt idx="118">
                  <c:v>2009M11</c:v>
                </c:pt>
                <c:pt idx="119">
                  <c:v>2009M12</c:v>
                </c:pt>
                <c:pt idx="120">
                  <c:v>2010M01</c:v>
                </c:pt>
                <c:pt idx="121">
                  <c:v>2010M02</c:v>
                </c:pt>
                <c:pt idx="122">
                  <c:v>2010M03</c:v>
                </c:pt>
                <c:pt idx="123">
                  <c:v>2010M04</c:v>
                </c:pt>
                <c:pt idx="124">
                  <c:v>2010M05</c:v>
                </c:pt>
                <c:pt idx="125">
                  <c:v>2010M06</c:v>
                </c:pt>
                <c:pt idx="126">
                  <c:v>2010M07</c:v>
                </c:pt>
                <c:pt idx="127">
                  <c:v>2010M08</c:v>
                </c:pt>
                <c:pt idx="128">
                  <c:v>2010M09</c:v>
                </c:pt>
                <c:pt idx="129">
                  <c:v>2010M10</c:v>
                </c:pt>
                <c:pt idx="130">
                  <c:v>2010M11</c:v>
                </c:pt>
                <c:pt idx="131">
                  <c:v>2010M12</c:v>
                </c:pt>
                <c:pt idx="132">
                  <c:v>2011M01</c:v>
                </c:pt>
                <c:pt idx="133">
                  <c:v>2011M02</c:v>
                </c:pt>
                <c:pt idx="134">
                  <c:v>2011M03</c:v>
                </c:pt>
                <c:pt idx="135">
                  <c:v>2011M04</c:v>
                </c:pt>
                <c:pt idx="136">
                  <c:v>2011M05</c:v>
                </c:pt>
                <c:pt idx="137">
                  <c:v>2011M06</c:v>
                </c:pt>
                <c:pt idx="138">
                  <c:v>2011M07</c:v>
                </c:pt>
                <c:pt idx="139">
                  <c:v>2011M08</c:v>
                </c:pt>
                <c:pt idx="140">
                  <c:v>2011M09</c:v>
                </c:pt>
                <c:pt idx="141">
                  <c:v>2011M10</c:v>
                </c:pt>
                <c:pt idx="142">
                  <c:v>2011M11</c:v>
                </c:pt>
                <c:pt idx="143">
                  <c:v>2011M12</c:v>
                </c:pt>
                <c:pt idx="144">
                  <c:v>2012M01</c:v>
                </c:pt>
              </c:strCache>
            </c:strRef>
          </c:cat>
          <c:val>
            <c:numRef>
              <c:f>'External_Data-020911'!$AJ$245:$AJ$389</c:f>
              <c:numCache>
                <c:formatCode>General</c:formatCode>
                <c:ptCount val="145"/>
                <c:pt idx="0">
                  <c:v>25.21</c:v>
                </c:pt>
                <c:pt idx="1">
                  <c:v>27.15</c:v>
                </c:pt>
                <c:pt idx="2">
                  <c:v>27.49</c:v>
                </c:pt>
                <c:pt idx="3">
                  <c:v>23.45</c:v>
                </c:pt>
                <c:pt idx="4">
                  <c:v>27.23</c:v>
                </c:pt>
                <c:pt idx="5">
                  <c:v>29.62</c:v>
                </c:pt>
                <c:pt idx="6">
                  <c:v>28.16</c:v>
                </c:pt>
                <c:pt idx="7">
                  <c:v>29.41</c:v>
                </c:pt>
                <c:pt idx="8">
                  <c:v>32.08</c:v>
                </c:pt>
                <c:pt idx="9">
                  <c:v>31.4</c:v>
                </c:pt>
                <c:pt idx="10">
                  <c:v>32.33</c:v>
                </c:pt>
                <c:pt idx="11">
                  <c:v>25.28</c:v>
                </c:pt>
                <c:pt idx="12">
                  <c:v>25.95</c:v>
                </c:pt>
                <c:pt idx="13">
                  <c:v>27.24</c:v>
                </c:pt>
                <c:pt idx="14">
                  <c:v>25.02</c:v>
                </c:pt>
                <c:pt idx="15">
                  <c:v>25.66</c:v>
                </c:pt>
                <c:pt idx="16">
                  <c:v>27.55</c:v>
                </c:pt>
                <c:pt idx="17">
                  <c:v>26.97</c:v>
                </c:pt>
                <c:pt idx="18">
                  <c:v>24.8</c:v>
                </c:pt>
                <c:pt idx="19">
                  <c:v>25.81</c:v>
                </c:pt>
                <c:pt idx="20">
                  <c:v>25.03</c:v>
                </c:pt>
                <c:pt idx="21">
                  <c:v>20.73</c:v>
                </c:pt>
                <c:pt idx="22">
                  <c:v>18.69</c:v>
                </c:pt>
                <c:pt idx="23">
                  <c:v>18.52</c:v>
                </c:pt>
                <c:pt idx="24">
                  <c:v>19.15</c:v>
                </c:pt>
                <c:pt idx="25">
                  <c:v>19.98</c:v>
                </c:pt>
                <c:pt idx="26">
                  <c:v>23.64</c:v>
                </c:pt>
                <c:pt idx="27">
                  <c:v>25.43</c:v>
                </c:pt>
                <c:pt idx="28">
                  <c:v>25.69</c:v>
                </c:pt>
                <c:pt idx="29">
                  <c:v>24.49</c:v>
                </c:pt>
                <c:pt idx="30">
                  <c:v>25.75</c:v>
                </c:pt>
                <c:pt idx="31">
                  <c:v>26.78</c:v>
                </c:pt>
                <c:pt idx="32">
                  <c:v>28.28</c:v>
                </c:pt>
                <c:pt idx="33">
                  <c:v>27.53</c:v>
                </c:pt>
                <c:pt idx="34">
                  <c:v>24.79</c:v>
                </c:pt>
                <c:pt idx="35">
                  <c:v>27.89</c:v>
                </c:pt>
                <c:pt idx="36">
                  <c:v>30.77</c:v>
                </c:pt>
                <c:pt idx="37">
                  <c:v>32.88</c:v>
                </c:pt>
                <c:pt idx="38">
                  <c:v>30.36</c:v>
                </c:pt>
                <c:pt idx="39">
                  <c:v>25.49</c:v>
                </c:pt>
                <c:pt idx="40">
                  <c:v>26.06</c:v>
                </c:pt>
                <c:pt idx="41">
                  <c:v>27.91</c:v>
                </c:pt>
                <c:pt idx="42">
                  <c:v>28.59</c:v>
                </c:pt>
                <c:pt idx="43">
                  <c:v>29.68</c:v>
                </c:pt>
                <c:pt idx="44">
                  <c:v>26.88</c:v>
                </c:pt>
                <c:pt idx="45">
                  <c:v>29.01</c:v>
                </c:pt>
                <c:pt idx="46">
                  <c:v>29.12</c:v>
                </c:pt>
                <c:pt idx="47">
                  <c:v>29.95</c:v>
                </c:pt>
                <c:pt idx="48">
                  <c:v>31.4</c:v>
                </c:pt>
                <c:pt idx="49">
                  <c:v>31.32</c:v>
                </c:pt>
                <c:pt idx="50">
                  <c:v>33.67</c:v>
                </c:pt>
                <c:pt idx="51">
                  <c:v>33.71</c:v>
                </c:pt>
                <c:pt idx="52">
                  <c:v>37.63</c:v>
                </c:pt>
                <c:pt idx="53">
                  <c:v>35.54</c:v>
                </c:pt>
                <c:pt idx="54">
                  <c:v>37.93</c:v>
                </c:pt>
                <c:pt idx="55">
                  <c:v>42.08</c:v>
                </c:pt>
                <c:pt idx="56">
                  <c:v>41.65</c:v>
                </c:pt>
                <c:pt idx="57">
                  <c:v>46.87</c:v>
                </c:pt>
                <c:pt idx="58">
                  <c:v>42.23</c:v>
                </c:pt>
                <c:pt idx="59">
                  <c:v>39.09</c:v>
                </c:pt>
                <c:pt idx="60">
                  <c:v>42.89</c:v>
                </c:pt>
                <c:pt idx="61">
                  <c:v>44.56</c:v>
                </c:pt>
                <c:pt idx="62">
                  <c:v>50.93</c:v>
                </c:pt>
                <c:pt idx="63">
                  <c:v>50.64</c:v>
                </c:pt>
                <c:pt idx="64">
                  <c:v>47.81</c:v>
                </c:pt>
                <c:pt idx="65">
                  <c:v>53.89</c:v>
                </c:pt>
                <c:pt idx="66">
                  <c:v>56.37</c:v>
                </c:pt>
                <c:pt idx="67">
                  <c:v>61.87</c:v>
                </c:pt>
                <c:pt idx="68">
                  <c:v>61.65</c:v>
                </c:pt>
                <c:pt idx="69">
                  <c:v>58.19</c:v>
                </c:pt>
                <c:pt idx="70">
                  <c:v>54.98</c:v>
                </c:pt>
                <c:pt idx="71">
                  <c:v>56.47</c:v>
                </c:pt>
                <c:pt idx="72">
                  <c:v>62.36</c:v>
                </c:pt>
                <c:pt idx="73">
                  <c:v>59.71</c:v>
                </c:pt>
                <c:pt idx="74">
                  <c:v>60.93</c:v>
                </c:pt>
                <c:pt idx="75">
                  <c:v>68.0</c:v>
                </c:pt>
                <c:pt idx="76">
                  <c:v>68.61</c:v>
                </c:pt>
                <c:pt idx="77">
                  <c:v>68.29</c:v>
                </c:pt>
                <c:pt idx="78">
                  <c:v>72.51</c:v>
                </c:pt>
                <c:pt idx="79">
                  <c:v>71.81</c:v>
                </c:pt>
                <c:pt idx="80">
                  <c:v>61.97</c:v>
                </c:pt>
                <c:pt idx="81">
                  <c:v>57.95</c:v>
                </c:pt>
                <c:pt idx="82">
                  <c:v>58.13</c:v>
                </c:pt>
                <c:pt idx="83">
                  <c:v>61.0</c:v>
                </c:pt>
                <c:pt idx="84">
                  <c:v>53.4</c:v>
                </c:pt>
                <c:pt idx="85">
                  <c:v>57.58</c:v>
                </c:pt>
                <c:pt idx="86">
                  <c:v>60.6</c:v>
                </c:pt>
                <c:pt idx="87">
                  <c:v>65.1</c:v>
                </c:pt>
                <c:pt idx="88">
                  <c:v>65.1</c:v>
                </c:pt>
                <c:pt idx="89">
                  <c:v>68.19</c:v>
                </c:pt>
                <c:pt idx="90">
                  <c:v>73.66999999999998</c:v>
                </c:pt>
                <c:pt idx="91">
                  <c:v>70.13</c:v>
                </c:pt>
                <c:pt idx="92">
                  <c:v>76.91</c:v>
                </c:pt>
                <c:pt idx="93">
                  <c:v>82.15000000000001</c:v>
                </c:pt>
                <c:pt idx="94">
                  <c:v>91.27</c:v>
                </c:pt>
                <c:pt idx="95">
                  <c:v>89.43</c:v>
                </c:pt>
                <c:pt idx="96">
                  <c:v>90.82</c:v>
                </c:pt>
                <c:pt idx="97">
                  <c:v>93.75</c:v>
                </c:pt>
                <c:pt idx="98">
                  <c:v>101.84</c:v>
                </c:pt>
                <c:pt idx="99">
                  <c:v>109.05</c:v>
                </c:pt>
                <c:pt idx="100">
                  <c:v>122.77</c:v>
                </c:pt>
                <c:pt idx="101">
                  <c:v>131.52</c:v>
                </c:pt>
                <c:pt idx="102">
                  <c:v>132.55</c:v>
                </c:pt>
                <c:pt idx="103">
                  <c:v>114.57</c:v>
                </c:pt>
                <c:pt idx="104">
                  <c:v>99.29</c:v>
                </c:pt>
                <c:pt idx="105">
                  <c:v>72.69</c:v>
                </c:pt>
                <c:pt idx="106">
                  <c:v>54.04</c:v>
                </c:pt>
                <c:pt idx="107">
                  <c:v>41.53</c:v>
                </c:pt>
                <c:pt idx="108">
                  <c:v>43.91</c:v>
                </c:pt>
                <c:pt idx="109">
                  <c:v>41.76</c:v>
                </c:pt>
                <c:pt idx="110">
                  <c:v>46.95</c:v>
                </c:pt>
                <c:pt idx="111">
                  <c:v>50.28</c:v>
                </c:pt>
                <c:pt idx="112">
                  <c:v>58.1</c:v>
                </c:pt>
                <c:pt idx="113">
                  <c:v>69.13</c:v>
                </c:pt>
                <c:pt idx="114">
                  <c:v>64.65000000000001</c:v>
                </c:pt>
                <c:pt idx="115">
                  <c:v>71.63</c:v>
                </c:pt>
                <c:pt idx="116">
                  <c:v>68.38</c:v>
                </c:pt>
                <c:pt idx="117">
                  <c:v>74.08</c:v>
                </c:pt>
                <c:pt idx="118">
                  <c:v>77.56</c:v>
                </c:pt>
                <c:pt idx="119">
                  <c:v>74.88</c:v>
                </c:pt>
                <c:pt idx="120">
                  <c:v>77.12</c:v>
                </c:pt>
                <c:pt idx="121">
                  <c:v>74.72</c:v>
                </c:pt>
                <c:pt idx="122">
                  <c:v>79.3</c:v>
                </c:pt>
                <c:pt idx="123">
                  <c:v>84.14</c:v>
                </c:pt>
                <c:pt idx="124">
                  <c:v>75.54</c:v>
                </c:pt>
                <c:pt idx="125">
                  <c:v>74.73</c:v>
                </c:pt>
                <c:pt idx="126">
                  <c:v>74.52</c:v>
                </c:pt>
                <c:pt idx="127">
                  <c:v>75.88</c:v>
                </c:pt>
                <c:pt idx="128">
                  <c:v>76.11</c:v>
                </c:pt>
                <c:pt idx="129">
                  <c:v>81.72</c:v>
                </c:pt>
                <c:pt idx="130">
                  <c:v>84.53</c:v>
                </c:pt>
                <c:pt idx="131">
                  <c:v>90.07</c:v>
                </c:pt>
                <c:pt idx="132">
                  <c:v>92.66</c:v>
                </c:pt>
                <c:pt idx="133">
                  <c:v>97.73</c:v>
                </c:pt>
                <c:pt idx="134">
                  <c:v>108.65</c:v>
                </c:pt>
                <c:pt idx="135">
                  <c:v>116.32</c:v>
                </c:pt>
                <c:pt idx="136">
                  <c:v>108.18</c:v>
                </c:pt>
                <c:pt idx="137">
                  <c:v>105.85</c:v>
                </c:pt>
                <c:pt idx="138">
                  <c:v>107.88</c:v>
                </c:pt>
                <c:pt idx="139">
                  <c:v>100.46</c:v>
                </c:pt>
                <c:pt idx="140">
                  <c:v>100.83</c:v>
                </c:pt>
                <c:pt idx="141">
                  <c:v>99.92</c:v>
                </c:pt>
                <c:pt idx="142">
                  <c:v>105.36</c:v>
                </c:pt>
                <c:pt idx="143">
                  <c:v>103.43</c:v>
                </c:pt>
                <c:pt idx="144">
                  <c:v>106.89</c:v>
                </c:pt>
              </c:numCache>
            </c:numRef>
          </c:val>
        </c:ser>
        <c:marker val="1"/>
        <c:axId val="286074456"/>
        <c:axId val="286078120"/>
      </c:lineChart>
      <c:lineChart>
        <c:grouping val="standard"/>
        <c:ser>
          <c:idx val="1"/>
          <c:order val="0"/>
          <c:tx>
            <c:v>Food Price Index</c:v>
          </c:tx>
          <c:spPr>
            <a:ln w="25400">
              <a:solidFill>
                <a:srgbClr val="006411"/>
              </a:solidFill>
              <a:prstDash val="solid"/>
            </a:ln>
          </c:spPr>
          <c:marker>
            <c:symbol val="none"/>
          </c:marker>
          <c:cat>
            <c:strRef>
              <c:f>'External_Data-020911'!$A$245:$A$389</c:f>
              <c:strCache>
                <c:ptCount val="145"/>
                <c:pt idx="0">
                  <c:v>2000M01</c:v>
                </c:pt>
                <c:pt idx="1">
                  <c:v>2000M02</c:v>
                </c:pt>
                <c:pt idx="2">
                  <c:v>2000M03</c:v>
                </c:pt>
                <c:pt idx="3">
                  <c:v>2000M04</c:v>
                </c:pt>
                <c:pt idx="4">
                  <c:v>2000M05</c:v>
                </c:pt>
                <c:pt idx="5">
                  <c:v>2000M06</c:v>
                </c:pt>
                <c:pt idx="6">
                  <c:v>2000M07</c:v>
                </c:pt>
                <c:pt idx="7">
                  <c:v>2000M08</c:v>
                </c:pt>
                <c:pt idx="8">
                  <c:v>2000M09</c:v>
                </c:pt>
                <c:pt idx="9">
                  <c:v>2000M10</c:v>
                </c:pt>
                <c:pt idx="10">
                  <c:v>2000M11</c:v>
                </c:pt>
                <c:pt idx="11">
                  <c:v>2000M12</c:v>
                </c:pt>
                <c:pt idx="12">
                  <c:v>2001M01</c:v>
                </c:pt>
                <c:pt idx="13">
                  <c:v>2001M02</c:v>
                </c:pt>
                <c:pt idx="14">
                  <c:v>2001M03</c:v>
                </c:pt>
                <c:pt idx="15">
                  <c:v>2001M04</c:v>
                </c:pt>
                <c:pt idx="16">
                  <c:v>2001M05</c:v>
                </c:pt>
                <c:pt idx="17">
                  <c:v>2001M06</c:v>
                </c:pt>
                <c:pt idx="18">
                  <c:v>2001M07</c:v>
                </c:pt>
                <c:pt idx="19">
                  <c:v>2001M08</c:v>
                </c:pt>
                <c:pt idx="20">
                  <c:v>2001M09</c:v>
                </c:pt>
                <c:pt idx="21">
                  <c:v>2001M10</c:v>
                </c:pt>
                <c:pt idx="22">
                  <c:v>2001M11</c:v>
                </c:pt>
                <c:pt idx="23">
                  <c:v>2001M12</c:v>
                </c:pt>
                <c:pt idx="24">
                  <c:v>2002M01</c:v>
                </c:pt>
                <c:pt idx="25">
                  <c:v>2002M02</c:v>
                </c:pt>
                <c:pt idx="26">
                  <c:v>2002M03</c:v>
                </c:pt>
                <c:pt idx="27">
                  <c:v>2002M04</c:v>
                </c:pt>
                <c:pt idx="28">
                  <c:v>2002M05</c:v>
                </c:pt>
                <c:pt idx="29">
                  <c:v>2002M06</c:v>
                </c:pt>
                <c:pt idx="30">
                  <c:v>2002M07</c:v>
                </c:pt>
                <c:pt idx="31">
                  <c:v>2002M08</c:v>
                </c:pt>
                <c:pt idx="32">
                  <c:v>2002M09</c:v>
                </c:pt>
                <c:pt idx="33">
                  <c:v>2002M10</c:v>
                </c:pt>
                <c:pt idx="34">
                  <c:v>2002M11</c:v>
                </c:pt>
                <c:pt idx="35">
                  <c:v>2002M12</c:v>
                </c:pt>
                <c:pt idx="36">
                  <c:v>2003M01</c:v>
                </c:pt>
                <c:pt idx="37">
                  <c:v>2003M02</c:v>
                </c:pt>
                <c:pt idx="38">
                  <c:v>2003M03</c:v>
                </c:pt>
                <c:pt idx="39">
                  <c:v>2003M04</c:v>
                </c:pt>
                <c:pt idx="40">
                  <c:v>2003M05</c:v>
                </c:pt>
                <c:pt idx="41">
                  <c:v>2003M06</c:v>
                </c:pt>
                <c:pt idx="42">
                  <c:v>2003M07</c:v>
                </c:pt>
                <c:pt idx="43">
                  <c:v>2003M08</c:v>
                </c:pt>
                <c:pt idx="44">
                  <c:v>2003M09</c:v>
                </c:pt>
                <c:pt idx="45">
                  <c:v>2003M10</c:v>
                </c:pt>
                <c:pt idx="46">
                  <c:v>2003M11</c:v>
                </c:pt>
                <c:pt idx="47">
                  <c:v>2003M12</c:v>
                </c:pt>
                <c:pt idx="48">
                  <c:v>2004M01</c:v>
                </c:pt>
                <c:pt idx="49">
                  <c:v>2004M02</c:v>
                </c:pt>
                <c:pt idx="50">
                  <c:v>2004M03</c:v>
                </c:pt>
                <c:pt idx="51">
                  <c:v>2004M04</c:v>
                </c:pt>
                <c:pt idx="52">
                  <c:v>2004M05</c:v>
                </c:pt>
                <c:pt idx="53">
                  <c:v>2004M06</c:v>
                </c:pt>
                <c:pt idx="54">
                  <c:v>2004M07</c:v>
                </c:pt>
                <c:pt idx="55">
                  <c:v>2004M08</c:v>
                </c:pt>
                <c:pt idx="56">
                  <c:v>2004M09</c:v>
                </c:pt>
                <c:pt idx="57">
                  <c:v>2004M10</c:v>
                </c:pt>
                <c:pt idx="58">
                  <c:v>2004M11</c:v>
                </c:pt>
                <c:pt idx="59">
                  <c:v>2004M12</c:v>
                </c:pt>
                <c:pt idx="60">
                  <c:v>2005M01</c:v>
                </c:pt>
                <c:pt idx="61">
                  <c:v>2005M02</c:v>
                </c:pt>
                <c:pt idx="62">
                  <c:v>2005M03</c:v>
                </c:pt>
                <c:pt idx="63">
                  <c:v>2005M04</c:v>
                </c:pt>
                <c:pt idx="64">
                  <c:v>2005M05</c:v>
                </c:pt>
                <c:pt idx="65">
                  <c:v>2005M06</c:v>
                </c:pt>
                <c:pt idx="66">
                  <c:v>2005M07</c:v>
                </c:pt>
                <c:pt idx="67">
                  <c:v>2005M08</c:v>
                </c:pt>
                <c:pt idx="68">
                  <c:v>2005M09</c:v>
                </c:pt>
                <c:pt idx="69">
                  <c:v>2005M10</c:v>
                </c:pt>
                <c:pt idx="70">
                  <c:v>2005M11</c:v>
                </c:pt>
                <c:pt idx="71">
                  <c:v>2005M12</c:v>
                </c:pt>
                <c:pt idx="72">
                  <c:v>2006M01</c:v>
                </c:pt>
                <c:pt idx="73">
                  <c:v>2006M02</c:v>
                </c:pt>
                <c:pt idx="74">
                  <c:v>2006M03</c:v>
                </c:pt>
                <c:pt idx="75">
                  <c:v>2006M04</c:v>
                </c:pt>
                <c:pt idx="76">
                  <c:v>2006M05</c:v>
                </c:pt>
                <c:pt idx="77">
                  <c:v>2006M06</c:v>
                </c:pt>
                <c:pt idx="78">
                  <c:v>2006M07</c:v>
                </c:pt>
                <c:pt idx="79">
                  <c:v>2006M08</c:v>
                </c:pt>
                <c:pt idx="80">
                  <c:v>2006M09</c:v>
                </c:pt>
                <c:pt idx="81">
                  <c:v>2006M10</c:v>
                </c:pt>
                <c:pt idx="82">
                  <c:v>2006M11</c:v>
                </c:pt>
                <c:pt idx="83">
                  <c:v>2006M12</c:v>
                </c:pt>
                <c:pt idx="84">
                  <c:v>2007M01</c:v>
                </c:pt>
                <c:pt idx="85">
                  <c:v>2007M02</c:v>
                </c:pt>
                <c:pt idx="86">
                  <c:v>2007M03</c:v>
                </c:pt>
                <c:pt idx="87">
                  <c:v>2007M04</c:v>
                </c:pt>
                <c:pt idx="88">
                  <c:v>2007M05</c:v>
                </c:pt>
                <c:pt idx="89">
                  <c:v>2007M06</c:v>
                </c:pt>
                <c:pt idx="90">
                  <c:v>2007M07</c:v>
                </c:pt>
                <c:pt idx="91">
                  <c:v>2007M08</c:v>
                </c:pt>
                <c:pt idx="92">
                  <c:v>2007M09</c:v>
                </c:pt>
                <c:pt idx="93">
                  <c:v>2007M10</c:v>
                </c:pt>
                <c:pt idx="94">
                  <c:v>2007M11</c:v>
                </c:pt>
                <c:pt idx="95">
                  <c:v>2007M12</c:v>
                </c:pt>
                <c:pt idx="96">
                  <c:v>2008M01</c:v>
                </c:pt>
                <c:pt idx="97">
                  <c:v>2008M02</c:v>
                </c:pt>
                <c:pt idx="98">
                  <c:v>2008M03</c:v>
                </c:pt>
                <c:pt idx="99">
                  <c:v>2008M04</c:v>
                </c:pt>
                <c:pt idx="100">
                  <c:v>2008M05</c:v>
                </c:pt>
                <c:pt idx="101">
                  <c:v>2008M06</c:v>
                </c:pt>
                <c:pt idx="102">
                  <c:v>2008M07</c:v>
                </c:pt>
                <c:pt idx="103">
                  <c:v>2008M08</c:v>
                </c:pt>
                <c:pt idx="104">
                  <c:v>2008M09</c:v>
                </c:pt>
                <c:pt idx="105">
                  <c:v>2008M10</c:v>
                </c:pt>
                <c:pt idx="106">
                  <c:v>2008M11</c:v>
                </c:pt>
                <c:pt idx="107">
                  <c:v>2008M12</c:v>
                </c:pt>
                <c:pt idx="108">
                  <c:v>2009M01</c:v>
                </c:pt>
                <c:pt idx="109">
                  <c:v>2009M02</c:v>
                </c:pt>
                <c:pt idx="110">
                  <c:v>2009M03</c:v>
                </c:pt>
                <c:pt idx="111">
                  <c:v>2009M04</c:v>
                </c:pt>
                <c:pt idx="112">
                  <c:v>2009M05</c:v>
                </c:pt>
                <c:pt idx="113">
                  <c:v>2009M06</c:v>
                </c:pt>
                <c:pt idx="114">
                  <c:v>2009M07</c:v>
                </c:pt>
                <c:pt idx="115">
                  <c:v>2009M08</c:v>
                </c:pt>
                <c:pt idx="116">
                  <c:v>2009M09</c:v>
                </c:pt>
                <c:pt idx="117">
                  <c:v>2009M10</c:v>
                </c:pt>
                <c:pt idx="118">
                  <c:v>2009M11</c:v>
                </c:pt>
                <c:pt idx="119">
                  <c:v>2009M12</c:v>
                </c:pt>
                <c:pt idx="120">
                  <c:v>2010M01</c:v>
                </c:pt>
                <c:pt idx="121">
                  <c:v>2010M02</c:v>
                </c:pt>
                <c:pt idx="122">
                  <c:v>2010M03</c:v>
                </c:pt>
                <c:pt idx="123">
                  <c:v>2010M04</c:v>
                </c:pt>
                <c:pt idx="124">
                  <c:v>2010M05</c:v>
                </c:pt>
                <c:pt idx="125">
                  <c:v>2010M06</c:v>
                </c:pt>
                <c:pt idx="126">
                  <c:v>2010M07</c:v>
                </c:pt>
                <c:pt idx="127">
                  <c:v>2010M08</c:v>
                </c:pt>
                <c:pt idx="128">
                  <c:v>2010M09</c:v>
                </c:pt>
                <c:pt idx="129">
                  <c:v>2010M10</c:v>
                </c:pt>
                <c:pt idx="130">
                  <c:v>2010M11</c:v>
                </c:pt>
                <c:pt idx="131">
                  <c:v>2010M12</c:v>
                </c:pt>
                <c:pt idx="132">
                  <c:v>2011M01</c:v>
                </c:pt>
                <c:pt idx="133">
                  <c:v>2011M02</c:v>
                </c:pt>
                <c:pt idx="134">
                  <c:v>2011M03</c:v>
                </c:pt>
                <c:pt idx="135">
                  <c:v>2011M04</c:v>
                </c:pt>
                <c:pt idx="136">
                  <c:v>2011M05</c:v>
                </c:pt>
                <c:pt idx="137">
                  <c:v>2011M06</c:v>
                </c:pt>
                <c:pt idx="138">
                  <c:v>2011M07</c:v>
                </c:pt>
                <c:pt idx="139">
                  <c:v>2011M08</c:v>
                </c:pt>
                <c:pt idx="140">
                  <c:v>2011M09</c:v>
                </c:pt>
                <c:pt idx="141">
                  <c:v>2011M10</c:v>
                </c:pt>
                <c:pt idx="142">
                  <c:v>2011M11</c:v>
                </c:pt>
                <c:pt idx="143">
                  <c:v>2011M12</c:v>
                </c:pt>
                <c:pt idx="144">
                  <c:v>2012M01</c:v>
                </c:pt>
              </c:strCache>
            </c:strRef>
          </c:cat>
          <c:val>
            <c:numRef>
              <c:f>'External_Data-020911'!$E$245:$E$389</c:f>
              <c:numCache>
                <c:formatCode>General</c:formatCode>
                <c:ptCount val="145"/>
                <c:pt idx="0">
                  <c:v>82.21</c:v>
                </c:pt>
                <c:pt idx="1">
                  <c:v>83.3</c:v>
                </c:pt>
                <c:pt idx="2">
                  <c:v>83.24</c:v>
                </c:pt>
                <c:pt idx="3">
                  <c:v>85.68000000000001</c:v>
                </c:pt>
                <c:pt idx="4">
                  <c:v>85.62</c:v>
                </c:pt>
                <c:pt idx="5">
                  <c:v>84.3</c:v>
                </c:pt>
                <c:pt idx="6">
                  <c:v>82.12</c:v>
                </c:pt>
                <c:pt idx="7">
                  <c:v>81.04</c:v>
                </c:pt>
                <c:pt idx="8">
                  <c:v>79.91</c:v>
                </c:pt>
                <c:pt idx="9">
                  <c:v>78.82</c:v>
                </c:pt>
                <c:pt idx="10">
                  <c:v>78.33</c:v>
                </c:pt>
                <c:pt idx="11">
                  <c:v>80.89</c:v>
                </c:pt>
                <c:pt idx="12">
                  <c:v>80.76</c:v>
                </c:pt>
                <c:pt idx="13">
                  <c:v>80.16999999999998</c:v>
                </c:pt>
                <c:pt idx="14">
                  <c:v>80.92</c:v>
                </c:pt>
                <c:pt idx="15">
                  <c:v>79.46</c:v>
                </c:pt>
                <c:pt idx="16">
                  <c:v>81.52</c:v>
                </c:pt>
                <c:pt idx="17">
                  <c:v>81.36</c:v>
                </c:pt>
                <c:pt idx="18">
                  <c:v>84.47</c:v>
                </c:pt>
                <c:pt idx="19">
                  <c:v>84.35</c:v>
                </c:pt>
                <c:pt idx="20">
                  <c:v>81.41</c:v>
                </c:pt>
                <c:pt idx="21">
                  <c:v>77.22</c:v>
                </c:pt>
                <c:pt idx="22">
                  <c:v>77.08</c:v>
                </c:pt>
                <c:pt idx="23">
                  <c:v>77.11</c:v>
                </c:pt>
                <c:pt idx="24">
                  <c:v>78.11</c:v>
                </c:pt>
                <c:pt idx="25">
                  <c:v>77.47</c:v>
                </c:pt>
                <c:pt idx="26">
                  <c:v>78.74</c:v>
                </c:pt>
                <c:pt idx="27">
                  <c:v>78.1</c:v>
                </c:pt>
                <c:pt idx="28">
                  <c:v>80.21</c:v>
                </c:pt>
                <c:pt idx="29">
                  <c:v>82.44</c:v>
                </c:pt>
                <c:pt idx="30">
                  <c:v>86.08</c:v>
                </c:pt>
                <c:pt idx="31">
                  <c:v>86.62</c:v>
                </c:pt>
                <c:pt idx="32">
                  <c:v>88.57</c:v>
                </c:pt>
                <c:pt idx="33">
                  <c:v>88.52</c:v>
                </c:pt>
                <c:pt idx="34">
                  <c:v>87.21</c:v>
                </c:pt>
                <c:pt idx="35">
                  <c:v>87.89</c:v>
                </c:pt>
                <c:pt idx="36">
                  <c:v>88.24</c:v>
                </c:pt>
                <c:pt idx="37">
                  <c:v>87.6</c:v>
                </c:pt>
                <c:pt idx="38">
                  <c:v>86.75</c:v>
                </c:pt>
                <c:pt idx="39">
                  <c:v>86.44</c:v>
                </c:pt>
                <c:pt idx="40">
                  <c:v>88.36</c:v>
                </c:pt>
                <c:pt idx="41">
                  <c:v>86.27</c:v>
                </c:pt>
                <c:pt idx="42">
                  <c:v>83.41</c:v>
                </c:pt>
                <c:pt idx="43">
                  <c:v>84.53</c:v>
                </c:pt>
                <c:pt idx="44">
                  <c:v>88.23</c:v>
                </c:pt>
                <c:pt idx="45">
                  <c:v>92.96</c:v>
                </c:pt>
                <c:pt idx="46">
                  <c:v>94.75</c:v>
                </c:pt>
                <c:pt idx="47">
                  <c:v>95.12</c:v>
                </c:pt>
                <c:pt idx="48">
                  <c:v>98.74</c:v>
                </c:pt>
                <c:pt idx="49">
                  <c:v>101.71</c:v>
                </c:pt>
                <c:pt idx="50">
                  <c:v>107.49</c:v>
                </c:pt>
                <c:pt idx="51">
                  <c:v>109.09</c:v>
                </c:pt>
                <c:pt idx="52">
                  <c:v>109.52</c:v>
                </c:pt>
                <c:pt idx="53">
                  <c:v>105.56</c:v>
                </c:pt>
                <c:pt idx="54">
                  <c:v>102.6</c:v>
                </c:pt>
                <c:pt idx="55">
                  <c:v>98.1</c:v>
                </c:pt>
                <c:pt idx="56">
                  <c:v>96.15000000000001</c:v>
                </c:pt>
                <c:pt idx="57">
                  <c:v>93.3</c:v>
                </c:pt>
                <c:pt idx="58">
                  <c:v>93.9</c:v>
                </c:pt>
                <c:pt idx="59">
                  <c:v>95.23</c:v>
                </c:pt>
                <c:pt idx="60">
                  <c:v>95.58</c:v>
                </c:pt>
                <c:pt idx="61">
                  <c:v>98.79</c:v>
                </c:pt>
                <c:pt idx="62">
                  <c:v>103.17</c:v>
                </c:pt>
                <c:pt idx="63">
                  <c:v>100.48</c:v>
                </c:pt>
                <c:pt idx="64">
                  <c:v>100.91</c:v>
                </c:pt>
                <c:pt idx="65">
                  <c:v>100.96</c:v>
                </c:pt>
                <c:pt idx="66">
                  <c:v>101.43</c:v>
                </c:pt>
                <c:pt idx="67">
                  <c:v>100.09</c:v>
                </c:pt>
                <c:pt idx="68">
                  <c:v>100.03</c:v>
                </c:pt>
                <c:pt idx="69">
                  <c:v>100.35</c:v>
                </c:pt>
                <c:pt idx="70">
                  <c:v>97.8</c:v>
                </c:pt>
                <c:pt idx="71">
                  <c:v>100.42</c:v>
                </c:pt>
                <c:pt idx="72">
                  <c:v>101.37</c:v>
                </c:pt>
                <c:pt idx="73">
                  <c:v>104.35</c:v>
                </c:pt>
                <c:pt idx="74">
                  <c:v>105.56</c:v>
                </c:pt>
                <c:pt idx="75">
                  <c:v>108.05</c:v>
                </c:pt>
                <c:pt idx="76">
                  <c:v>115.1</c:v>
                </c:pt>
                <c:pt idx="77">
                  <c:v>115.82</c:v>
                </c:pt>
                <c:pt idx="78">
                  <c:v>114.84</c:v>
                </c:pt>
                <c:pt idx="79">
                  <c:v>112.6</c:v>
                </c:pt>
                <c:pt idx="80">
                  <c:v>108.37</c:v>
                </c:pt>
                <c:pt idx="81">
                  <c:v>110.8</c:v>
                </c:pt>
                <c:pt idx="82">
                  <c:v>114.25</c:v>
                </c:pt>
                <c:pt idx="83">
                  <c:v>114.84</c:v>
                </c:pt>
                <c:pt idx="84">
                  <c:v>115.05</c:v>
                </c:pt>
                <c:pt idx="85">
                  <c:v>118.99</c:v>
                </c:pt>
                <c:pt idx="86">
                  <c:v>118.77</c:v>
                </c:pt>
                <c:pt idx="87">
                  <c:v>118.3</c:v>
                </c:pt>
                <c:pt idx="88">
                  <c:v>119.54</c:v>
                </c:pt>
                <c:pt idx="89">
                  <c:v>124.62</c:v>
                </c:pt>
                <c:pt idx="90">
                  <c:v>126.26</c:v>
                </c:pt>
                <c:pt idx="91">
                  <c:v>128.65</c:v>
                </c:pt>
                <c:pt idx="92">
                  <c:v>135.05</c:v>
                </c:pt>
                <c:pt idx="93">
                  <c:v>137.23</c:v>
                </c:pt>
                <c:pt idx="94">
                  <c:v>139.3</c:v>
                </c:pt>
                <c:pt idx="95">
                  <c:v>145.97</c:v>
                </c:pt>
                <c:pt idx="96">
                  <c:v>153.02</c:v>
                </c:pt>
                <c:pt idx="97">
                  <c:v>165.52</c:v>
                </c:pt>
                <c:pt idx="98">
                  <c:v>172.53</c:v>
                </c:pt>
                <c:pt idx="99">
                  <c:v>171.57</c:v>
                </c:pt>
                <c:pt idx="100">
                  <c:v>173.17</c:v>
                </c:pt>
                <c:pt idx="101">
                  <c:v>179.71</c:v>
                </c:pt>
                <c:pt idx="102">
                  <c:v>178.29</c:v>
                </c:pt>
                <c:pt idx="103">
                  <c:v>164.85</c:v>
                </c:pt>
                <c:pt idx="104">
                  <c:v>153.98</c:v>
                </c:pt>
                <c:pt idx="105">
                  <c:v>129.83</c:v>
                </c:pt>
                <c:pt idx="106">
                  <c:v>122.41</c:v>
                </c:pt>
                <c:pt idx="107">
                  <c:v>119.6</c:v>
                </c:pt>
                <c:pt idx="108">
                  <c:v>127.89</c:v>
                </c:pt>
                <c:pt idx="109">
                  <c:v>124.61</c:v>
                </c:pt>
                <c:pt idx="110">
                  <c:v>125.85</c:v>
                </c:pt>
                <c:pt idx="111">
                  <c:v>131.88</c:v>
                </c:pt>
                <c:pt idx="112">
                  <c:v>141.87</c:v>
                </c:pt>
                <c:pt idx="113">
                  <c:v>143.18</c:v>
                </c:pt>
                <c:pt idx="114">
                  <c:v>137.11</c:v>
                </c:pt>
                <c:pt idx="115">
                  <c:v>135.4</c:v>
                </c:pt>
                <c:pt idx="116">
                  <c:v>131.21</c:v>
                </c:pt>
                <c:pt idx="117">
                  <c:v>132.35</c:v>
                </c:pt>
                <c:pt idx="118">
                  <c:v>137.12</c:v>
                </c:pt>
                <c:pt idx="119">
                  <c:v>139.52</c:v>
                </c:pt>
                <c:pt idx="120">
                  <c:v>138.77</c:v>
                </c:pt>
                <c:pt idx="121">
                  <c:v>138.11</c:v>
                </c:pt>
                <c:pt idx="122">
                  <c:v>139.24</c:v>
                </c:pt>
                <c:pt idx="123">
                  <c:v>143.09</c:v>
                </c:pt>
                <c:pt idx="124">
                  <c:v>140.66</c:v>
                </c:pt>
                <c:pt idx="125">
                  <c:v>136.54</c:v>
                </c:pt>
                <c:pt idx="126">
                  <c:v>143.91</c:v>
                </c:pt>
                <c:pt idx="127">
                  <c:v>151.37</c:v>
                </c:pt>
                <c:pt idx="128">
                  <c:v>156.15</c:v>
                </c:pt>
                <c:pt idx="129">
                  <c:v>163.18</c:v>
                </c:pt>
                <c:pt idx="130">
                  <c:v>165.77</c:v>
                </c:pt>
                <c:pt idx="131">
                  <c:v>176.97</c:v>
                </c:pt>
                <c:pt idx="132">
                  <c:v>183.3</c:v>
                </c:pt>
                <c:pt idx="133">
                  <c:v>189.34</c:v>
                </c:pt>
                <c:pt idx="134">
                  <c:v>184.34</c:v>
                </c:pt>
                <c:pt idx="135">
                  <c:v>190.88</c:v>
                </c:pt>
                <c:pt idx="136">
                  <c:v>187.01</c:v>
                </c:pt>
                <c:pt idx="137">
                  <c:v>181.62</c:v>
                </c:pt>
                <c:pt idx="138">
                  <c:v>180.33</c:v>
                </c:pt>
                <c:pt idx="139">
                  <c:v>181.74</c:v>
                </c:pt>
                <c:pt idx="140">
                  <c:v>175.3</c:v>
                </c:pt>
                <c:pt idx="141">
                  <c:v>165.52</c:v>
                </c:pt>
                <c:pt idx="142">
                  <c:v>164.3</c:v>
                </c:pt>
                <c:pt idx="143">
                  <c:v>161.51</c:v>
                </c:pt>
                <c:pt idx="144">
                  <c:v>163.64</c:v>
                </c:pt>
              </c:numCache>
            </c:numRef>
          </c:val>
        </c:ser>
        <c:marker val="1"/>
        <c:axId val="286084728"/>
        <c:axId val="286088328"/>
      </c:lineChart>
      <c:catAx>
        <c:axId val="286074456"/>
        <c:scaling>
          <c:orientation val="minMax"/>
        </c:scaling>
        <c:axPos val="b"/>
        <c:numFmt formatCode="General" sourceLinked="1"/>
        <c:majorTickMark val="cross"/>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286078120"/>
        <c:crosses val="autoZero"/>
        <c:auto val="1"/>
        <c:lblAlgn val="ctr"/>
        <c:lblOffset val="100"/>
        <c:tickLblSkip val="12"/>
        <c:tickMarkSkip val="1"/>
      </c:catAx>
      <c:valAx>
        <c:axId val="286078120"/>
        <c:scaling>
          <c:orientation val="minMax"/>
        </c:scaling>
        <c:axPos val="l"/>
        <c:title>
          <c:tx>
            <c:rich>
              <a:bodyPr/>
              <a:lstStyle/>
              <a:p>
                <a:pPr>
                  <a:defRPr sz="1000" b="1" i="0" u="none" strike="noStrike" baseline="0">
                    <a:solidFill>
                      <a:srgbClr val="000000"/>
                    </a:solidFill>
                    <a:latin typeface="Arial"/>
                    <a:ea typeface="Arial"/>
                    <a:cs typeface="Arial"/>
                  </a:defRPr>
                </a:pPr>
                <a:r>
                  <a:rPr lang="en-US"/>
                  <a:t>Oil Price, $/BBL</a:t>
                </a:r>
              </a:p>
            </c:rich>
          </c:tx>
          <c:layout>
            <c:manualLayout>
              <c:xMode val="edge"/>
              <c:yMode val="edge"/>
              <c:x val="0.0275080906148867"/>
              <c:y val="0.263566434040706"/>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86074456"/>
        <c:crosses val="autoZero"/>
        <c:crossBetween val="midCat"/>
      </c:valAx>
      <c:catAx>
        <c:axId val="286084728"/>
        <c:scaling>
          <c:orientation val="minMax"/>
        </c:scaling>
        <c:delete val="1"/>
        <c:axPos val="b"/>
        <c:tickLblPos val="nextTo"/>
        <c:crossAx val="286088328"/>
        <c:crosses val="autoZero"/>
        <c:lblAlgn val="ctr"/>
        <c:lblOffset val="100"/>
      </c:catAx>
      <c:valAx>
        <c:axId val="286088328"/>
        <c:scaling>
          <c:orientation val="minMax"/>
          <c:max val="220.0"/>
          <c:min val="70.0"/>
        </c:scaling>
        <c:axPos val="r"/>
        <c:title>
          <c:tx>
            <c:rich>
              <a:bodyPr/>
              <a:lstStyle/>
              <a:p>
                <a:pPr>
                  <a:defRPr sz="1000" b="1" i="0" u="none" strike="noStrike" baseline="0">
                    <a:solidFill>
                      <a:srgbClr val="000000"/>
                    </a:solidFill>
                    <a:latin typeface="Arial"/>
                    <a:ea typeface="Arial"/>
                    <a:cs typeface="Arial"/>
                  </a:defRPr>
                </a:pPr>
                <a:r>
                  <a:rPr lang="en-US"/>
                  <a:t>Food price Index</a:t>
                </a:r>
              </a:p>
            </c:rich>
          </c:tx>
          <c:layout>
            <c:manualLayout>
              <c:xMode val="edge"/>
              <c:yMode val="edge"/>
              <c:x val="0.936894732818592"/>
              <c:y val="0.253230516728045"/>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86084728"/>
        <c:crosses val="max"/>
        <c:crossBetween val="midCat"/>
      </c:valAx>
      <c:spPr>
        <a:solidFill>
          <a:srgbClr val="FFFFFF"/>
        </a:solidFill>
        <a:ln w="12700">
          <a:solidFill>
            <a:srgbClr val="808080"/>
          </a:solidFill>
          <a:prstDash val="solid"/>
        </a:ln>
      </c:spPr>
    </c:plotArea>
    <c:legend>
      <c:legendPos val="r"/>
      <c:layout>
        <c:manualLayout>
          <c:xMode val="edge"/>
          <c:yMode val="edge"/>
          <c:x val="0.349609375"/>
          <c:y val="0.912087504253455"/>
          <c:w val="0.371383056284631"/>
          <c:h val="0.065934036452057"/>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25400">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1666</Words>
  <Characters>9497</Characters>
  <Application>Microsoft Macintosh Word</Application>
  <DocSecurity>0</DocSecurity>
  <Lines>79</Lines>
  <Paragraphs>18</Paragraphs>
  <ScaleCrop>false</ScaleCrop>
  <Company>Bentham and Associates</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Drenn</dc:creator>
  <cp:keywords/>
  <cp:lastModifiedBy>Giancarlo Drenn</cp:lastModifiedBy>
  <cp:revision>4</cp:revision>
  <dcterms:created xsi:type="dcterms:W3CDTF">2013-01-23T22:23:00Z</dcterms:created>
  <dcterms:modified xsi:type="dcterms:W3CDTF">2013-02-05T16:18:00Z</dcterms:modified>
</cp:coreProperties>
</file>