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A1A52"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b/>
          <w:color w:val="042D33"/>
          <w:sz w:val="28"/>
          <w:szCs w:val="28"/>
        </w:rPr>
      </w:pPr>
      <w:r w:rsidRPr="00F92D2E">
        <w:rPr>
          <w:rFonts w:asciiTheme="majorHAnsi" w:hAnsiTheme="majorHAnsi" w:cs="FrutigerLTW02-45Light"/>
          <w:b/>
          <w:color w:val="042D33"/>
          <w:sz w:val="28"/>
          <w:szCs w:val="28"/>
        </w:rPr>
        <w:t>Maximizing the Impact of the UN Decade of Action on Nutrition</w:t>
      </w:r>
    </w:p>
    <w:p w14:paraId="18E09CE6" w14:textId="77777777" w:rsidR="00F92D2E" w:rsidRDefault="00F92D2E" w:rsidP="00F92D2E">
      <w:pPr>
        <w:widowControl w:val="0"/>
        <w:autoSpaceDE w:val="0"/>
        <w:autoSpaceDN w:val="0"/>
        <w:adjustRightInd w:val="0"/>
        <w:spacing w:line="276" w:lineRule="auto"/>
        <w:rPr>
          <w:rFonts w:asciiTheme="majorHAnsi" w:hAnsiTheme="majorHAnsi" w:cs="FrutigerLTW02-45Light"/>
          <w:color w:val="042D33"/>
          <w:sz w:val="28"/>
          <w:szCs w:val="28"/>
        </w:rPr>
      </w:pPr>
    </w:p>
    <w:p w14:paraId="7BEFE69D"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 xml:space="preserve">With the adoption of the 2030 Agenda for Sustainable Development, the world has committed to eradicate hunger and eliminate all forms of malnutrition by 2030. The UN </w:t>
      </w:r>
      <w:hyperlink r:id="rId6" w:history="1">
        <w:r w:rsidRPr="00F92D2E">
          <w:rPr>
            <w:rFonts w:asciiTheme="majorHAnsi" w:hAnsiTheme="majorHAnsi" w:cs="FrutigerLTW02-45Light"/>
            <w:color w:val="10579C"/>
            <w:sz w:val="28"/>
            <w:szCs w:val="28"/>
          </w:rPr>
          <w:t>Decade of Action on Nutrition</w:t>
        </w:r>
      </w:hyperlink>
      <w:r w:rsidRPr="00F92D2E">
        <w:rPr>
          <w:rFonts w:asciiTheme="majorHAnsi" w:hAnsiTheme="majorHAnsi" w:cs="FrutigerLTW02-45Light"/>
          <w:color w:val="042D33"/>
          <w:sz w:val="28"/>
          <w:szCs w:val="28"/>
        </w:rPr>
        <w:t xml:space="preserve"> (2016-2025) proclaimed by the UN General Assembly on 1 April 2016 calls for accelerated global action to achieve this goal.</w:t>
      </w:r>
    </w:p>
    <w:p w14:paraId="3D6F04AE" w14:textId="77777777" w:rsidR="00F92D2E" w:rsidRDefault="00F92D2E" w:rsidP="00F92D2E">
      <w:pPr>
        <w:widowControl w:val="0"/>
        <w:autoSpaceDE w:val="0"/>
        <w:autoSpaceDN w:val="0"/>
        <w:adjustRightInd w:val="0"/>
        <w:spacing w:line="276" w:lineRule="auto"/>
        <w:rPr>
          <w:rFonts w:asciiTheme="majorHAnsi" w:hAnsiTheme="majorHAnsi" w:cs="FrutigerLTW02-45Light"/>
          <w:color w:val="042D33"/>
          <w:sz w:val="28"/>
          <w:szCs w:val="28"/>
        </w:rPr>
      </w:pPr>
    </w:p>
    <w:p w14:paraId="67135390"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bookmarkStart w:id="0" w:name="_GoBack"/>
      <w:bookmarkEnd w:id="0"/>
      <w:r w:rsidRPr="00F92D2E">
        <w:rPr>
          <w:rFonts w:asciiTheme="majorHAnsi" w:hAnsiTheme="majorHAnsi" w:cs="FrutigerLTW02-45Light"/>
          <w:color w:val="042D33"/>
          <w:sz w:val="28"/>
          <w:szCs w:val="28"/>
        </w:rPr>
        <w:t>The UN General Assembly Resolution places the UN Decade of Action on Nutrition in the context of follow-up to the Second International Conference on Nutrition (ICN2). It tasks the co-</w:t>
      </w:r>
      <w:proofErr w:type="spellStart"/>
      <w:r w:rsidRPr="00F92D2E">
        <w:rPr>
          <w:rFonts w:asciiTheme="majorHAnsi" w:hAnsiTheme="majorHAnsi" w:cs="FrutigerLTW02-45Light"/>
          <w:color w:val="042D33"/>
          <w:sz w:val="28"/>
          <w:szCs w:val="28"/>
        </w:rPr>
        <w:t>convenors</w:t>
      </w:r>
      <w:proofErr w:type="spellEnd"/>
      <w:r w:rsidRPr="00F92D2E">
        <w:rPr>
          <w:rFonts w:asciiTheme="majorHAnsi" w:hAnsiTheme="majorHAnsi" w:cs="FrutigerLTW02-45Light"/>
          <w:color w:val="042D33"/>
          <w:sz w:val="28"/>
          <w:szCs w:val="28"/>
        </w:rPr>
        <w:t xml:space="preserve"> of ICN2, FAO and WHO, to </w:t>
      </w:r>
      <w:proofErr w:type="spellStart"/>
      <w:r w:rsidRPr="00F92D2E">
        <w:rPr>
          <w:rFonts w:asciiTheme="majorHAnsi" w:hAnsiTheme="majorHAnsi" w:cs="FrutigerLTW02-45Light"/>
          <w:color w:val="042D33"/>
          <w:sz w:val="28"/>
          <w:szCs w:val="28"/>
        </w:rPr>
        <w:t>organise</w:t>
      </w:r>
      <w:proofErr w:type="spellEnd"/>
      <w:r w:rsidRPr="00F92D2E">
        <w:rPr>
          <w:rFonts w:asciiTheme="majorHAnsi" w:hAnsiTheme="majorHAnsi" w:cs="FrutigerLTW02-45Light"/>
          <w:color w:val="042D33"/>
          <w:sz w:val="28"/>
          <w:szCs w:val="28"/>
        </w:rPr>
        <w:t xml:space="preserve"> the implementation of the Decade through an inclusive and participatory process, working “with existing institutions and with available resources”. The UNSCN is supporting this effort by initiating an online discussion to collect the ideas of all relevant actors. Specifically, and taking the ICN2 outcomes as a framework, the UNSCN wants to know what elements you believe should be taken into consideration in the development of the Work </w:t>
      </w:r>
      <w:proofErr w:type="spellStart"/>
      <w:r w:rsidRPr="00F92D2E">
        <w:rPr>
          <w:rFonts w:asciiTheme="majorHAnsi" w:hAnsiTheme="majorHAnsi" w:cs="FrutigerLTW02-45Light"/>
          <w:color w:val="042D33"/>
          <w:sz w:val="28"/>
          <w:szCs w:val="28"/>
        </w:rPr>
        <w:t>Programme</w:t>
      </w:r>
      <w:proofErr w:type="spellEnd"/>
      <w:r w:rsidRPr="00F92D2E">
        <w:rPr>
          <w:rFonts w:asciiTheme="majorHAnsi" w:hAnsiTheme="majorHAnsi" w:cs="FrutigerLTW02-45Light"/>
          <w:color w:val="042D33"/>
          <w:sz w:val="28"/>
          <w:szCs w:val="28"/>
        </w:rPr>
        <w:t xml:space="preserve"> for the implementation of the UN Decade of Action on Nutrition.</w:t>
      </w:r>
    </w:p>
    <w:p w14:paraId="6B7998AC"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 xml:space="preserve">We would therefore like to invite you to share your views on how best to </w:t>
      </w:r>
      <w:proofErr w:type="spellStart"/>
      <w:r w:rsidRPr="00F92D2E">
        <w:rPr>
          <w:rFonts w:asciiTheme="majorHAnsi" w:hAnsiTheme="majorHAnsi" w:cs="FrutigerLTW02-45Light"/>
          <w:color w:val="042D33"/>
          <w:sz w:val="28"/>
          <w:szCs w:val="28"/>
        </w:rPr>
        <w:t>maximise</w:t>
      </w:r>
      <w:proofErr w:type="spellEnd"/>
      <w:r w:rsidRPr="00F92D2E">
        <w:rPr>
          <w:rFonts w:asciiTheme="majorHAnsi" w:hAnsiTheme="majorHAnsi" w:cs="FrutigerLTW02-45Light"/>
          <w:color w:val="042D33"/>
          <w:sz w:val="28"/>
          <w:szCs w:val="28"/>
        </w:rPr>
        <w:t xml:space="preserve"> the potential of the UN Decade of Action on Nutrition. You may want to consider the following questions:</w:t>
      </w:r>
    </w:p>
    <w:p w14:paraId="32E2E4C3" w14:textId="77777777" w:rsidR="00FE3CF0" w:rsidRPr="00F92D2E" w:rsidRDefault="00FE3CF0" w:rsidP="00F92D2E">
      <w:pPr>
        <w:widowControl w:val="0"/>
        <w:numPr>
          <w:ilvl w:val="0"/>
          <w:numId w:val="1"/>
        </w:numPr>
        <w:tabs>
          <w:tab w:val="left" w:pos="220"/>
          <w:tab w:val="left" w:pos="720"/>
        </w:tabs>
        <w:autoSpaceDE w:val="0"/>
        <w:autoSpaceDN w:val="0"/>
        <w:adjustRightInd w:val="0"/>
        <w:spacing w:line="276" w:lineRule="auto"/>
        <w:ind w:hanging="720"/>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What are your expectations for the UN Decade of Action on Nutrition and how could it make a significant difference in improving nutrition and food security of the people in your country within the next ten years?</w:t>
      </w:r>
    </w:p>
    <w:p w14:paraId="456EE46E" w14:textId="77777777" w:rsidR="00FE3CF0" w:rsidRPr="00F92D2E" w:rsidRDefault="00FE3CF0" w:rsidP="00F92D2E">
      <w:pPr>
        <w:widowControl w:val="0"/>
        <w:numPr>
          <w:ilvl w:val="0"/>
          <w:numId w:val="1"/>
        </w:numPr>
        <w:tabs>
          <w:tab w:val="left" w:pos="220"/>
          <w:tab w:val="left" w:pos="720"/>
        </w:tabs>
        <w:autoSpaceDE w:val="0"/>
        <w:autoSpaceDN w:val="0"/>
        <w:adjustRightInd w:val="0"/>
        <w:spacing w:line="276" w:lineRule="auto"/>
        <w:ind w:hanging="720"/>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 xml:space="preserve">What critical activities need to be included in the Work </w:t>
      </w:r>
      <w:proofErr w:type="spellStart"/>
      <w:r w:rsidRPr="00F92D2E">
        <w:rPr>
          <w:rFonts w:asciiTheme="majorHAnsi" w:hAnsiTheme="majorHAnsi" w:cs="FrutigerLTW02-45Light"/>
          <w:color w:val="042D33"/>
          <w:sz w:val="28"/>
          <w:szCs w:val="28"/>
        </w:rPr>
        <w:t>Programme</w:t>
      </w:r>
      <w:proofErr w:type="spellEnd"/>
      <w:r w:rsidRPr="00F92D2E">
        <w:rPr>
          <w:rFonts w:asciiTheme="majorHAnsi" w:hAnsiTheme="majorHAnsi" w:cs="FrutigerLTW02-45Light"/>
          <w:color w:val="042D33"/>
          <w:sz w:val="28"/>
          <w:szCs w:val="28"/>
        </w:rPr>
        <w:t xml:space="preserve"> for the implementation of the UN Decade of Action on Nutrition to reach the 2025 global nutrition targets? Which activities would need to be accelerated in your country to reach these targets? How could these activities be funded?</w:t>
      </w:r>
    </w:p>
    <w:p w14:paraId="4A3E36C3" w14:textId="77777777" w:rsidR="00FE3CF0" w:rsidRPr="00F92D2E" w:rsidRDefault="00FE3CF0" w:rsidP="00F92D2E">
      <w:pPr>
        <w:widowControl w:val="0"/>
        <w:numPr>
          <w:ilvl w:val="0"/>
          <w:numId w:val="1"/>
        </w:numPr>
        <w:tabs>
          <w:tab w:val="left" w:pos="220"/>
          <w:tab w:val="left" w:pos="720"/>
        </w:tabs>
        <w:autoSpaceDE w:val="0"/>
        <w:autoSpaceDN w:val="0"/>
        <w:adjustRightInd w:val="0"/>
        <w:spacing w:line="276" w:lineRule="auto"/>
        <w:ind w:hanging="720"/>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What can be done to accelerate and improve the quality of commitments from the various actors? What role(s) should public and private actors play in monitoring their implementation?</w:t>
      </w:r>
    </w:p>
    <w:p w14:paraId="4FC7B8C5" w14:textId="77777777" w:rsidR="00FE3CF0" w:rsidRPr="00F92D2E" w:rsidRDefault="00FE3CF0" w:rsidP="00F92D2E">
      <w:pPr>
        <w:widowControl w:val="0"/>
        <w:numPr>
          <w:ilvl w:val="0"/>
          <w:numId w:val="1"/>
        </w:numPr>
        <w:tabs>
          <w:tab w:val="left" w:pos="220"/>
          <w:tab w:val="left" w:pos="720"/>
        </w:tabs>
        <w:autoSpaceDE w:val="0"/>
        <w:autoSpaceDN w:val="0"/>
        <w:adjustRightInd w:val="0"/>
        <w:spacing w:line="276" w:lineRule="auto"/>
        <w:ind w:hanging="720"/>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How can other relevant forums, such as the CFS and the UNSCN, contribute, and how can other movements (e.g. human rights, environment) be involved in the Decade?</w:t>
      </w:r>
    </w:p>
    <w:p w14:paraId="3C0846EB"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lastRenderedPageBreak/>
        <w:t xml:space="preserve">This consultation is part of a wider discussion to help elaborate the Work </w:t>
      </w:r>
      <w:proofErr w:type="spellStart"/>
      <w:r w:rsidRPr="00F92D2E">
        <w:rPr>
          <w:rFonts w:asciiTheme="majorHAnsi" w:hAnsiTheme="majorHAnsi" w:cs="FrutigerLTW02-45Light"/>
          <w:color w:val="042D33"/>
          <w:sz w:val="28"/>
          <w:szCs w:val="28"/>
        </w:rPr>
        <w:t>Programme</w:t>
      </w:r>
      <w:proofErr w:type="spellEnd"/>
      <w:r w:rsidRPr="00F92D2E">
        <w:rPr>
          <w:rFonts w:asciiTheme="majorHAnsi" w:hAnsiTheme="majorHAnsi" w:cs="FrutigerLTW02-45Light"/>
          <w:color w:val="042D33"/>
          <w:sz w:val="28"/>
          <w:szCs w:val="28"/>
        </w:rPr>
        <w:t xml:space="preserve"> for the UN Decade of Action on Nutrition. We invite you to circulate this opportunity to the appropriate stakeholders in your country and networks to guarantee that all actors are able to engage and be connected in a meaningful way.</w:t>
      </w:r>
    </w:p>
    <w:p w14:paraId="249567AF"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Thank you for your valuable contribution to this exchange.</w:t>
      </w:r>
    </w:p>
    <w:p w14:paraId="12B774E7"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Christine Campeau</w:t>
      </w:r>
    </w:p>
    <w:p w14:paraId="230C6A9B"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Technical Officer, UNSCN</w:t>
      </w:r>
    </w:p>
    <w:p w14:paraId="2E6287FD"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p>
    <w:p w14:paraId="1507B9EC"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p>
    <w:p w14:paraId="6474515F"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Higher welfare farming usually produces animal products of higher nutritional value</w:t>
      </w:r>
    </w:p>
    <w:p w14:paraId="5D62A405"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 xml:space="preserve">Thank you for this opportunity to contribute to this important research area and discussion. I offer two case studies, one from Asia and one Africa, showing that low </w:t>
      </w:r>
      <w:proofErr w:type="gramStart"/>
      <w:r w:rsidRPr="00F92D2E">
        <w:rPr>
          <w:rFonts w:asciiTheme="majorHAnsi" w:hAnsiTheme="majorHAnsi" w:cs="FrutigerLTW02-45Light"/>
          <w:color w:val="042D33"/>
          <w:sz w:val="28"/>
          <w:szCs w:val="28"/>
        </w:rPr>
        <w:t>technology,</w:t>
      </w:r>
      <w:proofErr w:type="gramEnd"/>
      <w:r w:rsidRPr="00F92D2E">
        <w:rPr>
          <w:rFonts w:asciiTheme="majorHAnsi" w:hAnsiTheme="majorHAnsi" w:cs="FrutigerLTW02-45Light"/>
          <w:color w:val="042D33"/>
          <w:sz w:val="28"/>
          <w:szCs w:val="28"/>
        </w:rPr>
        <w:t xml:space="preserve"> often low cost interventions can improve the nutritional status of people and be robust in the face of environmental change. Improved animal welfare is an outcome of these farming systems, and can also </w:t>
      </w:r>
      <w:proofErr w:type="gramStart"/>
      <w:r w:rsidRPr="00F92D2E">
        <w:rPr>
          <w:rFonts w:asciiTheme="majorHAnsi" w:hAnsiTheme="majorHAnsi" w:cs="FrutigerLTW02-45Light"/>
          <w:color w:val="042D33"/>
          <w:sz w:val="28"/>
          <w:szCs w:val="28"/>
        </w:rPr>
        <w:t>act</w:t>
      </w:r>
      <w:proofErr w:type="gramEnd"/>
      <w:r w:rsidRPr="00F92D2E">
        <w:rPr>
          <w:rFonts w:asciiTheme="majorHAnsi" w:hAnsiTheme="majorHAnsi" w:cs="FrutigerLTW02-45Light"/>
          <w:color w:val="042D33"/>
          <w:sz w:val="28"/>
          <w:szCs w:val="28"/>
        </w:rPr>
        <w:t xml:space="preserve"> as an indicator of farming that is better for people and the planet.</w:t>
      </w:r>
    </w:p>
    <w:p w14:paraId="2C3B2CFC"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 xml:space="preserve">China case study: </w:t>
      </w:r>
      <w:proofErr w:type="gramStart"/>
      <w:r w:rsidRPr="00F92D2E">
        <w:rPr>
          <w:rFonts w:asciiTheme="majorHAnsi" w:hAnsiTheme="majorHAnsi" w:cs="FrutigerLTW02-45Light"/>
          <w:color w:val="042D33"/>
          <w:sz w:val="28"/>
          <w:szCs w:val="28"/>
        </w:rPr>
        <w:t>dual purpose</w:t>
      </w:r>
      <w:proofErr w:type="gramEnd"/>
      <w:r w:rsidRPr="00F92D2E">
        <w:rPr>
          <w:rFonts w:asciiTheme="majorHAnsi" w:hAnsiTheme="majorHAnsi" w:cs="FrutigerLTW02-45Light"/>
          <w:color w:val="042D33"/>
          <w:sz w:val="28"/>
          <w:szCs w:val="28"/>
        </w:rPr>
        <w:t xml:space="preserve"> chickens (</w:t>
      </w:r>
      <w:proofErr w:type="spellStart"/>
      <w:r w:rsidRPr="00F92D2E">
        <w:rPr>
          <w:rFonts w:asciiTheme="majorHAnsi" w:hAnsiTheme="majorHAnsi" w:cs="FrutigerLTW02-45Light"/>
          <w:color w:val="042D33"/>
          <w:sz w:val="28"/>
          <w:szCs w:val="28"/>
        </w:rPr>
        <w:t>attachement</w:t>
      </w:r>
      <w:proofErr w:type="spellEnd"/>
      <w:r w:rsidRPr="00F92D2E">
        <w:rPr>
          <w:rFonts w:asciiTheme="majorHAnsi" w:hAnsiTheme="majorHAnsi" w:cs="FrutigerLTW02-45Light"/>
          <w:color w:val="042D33"/>
          <w:sz w:val="28"/>
          <w:szCs w:val="28"/>
        </w:rPr>
        <w:t xml:space="preserve"> 1)</w:t>
      </w:r>
    </w:p>
    <w:p w14:paraId="753978DD"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On this farm just outside Beijing, a slower-growing, dual purpose traditional breed of chicken is used to rear males chickens for meat and females are raised primarily for eggs and then used for meat at the end of their laying lives. The products receive premium prices at market due to their high quality. The farm is free range, offering higher welfare to the animals, which enjoy good health outcomes: mortality is low, and antibiotic use is low. It is also likely to be environmentally robust as the feeds are largely grown locally and the manure and crop residues are digested to produce energy. Water pollution is also low.</w:t>
      </w:r>
    </w:p>
    <w:p w14:paraId="38DEB4C4"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 xml:space="preserve">This model of farming could be applied elsewhere, bringing many benefits. In the UK, research shows that chicken and eggs from free-range and slow-growing breeds are of higher nutritional value than from intensive farming of fast-growing breeds. Meat from male chickens also has superior nutritional value. The research demonstrating this is found in attachment 3 and found online: </w:t>
      </w:r>
      <w:hyperlink r:id="rId7" w:history="1">
        <w:r w:rsidRPr="00F92D2E">
          <w:rPr>
            <w:rFonts w:asciiTheme="majorHAnsi" w:hAnsiTheme="majorHAnsi" w:cs="FrutigerLTW02-45Light"/>
            <w:color w:val="10579C"/>
            <w:sz w:val="28"/>
            <w:szCs w:val="28"/>
          </w:rPr>
          <w:t>https://www.ciwf.org.uk/media/5234769/Nutritional-benefits-of-higher-wel...</w:t>
        </w:r>
      </w:hyperlink>
    </w:p>
    <w:p w14:paraId="52C98E0E"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 xml:space="preserve">Research into the nutritional value of the meat from </w:t>
      </w:r>
      <w:proofErr w:type="gramStart"/>
      <w:r w:rsidRPr="00F92D2E">
        <w:rPr>
          <w:rFonts w:asciiTheme="majorHAnsi" w:hAnsiTheme="majorHAnsi" w:cs="FrutigerLTW02-45Light"/>
          <w:color w:val="042D33"/>
          <w:sz w:val="28"/>
          <w:szCs w:val="28"/>
        </w:rPr>
        <w:t>these end</w:t>
      </w:r>
      <w:proofErr w:type="gramEnd"/>
      <w:r w:rsidRPr="00F92D2E">
        <w:rPr>
          <w:rFonts w:asciiTheme="majorHAnsi" w:hAnsiTheme="majorHAnsi" w:cs="FrutigerLTW02-45Light"/>
          <w:color w:val="042D33"/>
          <w:sz w:val="28"/>
          <w:szCs w:val="28"/>
        </w:rPr>
        <w:t xml:space="preserve"> of lay hens and males; and the eggs from this farming system would be of value, to support roll-out of this farming style. The successes of this farming model can be used to secure good food and farming elsewhere. It can be used to resist industrial-scale intensive farming with fast growing breeds; wasteful practices; high grain use and associated vulnerability to feed price-shocks, heat and water stress; higher pollution and poorer outcomes for animals, farmers' health and livelihoods. Combining chicken farming with agro-forestry is an additional step that could bring multiple benefits and is worthy of field trials.</w:t>
      </w:r>
    </w:p>
    <w:p w14:paraId="195B9A89"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Ethiopia case study: water storage (attachment 2)</w:t>
      </w:r>
    </w:p>
    <w:p w14:paraId="6A443F60"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 xml:space="preserve">In semi-arid areas of Africa, access to  simple technology for storing water can dramatically improve the lives of people and farm animals. This study (2012) found that year-round access to </w:t>
      </w:r>
      <w:proofErr w:type="gramStart"/>
      <w:r w:rsidRPr="00F92D2E">
        <w:rPr>
          <w:rFonts w:asciiTheme="majorHAnsi" w:hAnsiTheme="majorHAnsi" w:cs="FrutigerLTW02-45Light"/>
          <w:color w:val="042D33"/>
          <w:sz w:val="28"/>
          <w:szCs w:val="28"/>
        </w:rPr>
        <w:t>water increased</w:t>
      </w:r>
      <w:proofErr w:type="gramEnd"/>
      <w:r w:rsidRPr="00F92D2E">
        <w:rPr>
          <w:rFonts w:asciiTheme="majorHAnsi" w:hAnsiTheme="majorHAnsi" w:cs="FrutigerLTW02-45Light"/>
          <w:color w:val="042D33"/>
          <w:sz w:val="28"/>
          <w:szCs w:val="28"/>
        </w:rPr>
        <w:t xml:space="preserve"> farm yields up to ten-fold, improved food security and nutrition, and farm animal welfare. It also reduced poverty in small-scale farming in the highlands of Ethiopia.</w:t>
      </w:r>
    </w:p>
    <w:p w14:paraId="57403C43"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 xml:space="preserve">This study shows a mixed farming system where water harvesters have been used to lift farmers from requiring food assistance each year, to being fully independent, productive and self-reliant for food most years. Through saving water for irrigation of crops through the dry seasons, farmers have been able to secure crop productivity for their families and introduce livestock into their farming, adding manure for fuel and </w:t>
      </w:r>
      <w:proofErr w:type="spellStart"/>
      <w:r w:rsidRPr="00F92D2E">
        <w:rPr>
          <w:rFonts w:asciiTheme="majorHAnsi" w:hAnsiTheme="majorHAnsi" w:cs="FrutigerLTW02-45Light"/>
          <w:color w:val="042D33"/>
          <w:sz w:val="28"/>
          <w:szCs w:val="28"/>
        </w:rPr>
        <w:t>fertiliser</w:t>
      </w:r>
      <w:proofErr w:type="spellEnd"/>
      <w:r w:rsidRPr="00F92D2E">
        <w:rPr>
          <w:rFonts w:asciiTheme="majorHAnsi" w:hAnsiTheme="majorHAnsi" w:cs="FrutigerLTW02-45Light"/>
          <w:color w:val="042D33"/>
          <w:sz w:val="28"/>
          <w:szCs w:val="28"/>
        </w:rPr>
        <w:t xml:space="preserve">; draught for </w:t>
      </w:r>
      <w:proofErr w:type="spellStart"/>
      <w:r w:rsidRPr="00F92D2E">
        <w:rPr>
          <w:rFonts w:asciiTheme="majorHAnsi" w:hAnsiTheme="majorHAnsi" w:cs="FrutigerLTW02-45Light"/>
          <w:color w:val="042D33"/>
          <w:sz w:val="28"/>
          <w:szCs w:val="28"/>
        </w:rPr>
        <w:t>ploughing</w:t>
      </w:r>
      <w:proofErr w:type="spellEnd"/>
      <w:r w:rsidRPr="00F92D2E">
        <w:rPr>
          <w:rFonts w:asciiTheme="majorHAnsi" w:hAnsiTheme="majorHAnsi" w:cs="FrutigerLTW02-45Light"/>
          <w:color w:val="042D33"/>
          <w:sz w:val="28"/>
          <w:szCs w:val="28"/>
        </w:rPr>
        <w:t xml:space="preserve"> and water carrying; as well as social and economic gains. The food security, nutrition and financial status of these small-scale family farmers have been advanced dramatically through this simple, low cost, </w:t>
      </w:r>
      <w:proofErr w:type="gramStart"/>
      <w:r w:rsidRPr="00F92D2E">
        <w:rPr>
          <w:rFonts w:asciiTheme="majorHAnsi" w:hAnsiTheme="majorHAnsi" w:cs="FrutigerLTW02-45Light"/>
          <w:color w:val="042D33"/>
          <w:sz w:val="28"/>
          <w:szCs w:val="28"/>
        </w:rPr>
        <w:t>easy</w:t>
      </w:r>
      <w:proofErr w:type="gramEnd"/>
      <w:r w:rsidRPr="00F92D2E">
        <w:rPr>
          <w:rFonts w:asciiTheme="majorHAnsi" w:hAnsiTheme="majorHAnsi" w:cs="FrutigerLTW02-45Light"/>
          <w:color w:val="042D33"/>
          <w:sz w:val="28"/>
          <w:szCs w:val="28"/>
        </w:rPr>
        <w:t xml:space="preserve"> to maintain technology. It may be adaptable to benefit other semi-arid areas, and areas where the </w:t>
      </w:r>
      <w:proofErr w:type="gramStart"/>
      <w:r w:rsidRPr="00F92D2E">
        <w:rPr>
          <w:rFonts w:asciiTheme="majorHAnsi" w:hAnsiTheme="majorHAnsi" w:cs="FrutigerLTW02-45Light"/>
          <w:color w:val="042D33"/>
          <w:sz w:val="28"/>
          <w:szCs w:val="28"/>
        </w:rPr>
        <w:t>summer melt</w:t>
      </w:r>
      <w:proofErr w:type="gramEnd"/>
      <w:r w:rsidRPr="00F92D2E">
        <w:rPr>
          <w:rFonts w:asciiTheme="majorHAnsi" w:hAnsiTheme="majorHAnsi" w:cs="FrutigerLTW02-45Light"/>
          <w:color w:val="042D33"/>
          <w:sz w:val="28"/>
          <w:szCs w:val="28"/>
        </w:rPr>
        <w:t xml:space="preserve"> waters from the Himalayas reduce as the glaciers reduce with global warming.</w:t>
      </w:r>
    </w:p>
    <w:p w14:paraId="5654AFE1"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I hope you enjoy the materials attached and please do contact me for further information. </w:t>
      </w:r>
    </w:p>
    <w:p w14:paraId="09EC26E7"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Best wishes,</w:t>
      </w:r>
    </w:p>
    <w:p w14:paraId="439D2F6E"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r w:rsidRPr="00F92D2E">
        <w:rPr>
          <w:rFonts w:asciiTheme="majorHAnsi" w:hAnsiTheme="majorHAnsi" w:cs="FrutigerLTW02-45Light"/>
          <w:color w:val="042D33"/>
          <w:sz w:val="28"/>
          <w:szCs w:val="28"/>
        </w:rPr>
        <w:t>Emily Lewis-Brown,</w:t>
      </w:r>
    </w:p>
    <w:p w14:paraId="00315BB1" w14:textId="77777777" w:rsidR="00FE3CF0" w:rsidRPr="00F92D2E" w:rsidRDefault="00FE3CF0" w:rsidP="00F92D2E">
      <w:pPr>
        <w:widowControl w:val="0"/>
        <w:autoSpaceDE w:val="0"/>
        <w:autoSpaceDN w:val="0"/>
        <w:adjustRightInd w:val="0"/>
        <w:spacing w:line="276" w:lineRule="auto"/>
        <w:rPr>
          <w:rFonts w:asciiTheme="majorHAnsi" w:hAnsiTheme="majorHAnsi" w:cs="FrutigerLTW02-45Light"/>
          <w:color w:val="042D33"/>
          <w:sz w:val="28"/>
          <w:szCs w:val="28"/>
        </w:rPr>
      </w:pPr>
      <w:hyperlink r:id="rId8" w:history="1">
        <w:r w:rsidRPr="00F92D2E">
          <w:rPr>
            <w:rFonts w:asciiTheme="majorHAnsi" w:hAnsiTheme="majorHAnsi" w:cs="FrutigerLTW02-45Light"/>
            <w:color w:val="10579C"/>
            <w:sz w:val="28"/>
            <w:szCs w:val="28"/>
          </w:rPr>
          <w:t>emily@lewis-brown.net</w:t>
        </w:r>
      </w:hyperlink>
    </w:p>
    <w:p w14:paraId="009748C8" w14:textId="77777777" w:rsidR="00E54A3A" w:rsidRPr="00F92D2E" w:rsidRDefault="00FE3CF0" w:rsidP="00F92D2E">
      <w:pPr>
        <w:spacing w:line="276" w:lineRule="auto"/>
        <w:rPr>
          <w:rFonts w:asciiTheme="majorHAnsi" w:hAnsiTheme="majorHAnsi"/>
          <w:sz w:val="28"/>
          <w:szCs w:val="28"/>
        </w:rPr>
      </w:pPr>
      <w:proofErr w:type="gramStart"/>
      <w:r w:rsidRPr="00F92D2E">
        <w:rPr>
          <w:rFonts w:asciiTheme="majorHAnsi" w:hAnsiTheme="majorHAnsi" w:cs="FrutigerLTW02-45Light"/>
          <w:color w:val="042D33"/>
          <w:sz w:val="28"/>
          <w:szCs w:val="28"/>
        </w:rPr>
        <w:t>on</w:t>
      </w:r>
      <w:proofErr w:type="gramEnd"/>
      <w:r w:rsidRPr="00F92D2E">
        <w:rPr>
          <w:rFonts w:asciiTheme="majorHAnsi" w:hAnsiTheme="majorHAnsi" w:cs="FrutigerLTW02-45Light"/>
          <w:color w:val="042D33"/>
          <w:sz w:val="28"/>
          <w:szCs w:val="28"/>
        </w:rPr>
        <w:t xml:space="preserve"> behalf of Compassion in World Farming: </w:t>
      </w:r>
      <w:r w:rsidRPr="00F92D2E">
        <w:rPr>
          <w:rFonts w:asciiTheme="majorHAnsi" w:hAnsiTheme="majorHAnsi" w:cs="FrutigerLTW02-45Light"/>
          <w:color w:val="042D33"/>
          <w:sz w:val="28"/>
          <w:szCs w:val="28"/>
        </w:rPr>
        <w:fldChar w:fldCharType="begin"/>
      </w:r>
      <w:r w:rsidRPr="00F92D2E">
        <w:rPr>
          <w:rFonts w:asciiTheme="majorHAnsi" w:hAnsiTheme="majorHAnsi" w:cs="FrutigerLTW02-45Light"/>
          <w:color w:val="042D33"/>
          <w:sz w:val="28"/>
          <w:szCs w:val="28"/>
        </w:rPr>
        <w:instrText>HYPERLINK "http://www.ciwf.org%A0"</w:instrText>
      </w:r>
      <w:r w:rsidRPr="00F92D2E">
        <w:rPr>
          <w:rFonts w:asciiTheme="majorHAnsi" w:hAnsiTheme="majorHAnsi" w:cs="FrutigerLTW02-45Light"/>
          <w:color w:val="042D33"/>
          <w:sz w:val="28"/>
          <w:szCs w:val="28"/>
        </w:rPr>
        <w:fldChar w:fldCharType="separate"/>
      </w:r>
      <w:r w:rsidRPr="00F92D2E">
        <w:rPr>
          <w:rFonts w:asciiTheme="majorHAnsi" w:hAnsiTheme="majorHAnsi" w:cs="FrutigerLTW02-45Light"/>
          <w:b/>
          <w:color w:val="042D33"/>
          <w:sz w:val="28"/>
          <w:szCs w:val="28"/>
        </w:rPr>
        <w:t xml:space="preserve">Error! </w:t>
      </w:r>
      <w:proofErr w:type="gramStart"/>
      <w:r w:rsidRPr="00F92D2E">
        <w:rPr>
          <w:rFonts w:asciiTheme="majorHAnsi" w:hAnsiTheme="majorHAnsi" w:cs="FrutigerLTW02-45Light"/>
          <w:b/>
          <w:color w:val="042D33"/>
          <w:sz w:val="28"/>
          <w:szCs w:val="28"/>
        </w:rPr>
        <w:t>Hyperlink reference not valid.</w:t>
      </w:r>
      <w:proofErr w:type="gramEnd"/>
      <w:r w:rsidRPr="00F92D2E">
        <w:rPr>
          <w:rFonts w:asciiTheme="majorHAnsi" w:hAnsiTheme="majorHAnsi" w:cs="FrutigerLTW02-45Light"/>
          <w:color w:val="042D33"/>
          <w:sz w:val="28"/>
          <w:szCs w:val="28"/>
        </w:rPr>
        <w:fldChar w:fldCharType="end"/>
      </w:r>
    </w:p>
    <w:sectPr w:rsidR="00E54A3A" w:rsidRPr="00F92D2E" w:rsidSect="00793FC1">
      <w:type w:val="continuous"/>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utigerLTW02-45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F0"/>
    <w:rsid w:val="00793FC1"/>
    <w:rsid w:val="00E54A3A"/>
    <w:rsid w:val="00F92D2E"/>
    <w:rsid w:val="00FE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0A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o.int/nutrition/GA_decade_action/en/" TargetMode="External"/><Relationship Id="rId7" Type="http://schemas.openxmlformats.org/officeDocument/2006/relationships/hyperlink" Target="https://www.ciwf.org.uk/media/5234769/Nutritional-benefits-of-higher-welfare-animal-products-June-2012.pdf" TargetMode="External"/><Relationship Id="rId8" Type="http://schemas.openxmlformats.org/officeDocument/2006/relationships/hyperlink" Target="mailto:emily@lewis-brown.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5727</Characters>
  <Application>Microsoft Macintosh Word</Application>
  <DocSecurity>0</DocSecurity>
  <Lines>47</Lines>
  <Paragraphs>13</Paragraphs>
  <ScaleCrop>false</ScaleCrop>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Lewis-Brown</dc:creator>
  <cp:keywords/>
  <dc:description/>
  <cp:lastModifiedBy>Emily Lewis-Brown</cp:lastModifiedBy>
  <cp:revision>2</cp:revision>
  <dcterms:created xsi:type="dcterms:W3CDTF">2016-10-15T08:54:00Z</dcterms:created>
  <dcterms:modified xsi:type="dcterms:W3CDTF">2016-10-15T08:57:00Z</dcterms:modified>
</cp:coreProperties>
</file>