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BEF7" w14:textId="49C23F27" w:rsidR="000145A3" w:rsidRPr="000145A3" w:rsidRDefault="000145A3" w:rsidP="00B310EB">
      <w:pPr>
        <w:pStyle w:val="facilitator"/>
        <w:rPr>
          <w:noProof/>
          <w:lang w:val="es-ES" w:eastAsia="zh-CN"/>
        </w:rPr>
      </w:pPr>
      <w:r w:rsidRPr="000145A3">
        <w:rPr>
          <w:noProof/>
          <w:lang w:val="es-ES" w:eastAsia="zh-CN"/>
        </w:rPr>
        <w:t xml:space="preserve">Convocatoria de ejemplos y buenas prácticas sobre la utilización y aplicación de las Directrices voluntarias en apoyo de la realización progresiva del derecho a una alimentación adecuada en el contexto de la seguridad alimentaria nacional </w:t>
      </w:r>
    </w:p>
    <w:p w14:paraId="00F7C32A" w14:textId="77777777" w:rsidR="00237F89" w:rsidRPr="00B62277" w:rsidRDefault="00237F89" w:rsidP="00237F89">
      <w:pPr>
        <w:pStyle w:val="Prrafodelista"/>
        <w:numPr>
          <w:ilvl w:val="0"/>
          <w:numId w:val="0"/>
        </w:numPr>
        <w:spacing w:after="0"/>
        <w:jc w:val="left"/>
        <w:rPr>
          <w:b/>
          <w:sz w:val="36"/>
          <w:szCs w:val="36"/>
          <w:lang w:val="es-ES"/>
        </w:rPr>
      </w:pPr>
    </w:p>
    <w:p w14:paraId="6E3C73B7" w14:textId="010D8598" w:rsidR="00237F89" w:rsidRDefault="00237F89" w:rsidP="003D18CF">
      <w:pPr>
        <w:pStyle w:val="Prrafodelista"/>
        <w:numPr>
          <w:ilvl w:val="0"/>
          <w:numId w:val="0"/>
        </w:numPr>
        <w:spacing w:after="0"/>
        <w:jc w:val="left"/>
        <w:rPr>
          <w:b/>
          <w:lang w:val="es-ES"/>
        </w:rPr>
      </w:pPr>
      <w:r w:rsidRPr="00BF458C">
        <w:rPr>
          <w:rFonts w:cs="Arial"/>
          <w:b/>
          <w:bCs/>
          <w:noProof/>
          <w:color w:val="B43131"/>
          <w:sz w:val="36"/>
          <w:szCs w:val="36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CEBD7D8" wp14:editId="7EC463A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69670" cy="11696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slogo_sp_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8CD">
        <w:rPr>
          <w:b/>
          <w:sz w:val="28"/>
          <w:szCs w:val="28"/>
          <w:lang w:val="es-ES"/>
        </w:rPr>
        <w:t xml:space="preserve">Plantilla para </w:t>
      </w:r>
      <w:r w:rsidR="000145A3">
        <w:rPr>
          <w:b/>
          <w:sz w:val="28"/>
          <w:szCs w:val="28"/>
          <w:lang w:val="es-ES"/>
        </w:rPr>
        <w:t>los formularios</w:t>
      </w:r>
      <w:r w:rsidRPr="00B62277">
        <w:rPr>
          <w:b/>
          <w:sz w:val="36"/>
          <w:szCs w:val="36"/>
          <w:lang w:val="es-ES"/>
        </w:rPr>
        <w:t xml:space="preserve"> </w:t>
      </w:r>
      <w:r w:rsidRPr="00B62277">
        <w:rPr>
          <w:b/>
          <w:lang w:val="es-ES"/>
        </w:rPr>
        <w:t>(</w:t>
      </w:r>
      <w:r w:rsidR="000145A3">
        <w:rPr>
          <w:b/>
          <w:lang w:val="es-ES"/>
        </w:rPr>
        <w:t>longitud total aproximada: 1 000 palabras</w:t>
      </w:r>
      <w:r w:rsidRPr="00B62277">
        <w:rPr>
          <w:b/>
          <w:lang w:val="es-ES"/>
        </w:rPr>
        <w:t>)</w:t>
      </w:r>
    </w:p>
    <w:p w14:paraId="4A574BEC" w14:textId="77777777" w:rsidR="000145A3" w:rsidRDefault="000145A3" w:rsidP="003D18CF">
      <w:pPr>
        <w:pStyle w:val="Prrafodelista"/>
        <w:numPr>
          <w:ilvl w:val="0"/>
          <w:numId w:val="0"/>
        </w:numPr>
        <w:spacing w:after="0"/>
        <w:jc w:val="left"/>
        <w:rPr>
          <w:b/>
          <w:lang w:val="es-ES"/>
        </w:rPr>
      </w:pPr>
    </w:p>
    <w:p w14:paraId="0A5CF656" w14:textId="77777777" w:rsidR="00C020F6" w:rsidRDefault="008D1DD9" w:rsidP="00C020F6">
      <w:pPr>
        <w:shd w:val="clear" w:color="auto" w:fill="FFFFFF"/>
        <w:spacing w:after="0"/>
        <w:rPr>
          <w:rFonts w:asciiTheme="majorHAnsi" w:hAnsiTheme="majorHAnsi"/>
          <w:color w:val="000000"/>
          <w:sz w:val="22"/>
          <w:lang w:val="es-ES"/>
        </w:rPr>
      </w:pPr>
      <w:r w:rsidRPr="008D1DD9">
        <w:rPr>
          <w:rFonts w:asciiTheme="majorHAnsi" w:hAnsiTheme="majorHAnsi"/>
          <w:color w:val="000000"/>
          <w:sz w:val="22"/>
          <w:lang w:val="es-ES"/>
        </w:rPr>
        <w:t xml:space="preserve">Utilice este </w:t>
      </w:r>
      <w:r w:rsidRPr="000145A3">
        <w:rPr>
          <w:rFonts w:asciiTheme="majorHAnsi" w:hAnsiTheme="majorHAnsi"/>
          <w:sz w:val="22"/>
          <w:lang w:val="es-ES"/>
        </w:rPr>
        <w:t xml:space="preserve">formulario de presentación </w:t>
      </w:r>
      <w:r w:rsidRPr="00CB5D0C">
        <w:rPr>
          <w:rFonts w:asciiTheme="majorHAnsi" w:hAnsiTheme="majorHAnsi"/>
          <w:sz w:val="22"/>
          <w:lang w:val="es-ES"/>
        </w:rPr>
        <w:t xml:space="preserve">para compartir sus </w:t>
      </w:r>
      <w:r w:rsidR="00CB5D0C" w:rsidRPr="00CB5D0C">
        <w:rPr>
          <w:rFonts w:asciiTheme="majorHAnsi" w:hAnsiTheme="majorHAnsi"/>
          <w:sz w:val="22"/>
          <w:lang w:val="es-ES"/>
        </w:rPr>
        <w:t>ejemplos y buenas prácticas sobre la utilización y aplicación de las Directrices voluntarias en apoyo de la realización progresiva del derecho a una alimentación adecuada en el contexto de la seguridad alimentaria nacional</w:t>
      </w:r>
      <w:r w:rsidR="00CB5D0C">
        <w:rPr>
          <w:rFonts w:asciiTheme="majorHAnsi" w:hAnsiTheme="majorHAnsi"/>
          <w:sz w:val="22"/>
          <w:lang w:val="es-ES"/>
        </w:rPr>
        <w:t>.</w:t>
      </w:r>
      <w:r w:rsidR="00CB5D0C" w:rsidRPr="00CB5D0C">
        <w:rPr>
          <w:rFonts w:asciiTheme="majorHAnsi" w:hAnsiTheme="majorHAnsi"/>
          <w:sz w:val="22"/>
          <w:lang w:val="es-ES"/>
        </w:rPr>
        <w:t xml:space="preserve"> </w:t>
      </w:r>
      <w:r w:rsidRPr="00CB5D0C">
        <w:rPr>
          <w:rFonts w:asciiTheme="majorHAnsi" w:hAnsiTheme="majorHAnsi"/>
          <w:sz w:val="22"/>
          <w:lang w:val="es-ES"/>
        </w:rPr>
        <w:t>Para obtener los antecedentes y orientación necesarias</w:t>
      </w:r>
      <w:r w:rsidRPr="008D1DD9">
        <w:rPr>
          <w:rFonts w:asciiTheme="majorHAnsi" w:hAnsiTheme="majorHAnsi"/>
          <w:color w:val="000000"/>
          <w:sz w:val="22"/>
          <w:lang w:val="es-ES"/>
        </w:rPr>
        <w:t xml:space="preserve">, consulte la información en: </w:t>
      </w:r>
    </w:p>
    <w:p w14:paraId="362653EA" w14:textId="51D3825F" w:rsidR="008D1DD9" w:rsidRDefault="0059237F" w:rsidP="00C020F6">
      <w:pPr>
        <w:shd w:val="clear" w:color="auto" w:fill="FFFFFF"/>
        <w:spacing w:after="0"/>
        <w:rPr>
          <w:rStyle w:val="Hipervnculo"/>
          <w:rFonts w:asciiTheme="majorHAnsi" w:hAnsiTheme="majorHAnsi"/>
          <w:color w:val="auto"/>
          <w:sz w:val="22"/>
          <w:u w:val="none"/>
          <w:lang w:val="es-ES"/>
        </w:rPr>
      </w:pPr>
      <w:hyperlink r:id="rId9" w:history="1">
        <w:r w:rsidR="000145A3" w:rsidRPr="00517758">
          <w:rPr>
            <w:rStyle w:val="Hipervnculo"/>
            <w:rFonts w:asciiTheme="majorHAnsi" w:hAnsiTheme="majorHAnsi"/>
            <w:sz w:val="22"/>
            <w:lang w:val="es-ES"/>
          </w:rPr>
          <w:t>http://www.fao.org/fsnforum/es/activities/open-calls/CFS_right_to_food</w:t>
        </w:r>
      </w:hyperlink>
      <w:r w:rsidR="00C020F6" w:rsidRPr="00C020F6">
        <w:rPr>
          <w:rStyle w:val="Hipervnculo"/>
          <w:rFonts w:asciiTheme="majorHAnsi" w:hAnsiTheme="majorHAnsi"/>
          <w:color w:val="auto"/>
          <w:sz w:val="22"/>
          <w:u w:val="none"/>
          <w:lang w:val="es-ES"/>
        </w:rPr>
        <w:t>.</w:t>
      </w:r>
    </w:p>
    <w:p w14:paraId="332C1465" w14:textId="77777777" w:rsidR="00C020F6" w:rsidRDefault="00C020F6" w:rsidP="00C020F6">
      <w:pPr>
        <w:shd w:val="clear" w:color="auto" w:fill="FFFFFF"/>
        <w:spacing w:after="0"/>
        <w:rPr>
          <w:rFonts w:asciiTheme="majorHAnsi" w:hAnsiTheme="majorHAnsi"/>
          <w:color w:val="000000"/>
          <w:sz w:val="22"/>
          <w:lang w:val="es-ES"/>
        </w:rPr>
      </w:pPr>
    </w:p>
    <w:p w14:paraId="1F37C2D4" w14:textId="3F347E79" w:rsidR="008D1DD9" w:rsidRDefault="008D1DD9" w:rsidP="008D1DD9">
      <w:pPr>
        <w:shd w:val="clear" w:color="auto" w:fill="FFFFFF"/>
        <w:rPr>
          <w:rStyle w:val="Hipervnculo"/>
          <w:rFonts w:asciiTheme="majorHAnsi" w:hAnsiTheme="majorHAnsi"/>
          <w:sz w:val="22"/>
          <w:lang w:val="es-ES"/>
        </w:rPr>
      </w:pPr>
      <w:r w:rsidRPr="008D1DD9">
        <w:rPr>
          <w:rFonts w:asciiTheme="majorHAnsi" w:hAnsiTheme="majorHAnsi"/>
          <w:color w:val="000000"/>
          <w:sz w:val="22"/>
          <w:lang w:val="es-ES"/>
        </w:rPr>
        <w:t xml:space="preserve">Puede subir el formulario ya completado al sitio del Foro FSN en </w:t>
      </w:r>
      <w:r w:rsidR="0053052F">
        <w:rPr>
          <w:rFonts w:asciiTheme="majorHAnsi" w:hAnsiTheme="majorHAnsi"/>
          <w:color w:val="000000"/>
          <w:sz w:val="22"/>
          <w:lang w:val="es-ES"/>
        </w:rPr>
        <w:t>(</w:t>
      </w:r>
      <w:hyperlink r:id="rId10" w:history="1">
        <w:r w:rsidR="0053052F" w:rsidRPr="008320BF">
          <w:rPr>
            <w:rStyle w:val="Hipervnculo"/>
            <w:rFonts w:asciiTheme="majorHAnsi" w:hAnsiTheme="majorHAnsi"/>
            <w:sz w:val="22"/>
            <w:lang w:val="es-ES"/>
          </w:rPr>
          <w:t>www.fao.org/fsnforum/es</w:t>
        </w:r>
      </w:hyperlink>
      <w:r w:rsidR="0053052F" w:rsidRPr="0053052F">
        <w:rPr>
          <w:rStyle w:val="Hipervnculo"/>
          <w:rFonts w:asciiTheme="majorHAnsi" w:hAnsiTheme="majorHAnsi"/>
          <w:color w:val="auto"/>
          <w:sz w:val="22"/>
          <w:u w:val="none"/>
          <w:lang w:val="es-ES"/>
        </w:rPr>
        <w:t>)</w:t>
      </w:r>
      <w:r w:rsidR="0053052F">
        <w:rPr>
          <w:rStyle w:val="Hipervnculo"/>
          <w:rFonts w:asciiTheme="majorHAnsi" w:hAnsiTheme="majorHAnsi"/>
          <w:sz w:val="22"/>
          <w:u w:val="none"/>
          <w:lang w:val="es-ES"/>
        </w:rPr>
        <w:t xml:space="preserve"> </w:t>
      </w:r>
      <w:r w:rsidRPr="008D1DD9">
        <w:rPr>
          <w:rFonts w:asciiTheme="majorHAnsi" w:hAnsiTheme="majorHAnsi"/>
          <w:color w:val="000000"/>
          <w:sz w:val="22"/>
          <w:lang w:val="es-ES"/>
        </w:rPr>
        <w:t xml:space="preserve">o enviarlo por correo electrónico a </w:t>
      </w:r>
      <w:hyperlink r:id="rId11" w:history="1">
        <w:r w:rsidRPr="008D1DD9">
          <w:rPr>
            <w:rStyle w:val="Hipervnculo"/>
            <w:rFonts w:asciiTheme="majorHAnsi" w:hAnsiTheme="majorHAnsi"/>
            <w:sz w:val="22"/>
            <w:lang w:val="es-ES"/>
          </w:rPr>
          <w:t>fsn-moderator@fao.org</w:t>
        </w:r>
      </w:hyperlink>
    </w:p>
    <w:p w14:paraId="75208F21" w14:textId="77777777" w:rsidR="000145A3" w:rsidRDefault="000145A3" w:rsidP="008D1DD9">
      <w:pPr>
        <w:shd w:val="clear" w:color="auto" w:fill="FFFFFF"/>
        <w:rPr>
          <w:rStyle w:val="Hipervnculo"/>
          <w:rFonts w:asciiTheme="majorHAnsi" w:hAnsiTheme="majorHAnsi"/>
          <w:sz w:val="22"/>
          <w:lang w:val="es-ES"/>
        </w:rPr>
      </w:pPr>
    </w:p>
    <w:p w14:paraId="7D1FD78D" w14:textId="77777777" w:rsidR="000145A3" w:rsidRDefault="000145A3" w:rsidP="008D1DD9">
      <w:pPr>
        <w:shd w:val="clear" w:color="auto" w:fill="FFFFFF"/>
        <w:rPr>
          <w:rStyle w:val="Hipervnculo"/>
          <w:rFonts w:asciiTheme="majorHAnsi" w:hAnsiTheme="majorHAnsi"/>
          <w:sz w:val="22"/>
          <w:lang w:val="es-ES"/>
        </w:rPr>
      </w:pPr>
    </w:p>
    <w:p w14:paraId="2E974531" w14:textId="77777777" w:rsidR="000145A3" w:rsidRPr="004C49F3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Título de la experiencia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3AE69811" w14:textId="77777777" w:rsidTr="004D316F">
        <w:trPr>
          <w:trHeight w:val="548"/>
        </w:trPr>
        <w:tc>
          <w:tcPr>
            <w:tcW w:w="9776" w:type="dxa"/>
          </w:tcPr>
          <w:p w14:paraId="69BAB60A" w14:textId="7A7E4D29" w:rsidR="000145A3" w:rsidRPr="00C503C2" w:rsidRDefault="005233A5" w:rsidP="005233A5">
            <w:pPr>
              <w:spacing w:after="80" w:line="20" w:lineRule="atLeast"/>
              <w:rPr>
                <w:b/>
                <w:szCs w:val="24"/>
                <w:lang w:val="es-ES"/>
              </w:rPr>
            </w:pPr>
            <w:r w:rsidRPr="00C503C2">
              <w:rPr>
                <w:b/>
                <w:szCs w:val="24"/>
                <w:lang w:val="es-ES"/>
              </w:rPr>
              <w:t>Desarrollo de orientaciones legislativas para la realización progresiva del derecho a la alimentación en América Latina y el Caribe: leyes modelo del PARLATINO</w:t>
            </w:r>
          </w:p>
        </w:tc>
      </w:tr>
    </w:tbl>
    <w:p w14:paraId="3B64965F" w14:textId="77777777" w:rsidR="000145A3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1CE99E52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Cobertura geográfica</w:t>
      </w:r>
    </w:p>
    <w:p w14:paraId="496B612B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 w:rsidRPr="00476070">
        <w:rPr>
          <w:szCs w:val="24"/>
          <w:lang w:val="es-ES"/>
        </w:rPr>
        <w:t>(</w:t>
      </w:r>
      <w:r>
        <w:rPr>
          <w:szCs w:val="24"/>
          <w:lang w:val="es-ES"/>
        </w:rPr>
        <w:t xml:space="preserve">Por ejemplo: </w:t>
      </w:r>
      <w:r w:rsidRPr="00476070">
        <w:rPr>
          <w:szCs w:val="24"/>
          <w:u w:val="single"/>
          <w:lang w:val="es-ES"/>
        </w:rPr>
        <w:t>nacional</w:t>
      </w:r>
      <w:r>
        <w:rPr>
          <w:szCs w:val="24"/>
          <w:lang w:val="es-ES"/>
        </w:rPr>
        <w:t xml:space="preserve">; </w:t>
      </w:r>
      <w:r w:rsidRPr="00476070">
        <w:rPr>
          <w:szCs w:val="24"/>
          <w:u w:val="single"/>
          <w:lang w:val="es-ES"/>
        </w:rPr>
        <w:t>regional</w:t>
      </w:r>
      <w:r w:rsidRPr="00476070">
        <w:rPr>
          <w:szCs w:val="24"/>
          <w:lang w:val="es-ES"/>
        </w:rPr>
        <w:t xml:space="preserve"> si </w:t>
      </w:r>
      <w:r>
        <w:rPr>
          <w:szCs w:val="24"/>
          <w:lang w:val="es-ES"/>
        </w:rPr>
        <w:t xml:space="preserve">hace referencia a </w:t>
      </w:r>
      <w:r w:rsidRPr="00476070">
        <w:rPr>
          <w:szCs w:val="24"/>
          <w:lang w:val="es-ES"/>
        </w:rPr>
        <w:t>v</w:t>
      </w:r>
      <w:r>
        <w:rPr>
          <w:szCs w:val="24"/>
          <w:lang w:val="es-ES"/>
        </w:rPr>
        <w:t>arios países de la misma región;</w:t>
      </w:r>
      <w:r w:rsidRPr="00476070">
        <w:rPr>
          <w:szCs w:val="24"/>
          <w:lang w:val="es-ES"/>
        </w:rPr>
        <w:t xml:space="preserve"> o </w:t>
      </w:r>
      <w:r w:rsidRPr="00476070">
        <w:rPr>
          <w:szCs w:val="24"/>
          <w:u w:val="single"/>
          <w:lang w:val="es-ES"/>
        </w:rPr>
        <w:t>mundial</w:t>
      </w:r>
      <w:r>
        <w:rPr>
          <w:szCs w:val="24"/>
          <w:lang w:val="es-ES"/>
        </w:rPr>
        <w:t xml:space="preserve"> </w:t>
      </w:r>
      <w:r w:rsidRPr="00476070">
        <w:rPr>
          <w:szCs w:val="24"/>
          <w:lang w:val="es-ES"/>
        </w:rPr>
        <w:t xml:space="preserve">si </w:t>
      </w:r>
      <w:r>
        <w:rPr>
          <w:szCs w:val="24"/>
          <w:lang w:val="es-ES"/>
        </w:rPr>
        <w:t xml:space="preserve">se trata de </w:t>
      </w:r>
      <w:r w:rsidRPr="00476070">
        <w:rPr>
          <w:szCs w:val="24"/>
          <w:lang w:val="es-ES"/>
        </w:rPr>
        <w:t>varios países en más de una región)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F12432" w14:paraId="76D926E1" w14:textId="77777777" w:rsidTr="004D316F">
        <w:tc>
          <w:tcPr>
            <w:tcW w:w="9776" w:type="dxa"/>
          </w:tcPr>
          <w:p w14:paraId="4F868640" w14:textId="2C7E9E7E" w:rsidR="000145A3" w:rsidRPr="00D51A2A" w:rsidRDefault="002B00E0" w:rsidP="00BE1F77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 xml:space="preserve">Regional </w:t>
            </w:r>
          </w:p>
        </w:tc>
      </w:tr>
    </w:tbl>
    <w:p w14:paraId="4A4033ED" w14:textId="77777777" w:rsidR="00B310EB" w:rsidRDefault="00B310EB" w:rsidP="000145A3">
      <w:pPr>
        <w:spacing w:after="80" w:line="20" w:lineRule="atLeast"/>
        <w:rPr>
          <w:b/>
          <w:szCs w:val="24"/>
          <w:lang w:val="es-ES"/>
        </w:rPr>
      </w:pPr>
    </w:p>
    <w:p w14:paraId="1E36DF5C" w14:textId="77777777" w:rsidR="00B310EB" w:rsidRDefault="00B310EB" w:rsidP="000145A3">
      <w:pPr>
        <w:spacing w:after="80" w:line="20" w:lineRule="atLeast"/>
        <w:rPr>
          <w:b/>
          <w:szCs w:val="24"/>
          <w:lang w:val="es-ES"/>
        </w:rPr>
      </w:pPr>
    </w:p>
    <w:p w14:paraId="301983EE" w14:textId="77777777" w:rsidR="00B310EB" w:rsidRDefault="00B310EB" w:rsidP="000145A3">
      <w:pPr>
        <w:spacing w:after="80" w:line="20" w:lineRule="atLeast"/>
        <w:rPr>
          <w:b/>
          <w:szCs w:val="24"/>
          <w:lang w:val="es-ES"/>
        </w:rPr>
      </w:pPr>
    </w:p>
    <w:p w14:paraId="6405F5B6" w14:textId="1B0F2C0C" w:rsidR="000145A3" w:rsidRPr="00476070" w:rsidRDefault="000145A3" w:rsidP="000145A3">
      <w:pPr>
        <w:spacing w:after="80" w:line="20" w:lineRule="atLeast"/>
        <w:rPr>
          <w:b/>
          <w:szCs w:val="24"/>
          <w:lang w:val="es-ES"/>
        </w:rPr>
      </w:pPr>
      <w:r w:rsidRPr="00476070">
        <w:rPr>
          <w:b/>
          <w:szCs w:val="24"/>
          <w:lang w:val="es-ES"/>
        </w:rPr>
        <w:lastRenderedPageBreak/>
        <w:t xml:space="preserve">País(es)/Región(es) </w:t>
      </w:r>
      <w:r>
        <w:rPr>
          <w:b/>
          <w:szCs w:val="24"/>
          <w:lang w:val="es-ES"/>
        </w:rPr>
        <w:t>incluidos en la</w:t>
      </w:r>
      <w:r w:rsidRPr="00476070">
        <w:rPr>
          <w:b/>
          <w:szCs w:val="24"/>
          <w:lang w:val="es-ES"/>
        </w:rPr>
        <w:t xml:space="preserve"> experiencia</w:t>
      </w:r>
    </w:p>
    <w:p w14:paraId="53B023E1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>(Por ejemplo:</w:t>
      </w:r>
      <w:r w:rsidRPr="00D51A2A">
        <w:rPr>
          <w:szCs w:val="24"/>
          <w:lang w:val="es-ES"/>
        </w:rPr>
        <w:t xml:space="preserve"> </w:t>
      </w:r>
      <w:proofErr w:type="spellStart"/>
      <w:r w:rsidRPr="00D51A2A">
        <w:rPr>
          <w:szCs w:val="24"/>
          <w:lang w:val="es-ES"/>
        </w:rPr>
        <w:t>Kenya</w:t>
      </w:r>
      <w:proofErr w:type="spellEnd"/>
      <w:r w:rsidRPr="00D51A2A">
        <w:rPr>
          <w:szCs w:val="24"/>
          <w:lang w:val="es-ES"/>
        </w:rPr>
        <w:t xml:space="preserve">, Tanzania </w:t>
      </w:r>
      <w:r>
        <w:rPr>
          <w:szCs w:val="24"/>
          <w:lang w:val="es-ES"/>
        </w:rPr>
        <w:t>y</w:t>
      </w:r>
      <w:r w:rsidRPr="00D51A2A">
        <w:rPr>
          <w:szCs w:val="24"/>
          <w:lang w:val="es-ES"/>
        </w:rPr>
        <w:t xml:space="preserve"> Malawi)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B310EB" w14:paraId="6402991B" w14:textId="77777777" w:rsidTr="004D316F">
        <w:tc>
          <w:tcPr>
            <w:tcW w:w="9776" w:type="dxa"/>
          </w:tcPr>
          <w:p w14:paraId="79046379" w14:textId="77777777" w:rsidR="000145A3" w:rsidRDefault="002B00E0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América Latina y el Caribe</w:t>
            </w:r>
          </w:p>
          <w:p w14:paraId="38EC804B" w14:textId="7C30D911" w:rsidR="00B310EB" w:rsidRPr="00D51A2A" w:rsidRDefault="00B310EB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52B8952C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0E3F9633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Su afiliación</w:t>
      </w:r>
    </w:p>
    <w:p w14:paraId="3871D481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>(G</w:t>
      </w:r>
      <w:r w:rsidRPr="00476070">
        <w:rPr>
          <w:szCs w:val="24"/>
          <w:lang w:val="es-ES"/>
        </w:rPr>
        <w:t xml:space="preserve">obierno, organización </w:t>
      </w:r>
      <w:r>
        <w:rPr>
          <w:szCs w:val="24"/>
          <w:lang w:val="es-ES"/>
        </w:rPr>
        <w:t>de las Naciones Unidas, sociedad civil/</w:t>
      </w:r>
      <w:r w:rsidRPr="00476070">
        <w:rPr>
          <w:szCs w:val="24"/>
          <w:lang w:val="es-ES"/>
        </w:rPr>
        <w:t xml:space="preserve">ONG, sector privado, </w:t>
      </w:r>
      <w:r>
        <w:rPr>
          <w:szCs w:val="24"/>
          <w:lang w:val="es-ES"/>
        </w:rPr>
        <w:t>mundo académico</w:t>
      </w:r>
      <w:r w:rsidRPr="00476070">
        <w:rPr>
          <w:szCs w:val="24"/>
          <w:lang w:val="es-ES"/>
        </w:rPr>
        <w:t>, donante u otros)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566DB023" w14:textId="77777777" w:rsidTr="004D316F">
        <w:tc>
          <w:tcPr>
            <w:tcW w:w="9776" w:type="dxa"/>
          </w:tcPr>
          <w:p w14:paraId="01F238A0" w14:textId="7EC3B7FD" w:rsidR="000145A3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0A7FAEBB" w14:textId="73A25C4D" w:rsidR="00BE1F77" w:rsidRPr="00BE1F77" w:rsidRDefault="002B00E0" w:rsidP="001E7047">
            <w:pPr>
              <w:spacing w:after="80" w:line="20" w:lineRule="atLeast"/>
              <w:rPr>
                <w:b/>
                <w:szCs w:val="24"/>
                <w:u w:val="words"/>
                <w:lang w:val="es-ES"/>
              </w:rPr>
            </w:pPr>
            <w:r>
              <w:rPr>
                <w:b/>
                <w:szCs w:val="24"/>
                <w:lang w:val="es-ES"/>
              </w:rPr>
              <w:t>Parlamento Latinoamericano y Caribeño</w:t>
            </w:r>
            <w:r w:rsidR="00B310EB">
              <w:rPr>
                <w:b/>
                <w:szCs w:val="24"/>
                <w:lang w:val="es-ES"/>
              </w:rPr>
              <w:t xml:space="preserve"> (PARLATINO)</w:t>
            </w:r>
          </w:p>
          <w:p w14:paraId="0C73ED92" w14:textId="77777777" w:rsidR="000145A3" w:rsidRPr="00D51A2A" w:rsidRDefault="000145A3" w:rsidP="00BE1F7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490B0E19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4828B7B0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 w:rsidRPr="00ED252E">
        <w:rPr>
          <w:b/>
          <w:szCs w:val="24"/>
          <w:lang w:val="es-ES"/>
        </w:rPr>
        <w:t>¿Cómo se ha</w:t>
      </w:r>
      <w:r>
        <w:rPr>
          <w:b/>
          <w:szCs w:val="24"/>
          <w:lang w:val="es-ES"/>
        </w:rPr>
        <w:t>n</w:t>
      </w:r>
      <w:r w:rsidRPr="00ED252E">
        <w:rPr>
          <w:b/>
          <w:szCs w:val="24"/>
          <w:lang w:val="es-ES"/>
        </w:rPr>
        <w:t xml:space="preserve"> utilizado </w:t>
      </w:r>
      <w:r>
        <w:rPr>
          <w:b/>
          <w:szCs w:val="24"/>
          <w:lang w:val="es-ES"/>
        </w:rPr>
        <w:t>las</w:t>
      </w:r>
      <w:r w:rsidRPr="00ED252E">
        <w:rPr>
          <w:b/>
          <w:szCs w:val="24"/>
          <w:lang w:val="es-ES"/>
        </w:rPr>
        <w:t xml:space="preserve"> </w:t>
      </w:r>
      <w:proofErr w:type="spellStart"/>
      <w:r w:rsidRPr="00ED252E">
        <w:rPr>
          <w:b/>
          <w:szCs w:val="24"/>
          <w:lang w:val="es-ES"/>
        </w:rPr>
        <w:t>VGRtF</w:t>
      </w:r>
      <w:proofErr w:type="spellEnd"/>
      <w:r w:rsidRPr="00ED252E">
        <w:rPr>
          <w:b/>
          <w:szCs w:val="24"/>
          <w:lang w:val="es-ES"/>
        </w:rPr>
        <w:t xml:space="preserve"> en su contexto? ¿Qué directrices específicas de la</w:t>
      </w:r>
      <w:r>
        <w:rPr>
          <w:b/>
          <w:szCs w:val="24"/>
          <w:lang w:val="es-ES"/>
        </w:rPr>
        <w:t>s</w:t>
      </w:r>
      <w:r w:rsidRPr="00ED252E">
        <w:rPr>
          <w:b/>
          <w:szCs w:val="24"/>
          <w:lang w:val="es-ES"/>
        </w:rPr>
        <w:t xml:space="preserve"> </w:t>
      </w:r>
      <w:proofErr w:type="spellStart"/>
      <w:r w:rsidRPr="00ED252E">
        <w:rPr>
          <w:b/>
          <w:szCs w:val="24"/>
          <w:lang w:val="es-ES"/>
        </w:rPr>
        <w:t>VGRtF</w:t>
      </w:r>
      <w:proofErr w:type="spellEnd"/>
      <w:r w:rsidRPr="00ED252E">
        <w:rPr>
          <w:b/>
          <w:szCs w:val="24"/>
          <w:lang w:val="es-ES"/>
        </w:rPr>
        <w:t xml:space="preserve"> fueron más relevantes para su experiencia?</w:t>
      </w:r>
    </w:p>
    <w:p w14:paraId="5D1BB646" w14:textId="77777777" w:rsidR="000145A3" w:rsidRPr="004C49F3" w:rsidRDefault="000145A3" w:rsidP="000145A3">
      <w:pPr>
        <w:spacing w:after="80" w:line="20" w:lineRule="atLeast"/>
        <w:rPr>
          <w:szCs w:val="24"/>
          <w:lang w:val="es-ES"/>
        </w:rPr>
      </w:pPr>
      <w:r w:rsidRPr="00FA20A3">
        <w:rPr>
          <w:szCs w:val="24"/>
          <w:lang w:val="es-ES"/>
        </w:rPr>
        <w:t>(</w:t>
      </w:r>
      <w:r>
        <w:rPr>
          <w:szCs w:val="24"/>
          <w:lang w:val="es-ES"/>
        </w:rPr>
        <w:t xml:space="preserve">Por </w:t>
      </w:r>
      <w:proofErr w:type="spellStart"/>
      <w:r>
        <w:rPr>
          <w:szCs w:val="24"/>
          <w:lang w:val="es-ES"/>
        </w:rPr>
        <w:t>ej</w:t>
      </w:r>
      <w:proofErr w:type="spellEnd"/>
      <w:r>
        <w:rPr>
          <w:szCs w:val="24"/>
          <w:lang w:val="es-ES"/>
        </w:rPr>
        <w:t xml:space="preserve">: las </w:t>
      </w:r>
      <w:proofErr w:type="spellStart"/>
      <w:r w:rsidRPr="00FA20A3">
        <w:rPr>
          <w:szCs w:val="24"/>
          <w:lang w:val="es-ES"/>
        </w:rPr>
        <w:t>VGRtF</w:t>
      </w:r>
      <w:proofErr w:type="spellEnd"/>
      <w:r w:rsidRPr="00FA20A3">
        <w:rPr>
          <w:szCs w:val="24"/>
          <w:lang w:val="es-ES"/>
        </w:rPr>
        <w:t xml:space="preserve"> se han utilizado para desarrollar el marco </w:t>
      </w:r>
      <w:r>
        <w:rPr>
          <w:szCs w:val="24"/>
          <w:lang w:val="es-ES"/>
        </w:rPr>
        <w:t>jurídico sobre el D</w:t>
      </w:r>
      <w:r w:rsidRPr="00FA20A3">
        <w:rPr>
          <w:szCs w:val="24"/>
          <w:lang w:val="es-ES"/>
        </w:rPr>
        <w:t xml:space="preserve">erecho a la alimentación, </w:t>
      </w:r>
      <w:r>
        <w:rPr>
          <w:szCs w:val="24"/>
          <w:lang w:val="es-ES"/>
        </w:rPr>
        <w:t>en particular</w:t>
      </w:r>
      <w:r w:rsidRPr="00FA20A3">
        <w:rPr>
          <w:szCs w:val="24"/>
          <w:lang w:val="es-ES"/>
        </w:rPr>
        <w:t xml:space="preserve"> la Directriz 7)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729FC98A" w14:textId="77777777" w:rsidTr="004D316F">
        <w:tc>
          <w:tcPr>
            <w:tcW w:w="9776" w:type="dxa"/>
          </w:tcPr>
          <w:p w14:paraId="7DF76DD9" w14:textId="3566E1C9" w:rsidR="00BE1F77" w:rsidRPr="00B310EB" w:rsidRDefault="00B310EB" w:rsidP="00B310EB">
            <w:pPr>
              <w:spacing w:after="80" w:line="20" w:lineRule="atLeast"/>
              <w:rPr>
                <w:szCs w:val="24"/>
                <w:lang w:val="es-ES"/>
              </w:rPr>
            </w:pPr>
            <w:r w:rsidRPr="00B310EB">
              <w:rPr>
                <w:szCs w:val="24"/>
                <w:lang w:val="es-ES"/>
              </w:rPr>
              <w:t xml:space="preserve">Las directrices voluntarias han sido material de consulta constante en el trabajo del PARLATINO en </w:t>
            </w:r>
            <w:r>
              <w:rPr>
                <w:szCs w:val="24"/>
                <w:lang w:val="es-ES"/>
              </w:rPr>
              <w:t xml:space="preserve">la discusión, construcción y aprobación de sus leyes modelo que abordan </w:t>
            </w:r>
            <w:r w:rsidRPr="00D50370">
              <w:rPr>
                <w:szCs w:val="24"/>
                <w:lang w:val="es-ES"/>
              </w:rPr>
              <w:t>directa</w:t>
            </w:r>
            <w:r w:rsidR="00D50370" w:rsidRPr="00D50370">
              <w:rPr>
                <w:szCs w:val="24"/>
                <w:lang w:val="es-ES"/>
              </w:rPr>
              <w:t xml:space="preserve">mente (derecho a la alimentación, seguridad y soberanía alimentaria) </w:t>
            </w:r>
            <w:r w:rsidRPr="00D50370">
              <w:rPr>
                <w:szCs w:val="24"/>
                <w:lang w:val="es-ES"/>
              </w:rPr>
              <w:t>o indirectame</w:t>
            </w:r>
            <w:r w:rsidR="00D50370" w:rsidRPr="00D50370">
              <w:rPr>
                <w:szCs w:val="24"/>
                <w:lang w:val="es-ES"/>
              </w:rPr>
              <w:t>nte (a</w:t>
            </w:r>
            <w:r w:rsidR="008F75C7" w:rsidRPr="00D50370">
              <w:rPr>
                <w:szCs w:val="24"/>
                <w:lang w:val="es-ES"/>
              </w:rPr>
              <w:t xml:space="preserve">limentación escolar, </w:t>
            </w:r>
            <w:r w:rsidR="00D50370" w:rsidRPr="00D50370">
              <w:rPr>
                <w:szCs w:val="24"/>
                <w:lang w:val="es-ES"/>
              </w:rPr>
              <w:t xml:space="preserve">la </w:t>
            </w:r>
            <w:r w:rsidR="008F75C7" w:rsidRPr="00D50370">
              <w:rPr>
                <w:szCs w:val="24"/>
                <w:lang w:val="es-ES"/>
              </w:rPr>
              <w:t>agricul</w:t>
            </w:r>
            <w:r w:rsidR="00D50370" w:rsidRPr="00D50370">
              <w:rPr>
                <w:szCs w:val="24"/>
                <w:lang w:val="es-ES"/>
              </w:rPr>
              <w:t>tura familiar, pesca artesanal)</w:t>
            </w:r>
            <w:r w:rsidRPr="00D50370">
              <w:rPr>
                <w:szCs w:val="24"/>
                <w:lang w:val="es-ES"/>
              </w:rPr>
              <w:t xml:space="preserve"> </w:t>
            </w:r>
            <w:r w:rsidR="00D50370" w:rsidRPr="00D50370">
              <w:rPr>
                <w:szCs w:val="24"/>
                <w:lang w:val="es-ES"/>
              </w:rPr>
              <w:t xml:space="preserve">el derecho a la alimentación. </w:t>
            </w:r>
            <w:r w:rsidRPr="00D50370">
              <w:rPr>
                <w:szCs w:val="24"/>
                <w:lang w:val="es-ES"/>
              </w:rPr>
              <w:t xml:space="preserve">En este sentido, no es posible mencionar una directriz en particular, pero sí señalar que </w:t>
            </w:r>
            <w:r w:rsidR="008F75C7" w:rsidRPr="00D50370">
              <w:rPr>
                <w:szCs w:val="24"/>
                <w:lang w:val="es-ES"/>
              </w:rPr>
              <w:t xml:space="preserve">prácticamente todas </w:t>
            </w:r>
            <w:r w:rsidRPr="00D50370">
              <w:rPr>
                <w:szCs w:val="24"/>
                <w:lang w:val="es-ES"/>
              </w:rPr>
              <w:t>ha</w:t>
            </w:r>
            <w:r w:rsidR="008F75C7" w:rsidRPr="00D50370">
              <w:rPr>
                <w:szCs w:val="24"/>
                <w:lang w:val="es-ES"/>
              </w:rPr>
              <w:t>n</w:t>
            </w:r>
            <w:r w:rsidRPr="00D50370">
              <w:rPr>
                <w:szCs w:val="24"/>
                <w:lang w:val="es-ES"/>
              </w:rPr>
              <w:t xml:space="preserve"> sido fundamental</w:t>
            </w:r>
            <w:r w:rsidR="008F75C7" w:rsidRPr="00D50370">
              <w:rPr>
                <w:szCs w:val="24"/>
                <w:lang w:val="es-ES"/>
              </w:rPr>
              <w:t>es</w:t>
            </w:r>
            <w:r w:rsidRPr="00D50370">
              <w:rPr>
                <w:szCs w:val="24"/>
                <w:lang w:val="es-ES"/>
              </w:rPr>
              <w:t xml:space="preserve"> para enriquecer las leyes modelo y entregar a los parlamentos que integran el PARLATINO una guía clara y útil para trabajar en sus legislaciones nacionales.</w:t>
            </w:r>
          </w:p>
          <w:p w14:paraId="62EE7F8A" w14:textId="5D897918" w:rsidR="00B310EB" w:rsidRPr="00B310EB" w:rsidRDefault="00B310EB" w:rsidP="00B310EB">
            <w:pPr>
              <w:spacing w:after="80" w:line="20" w:lineRule="atLeast"/>
              <w:ind w:left="357" w:hanging="357"/>
              <w:rPr>
                <w:b/>
                <w:szCs w:val="24"/>
                <w:lang w:val="es-ES"/>
              </w:rPr>
            </w:pPr>
          </w:p>
        </w:tc>
      </w:tr>
    </w:tbl>
    <w:p w14:paraId="7703AF5C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636B62EB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Breve descripción de la experiencia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11524886" w14:textId="77777777" w:rsidTr="004D316F">
        <w:tc>
          <w:tcPr>
            <w:tcW w:w="9776" w:type="dxa"/>
          </w:tcPr>
          <w:p w14:paraId="79B851E2" w14:textId="1B0E905F" w:rsidR="00BC6E7D" w:rsidRDefault="00F70011" w:rsidP="00C81C9A">
            <w:pPr>
              <w:spacing w:after="80" w:line="20" w:lineRule="atLeast"/>
              <w:rPr>
                <w:szCs w:val="24"/>
                <w:lang w:val="es-ES"/>
              </w:rPr>
            </w:pPr>
            <w:r w:rsidRPr="00BC6E7D">
              <w:rPr>
                <w:szCs w:val="24"/>
                <w:lang w:val="es-ES"/>
              </w:rPr>
              <w:t xml:space="preserve">El PARLATINO ha sido un actor clave en la conformación y consolidación de los Frentes Parlamentarios contra el Hambre de América Latina y el Caribe, </w:t>
            </w:r>
            <w:r w:rsidR="00BC6E7D" w:rsidRPr="00BC6E7D">
              <w:rPr>
                <w:szCs w:val="24"/>
                <w:lang w:val="es-ES"/>
              </w:rPr>
              <w:t>ya que,</w:t>
            </w:r>
            <w:r w:rsidRPr="00BC6E7D">
              <w:rPr>
                <w:szCs w:val="24"/>
                <w:lang w:val="es-ES"/>
              </w:rPr>
              <w:t xml:space="preserve"> desde sus más </w:t>
            </w:r>
            <w:r w:rsidR="00BC6E7D" w:rsidRPr="00BC6E7D">
              <w:rPr>
                <w:szCs w:val="24"/>
                <w:lang w:val="es-ES"/>
              </w:rPr>
              <w:t>tiernos or</w:t>
            </w:r>
            <w:r w:rsidR="00BC6E7D">
              <w:rPr>
                <w:szCs w:val="24"/>
                <w:lang w:val="es-ES"/>
              </w:rPr>
              <w:t>ígenes en 2008,</w:t>
            </w:r>
            <w:r w:rsidR="00BC6E7D" w:rsidRPr="00BC6E7D">
              <w:rPr>
                <w:szCs w:val="24"/>
                <w:lang w:val="es-ES"/>
              </w:rPr>
              <w:t xml:space="preserve"> formó parte de las discusiones y </w:t>
            </w:r>
            <w:r w:rsidR="00C503C2">
              <w:rPr>
                <w:szCs w:val="24"/>
                <w:lang w:val="es-ES"/>
              </w:rPr>
              <w:t>acciones para la generación de acuerdos</w:t>
            </w:r>
            <w:r w:rsidR="00BC6E7D" w:rsidRPr="00BC6E7D">
              <w:rPr>
                <w:szCs w:val="24"/>
                <w:lang w:val="es-ES"/>
              </w:rPr>
              <w:t xml:space="preserve"> para conformarlo.</w:t>
            </w:r>
            <w:r w:rsidR="00BC6E7D">
              <w:rPr>
                <w:szCs w:val="24"/>
                <w:lang w:val="es-ES"/>
              </w:rPr>
              <w:t xml:space="preserve"> De esta manera, se fue conformando una agenda legislativa en favor del derecho a la alimentación que ha traspasado conformaciones parlamentarias y presidencias del PARLATINO. </w:t>
            </w:r>
          </w:p>
          <w:p w14:paraId="05276590" w14:textId="582CB72C" w:rsidR="00BC6E7D" w:rsidRDefault="00BC6E7D" w:rsidP="00C81C9A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El PARLATINO se transformó en un agente primordial en el proceso de promoción y fortalecimiento de los marcos legales del derecho a la alimentación en la región, función que ha desempeñado de la mano de los Frentes Parlamentarios contra el Hambre y otros actores</w:t>
            </w:r>
            <w:r w:rsidR="00C503C2">
              <w:rPr>
                <w:szCs w:val="24"/>
                <w:lang w:val="es-ES"/>
              </w:rPr>
              <w:t>,</w:t>
            </w:r>
            <w:r>
              <w:rPr>
                <w:szCs w:val="24"/>
                <w:lang w:val="es-ES"/>
              </w:rPr>
              <w:t xml:space="preserve"> como la FAO. La experiencia ha implicado buscar aliados estratégicos, como la academia</w:t>
            </w:r>
            <w:r w:rsidR="00C503C2">
              <w:rPr>
                <w:szCs w:val="24"/>
                <w:lang w:val="es-ES"/>
              </w:rPr>
              <w:t>,</w:t>
            </w:r>
            <w:r>
              <w:rPr>
                <w:szCs w:val="24"/>
                <w:lang w:val="es-ES"/>
              </w:rPr>
              <w:t xml:space="preserve"> a través del Observatorio del Derecho a la Alimentación (ODA); una red de universidades de toda América Latina y el Caribe que se dedican a estudiar, investigar y observar el estado de este derecho. También ha afianzado su alianza con la FAO, firmando acuerdos de cooperación para el desarrollo de actividades para propiciar un mayor entendimiento a nivel legislativo del </w:t>
            </w:r>
            <w:r>
              <w:rPr>
                <w:szCs w:val="24"/>
                <w:lang w:val="es-ES"/>
              </w:rPr>
              <w:lastRenderedPageBreak/>
              <w:t xml:space="preserve">derecho a la alimentación. El PARLATINO ha puesto a </w:t>
            </w:r>
            <w:r w:rsidR="00C503C2">
              <w:rPr>
                <w:szCs w:val="24"/>
                <w:lang w:val="es-ES"/>
              </w:rPr>
              <w:t xml:space="preserve">total </w:t>
            </w:r>
            <w:r>
              <w:rPr>
                <w:szCs w:val="24"/>
                <w:lang w:val="es-ES"/>
              </w:rPr>
              <w:t>disposición de este proceso sus colaboradores técnicos, sus recursos tecnológicos e instalaciones físicas, ubicadas en Panamá.</w:t>
            </w:r>
          </w:p>
          <w:p w14:paraId="01837216" w14:textId="77777777" w:rsidR="00495FA4" w:rsidRDefault="00BC6E7D" w:rsidP="00BC6E7D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A través de sus distintas comisiones legislativas el PARLATINO ha aprobado las siguientes leyes modelo: </w:t>
            </w:r>
            <w:r w:rsidR="00495FA4" w:rsidRPr="00BC6E7D">
              <w:rPr>
                <w:szCs w:val="24"/>
                <w:lang w:val="es-ES"/>
              </w:rPr>
              <w:t xml:space="preserve">del </w:t>
            </w:r>
            <w:r w:rsidRPr="00BC6E7D">
              <w:rPr>
                <w:szCs w:val="24"/>
                <w:lang w:val="es-ES"/>
              </w:rPr>
              <w:t xml:space="preserve">Derecho a la Alimentación, Seguridad y Soberanía Alimentaria </w:t>
            </w:r>
            <w:r w:rsidR="00495FA4" w:rsidRPr="00BC6E7D">
              <w:rPr>
                <w:szCs w:val="24"/>
                <w:lang w:val="es-ES"/>
              </w:rPr>
              <w:t xml:space="preserve">de 2012, </w:t>
            </w:r>
            <w:r w:rsidRPr="00BC6E7D">
              <w:rPr>
                <w:szCs w:val="24"/>
                <w:lang w:val="es-ES"/>
              </w:rPr>
              <w:t>l</w:t>
            </w:r>
            <w:r w:rsidR="00495FA4" w:rsidRPr="00BC6E7D">
              <w:rPr>
                <w:szCs w:val="24"/>
                <w:lang w:val="es-ES"/>
              </w:rPr>
              <w:t xml:space="preserve">a de </w:t>
            </w:r>
            <w:r w:rsidRPr="00BC6E7D">
              <w:rPr>
                <w:szCs w:val="24"/>
                <w:lang w:val="es-ES"/>
              </w:rPr>
              <w:t>Alimentación Escolar</w:t>
            </w:r>
            <w:r w:rsidR="00495FA4" w:rsidRPr="00BC6E7D">
              <w:rPr>
                <w:szCs w:val="24"/>
                <w:lang w:val="es-ES"/>
              </w:rPr>
              <w:t>, aprobada en 2013</w:t>
            </w:r>
            <w:r w:rsidRPr="00BC6E7D">
              <w:rPr>
                <w:szCs w:val="24"/>
                <w:lang w:val="es-ES"/>
              </w:rPr>
              <w:t>, la de Agricultura F</w:t>
            </w:r>
            <w:r w:rsidR="00495FA4" w:rsidRPr="00BC6E7D">
              <w:rPr>
                <w:szCs w:val="24"/>
                <w:lang w:val="es-ES"/>
              </w:rPr>
              <w:t xml:space="preserve">amiliar </w:t>
            </w:r>
            <w:r w:rsidRPr="00BC6E7D">
              <w:rPr>
                <w:szCs w:val="24"/>
                <w:lang w:val="es-ES"/>
              </w:rPr>
              <w:t xml:space="preserve">de </w:t>
            </w:r>
            <w:r w:rsidR="00495FA4" w:rsidRPr="00BC6E7D">
              <w:rPr>
                <w:szCs w:val="24"/>
                <w:lang w:val="es-ES"/>
              </w:rPr>
              <w:t>2016</w:t>
            </w:r>
            <w:r w:rsidRPr="00BC6E7D">
              <w:rPr>
                <w:szCs w:val="24"/>
                <w:lang w:val="es-ES"/>
              </w:rPr>
              <w:t xml:space="preserve"> y la recientemente aprobada Ley Modelo de </w:t>
            </w:r>
            <w:r w:rsidR="00495FA4" w:rsidRPr="00BC6E7D">
              <w:rPr>
                <w:szCs w:val="24"/>
                <w:lang w:val="es-ES"/>
              </w:rPr>
              <w:t xml:space="preserve">Pesca Artesanal o en Pequeña Escala </w:t>
            </w:r>
            <w:r w:rsidRPr="00BC6E7D">
              <w:rPr>
                <w:szCs w:val="24"/>
                <w:lang w:val="es-ES"/>
              </w:rPr>
              <w:t xml:space="preserve">de </w:t>
            </w:r>
            <w:r w:rsidR="00495FA4" w:rsidRPr="00BC6E7D">
              <w:rPr>
                <w:szCs w:val="24"/>
                <w:lang w:val="es-ES"/>
              </w:rPr>
              <w:t>2017</w:t>
            </w:r>
            <w:r w:rsidRPr="00BC6E7D">
              <w:rPr>
                <w:szCs w:val="24"/>
                <w:lang w:val="es-ES"/>
              </w:rPr>
              <w:t>.</w:t>
            </w:r>
          </w:p>
          <w:p w14:paraId="06150031" w14:textId="4262BC4B" w:rsidR="00BC6E7D" w:rsidRDefault="00BC6E7D" w:rsidP="00BC6E7D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El apoyo que da el PARLATINO a los parlamentos nacionales no se queda en la sola publicación de Leyes Modelo, sino que abarca también poner a disposición de los legisladores recursos de información y datos relevantes para apoyar su labor parlamentaria. Es así como en 2016 el PARLATINO lanzó</w:t>
            </w:r>
            <w:r w:rsidR="00C503C2">
              <w:rPr>
                <w:szCs w:val="24"/>
                <w:lang w:val="es-ES"/>
              </w:rPr>
              <w:t>,</w:t>
            </w:r>
            <w:r>
              <w:rPr>
                <w:szCs w:val="24"/>
                <w:lang w:val="es-ES"/>
              </w:rPr>
              <w:t xml:space="preserve"> junto a la FAO y con el apoyo del Programa Mesoamérica sin Hambre</w:t>
            </w:r>
            <w:r w:rsidR="00C503C2">
              <w:rPr>
                <w:szCs w:val="24"/>
                <w:lang w:val="es-ES"/>
              </w:rPr>
              <w:t>,</w:t>
            </w:r>
            <w:r>
              <w:rPr>
                <w:szCs w:val="24"/>
                <w:lang w:val="es-ES"/>
              </w:rPr>
              <w:t xml:space="preserve"> la plataforma en línea “Comunidad Parlamentaria del Conocimiento”, que contiene información de marcos legales de distinto nivel (leyes, decretos y resoluciones) en distintas materias relacionadas con el derecho a la alimentación, e</w:t>
            </w:r>
            <w:r w:rsidR="00C503C2">
              <w:rPr>
                <w:szCs w:val="24"/>
                <w:lang w:val="es-ES"/>
              </w:rPr>
              <w:t>n el ámbito social, productivo,</w:t>
            </w:r>
            <w:r>
              <w:rPr>
                <w:szCs w:val="24"/>
                <w:lang w:val="es-ES"/>
              </w:rPr>
              <w:t xml:space="preserve"> agrícola</w:t>
            </w:r>
            <w:r w:rsidR="00C503C2">
              <w:rPr>
                <w:szCs w:val="24"/>
                <w:lang w:val="es-ES"/>
              </w:rPr>
              <w:t>, entre otros</w:t>
            </w:r>
            <w:r>
              <w:rPr>
                <w:szCs w:val="24"/>
                <w:lang w:val="es-ES"/>
              </w:rPr>
              <w:t>. Esta base de datos legislativa se ha ido ampliando para abarcar más países y sectores.</w:t>
            </w:r>
          </w:p>
          <w:p w14:paraId="4E0B4F0F" w14:textId="7C9EDF34" w:rsidR="00BC6E7D" w:rsidRDefault="00BC6E7D" w:rsidP="00BC6E7D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El PARLATINO ha sido sede de talleres, </w:t>
            </w:r>
            <w:r w:rsidR="00864B7A">
              <w:rPr>
                <w:szCs w:val="24"/>
                <w:lang w:val="es-ES"/>
              </w:rPr>
              <w:t>jornadas de discusión y capacitación y ha generado documentos y materiales para incrementar el conocimiento y entendimiento de las materias relacionadas con el derecho a la alimentación que pueden ser de utilidad para los legisladores de la región.</w:t>
            </w:r>
          </w:p>
          <w:p w14:paraId="780A02FA" w14:textId="77777777" w:rsidR="00BC6E7D" w:rsidRDefault="00864B7A" w:rsidP="00864B7A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Finalmente,</w:t>
            </w:r>
            <w:r w:rsidR="00C503C2">
              <w:rPr>
                <w:szCs w:val="24"/>
                <w:lang w:val="es-ES"/>
              </w:rPr>
              <w:t xml:space="preserve"> no se puede soslayar</w:t>
            </w:r>
            <w:r>
              <w:rPr>
                <w:szCs w:val="24"/>
                <w:lang w:val="es-ES"/>
              </w:rPr>
              <w:t xml:space="preserve"> esta experiencia tiene un carácter fundamentalmente político, que es motor de cualquier parlamento</w:t>
            </w:r>
            <w:r w:rsidR="00C503C2">
              <w:rPr>
                <w:szCs w:val="24"/>
                <w:lang w:val="es-ES"/>
              </w:rPr>
              <w:t>, en su aspecto más noble</w:t>
            </w:r>
            <w:r>
              <w:rPr>
                <w:szCs w:val="24"/>
                <w:lang w:val="es-ES"/>
              </w:rPr>
              <w:t>. En ese sentido</w:t>
            </w:r>
            <w:r w:rsidR="00C503C2">
              <w:rPr>
                <w:szCs w:val="24"/>
                <w:lang w:val="es-ES"/>
              </w:rPr>
              <w:t>,</w:t>
            </w:r>
            <w:r>
              <w:rPr>
                <w:szCs w:val="24"/>
                <w:lang w:val="es-ES"/>
              </w:rPr>
              <w:t xml:space="preserve"> el PARLATINO se ha transformado en un actor dinamizador de compromisos, voluntades y oportunidades políticas para avanzar en una articulación amplia y pluralista en pro del derecho a la alimentación en América Latina y el Caribe, que se ha traducido en leyes, políticas y programas para incrementar la seguridad alimentaria y nutricional de los habitantes de la región, con énfasis en las comunidades más vulnerables.</w:t>
            </w:r>
            <w:r w:rsidR="00C503C2">
              <w:rPr>
                <w:szCs w:val="24"/>
                <w:lang w:val="es-ES"/>
              </w:rPr>
              <w:t xml:space="preserve"> </w:t>
            </w:r>
          </w:p>
          <w:p w14:paraId="02D3C5A7" w14:textId="78EEB105" w:rsidR="00C503C2" w:rsidRPr="00BC6E7D" w:rsidRDefault="00C503C2" w:rsidP="00864B7A">
            <w:pPr>
              <w:spacing w:after="80" w:line="20" w:lineRule="atLeast"/>
              <w:rPr>
                <w:rFonts w:ascii="Arial" w:hAnsi="Arial"/>
                <w:b/>
                <w:color w:val="003B43"/>
                <w:sz w:val="42"/>
                <w:szCs w:val="42"/>
                <w:lang w:val="es-ES"/>
              </w:rPr>
            </w:pPr>
          </w:p>
        </w:tc>
      </w:tr>
    </w:tbl>
    <w:p w14:paraId="1CB500A5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66E67AC1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¿Quién participó en la experiencia?</w:t>
      </w:r>
    </w:p>
    <w:p w14:paraId="33001C86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 w:rsidRPr="00FA20A3">
        <w:rPr>
          <w:szCs w:val="24"/>
          <w:lang w:val="es-ES"/>
        </w:rPr>
        <w:t>(</w:t>
      </w:r>
      <w:r>
        <w:rPr>
          <w:szCs w:val="24"/>
          <w:lang w:val="es-ES"/>
        </w:rPr>
        <w:t xml:space="preserve">Por favor enumere todos los agentes relevantes involucrados. Por ejemplo: </w:t>
      </w:r>
      <w:r w:rsidRPr="00476070">
        <w:rPr>
          <w:szCs w:val="24"/>
          <w:lang w:val="es-ES"/>
        </w:rPr>
        <w:t xml:space="preserve">organización </w:t>
      </w:r>
      <w:r>
        <w:rPr>
          <w:szCs w:val="24"/>
          <w:lang w:val="es-ES"/>
        </w:rPr>
        <w:t>de las Naciones Unidas, sociedad civil/</w:t>
      </w:r>
      <w:r w:rsidRPr="00476070">
        <w:rPr>
          <w:szCs w:val="24"/>
          <w:lang w:val="es-ES"/>
        </w:rPr>
        <w:t xml:space="preserve">ONG, sector privado, </w:t>
      </w:r>
      <w:r>
        <w:rPr>
          <w:szCs w:val="24"/>
          <w:lang w:val="es-ES"/>
        </w:rPr>
        <w:t>mundo académico</w:t>
      </w:r>
      <w:r w:rsidRPr="00476070">
        <w:rPr>
          <w:szCs w:val="24"/>
          <w:lang w:val="es-ES"/>
        </w:rPr>
        <w:t>, donante u otros</w:t>
      </w:r>
      <w:r w:rsidRPr="00FA20A3">
        <w:rPr>
          <w:szCs w:val="24"/>
          <w:lang w:val="es-ES"/>
        </w:rPr>
        <w:t>)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39DE5A69" w14:textId="77777777" w:rsidTr="004D316F">
        <w:tc>
          <w:tcPr>
            <w:tcW w:w="9776" w:type="dxa"/>
          </w:tcPr>
          <w:p w14:paraId="1055C62F" w14:textId="736087BA" w:rsidR="000145A3" w:rsidRDefault="00C81C9A" w:rsidP="00C81C9A">
            <w:pPr>
              <w:spacing w:after="80" w:line="20" w:lineRule="atLeast"/>
              <w:rPr>
                <w:szCs w:val="24"/>
                <w:lang w:val="es-ES"/>
              </w:rPr>
            </w:pPr>
            <w:r w:rsidRPr="00C81C9A">
              <w:rPr>
                <w:szCs w:val="24"/>
                <w:lang w:val="es-ES"/>
              </w:rPr>
              <w:t xml:space="preserve">Parlamentarios y parlamentarias </w:t>
            </w:r>
            <w:r w:rsidR="00864B7A">
              <w:rPr>
                <w:szCs w:val="24"/>
                <w:lang w:val="es-ES"/>
              </w:rPr>
              <w:t>de América Latina y el Caribe integrantes del PARLATINO y que integran</w:t>
            </w:r>
            <w:r w:rsidR="00D97F9C">
              <w:rPr>
                <w:szCs w:val="24"/>
                <w:lang w:val="es-ES"/>
              </w:rPr>
              <w:t xml:space="preserve"> la Comisión de Agricultura, </w:t>
            </w:r>
            <w:r w:rsidR="0074750F">
              <w:rPr>
                <w:szCs w:val="24"/>
                <w:lang w:val="es-ES"/>
              </w:rPr>
              <w:t xml:space="preserve">Ganadería </w:t>
            </w:r>
            <w:r w:rsidR="0074750F">
              <w:rPr>
                <w:szCs w:val="24"/>
                <w:lang w:val="es-ES"/>
              </w:rPr>
              <w:t xml:space="preserve">y </w:t>
            </w:r>
            <w:r w:rsidR="001474C1">
              <w:rPr>
                <w:szCs w:val="24"/>
                <w:lang w:val="es-ES"/>
              </w:rPr>
              <w:t>Pesca del organismo</w:t>
            </w:r>
            <w:r w:rsidR="00D97F9C">
              <w:rPr>
                <w:szCs w:val="24"/>
                <w:lang w:val="es-ES"/>
              </w:rPr>
              <w:t xml:space="preserve"> y </w:t>
            </w:r>
            <w:r w:rsidR="001474C1">
              <w:rPr>
                <w:szCs w:val="24"/>
                <w:lang w:val="es-ES"/>
              </w:rPr>
              <w:t xml:space="preserve">a </w:t>
            </w:r>
            <w:bookmarkStart w:id="0" w:name="_GoBack"/>
            <w:bookmarkEnd w:id="0"/>
            <w:r w:rsidR="00D97F9C">
              <w:rPr>
                <w:szCs w:val="24"/>
                <w:lang w:val="es-ES"/>
              </w:rPr>
              <w:t>su vez forman parte d</w:t>
            </w:r>
            <w:r w:rsidR="00864B7A">
              <w:rPr>
                <w:szCs w:val="24"/>
                <w:lang w:val="es-ES"/>
              </w:rPr>
              <w:t>el Frente Parlamentario contra el Hambre</w:t>
            </w:r>
            <w:r w:rsidR="004251F1">
              <w:rPr>
                <w:szCs w:val="24"/>
                <w:lang w:val="es-ES"/>
              </w:rPr>
              <w:t xml:space="preserve"> de América Latina y el Caribe</w:t>
            </w:r>
            <w:r w:rsidR="00864B7A">
              <w:rPr>
                <w:szCs w:val="24"/>
                <w:lang w:val="es-ES"/>
              </w:rPr>
              <w:t>.</w:t>
            </w:r>
          </w:p>
          <w:p w14:paraId="48C1C1DA" w14:textId="4E7EA0C8" w:rsidR="00864B7A" w:rsidRDefault="00864B7A" w:rsidP="00C81C9A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FAO</w:t>
            </w:r>
            <w:r w:rsidR="00D50370">
              <w:rPr>
                <w:szCs w:val="24"/>
                <w:lang w:val="es-ES"/>
              </w:rPr>
              <w:t xml:space="preserve"> y otras agencias del sistema de Naciones Unidas, como </w:t>
            </w:r>
            <w:r w:rsidR="004251F1">
              <w:rPr>
                <w:szCs w:val="24"/>
                <w:lang w:val="es-ES"/>
              </w:rPr>
              <w:t>OPS/OMS, CEPAL y PMA.</w:t>
            </w:r>
          </w:p>
          <w:p w14:paraId="15A7CA7B" w14:textId="2E5989F9" w:rsidR="00864B7A" w:rsidRDefault="004251F1" w:rsidP="00C81C9A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Instituciones académicas consultadas y académicos organizados en el Observatorio del Derecho a la Alimentación.</w:t>
            </w:r>
          </w:p>
          <w:p w14:paraId="16E9F40D" w14:textId="05B7CE6C" w:rsidR="00864B7A" w:rsidRDefault="004251F1" w:rsidP="00C81C9A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Otros grupos</w:t>
            </w:r>
            <w:r w:rsidR="00864B7A">
              <w:rPr>
                <w:szCs w:val="24"/>
                <w:lang w:val="es-ES"/>
              </w:rPr>
              <w:t xml:space="preserve"> legislativos</w:t>
            </w:r>
            <w:r>
              <w:rPr>
                <w:szCs w:val="24"/>
                <w:lang w:val="es-ES"/>
              </w:rPr>
              <w:t>, como el Foro Parlamentario de Pesca y Acuicultura, en el caso de la Ley Modelo de Pesca Artesanal o a Pequeña Escala, y que corresponde a un grupo parlamentario que impulsa esas materias de ley regionalmente y que cuenta con sus propios estatutos.</w:t>
            </w:r>
          </w:p>
          <w:p w14:paraId="5F2F6FBC" w14:textId="57C7FD85" w:rsidR="00864B7A" w:rsidRPr="00D51A2A" w:rsidRDefault="00864B7A" w:rsidP="00C81C9A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lastRenderedPageBreak/>
              <w:t>Donantes: cooperación española (AECID), cooperación mexicana (AMEXCID), cooperación brasileña</w:t>
            </w:r>
          </w:p>
        </w:tc>
      </w:tr>
    </w:tbl>
    <w:p w14:paraId="7001687E" w14:textId="77777777" w:rsidR="000145A3" w:rsidRPr="0036054E" w:rsidRDefault="000145A3" w:rsidP="000145A3">
      <w:pPr>
        <w:spacing w:after="80" w:line="20" w:lineRule="atLeast"/>
        <w:rPr>
          <w:b/>
          <w:szCs w:val="24"/>
          <w:lang w:val="es-ES"/>
        </w:rPr>
      </w:pPr>
      <w:r w:rsidRPr="0036054E">
        <w:rPr>
          <w:b/>
          <w:szCs w:val="24"/>
          <w:lang w:val="es-ES"/>
        </w:rPr>
        <w:lastRenderedPageBreak/>
        <w:t xml:space="preserve">¿Cómo </w:t>
      </w:r>
      <w:r>
        <w:rPr>
          <w:b/>
          <w:szCs w:val="24"/>
          <w:lang w:val="es-ES"/>
        </w:rPr>
        <w:t xml:space="preserve">participó la población más afectada </w:t>
      </w:r>
      <w:r w:rsidRPr="0036054E">
        <w:rPr>
          <w:b/>
          <w:szCs w:val="24"/>
          <w:lang w:val="es-ES"/>
        </w:rPr>
        <w:t>por la inseguridad alimentaria y la malnutrición?</w:t>
      </w:r>
    </w:p>
    <w:p w14:paraId="4346769F" w14:textId="6720FE4C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 xml:space="preserve">(Por </w:t>
      </w:r>
      <w:proofErr w:type="spellStart"/>
      <w:r>
        <w:rPr>
          <w:szCs w:val="24"/>
          <w:lang w:val="es-ES"/>
        </w:rPr>
        <w:t>ej</w:t>
      </w:r>
      <w:proofErr w:type="spellEnd"/>
      <w:r>
        <w:rPr>
          <w:szCs w:val="24"/>
          <w:lang w:val="es-ES"/>
        </w:rPr>
        <w:t>:</w:t>
      </w:r>
      <w:r w:rsidRPr="0036054E">
        <w:rPr>
          <w:szCs w:val="24"/>
          <w:lang w:val="es-ES"/>
        </w:rPr>
        <w:t xml:space="preserve"> participación de las OSC en toda la </w:t>
      </w:r>
      <w:r>
        <w:rPr>
          <w:szCs w:val="24"/>
          <w:lang w:val="es-ES"/>
        </w:rPr>
        <w:t>capacitación</w:t>
      </w:r>
      <w:r w:rsidRPr="0036054E">
        <w:rPr>
          <w:szCs w:val="24"/>
          <w:lang w:val="es-ES"/>
        </w:rPr>
        <w:t xml:space="preserve"> </w:t>
      </w:r>
      <w:r>
        <w:rPr>
          <w:szCs w:val="24"/>
          <w:lang w:val="es-ES"/>
        </w:rPr>
        <w:t>representando a</w:t>
      </w:r>
      <w:r w:rsidRPr="0036054E">
        <w:rPr>
          <w:szCs w:val="24"/>
          <w:lang w:val="es-ES"/>
        </w:rPr>
        <w:t xml:space="preserve"> los segmentos de la población en situación de inseguridad alimentaria y malnutrición)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3522CA1B" w14:textId="77777777" w:rsidTr="004D316F">
        <w:tc>
          <w:tcPr>
            <w:tcW w:w="9776" w:type="dxa"/>
          </w:tcPr>
          <w:p w14:paraId="643DE263" w14:textId="604AB301" w:rsidR="000145A3" w:rsidRPr="00212864" w:rsidRDefault="00864B7A" w:rsidP="00212864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Se intentó articular redes en los países y a través de los parlamentarios para convocar y considerar la opinión y perspectivas de los grupos que representan al sector productivo, a las comunidades locales y sectores vulnerables.</w:t>
            </w:r>
          </w:p>
        </w:tc>
      </w:tr>
    </w:tbl>
    <w:p w14:paraId="12B034FE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0CEDBD2F" w14:textId="77777777" w:rsidR="000145A3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b/>
          <w:szCs w:val="24"/>
          <w:lang w:val="es-ES"/>
        </w:rPr>
        <w:t xml:space="preserve">Actividades principales </w:t>
      </w:r>
    </w:p>
    <w:p w14:paraId="177F5D70" w14:textId="77777777" w:rsidR="000145A3" w:rsidRPr="0036054E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szCs w:val="24"/>
          <w:lang w:val="es-ES"/>
        </w:rPr>
        <w:t xml:space="preserve">(Por </w:t>
      </w:r>
      <w:proofErr w:type="spellStart"/>
      <w:r>
        <w:rPr>
          <w:szCs w:val="24"/>
          <w:lang w:val="es-ES"/>
        </w:rPr>
        <w:t>ej</w:t>
      </w:r>
      <w:proofErr w:type="spellEnd"/>
      <w:r>
        <w:rPr>
          <w:szCs w:val="24"/>
          <w:lang w:val="es-ES"/>
        </w:rPr>
        <w:t>:</w:t>
      </w:r>
      <w:r w:rsidRPr="0036054E">
        <w:rPr>
          <w:szCs w:val="24"/>
          <w:lang w:val="es-ES"/>
        </w:rPr>
        <w:t xml:space="preserve"> </w:t>
      </w:r>
      <w:r>
        <w:rPr>
          <w:szCs w:val="24"/>
          <w:lang w:val="es-ES"/>
        </w:rPr>
        <w:t>capacitación</w:t>
      </w:r>
      <w:r w:rsidRPr="0036054E">
        <w:rPr>
          <w:szCs w:val="24"/>
          <w:lang w:val="es-ES"/>
        </w:rPr>
        <w:t xml:space="preserve"> de </w:t>
      </w:r>
      <w:r>
        <w:rPr>
          <w:szCs w:val="24"/>
          <w:lang w:val="es-ES"/>
        </w:rPr>
        <w:t xml:space="preserve">las </w:t>
      </w:r>
      <w:r w:rsidRPr="0036054E">
        <w:rPr>
          <w:szCs w:val="24"/>
          <w:lang w:val="es-ES"/>
        </w:rPr>
        <w:t>OSC, abogados, parlamentarios, gobierno)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BE1F77" w14:paraId="03500100" w14:textId="77777777" w:rsidTr="004D316F">
        <w:tc>
          <w:tcPr>
            <w:tcW w:w="9776" w:type="dxa"/>
          </w:tcPr>
          <w:p w14:paraId="0ACD3521" w14:textId="77777777" w:rsidR="000145A3" w:rsidRPr="00864B7A" w:rsidRDefault="00864B7A" w:rsidP="00212864">
            <w:pPr>
              <w:pStyle w:val="Prrafodelista"/>
              <w:numPr>
                <w:ilvl w:val="0"/>
                <w:numId w:val="22"/>
              </w:num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Talleres</w:t>
            </w:r>
          </w:p>
          <w:p w14:paraId="3C4E080F" w14:textId="77777777" w:rsidR="00864B7A" w:rsidRPr="00864B7A" w:rsidRDefault="00864B7A" w:rsidP="00212864">
            <w:pPr>
              <w:pStyle w:val="Prrafodelista"/>
              <w:numPr>
                <w:ilvl w:val="0"/>
                <w:numId w:val="22"/>
              </w:num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Jornadas de capacitación</w:t>
            </w:r>
          </w:p>
          <w:p w14:paraId="581746C5" w14:textId="77777777" w:rsidR="00864B7A" w:rsidRPr="00864B7A" w:rsidRDefault="00864B7A" w:rsidP="00212864">
            <w:pPr>
              <w:pStyle w:val="Prrafodelista"/>
              <w:numPr>
                <w:ilvl w:val="0"/>
                <w:numId w:val="22"/>
              </w:num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Sesiones de trabajo</w:t>
            </w:r>
          </w:p>
          <w:p w14:paraId="4E3B0080" w14:textId="77777777" w:rsidR="00864B7A" w:rsidRPr="00864B7A" w:rsidRDefault="00864B7A" w:rsidP="00212864">
            <w:pPr>
              <w:pStyle w:val="Prrafodelista"/>
              <w:numPr>
                <w:ilvl w:val="0"/>
                <w:numId w:val="22"/>
              </w:num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Sesiones de planificación</w:t>
            </w:r>
          </w:p>
          <w:p w14:paraId="42DFB17D" w14:textId="77777777" w:rsidR="00864B7A" w:rsidRPr="00864B7A" w:rsidRDefault="00864B7A" w:rsidP="00212864">
            <w:pPr>
              <w:pStyle w:val="Prrafodelista"/>
              <w:numPr>
                <w:ilvl w:val="0"/>
                <w:numId w:val="22"/>
              </w:num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Reuniones de socialización</w:t>
            </w:r>
          </w:p>
          <w:p w14:paraId="0C891DFC" w14:textId="11AC8801" w:rsidR="00864B7A" w:rsidRPr="00D51A2A" w:rsidRDefault="00864B7A" w:rsidP="00212864">
            <w:pPr>
              <w:pStyle w:val="Prrafodelista"/>
              <w:numPr>
                <w:ilvl w:val="0"/>
                <w:numId w:val="22"/>
              </w:num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Encuentros parlamentarios</w:t>
            </w:r>
          </w:p>
        </w:tc>
      </w:tr>
    </w:tbl>
    <w:p w14:paraId="2F43162C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3BB6602B" w14:textId="77777777" w:rsidR="000145A3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Calendario</w:t>
      </w:r>
    </w:p>
    <w:p w14:paraId="004CDB98" w14:textId="5103D710" w:rsidR="00033185" w:rsidRPr="00033185" w:rsidRDefault="00033185" w:rsidP="00033185">
      <w:pPr>
        <w:shd w:val="clear" w:color="auto" w:fill="FFFFFF"/>
        <w:rPr>
          <w:szCs w:val="24"/>
          <w:lang w:val="es-ES"/>
        </w:rPr>
      </w:pPr>
      <w:r w:rsidRPr="00033185">
        <w:rPr>
          <w:szCs w:val="24"/>
          <w:lang w:val="es-ES"/>
        </w:rPr>
        <w:t>(Indique por favor la fecha de inicio y la fecha de finalización/o si está en curso)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12864" w14:paraId="0B35D5ED" w14:textId="77777777" w:rsidTr="004D316F">
        <w:tc>
          <w:tcPr>
            <w:tcW w:w="9776" w:type="dxa"/>
          </w:tcPr>
          <w:p w14:paraId="7E57D93C" w14:textId="34138BB6" w:rsidR="00212864" w:rsidRPr="00212864" w:rsidRDefault="00864B7A" w:rsidP="00212864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2012-2017</w:t>
            </w:r>
          </w:p>
        </w:tc>
      </w:tr>
    </w:tbl>
    <w:p w14:paraId="2B5C93C8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199E195B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Resultados obtenidos/</w:t>
      </w:r>
      <w:r w:rsidRPr="00BE3AE6">
        <w:rPr>
          <w:b/>
          <w:szCs w:val="24"/>
          <w:lang w:val="es-ES"/>
        </w:rPr>
        <w:t xml:space="preserve">esperados a </w:t>
      </w:r>
      <w:r w:rsidRPr="00BE3AE6">
        <w:rPr>
          <w:b/>
          <w:szCs w:val="24"/>
          <w:u w:val="single"/>
          <w:lang w:val="es-ES"/>
        </w:rPr>
        <w:t>corto plazo</w:t>
      </w:r>
      <w:r w:rsidRPr="00BE3AE6">
        <w:rPr>
          <w:b/>
          <w:szCs w:val="24"/>
          <w:lang w:val="es-ES"/>
        </w:rPr>
        <w:t xml:space="preserve">, </w:t>
      </w:r>
      <w:r>
        <w:rPr>
          <w:b/>
          <w:szCs w:val="24"/>
          <w:lang w:val="es-ES"/>
        </w:rPr>
        <w:t>facilitando datos cuantitativos si es posible</w:t>
      </w:r>
      <w:r w:rsidRPr="00BE3AE6">
        <w:rPr>
          <w:b/>
          <w:szCs w:val="24"/>
          <w:lang w:val="es-ES"/>
        </w:rPr>
        <w:t xml:space="preserve"> (estimación del número de personas que </w:t>
      </w:r>
      <w:r>
        <w:rPr>
          <w:b/>
          <w:szCs w:val="24"/>
          <w:lang w:val="es-ES"/>
        </w:rPr>
        <w:t>se han visto o se verán afectadas</w:t>
      </w:r>
      <w:r w:rsidRPr="00BE3AE6">
        <w:rPr>
          <w:b/>
          <w:szCs w:val="24"/>
          <w:lang w:val="es-ES"/>
        </w:rPr>
        <w:t>)</w:t>
      </w:r>
    </w:p>
    <w:p w14:paraId="613F664A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 xml:space="preserve">(Por favor indique el </w:t>
      </w:r>
      <w:r w:rsidRPr="00702F6B">
        <w:rPr>
          <w:szCs w:val="24"/>
          <w:lang w:val="es-ES"/>
        </w:rPr>
        <w:t>número de personas que han particip</w:t>
      </w:r>
      <w:r>
        <w:rPr>
          <w:szCs w:val="24"/>
          <w:lang w:val="es-ES"/>
        </w:rPr>
        <w:t xml:space="preserve">ado directamente en actividades. Por </w:t>
      </w:r>
      <w:proofErr w:type="spellStart"/>
      <w:r>
        <w:rPr>
          <w:szCs w:val="24"/>
          <w:lang w:val="es-ES"/>
        </w:rPr>
        <w:t>ej</w:t>
      </w:r>
      <w:proofErr w:type="spellEnd"/>
      <w:r>
        <w:rPr>
          <w:szCs w:val="24"/>
          <w:lang w:val="es-ES"/>
        </w:rPr>
        <w:t xml:space="preserve">: </w:t>
      </w:r>
      <w:r w:rsidRPr="00702F6B">
        <w:rPr>
          <w:szCs w:val="24"/>
          <w:lang w:val="es-ES"/>
        </w:rPr>
        <w:t>6 sesiones de capacitación en las que participa</w:t>
      </w:r>
      <w:r>
        <w:rPr>
          <w:szCs w:val="24"/>
          <w:lang w:val="es-ES"/>
        </w:rPr>
        <w:t>ro</w:t>
      </w:r>
      <w:r w:rsidRPr="00702F6B">
        <w:rPr>
          <w:szCs w:val="24"/>
          <w:lang w:val="es-ES"/>
        </w:rPr>
        <w:t>n 250 personas)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470454B7" w14:textId="77777777" w:rsidTr="004D316F">
        <w:tc>
          <w:tcPr>
            <w:tcW w:w="9776" w:type="dxa"/>
          </w:tcPr>
          <w:p w14:paraId="6F7A6F14" w14:textId="452C5163" w:rsidR="00CD4BA2" w:rsidRPr="00CD4BA2" w:rsidRDefault="00CD4BA2" w:rsidP="004251F1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Se han beneficiado </w:t>
            </w:r>
            <w:r w:rsidR="004251F1">
              <w:rPr>
                <w:szCs w:val="24"/>
                <w:lang w:val="es-ES"/>
              </w:rPr>
              <w:t>cientos de</w:t>
            </w:r>
            <w:r>
              <w:rPr>
                <w:szCs w:val="24"/>
                <w:lang w:val="es-ES"/>
              </w:rPr>
              <w:t xml:space="preserve"> usuarios de las plataformas on-line, materiales impresos y sesiones de trabajo. Una gran parte de ellos hacedores de leyes, actores sociales, colaboradores legislativos.</w:t>
            </w:r>
          </w:p>
        </w:tc>
      </w:tr>
    </w:tbl>
    <w:p w14:paraId="7B0AFB6B" w14:textId="77777777" w:rsidR="000145A3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0C32D377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Resultados obtenidos/</w:t>
      </w:r>
      <w:r w:rsidRPr="00BE3AE6">
        <w:rPr>
          <w:b/>
          <w:szCs w:val="24"/>
          <w:lang w:val="es-ES"/>
        </w:rPr>
        <w:t xml:space="preserve">esperados a </w:t>
      </w:r>
      <w:r>
        <w:rPr>
          <w:b/>
          <w:szCs w:val="24"/>
          <w:u w:val="single"/>
          <w:lang w:val="es-ES"/>
        </w:rPr>
        <w:t>medio-largo</w:t>
      </w:r>
      <w:r w:rsidRPr="00BE3AE6">
        <w:rPr>
          <w:b/>
          <w:szCs w:val="24"/>
          <w:u w:val="single"/>
          <w:lang w:val="es-ES"/>
        </w:rPr>
        <w:t xml:space="preserve"> plazo</w:t>
      </w:r>
      <w:r w:rsidRPr="00BE3AE6">
        <w:rPr>
          <w:b/>
          <w:szCs w:val="24"/>
          <w:lang w:val="es-ES"/>
        </w:rPr>
        <w:t xml:space="preserve">, </w:t>
      </w:r>
      <w:r>
        <w:rPr>
          <w:b/>
          <w:szCs w:val="24"/>
          <w:lang w:val="es-ES"/>
        </w:rPr>
        <w:t>facilitando datos cuantitativos si es posible</w:t>
      </w:r>
      <w:r w:rsidRPr="00BE3AE6">
        <w:rPr>
          <w:b/>
          <w:szCs w:val="24"/>
          <w:lang w:val="es-ES"/>
        </w:rPr>
        <w:t xml:space="preserve"> (estimación del número de personas que </w:t>
      </w:r>
      <w:r>
        <w:rPr>
          <w:b/>
          <w:szCs w:val="24"/>
          <w:lang w:val="es-ES"/>
        </w:rPr>
        <w:t>se han visto o se verán afectadas</w:t>
      </w:r>
      <w:r w:rsidRPr="00BE3AE6">
        <w:rPr>
          <w:b/>
          <w:szCs w:val="24"/>
          <w:lang w:val="es-ES"/>
        </w:rPr>
        <w:t>)</w:t>
      </w:r>
    </w:p>
    <w:p w14:paraId="14E72DB0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 xml:space="preserve">(Por favor indique </w:t>
      </w:r>
      <w:r w:rsidRPr="00702F6B">
        <w:rPr>
          <w:szCs w:val="24"/>
          <w:lang w:val="es-ES"/>
        </w:rPr>
        <w:t xml:space="preserve">el número de personas que </w:t>
      </w:r>
      <w:r>
        <w:rPr>
          <w:szCs w:val="24"/>
          <w:lang w:val="es-ES"/>
        </w:rPr>
        <w:t xml:space="preserve">se han visto indirectamente afectadas por las actividades o que previsiblemente lo harán. Por </w:t>
      </w:r>
      <w:proofErr w:type="spellStart"/>
      <w:r>
        <w:rPr>
          <w:szCs w:val="24"/>
          <w:lang w:val="es-ES"/>
        </w:rPr>
        <w:t>ej</w:t>
      </w:r>
      <w:proofErr w:type="spellEnd"/>
      <w:r>
        <w:rPr>
          <w:szCs w:val="24"/>
          <w:lang w:val="es-ES"/>
        </w:rPr>
        <w:t xml:space="preserve">: capacitación que supuso la redacción de </w:t>
      </w:r>
      <w:r w:rsidRPr="00702F6B">
        <w:rPr>
          <w:szCs w:val="24"/>
          <w:lang w:val="es-ES"/>
        </w:rPr>
        <w:t xml:space="preserve">un marco legislativo aprobado por el Parlamento y que </w:t>
      </w:r>
      <w:r>
        <w:rPr>
          <w:szCs w:val="24"/>
          <w:lang w:val="es-ES"/>
        </w:rPr>
        <w:t xml:space="preserve">afectará potencialmente a unos </w:t>
      </w:r>
      <w:r w:rsidRPr="00702F6B">
        <w:rPr>
          <w:szCs w:val="24"/>
          <w:lang w:val="es-ES"/>
        </w:rPr>
        <w:t>5 millones de personas)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4B6D5D94" w14:textId="77777777" w:rsidTr="004D316F">
        <w:tc>
          <w:tcPr>
            <w:tcW w:w="9776" w:type="dxa"/>
          </w:tcPr>
          <w:p w14:paraId="6C38BCE4" w14:textId="18ABBEE8" w:rsidR="000145A3" w:rsidRDefault="00CD4BA2" w:rsidP="00DA1A8E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lastRenderedPageBreak/>
              <w:t xml:space="preserve">Las leyes modelo aprobadas son instrumentos de apoyo y orientación legislativa para los países de la región, siendo usadas en varios proyectos de ley nacionales, que </w:t>
            </w:r>
            <w:r w:rsidR="00D97F9C">
              <w:rPr>
                <w:szCs w:val="24"/>
                <w:lang w:val="es-ES"/>
              </w:rPr>
              <w:t>impactan</w:t>
            </w:r>
            <w:r>
              <w:rPr>
                <w:szCs w:val="24"/>
                <w:lang w:val="es-ES"/>
              </w:rPr>
              <w:t xml:space="preserve"> o pueden </w:t>
            </w:r>
            <w:r w:rsidR="00D97F9C">
              <w:rPr>
                <w:szCs w:val="24"/>
                <w:lang w:val="es-ES"/>
              </w:rPr>
              <w:t>impactar</w:t>
            </w:r>
            <w:r>
              <w:rPr>
                <w:szCs w:val="24"/>
                <w:lang w:val="es-ES"/>
              </w:rPr>
              <w:t xml:space="preserve"> a millones de ciudadanos del continente.</w:t>
            </w:r>
          </w:p>
          <w:p w14:paraId="51191CA9" w14:textId="6B3F03BC" w:rsidR="00CD4BA2" w:rsidRPr="00D51A2A" w:rsidRDefault="00CD4BA2" w:rsidP="00DA1A8E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Entre los países que han usado las leyes modelo en su actividad legislativa se pueden mencionar: México, Costa Rica, El Salvador, Panamá, República Dominicana, Ecuador, entre otros.</w:t>
            </w:r>
          </w:p>
        </w:tc>
      </w:tr>
    </w:tbl>
    <w:p w14:paraId="3DABDCF8" w14:textId="0E66CFFE" w:rsidR="000145A3" w:rsidRDefault="000145A3" w:rsidP="000145A3">
      <w:pPr>
        <w:spacing w:after="80" w:line="20" w:lineRule="atLeast"/>
        <w:rPr>
          <w:szCs w:val="24"/>
          <w:lang w:val="es-ES"/>
        </w:rPr>
      </w:pPr>
    </w:p>
    <w:p w14:paraId="0548E6A5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Resultados obtenidos (cambios más significativos)</w:t>
      </w:r>
    </w:p>
    <w:p w14:paraId="58C50588" w14:textId="77777777" w:rsidR="000145A3" w:rsidRDefault="000145A3" w:rsidP="000145A3">
      <w:pPr>
        <w:spacing w:after="80" w:line="20" w:lineRule="atLeast"/>
        <w:rPr>
          <w:szCs w:val="24"/>
          <w:lang w:val="es-ES"/>
        </w:rPr>
      </w:pPr>
      <w:r w:rsidRPr="00702F6B">
        <w:rPr>
          <w:szCs w:val="24"/>
          <w:lang w:val="es-ES"/>
        </w:rPr>
        <w:t>(</w:t>
      </w:r>
      <w:r>
        <w:rPr>
          <w:szCs w:val="24"/>
          <w:lang w:val="es-ES"/>
        </w:rPr>
        <w:t xml:space="preserve">Por favor refleje </w:t>
      </w:r>
      <w:r w:rsidRPr="00702F6B">
        <w:rPr>
          <w:szCs w:val="24"/>
          <w:lang w:val="es-ES"/>
        </w:rPr>
        <w:t xml:space="preserve">cualquier cambio significativo </w:t>
      </w:r>
      <w:r>
        <w:rPr>
          <w:szCs w:val="24"/>
          <w:lang w:val="es-ES"/>
        </w:rPr>
        <w:t>como resultado</w:t>
      </w:r>
      <w:r w:rsidRPr="00702F6B">
        <w:rPr>
          <w:szCs w:val="24"/>
          <w:lang w:val="es-ES"/>
        </w:rPr>
        <w:t xml:space="preserve"> de la</w:t>
      </w:r>
      <w:r>
        <w:rPr>
          <w:szCs w:val="24"/>
          <w:lang w:val="es-ES"/>
        </w:rPr>
        <w:t xml:space="preserve">s actividades. Por ejemplo: </w:t>
      </w:r>
      <w:r w:rsidRPr="00702F6B">
        <w:rPr>
          <w:szCs w:val="24"/>
          <w:lang w:val="es-ES"/>
        </w:rPr>
        <w:t xml:space="preserve">cambio en el comportamiento de las autoridades locales </w:t>
      </w:r>
      <w:r>
        <w:rPr>
          <w:szCs w:val="24"/>
          <w:lang w:val="es-ES"/>
        </w:rPr>
        <w:t>con relación a</w:t>
      </w:r>
      <w:r w:rsidRPr="00702F6B">
        <w:rPr>
          <w:szCs w:val="24"/>
          <w:lang w:val="es-ES"/>
        </w:rPr>
        <w:t xml:space="preserve"> la inclusión de </w:t>
      </w:r>
      <w:r>
        <w:rPr>
          <w:szCs w:val="24"/>
          <w:lang w:val="es-ES"/>
        </w:rPr>
        <w:t>las partes interesadas</w:t>
      </w:r>
      <w:r w:rsidRPr="00702F6B">
        <w:rPr>
          <w:szCs w:val="24"/>
          <w:lang w:val="es-ES"/>
        </w:rPr>
        <w:t xml:space="preserve"> de la sociedad</w:t>
      </w:r>
      <w:r>
        <w:rPr>
          <w:szCs w:val="24"/>
          <w:lang w:val="es-ES"/>
        </w:rPr>
        <w:t xml:space="preserve"> civil en la toma de decisiones; </w:t>
      </w:r>
      <w:r w:rsidRPr="00702F6B">
        <w:rPr>
          <w:szCs w:val="24"/>
          <w:lang w:val="es-ES"/>
        </w:rPr>
        <w:t xml:space="preserve">participación de grupos vulnerables en la </w:t>
      </w:r>
      <w:r>
        <w:rPr>
          <w:szCs w:val="24"/>
          <w:lang w:val="es-ES"/>
        </w:rPr>
        <w:t>implementación</w:t>
      </w:r>
      <w:r w:rsidRPr="00702F6B">
        <w:rPr>
          <w:szCs w:val="24"/>
          <w:lang w:val="es-ES"/>
        </w:rPr>
        <w:t xml:space="preserve"> de algunos programas</w:t>
      </w:r>
      <w:r>
        <w:rPr>
          <w:szCs w:val="24"/>
          <w:lang w:val="es-ES"/>
        </w:rPr>
        <w:t>; inclusión del Derecho a la a</w:t>
      </w:r>
      <w:r w:rsidRPr="00702F6B">
        <w:rPr>
          <w:szCs w:val="24"/>
          <w:lang w:val="es-ES"/>
        </w:rPr>
        <w:t xml:space="preserve">limentación en </w:t>
      </w:r>
      <w:r>
        <w:rPr>
          <w:szCs w:val="24"/>
          <w:lang w:val="es-ES"/>
        </w:rPr>
        <w:t>los informes del defensor del pueblo o las instituciones de derechos humanos;</w:t>
      </w:r>
      <w:r w:rsidRPr="00702F6B">
        <w:rPr>
          <w:szCs w:val="24"/>
          <w:lang w:val="es-ES"/>
        </w:rPr>
        <w:t xml:space="preserve"> o cambios en el acceso a la justicia, </w:t>
      </w:r>
      <w:r>
        <w:rPr>
          <w:szCs w:val="24"/>
          <w:lang w:val="es-ES"/>
        </w:rPr>
        <w:t xml:space="preserve">la </w:t>
      </w:r>
      <w:r w:rsidRPr="00702F6B">
        <w:rPr>
          <w:szCs w:val="24"/>
          <w:lang w:val="es-ES"/>
        </w:rPr>
        <w:t xml:space="preserve">resolución de conflictos o </w:t>
      </w:r>
      <w:r>
        <w:rPr>
          <w:szCs w:val="24"/>
          <w:lang w:val="es-ES"/>
        </w:rPr>
        <w:t xml:space="preserve">los </w:t>
      </w:r>
      <w:r w:rsidRPr="00702F6B">
        <w:rPr>
          <w:szCs w:val="24"/>
          <w:lang w:val="es-ES"/>
        </w:rPr>
        <w:t>procesos administrativos)</w:t>
      </w:r>
    </w:p>
    <w:p w14:paraId="503B15D6" w14:textId="77777777" w:rsidR="004251F1" w:rsidRPr="00D51A2A" w:rsidRDefault="004251F1" w:rsidP="000145A3">
      <w:pPr>
        <w:spacing w:after="80" w:line="20" w:lineRule="atLeast"/>
        <w:rPr>
          <w:szCs w:val="24"/>
          <w:lang w:val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03FF30DF" w14:textId="77777777" w:rsidTr="004D316F">
        <w:tc>
          <w:tcPr>
            <w:tcW w:w="9776" w:type="dxa"/>
          </w:tcPr>
          <w:p w14:paraId="574316C8" w14:textId="7AF70FE9" w:rsidR="00CD4BA2" w:rsidRDefault="00CD4BA2" w:rsidP="004B4E33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Evidentemente, considerando el mandato </w:t>
            </w:r>
            <w:r w:rsidR="00C503C2">
              <w:rPr>
                <w:szCs w:val="24"/>
                <w:lang w:val="es-ES"/>
              </w:rPr>
              <w:t xml:space="preserve">y razón de ser </w:t>
            </w:r>
            <w:r>
              <w:rPr>
                <w:szCs w:val="24"/>
                <w:lang w:val="es-ES"/>
              </w:rPr>
              <w:t xml:space="preserve">del PARLATINO, el cambio más significativo es contar con un instrumento legal que sirva de orientación a los parlamentos nacionales, lo cual </w:t>
            </w:r>
            <w:r w:rsidR="004251F1">
              <w:rPr>
                <w:szCs w:val="24"/>
                <w:lang w:val="es-ES"/>
              </w:rPr>
              <w:t>puede constituir</w:t>
            </w:r>
            <w:r>
              <w:rPr>
                <w:szCs w:val="24"/>
                <w:lang w:val="es-ES"/>
              </w:rPr>
              <w:t xml:space="preserve"> un cambio sustantivo para el</w:t>
            </w:r>
            <w:r w:rsidR="004251F1">
              <w:rPr>
                <w:szCs w:val="24"/>
                <w:lang w:val="es-ES"/>
              </w:rPr>
              <w:t xml:space="preserve"> mejor</w:t>
            </w:r>
            <w:r>
              <w:rPr>
                <w:szCs w:val="24"/>
                <w:lang w:val="es-ES"/>
              </w:rPr>
              <w:t xml:space="preserve"> accionar de las asambleas y congresos del continente. En este sentido, se puede decir que</w:t>
            </w:r>
            <w:r w:rsidR="00C503C2">
              <w:rPr>
                <w:szCs w:val="24"/>
                <w:lang w:val="es-ES"/>
              </w:rPr>
              <w:t>,</w:t>
            </w:r>
            <w:r>
              <w:rPr>
                <w:szCs w:val="24"/>
                <w:lang w:val="es-ES"/>
              </w:rPr>
              <w:t xml:space="preserve"> en materia del derecho a la alimentación, el PARLATINO ha incrementado sustantivamente la efectividad de su rol como un parlamento regional que está al servicio de los poderes legislativos nacionales y que produce herramientas para que éstos </w:t>
            </w:r>
            <w:r w:rsidR="004251F1">
              <w:rPr>
                <w:szCs w:val="24"/>
                <w:lang w:val="es-ES"/>
              </w:rPr>
              <w:t>mejoren su trabajo parlamentario en este ámbito</w:t>
            </w:r>
            <w:r>
              <w:rPr>
                <w:szCs w:val="24"/>
                <w:lang w:val="es-ES"/>
              </w:rPr>
              <w:t>.</w:t>
            </w:r>
          </w:p>
          <w:p w14:paraId="70E10810" w14:textId="59095D09" w:rsidR="00CD4BA2" w:rsidRPr="00E668E7" w:rsidRDefault="00CD4BA2" w:rsidP="004B4E33">
            <w:pPr>
              <w:spacing w:after="80" w:line="20" w:lineRule="atLeast"/>
              <w:rPr>
                <w:szCs w:val="24"/>
                <w:lang w:val="es-ES"/>
              </w:rPr>
            </w:pPr>
          </w:p>
        </w:tc>
      </w:tr>
    </w:tbl>
    <w:p w14:paraId="70029394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</w:p>
    <w:p w14:paraId="2DE49A4A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¿Cuáles son los agentes catalizadores clave que influyeron en los resultados?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481610C5" w14:textId="77777777" w:rsidTr="004D316F">
        <w:tc>
          <w:tcPr>
            <w:tcW w:w="9776" w:type="dxa"/>
          </w:tcPr>
          <w:p w14:paraId="7F24F69E" w14:textId="4222E5CD" w:rsidR="000145A3" w:rsidRPr="00E668E7" w:rsidRDefault="00CD4BA2" w:rsidP="00E668E7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Los Frentes Parlamentarios contra el Hambre, grandes aliados del PARLATINO, la FAO y las agencias de cooperación internacional, que han significativamente patrocinado esfuerzos.</w:t>
            </w:r>
          </w:p>
        </w:tc>
      </w:tr>
    </w:tbl>
    <w:p w14:paraId="118E3BB2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</w:p>
    <w:p w14:paraId="1894E53F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¿Cuáles son lo</w:t>
      </w:r>
      <w:r w:rsidRPr="00BE3AE6">
        <w:rPr>
          <w:b/>
          <w:szCs w:val="24"/>
          <w:lang w:val="es-ES"/>
        </w:rPr>
        <w:t xml:space="preserve">s principales </w:t>
      </w:r>
      <w:r>
        <w:rPr>
          <w:b/>
          <w:szCs w:val="24"/>
          <w:lang w:val="es-ES"/>
        </w:rPr>
        <w:t>obstáculos/</w:t>
      </w:r>
      <w:r w:rsidRPr="00BE3AE6">
        <w:rPr>
          <w:b/>
          <w:szCs w:val="24"/>
          <w:lang w:val="es-ES"/>
        </w:rPr>
        <w:t>desafíos para l</w:t>
      </w:r>
      <w:r>
        <w:rPr>
          <w:b/>
          <w:szCs w:val="24"/>
          <w:lang w:val="es-ES"/>
        </w:rPr>
        <w:t>a realización del D</w:t>
      </w:r>
      <w:r w:rsidRPr="00BE3AE6">
        <w:rPr>
          <w:b/>
          <w:szCs w:val="24"/>
          <w:lang w:val="es-ES"/>
        </w:rPr>
        <w:t>erecho a la alimentación?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0B0114F2" w14:textId="77777777" w:rsidTr="004D316F">
        <w:tc>
          <w:tcPr>
            <w:tcW w:w="9776" w:type="dxa"/>
          </w:tcPr>
          <w:p w14:paraId="22D3850C" w14:textId="77777777" w:rsidR="000145A3" w:rsidRDefault="00CD4BA2" w:rsidP="004B4E33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La desigualdad, la ineficacia en la gestión de las políticas públicas y la falta de compromiso son siempre obstáculos a los cuales hay que enfrentar y trabajar conjuntamente para resolver.</w:t>
            </w:r>
          </w:p>
          <w:p w14:paraId="4A85D31E" w14:textId="1A289B1E" w:rsidR="00CD4BA2" w:rsidRPr="004B4E33" w:rsidRDefault="00CD4BA2" w:rsidP="004B4E33">
            <w:pPr>
              <w:spacing w:after="80" w:line="20" w:lineRule="atLeast"/>
              <w:rPr>
                <w:szCs w:val="24"/>
                <w:lang w:val="es-ES"/>
              </w:rPr>
            </w:pPr>
          </w:p>
        </w:tc>
      </w:tr>
    </w:tbl>
    <w:p w14:paraId="438D42BC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</w:p>
    <w:p w14:paraId="1D45F054" w14:textId="0CE8CEA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¿Qué mecanismos se han desarrollado para supervisar la realización del </w:t>
      </w:r>
      <w:r w:rsidR="0029423D">
        <w:rPr>
          <w:b/>
          <w:szCs w:val="24"/>
          <w:lang w:val="es-ES"/>
        </w:rPr>
        <w:t>d</w:t>
      </w:r>
      <w:r>
        <w:rPr>
          <w:b/>
          <w:szCs w:val="24"/>
          <w:lang w:val="es-ES"/>
        </w:rPr>
        <w:t>erecho a la alimentación?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17D6FD6B" w14:textId="77777777" w:rsidTr="004D316F">
        <w:tc>
          <w:tcPr>
            <w:tcW w:w="9776" w:type="dxa"/>
          </w:tcPr>
          <w:p w14:paraId="21997981" w14:textId="2DCA6C77" w:rsidR="00444DEB" w:rsidRPr="00480F51" w:rsidRDefault="00CD4BA2" w:rsidP="004251F1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Las comisiones </w:t>
            </w:r>
            <w:r w:rsidR="00D97F9C">
              <w:rPr>
                <w:szCs w:val="24"/>
                <w:lang w:val="es-ES"/>
              </w:rPr>
              <w:t>permanentes</w:t>
            </w:r>
            <w:r>
              <w:rPr>
                <w:szCs w:val="24"/>
                <w:lang w:val="es-ES"/>
              </w:rPr>
              <w:t xml:space="preserve"> del PARLATINO siempre están generando análisis de la situación de los sectores que les corresponden, muchos de los cuales se relacionan con el derecho a la </w:t>
            </w:r>
            <w:r w:rsidR="00444DEB">
              <w:rPr>
                <w:szCs w:val="24"/>
                <w:lang w:val="es-ES"/>
              </w:rPr>
              <w:t>alimentación</w:t>
            </w:r>
            <w:r>
              <w:rPr>
                <w:szCs w:val="24"/>
                <w:lang w:val="es-ES"/>
              </w:rPr>
              <w:t xml:space="preserve">. Asimismo, el PARLATINO ha decidido aprovechar el conocimiento y experiencia acumulada en la región para tener una visión más amplia y técnicamente </w:t>
            </w:r>
            <w:r w:rsidR="00444DEB">
              <w:rPr>
                <w:szCs w:val="24"/>
                <w:lang w:val="es-ES"/>
              </w:rPr>
              <w:t xml:space="preserve">precisa, ese es el caso del uso de los Panoramas de la Seguridad Alimentaria y Nutricional de la FAO y la OPS/OMS, </w:t>
            </w:r>
            <w:r w:rsidR="00444DEB">
              <w:rPr>
                <w:szCs w:val="24"/>
                <w:lang w:val="es-ES"/>
              </w:rPr>
              <w:lastRenderedPageBreak/>
              <w:t>de los materiales preparados por otras instancias subregionales como el SICA en el caso de Centroamérica o de la REAF Mercosur, por ejemplo, y de la producción académica que se genera por parte del Observatorio del Derecho a la Alimentación.</w:t>
            </w:r>
          </w:p>
        </w:tc>
      </w:tr>
    </w:tbl>
    <w:p w14:paraId="6BDA1B12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 w:rsidRPr="00BE3AE6">
        <w:rPr>
          <w:b/>
          <w:szCs w:val="24"/>
          <w:lang w:val="es-ES"/>
        </w:rPr>
        <w:lastRenderedPageBreak/>
        <w:t>¿Qué buenas prácticas recomendaría para obtener resultados exitosos?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09369FCA" w14:textId="77777777" w:rsidTr="004D316F">
        <w:tc>
          <w:tcPr>
            <w:tcW w:w="9776" w:type="dxa"/>
          </w:tcPr>
          <w:p w14:paraId="61FB8553" w14:textId="316D6D18" w:rsidR="000145A3" w:rsidRPr="00444DEB" w:rsidRDefault="00444DEB" w:rsidP="00444DEB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Básicamente ceñirse al mandato oficial de la institución y buscar aliados para complementar y enriquecer el trabajo que se puede realizar, entendiendo las limitaciones propias y acudiendo a la </w:t>
            </w:r>
            <w:r w:rsidR="00C503C2">
              <w:rPr>
                <w:szCs w:val="24"/>
                <w:lang w:val="es-ES"/>
              </w:rPr>
              <w:t>especialización</w:t>
            </w:r>
            <w:r>
              <w:rPr>
                <w:szCs w:val="24"/>
                <w:lang w:val="es-ES"/>
              </w:rPr>
              <w:t xml:space="preserve"> y experiencia de los aliados estratégicos.</w:t>
            </w:r>
          </w:p>
        </w:tc>
      </w:tr>
    </w:tbl>
    <w:p w14:paraId="0F9CCBAC" w14:textId="77777777" w:rsidR="000145A3" w:rsidRDefault="000145A3" w:rsidP="000145A3">
      <w:pPr>
        <w:spacing w:after="80" w:line="20" w:lineRule="atLeast"/>
        <w:rPr>
          <w:szCs w:val="24"/>
          <w:lang w:val="es-ES"/>
        </w:rPr>
      </w:pPr>
    </w:p>
    <w:p w14:paraId="456F398F" w14:textId="77777777" w:rsidR="00C020F6" w:rsidRDefault="00C020F6" w:rsidP="000145A3">
      <w:pPr>
        <w:spacing w:after="80" w:line="20" w:lineRule="atLeast"/>
        <w:rPr>
          <w:b/>
          <w:szCs w:val="24"/>
          <w:lang w:val="es-ES"/>
        </w:rPr>
      </w:pPr>
    </w:p>
    <w:p w14:paraId="0D3E3D4F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Enlace a información adicional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97F9C" w14:paraId="233C9516" w14:textId="77777777" w:rsidTr="004D316F">
        <w:trPr>
          <w:trHeight w:val="718"/>
        </w:trPr>
        <w:tc>
          <w:tcPr>
            <w:tcW w:w="9776" w:type="dxa"/>
          </w:tcPr>
          <w:p w14:paraId="24A1F345" w14:textId="24F2E7CA" w:rsidR="000145A3" w:rsidRDefault="0059237F" w:rsidP="00CC5383">
            <w:pPr>
              <w:spacing w:after="80" w:line="20" w:lineRule="atLeast"/>
              <w:rPr>
                <w:szCs w:val="24"/>
                <w:lang w:val="es-ES"/>
              </w:rPr>
            </w:pPr>
            <w:hyperlink r:id="rId12" w:history="1">
              <w:r w:rsidR="00444DEB" w:rsidRPr="00666A13">
                <w:rPr>
                  <w:rStyle w:val="Hipervnculo"/>
                  <w:szCs w:val="24"/>
                  <w:lang w:val="es-ES"/>
                </w:rPr>
                <w:t>http://parlatino.org/</w:t>
              </w:r>
            </w:hyperlink>
          </w:p>
          <w:p w14:paraId="6FD09312" w14:textId="5984C663" w:rsidR="00444DEB" w:rsidRDefault="0059237F" w:rsidP="00CC5383">
            <w:pPr>
              <w:spacing w:after="80" w:line="20" w:lineRule="atLeast"/>
              <w:rPr>
                <w:szCs w:val="24"/>
                <w:lang w:val="es-ES"/>
              </w:rPr>
            </w:pPr>
            <w:hyperlink r:id="rId13" w:history="1">
              <w:r w:rsidR="00444DEB" w:rsidRPr="00666A13">
                <w:rPr>
                  <w:rStyle w:val="Hipervnculo"/>
                  <w:szCs w:val="24"/>
                  <w:lang w:val="es-ES"/>
                </w:rPr>
                <w:t>http://comunidadparlamentaria.org/</w:t>
              </w:r>
            </w:hyperlink>
          </w:p>
          <w:p w14:paraId="4721B2E0" w14:textId="7D90914D" w:rsidR="00444DEB" w:rsidRDefault="0059237F" w:rsidP="00CC5383">
            <w:pPr>
              <w:spacing w:after="80" w:line="20" w:lineRule="atLeast"/>
              <w:rPr>
                <w:szCs w:val="24"/>
                <w:lang w:val="es-ES"/>
              </w:rPr>
            </w:pPr>
            <w:hyperlink r:id="rId14" w:history="1">
              <w:r w:rsidR="00444DEB" w:rsidRPr="00666A13">
                <w:rPr>
                  <w:rStyle w:val="Hipervnculo"/>
                  <w:szCs w:val="24"/>
                  <w:lang w:val="es-ES"/>
                </w:rPr>
                <w:t>http://parlamentarioscontraelhambre.org/frentes/regionales/parlatino/</w:t>
              </w:r>
            </w:hyperlink>
          </w:p>
          <w:p w14:paraId="6EF0B42A" w14:textId="2E4C7B44" w:rsidR="00444DEB" w:rsidRPr="00CC5383" w:rsidRDefault="00444DEB" w:rsidP="00CC5383">
            <w:pPr>
              <w:spacing w:after="80" w:line="20" w:lineRule="atLeast"/>
              <w:rPr>
                <w:szCs w:val="24"/>
                <w:lang w:val="es-ES"/>
              </w:rPr>
            </w:pPr>
          </w:p>
        </w:tc>
      </w:tr>
    </w:tbl>
    <w:p w14:paraId="499D3216" w14:textId="77777777" w:rsidR="000145A3" w:rsidRPr="008D1DD9" w:rsidRDefault="000145A3" w:rsidP="00C020F6">
      <w:pPr>
        <w:shd w:val="clear" w:color="auto" w:fill="FFFFFF"/>
        <w:rPr>
          <w:rFonts w:asciiTheme="majorHAnsi" w:hAnsiTheme="majorHAnsi"/>
          <w:color w:val="000000"/>
          <w:sz w:val="22"/>
          <w:lang w:val="es-ES"/>
        </w:rPr>
      </w:pPr>
    </w:p>
    <w:sectPr w:rsidR="000145A3" w:rsidRPr="008D1DD9" w:rsidSect="008F2ADB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DA3F" w14:textId="77777777" w:rsidR="0059237F" w:rsidRDefault="0059237F" w:rsidP="00D079C6">
      <w:pPr>
        <w:spacing w:after="0"/>
      </w:pPr>
      <w:r>
        <w:separator/>
      </w:r>
    </w:p>
    <w:p w14:paraId="0B357ED4" w14:textId="77777777" w:rsidR="0059237F" w:rsidRDefault="0059237F"/>
  </w:endnote>
  <w:endnote w:type="continuationSeparator" w:id="0">
    <w:p w14:paraId="606261DA" w14:textId="77777777" w:rsidR="0059237F" w:rsidRDefault="0059237F" w:rsidP="00D079C6">
      <w:pPr>
        <w:spacing w:after="0"/>
      </w:pPr>
      <w:r>
        <w:continuationSeparator/>
      </w:r>
    </w:p>
    <w:p w14:paraId="3950C0E9" w14:textId="77777777" w:rsidR="0059237F" w:rsidRDefault="00592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14:paraId="01B38905" w14:textId="77777777" w:rsidTr="008F2ADB">
      <w:tc>
        <w:tcPr>
          <w:tcW w:w="9639" w:type="dxa"/>
        </w:tcPr>
        <w:p w14:paraId="0E7D8DBF" w14:textId="77777777" w:rsidR="00B655B5" w:rsidRPr="00351B73" w:rsidRDefault="00B655B5" w:rsidP="00EB3574">
          <w:pPr>
            <w:pStyle w:val="Piedepgina"/>
            <w:jc w:val="center"/>
            <w:rPr>
              <w:b/>
              <w:color w:val="C00000"/>
            </w:rPr>
          </w:pPr>
        </w:p>
      </w:tc>
    </w:tr>
  </w:tbl>
  <w:p w14:paraId="5F9C33DF" w14:textId="77777777" w:rsidR="00B655B5" w:rsidRDefault="00B655B5" w:rsidP="008E48A2">
    <w:pPr>
      <w:pStyle w:val="Piedepgina"/>
      <w:jc w:val="center"/>
      <w:rPr>
        <w:b/>
        <w:color w:val="C00000"/>
      </w:rPr>
    </w:pPr>
  </w:p>
  <w:p w14:paraId="067ECE8E" w14:textId="77777777" w:rsidR="00B655B5" w:rsidRPr="00A448AD" w:rsidRDefault="00B655B5" w:rsidP="00135B0D">
    <w:pPr>
      <w:pStyle w:val="Piedepgina"/>
      <w:tabs>
        <w:tab w:val="clear" w:pos="9360"/>
        <w:tab w:val="right" w:pos="9639"/>
      </w:tabs>
      <w:jc w:val="left"/>
      <w:rPr>
        <w:rStyle w:val="Hipervnculo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ipervnculo"/>
          <w:lang w:val="es-ES"/>
        </w:rPr>
        <w:t>www.fao.org/fsnforum/es</w:t>
      </w:r>
    </w:hyperlink>
  </w:p>
  <w:p w14:paraId="49C6CE37" w14:textId="77777777" w:rsidR="00B655B5" w:rsidRPr="00A448AD" w:rsidRDefault="00B655B5" w:rsidP="008F2ADB">
    <w:pPr>
      <w:pStyle w:val="Piedepgina"/>
      <w:jc w:val="left"/>
      <w:rPr>
        <w:b/>
        <w:color w:val="31849B" w:themeColor="accent5" w:themeShade="BF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14:paraId="2F8FFB5A" w14:textId="77777777" w:rsidTr="00E6703B">
      <w:tc>
        <w:tcPr>
          <w:tcW w:w="9639" w:type="dxa"/>
        </w:tcPr>
        <w:p w14:paraId="7517DD41" w14:textId="77777777" w:rsidR="00B655B5" w:rsidRPr="00351B73" w:rsidRDefault="00B655B5" w:rsidP="00E6703B">
          <w:pPr>
            <w:pStyle w:val="Piedepgina"/>
            <w:jc w:val="center"/>
            <w:rPr>
              <w:b/>
              <w:color w:val="C00000"/>
            </w:rPr>
          </w:pPr>
        </w:p>
      </w:tc>
    </w:tr>
  </w:tbl>
  <w:p w14:paraId="41AA8589" w14:textId="77777777" w:rsidR="00B655B5" w:rsidRDefault="00B655B5" w:rsidP="008F2ADB">
    <w:pPr>
      <w:pStyle w:val="Piedepgina"/>
      <w:jc w:val="center"/>
      <w:rPr>
        <w:b/>
        <w:color w:val="C00000"/>
      </w:rPr>
    </w:pPr>
  </w:p>
  <w:p w14:paraId="45D1AA71" w14:textId="77777777" w:rsidR="00B655B5" w:rsidRPr="00A448AD" w:rsidRDefault="00B655B5" w:rsidP="008F2ADB">
    <w:pPr>
      <w:pStyle w:val="Piedepgina"/>
      <w:tabs>
        <w:tab w:val="clear" w:pos="9360"/>
        <w:tab w:val="right" w:pos="9639"/>
      </w:tabs>
      <w:jc w:val="left"/>
      <w:rPr>
        <w:rStyle w:val="Hipervnculo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ipervnculo"/>
          <w:lang w:val="es-ES"/>
        </w:rPr>
        <w:t>www.fao.org/fsnforum/es</w:t>
      </w:r>
    </w:hyperlink>
  </w:p>
  <w:p w14:paraId="17848A71" w14:textId="77777777" w:rsidR="00B655B5" w:rsidRPr="00A448AD" w:rsidRDefault="00B655B5" w:rsidP="008F2AD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AA21" w14:textId="77777777" w:rsidR="0059237F" w:rsidRDefault="0059237F" w:rsidP="00D079C6">
      <w:pPr>
        <w:spacing w:after="0"/>
      </w:pPr>
      <w:r>
        <w:separator/>
      </w:r>
    </w:p>
    <w:p w14:paraId="2AF09E2A" w14:textId="77777777" w:rsidR="0059237F" w:rsidRDefault="0059237F"/>
  </w:footnote>
  <w:footnote w:type="continuationSeparator" w:id="0">
    <w:p w14:paraId="028E785E" w14:textId="77777777" w:rsidR="0059237F" w:rsidRDefault="0059237F" w:rsidP="00D079C6">
      <w:pPr>
        <w:spacing w:after="0"/>
      </w:pPr>
      <w:r>
        <w:continuationSeparator/>
      </w:r>
    </w:p>
    <w:p w14:paraId="2EAC56D6" w14:textId="77777777" w:rsidR="0059237F" w:rsidRDefault="00592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B655B5" w:rsidRPr="00D97F9C" w14:paraId="2BE09B7C" w14:textId="77777777" w:rsidTr="00220FC1">
      <w:tc>
        <w:tcPr>
          <w:tcW w:w="249" w:type="pct"/>
        </w:tcPr>
        <w:p w14:paraId="4690B6D6" w14:textId="51759AFD" w:rsidR="00B655B5" w:rsidRPr="00B01341" w:rsidRDefault="00B655B5">
          <w:pPr>
            <w:pStyle w:val="Encabezado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1474C1">
            <w:rPr>
              <w:noProof/>
              <w:color w:val="31849B"/>
              <w:sz w:val="20"/>
              <w:szCs w:val="20"/>
            </w:rPr>
            <w:t>4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38C2FFEB" w14:textId="452DA8BC" w:rsidR="00B655B5" w:rsidRPr="00FF5702" w:rsidRDefault="000145A3" w:rsidP="00C020F6">
          <w:pPr>
            <w:rPr>
              <w:lang w:val="es-ES_tradnl"/>
            </w:rPr>
          </w:pPr>
          <w:r w:rsidRPr="000145A3">
            <w:rPr>
              <w:b/>
              <w:color w:val="31849B"/>
              <w:sz w:val="20"/>
              <w:szCs w:val="20"/>
              <w:lang w:val="es-ES_tradnl"/>
            </w:rPr>
            <w:t xml:space="preserve">Convocatoria de ejemplos y buenas prácticas sobre la utilización y aplicación de las Directrices voluntarias en apoyo de la realización progresiva del derecho a una alimentación adecuada en el contexto de la seguridad alimentaria nacional </w:t>
          </w:r>
        </w:p>
      </w:tc>
    </w:tr>
  </w:tbl>
  <w:p w14:paraId="62B9B7F7" w14:textId="77777777" w:rsidR="00B655B5" w:rsidRPr="00384748" w:rsidRDefault="00B655B5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CA97" w14:textId="77777777" w:rsidR="00906040" w:rsidRDefault="00906040" w:rsidP="00906040">
    <w:pPr>
      <w:pStyle w:val="Encabezado"/>
      <w:jc w:val="left"/>
      <w:rPr>
        <w:b/>
        <w:color w:val="FFFFFF"/>
      </w:rPr>
    </w:pPr>
    <w:r>
      <w:rPr>
        <w:b/>
        <w:noProof/>
        <w:color w:val="FFFFFF"/>
        <w:lang w:val="es-CL" w:eastAsia="es-CL"/>
      </w:rPr>
      <w:drawing>
        <wp:inline distT="0" distB="0" distL="0" distR="0" wp14:anchorId="6E6830D6" wp14:editId="2E2662A0">
          <wp:extent cx="3969908" cy="720000"/>
          <wp:effectExtent l="0" t="0" r="0" b="0"/>
          <wp:docPr id="8" name="Picture 8" descr="ESA:FSN Forum:_DESIGN and WEBSITE Verona:01_DOC template:TOPIC NOTE:img:FAO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:FSN Forum:_DESIGN and WEBSITE Verona:01_DOC template:TOPIC NOTE:img:FAO_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9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FE949" w14:textId="77777777" w:rsidR="00906040" w:rsidRDefault="00906040" w:rsidP="00906040">
    <w:pPr>
      <w:pStyle w:val="Encabezado"/>
      <w:jc w:val="right"/>
      <w:rPr>
        <w:b/>
        <w:color w:val="FFFFFF"/>
      </w:rPr>
    </w:pPr>
  </w:p>
  <w:p w14:paraId="07E554B0" w14:textId="77777777" w:rsidR="00906040" w:rsidRDefault="00906040" w:rsidP="00906040">
    <w:pPr>
      <w:pStyle w:val="Ttulo4"/>
    </w:pPr>
    <w:r>
      <w:rPr>
        <w:noProof/>
        <w:lang w:val="es-CL" w:eastAsia="es-CL"/>
      </w:rPr>
      <w:drawing>
        <wp:inline distT="0" distB="0" distL="0" distR="0" wp14:anchorId="11A268B9" wp14:editId="1E983775">
          <wp:extent cx="6106160" cy="243840"/>
          <wp:effectExtent l="0" t="0" r="0" b="10160"/>
          <wp:docPr id="10" name="Picture 10" descr="ESA:FSN Forum:_DESIGN and WEBSITE Verona:01_DOC template:TOPIC NOTE:img:FSNForum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SNForum_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E9C23" w14:textId="77777777" w:rsidR="00906040" w:rsidRDefault="00906040" w:rsidP="00906040">
    <w:pPr>
      <w:pStyle w:val="Encabezado"/>
      <w:jc w:val="right"/>
      <w:rPr>
        <w:b/>
        <w:color w:val="FFFFFF"/>
      </w:rPr>
    </w:pPr>
  </w:p>
  <w:tbl>
    <w:tblPr>
      <w:tblStyle w:val="Tablaconcuadrcula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906040" w:rsidRPr="00EB3574" w14:paraId="3F5CC036" w14:textId="77777777" w:rsidTr="00BE0F13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73E8A707" w14:textId="6F4D57B8" w:rsidR="00906040" w:rsidRPr="0043646E" w:rsidRDefault="000145A3" w:rsidP="000145A3">
          <w:pPr>
            <w:pStyle w:val="Ttulo6"/>
          </w:pPr>
          <w:proofErr w:type="spellStart"/>
          <w:r>
            <w:t>Formulario</w:t>
          </w:r>
          <w:proofErr w:type="spellEnd"/>
          <w:r>
            <w:t xml:space="preserve"> de </w:t>
          </w:r>
          <w:proofErr w:type="spellStart"/>
          <w:r>
            <w:t>presentación</w:t>
          </w:r>
          <w:proofErr w:type="spellEnd"/>
        </w:p>
      </w:tc>
    </w:tr>
    <w:tr w:rsidR="00906040" w:rsidRPr="001E4B9E" w14:paraId="08DE927D" w14:textId="77777777" w:rsidTr="00BE0F13">
      <w:trPr>
        <w:jc w:val="center"/>
      </w:trPr>
      <w:tc>
        <w:tcPr>
          <w:tcW w:w="9639" w:type="dxa"/>
          <w:shd w:val="clear" w:color="auto" w:fill="FFFFFF" w:themeFill="background1"/>
        </w:tcPr>
        <w:p w14:paraId="6446BD71" w14:textId="06A076AF" w:rsidR="000145A3" w:rsidRPr="001E4B9E" w:rsidRDefault="000145A3" w:rsidP="000145A3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>
            <w:rPr>
              <w:rFonts w:asciiTheme="majorHAnsi" w:hAnsiTheme="majorHAnsi"/>
              <w:b/>
            </w:rPr>
            <w:t>02</w:t>
          </w:r>
          <w:r w:rsidR="001E4B9E" w:rsidRPr="001E4B9E">
            <w:rPr>
              <w:rFonts w:asciiTheme="majorHAnsi" w:hAnsiTheme="majorHAnsi"/>
              <w:b/>
            </w:rPr>
            <w:t>.</w:t>
          </w:r>
          <w:r>
            <w:rPr>
              <w:rFonts w:asciiTheme="majorHAnsi" w:hAnsiTheme="majorHAnsi"/>
              <w:b/>
            </w:rPr>
            <w:t>10</w:t>
          </w:r>
          <w:r w:rsidR="001E4B9E">
            <w:rPr>
              <w:rFonts w:asciiTheme="majorHAnsi" w:hAnsiTheme="majorHAnsi"/>
              <w:b/>
            </w:rPr>
            <w:t xml:space="preserve">.2017 – </w:t>
          </w:r>
          <w:r>
            <w:rPr>
              <w:rFonts w:asciiTheme="majorHAnsi" w:hAnsiTheme="majorHAnsi"/>
              <w:b/>
            </w:rPr>
            <w:t>23</w:t>
          </w:r>
          <w:r w:rsidR="001E4B9E">
            <w:rPr>
              <w:rFonts w:asciiTheme="majorHAnsi" w:hAnsiTheme="majorHAnsi"/>
              <w:b/>
            </w:rPr>
            <w:t>.</w:t>
          </w:r>
          <w:r>
            <w:rPr>
              <w:rFonts w:asciiTheme="majorHAnsi" w:hAnsiTheme="majorHAnsi"/>
              <w:b/>
            </w:rPr>
            <w:t>10</w:t>
          </w:r>
          <w:r w:rsidR="001E4B9E">
            <w:rPr>
              <w:rFonts w:asciiTheme="majorHAnsi" w:hAnsiTheme="majorHAnsi"/>
              <w:b/>
            </w:rPr>
            <w:t>.2017</w:t>
          </w:r>
          <w:r w:rsidR="00906040" w:rsidRPr="001E4B9E">
            <w:rPr>
              <w:rFonts w:asciiTheme="majorHAnsi" w:hAnsiTheme="majorHAnsi"/>
              <w:b/>
              <w:color w:val="31849B" w:themeColor="accent5" w:themeShade="BF"/>
            </w:rPr>
            <w:br/>
          </w:r>
          <w:r w:rsidR="00906040">
            <w:rPr>
              <w:noProof/>
              <w:lang w:val="es-CL" w:eastAsia="es-CL"/>
            </w:rPr>
            <w:drawing>
              <wp:inline distT="0" distB="0" distL="0" distR="0" wp14:anchorId="50944A76" wp14:editId="63F96B3B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06040" w:rsidRPr="001E4B9E">
            <w:t xml:space="preserve">   </w:t>
          </w:r>
          <w:hyperlink r:id="rId4" w:history="1">
            <w:r w:rsidRPr="00517758">
              <w:rPr>
                <w:rStyle w:val="Hipervnculo"/>
              </w:rPr>
              <w:t>http://www.fao.org/fsnforum/es/activities/open-calls/CFS_right_to_food</w:t>
            </w:r>
          </w:hyperlink>
        </w:p>
      </w:tc>
    </w:tr>
  </w:tbl>
  <w:p w14:paraId="5DA6713E" w14:textId="77777777" w:rsidR="00906040" w:rsidRPr="001E4B9E" w:rsidRDefault="00906040" w:rsidP="009060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C4C05"/>
    <w:multiLevelType w:val="hybridMultilevel"/>
    <w:tmpl w:val="36C69BB6"/>
    <w:lvl w:ilvl="0" w:tplc="49AE0B94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647F"/>
    <w:multiLevelType w:val="hybridMultilevel"/>
    <w:tmpl w:val="5AFA8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10909"/>
    <w:multiLevelType w:val="hybridMultilevel"/>
    <w:tmpl w:val="6646E02E"/>
    <w:lvl w:ilvl="0" w:tplc="713C9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F34FB"/>
    <w:multiLevelType w:val="hybridMultilevel"/>
    <w:tmpl w:val="6226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5C309F"/>
    <w:multiLevelType w:val="hybridMultilevel"/>
    <w:tmpl w:val="1A908AE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D19D3"/>
    <w:multiLevelType w:val="hybridMultilevel"/>
    <w:tmpl w:val="722C690C"/>
    <w:lvl w:ilvl="0" w:tplc="49AE0B94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882D36"/>
    <w:multiLevelType w:val="hybridMultilevel"/>
    <w:tmpl w:val="7AA0F00A"/>
    <w:lvl w:ilvl="0" w:tplc="71203602">
      <w:start w:val="1"/>
      <w:numFmt w:val="decimal"/>
      <w:pStyle w:val="Prrafodelist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11"/>
  </w:num>
  <w:num w:numId="5">
    <w:abstractNumId w:val="4"/>
  </w:num>
  <w:num w:numId="6">
    <w:abstractNumId w:val="16"/>
  </w:num>
  <w:num w:numId="7">
    <w:abstractNumId w:val="5"/>
  </w:num>
  <w:num w:numId="8">
    <w:abstractNumId w:val="7"/>
  </w:num>
  <w:num w:numId="9">
    <w:abstractNumId w:val="14"/>
  </w:num>
  <w:num w:numId="10">
    <w:abstractNumId w:val="18"/>
  </w:num>
  <w:num w:numId="11">
    <w:abstractNumId w:val="10"/>
  </w:num>
  <w:num w:numId="12">
    <w:abstractNumId w:val="18"/>
  </w:num>
  <w:num w:numId="13">
    <w:abstractNumId w:val="20"/>
  </w:num>
  <w:num w:numId="14">
    <w:abstractNumId w:val="1"/>
  </w:num>
  <w:num w:numId="15">
    <w:abstractNumId w:val="21"/>
  </w:num>
  <w:num w:numId="16">
    <w:abstractNumId w:val="6"/>
  </w:num>
  <w:num w:numId="17">
    <w:abstractNumId w:val="9"/>
  </w:num>
  <w:num w:numId="18">
    <w:abstractNumId w:val="3"/>
  </w:num>
  <w:num w:numId="19">
    <w:abstractNumId w:val="12"/>
  </w:num>
  <w:num w:numId="20">
    <w:abstractNumId w:val="13"/>
  </w:num>
  <w:num w:numId="21">
    <w:abstractNumId w:val="15"/>
  </w:num>
  <w:num w:numId="22">
    <w:abstractNumId w:val="17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45A3"/>
    <w:rsid w:val="00016690"/>
    <w:rsid w:val="00024193"/>
    <w:rsid w:val="00024380"/>
    <w:rsid w:val="00025F78"/>
    <w:rsid w:val="00033185"/>
    <w:rsid w:val="00037863"/>
    <w:rsid w:val="000411F2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94770"/>
    <w:rsid w:val="000A1DCA"/>
    <w:rsid w:val="000A647B"/>
    <w:rsid w:val="000B163E"/>
    <w:rsid w:val="000B4BB8"/>
    <w:rsid w:val="000B63A7"/>
    <w:rsid w:val="000C0659"/>
    <w:rsid w:val="000C25BB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1026"/>
    <w:rsid w:val="00104726"/>
    <w:rsid w:val="0010494B"/>
    <w:rsid w:val="0011611D"/>
    <w:rsid w:val="001163FF"/>
    <w:rsid w:val="00116DFF"/>
    <w:rsid w:val="0011717E"/>
    <w:rsid w:val="00124651"/>
    <w:rsid w:val="001306A8"/>
    <w:rsid w:val="00132A9C"/>
    <w:rsid w:val="00132C13"/>
    <w:rsid w:val="00135B0D"/>
    <w:rsid w:val="00136A0F"/>
    <w:rsid w:val="001379C1"/>
    <w:rsid w:val="00141249"/>
    <w:rsid w:val="001415B2"/>
    <w:rsid w:val="001415DC"/>
    <w:rsid w:val="00143489"/>
    <w:rsid w:val="001436D5"/>
    <w:rsid w:val="001474C1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0B7D"/>
    <w:rsid w:val="001D2D05"/>
    <w:rsid w:val="001D3BF0"/>
    <w:rsid w:val="001D5FD4"/>
    <w:rsid w:val="001D7FD7"/>
    <w:rsid w:val="001E1B60"/>
    <w:rsid w:val="001E3DDD"/>
    <w:rsid w:val="001E4B9E"/>
    <w:rsid w:val="001E6A5A"/>
    <w:rsid w:val="001E741B"/>
    <w:rsid w:val="001F6273"/>
    <w:rsid w:val="00207B16"/>
    <w:rsid w:val="00212864"/>
    <w:rsid w:val="0021356E"/>
    <w:rsid w:val="00215654"/>
    <w:rsid w:val="00220776"/>
    <w:rsid w:val="00220FC1"/>
    <w:rsid w:val="00221904"/>
    <w:rsid w:val="00235327"/>
    <w:rsid w:val="00237F89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23D"/>
    <w:rsid w:val="00294755"/>
    <w:rsid w:val="00297943"/>
    <w:rsid w:val="002A13A9"/>
    <w:rsid w:val="002A34F1"/>
    <w:rsid w:val="002B00E0"/>
    <w:rsid w:val="002C016B"/>
    <w:rsid w:val="002C533F"/>
    <w:rsid w:val="002D0C13"/>
    <w:rsid w:val="002D0DB5"/>
    <w:rsid w:val="002D31BC"/>
    <w:rsid w:val="002D645B"/>
    <w:rsid w:val="002E2407"/>
    <w:rsid w:val="002E3A18"/>
    <w:rsid w:val="002E57CC"/>
    <w:rsid w:val="002F5516"/>
    <w:rsid w:val="003025C0"/>
    <w:rsid w:val="003045C3"/>
    <w:rsid w:val="00306013"/>
    <w:rsid w:val="00323733"/>
    <w:rsid w:val="003318B1"/>
    <w:rsid w:val="00331C9F"/>
    <w:rsid w:val="00332C3C"/>
    <w:rsid w:val="00342EE0"/>
    <w:rsid w:val="0034511D"/>
    <w:rsid w:val="00346BAD"/>
    <w:rsid w:val="00347008"/>
    <w:rsid w:val="00351B73"/>
    <w:rsid w:val="00355C12"/>
    <w:rsid w:val="003562B1"/>
    <w:rsid w:val="003604B7"/>
    <w:rsid w:val="00363D7C"/>
    <w:rsid w:val="00371FDD"/>
    <w:rsid w:val="00372A2E"/>
    <w:rsid w:val="003759C6"/>
    <w:rsid w:val="00381BF3"/>
    <w:rsid w:val="00384748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C0174"/>
    <w:rsid w:val="003C2910"/>
    <w:rsid w:val="003C60A8"/>
    <w:rsid w:val="003D01FA"/>
    <w:rsid w:val="003D18CF"/>
    <w:rsid w:val="003D18D6"/>
    <w:rsid w:val="003D25A7"/>
    <w:rsid w:val="003D6FC2"/>
    <w:rsid w:val="003E1E02"/>
    <w:rsid w:val="003E7A41"/>
    <w:rsid w:val="003F1596"/>
    <w:rsid w:val="003F1C44"/>
    <w:rsid w:val="004001EC"/>
    <w:rsid w:val="00402F5C"/>
    <w:rsid w:val="00413C59"/>
    <w:rsid w:val="00414565"/>
    <w:rsid w:val="00415E25"/>
    <w:rsid w:val="00415E47"/>
    <w:rsid w:val="004251F1"/>
    <w:rsid w:val="004339ED"/>
    <w:rsid w:val="00434855"/>
    <w:rsid w:val="00440F26"/>
    <w:rsid w:val="00441081"/>
    <w:rsid w:val="00442895"/>
    <w:rsid w:val="00444DEB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0F51"/>
    <w:rsid w:val="0048282F"/>
    <w:rsid w:val="00483C40"/>
    <w:rsid w:val="00483F46"/>
    <w:rsid w:val="004843DC"/>
    <w:rsid w:val="00485C87"/>
    <w:rsid w:val="00495E3E"/>
    <w:rsid w:val="00495FA4"/>
    <w:rsid w:val="004A1563"/>
    <w:rsid w:val="004A1790"/>
    <w:rsid w:val="004A4D5D"/>
    <w:rsid w:val="004B20C3"/>
    <w:rsid w:val="004B4E33"/>
    <w:rsid w:val="004B53B6"/>
    <w:rsid w:val="004C1BF7"/>
    <w:rsid w:val="004C3B08"/>
    <w:rsid w:val="004C74D0"/>
    <w:rsid w:val="004D2808"/>
    <w:rsid w:val="004D316F"/>
    <w:rsid w:val="004D6AA1"/>
    <w:rsid w:val="004D7EB3"/>
    <w:rsid w:val="004E07CA"/>
    <w:rsid w:val="004E1E17"/>
    <w:rsid w:val="004E27D8"/>
    <w:rsid w:val="004E6D37"/>
    <w:rsid w:val="004E7CE9"/>
    <w:rsid w:val="004F31FF"/>
    <w:rsid w:val="004F3481"/>
    <w:rsid w:val="004F5E66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3A5"/>
    <w:rsid w:val="00523EB5"/>
    <w:rsid w:val="00525937"/>
    <w:rsid w:val="00530080"/>
    <w:rsid w:val="0053052F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37F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55B7"/>
    <w:rsid w:val="005E3DFC"/>
    <w:rsid w:val="005F5A29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573"/>
    <w:rsid w:val="00631E59"/>
    <w:rsid w:val="0063372F"/>
    <w:rsid w:val="00635B13"/>
    <w:rsid w:val="006420B5"/>
    <w:rsid w:val="00642134"/>
    <w:rsid w:val="00643AF8"/>
    <w:rsid w:val="00645FE0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6F7C82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56A"/>
    <w:rsid w:val="00732662"/>
    <w:rsid w:val="00735512"/>
    <w:rsid w:val="00736BFE"/>
    <w:rsid w:val="00741A1E"/>
    <w:rsid w:val="00744A84"/>
    <w:rsid w:val="00745E70"/>
    <w:rsid w:val="0074750F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55F6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4B7A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C6B4B"/>
    <w:rsid w:val="008D0875"/>
    <w:rsid w:val="008D1DD9"/>
    <w:rsid w:val="008D452C"/>
    <w:rsid w:val="008D6F52"/>
    <w:rsid w:val="008E48A2"/>
    <w:rsid w:val="008F2ADB"/>
    <w:rsid w:val="008F5848"/>
    <w:rsid w:val="008F75C7"/>
    <w:rsid w:val="008F7903"/>
    <w:rsid w:val="008F79C2"/>
    <w:rsid w:val="00904EBB"/>
    <w:rsid w:val="00906040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5C94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3819"/>
    <w:rsid w:val="009942A8"/>
    <w:rsid w:val="009966C2"/>
    <w:rsid w:val="0099770F"/>
    <w:rsid w:val="009A1DA3"/>
    <w:rsid w:val="009A2C45"/>
    <w:rsid w:val="009B135F"/>
    <w:rsid w:val="009B7FA8"/>
    <w:rsid w:val="009C444E"/>
    <w:rsid w:val="009C575B"/>
    <w:rsid w:val="009C734B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48A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4D2B"/>
    <w:rsid w:val="00AD6935"/>
    <w:rsid w:val="00AD7891"/>
    <w:rsid w:val="00AE4668"/>
    <w:rsid w:val="00AE7DDA"/>
    <w:rsid w:val="00AF3957"/>
    <w:rsid w:val="00AF414E"/>
    <w:rsid w:val="00B009B8"/>
    <w:rsid w:val="00B01341"/>
    <w:rsid w:val="00B01DFA"/>
    <w:rsid w:val="00B057CC"/>
    <w:rsid w:val="00B0735E"/>
    <w:rsid w:val="00B103B4"/>
    <w:rsid w:val="00B11EBE"/>
    <w:rsid w:val="00B13424"/>
    <w:rsid w:val="00B310EB"/>
    <w:rsid w:val="00B330F2"/>
    <w:rsid w:val="00B35E4D"/>
    <w:rsid w:val="00B36508"/>
    <w:rsid w:val="00B4371D"/>
    <w:rsid w:val="00B54A9F"/>
    <w:rsid w:val="00B571E7"/>
    <w:rsid w:val="00B61CC2"/>
    <w:rsid w:val="00B655B5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6310"/>
    <w:rsid w:val="00BC6E7D"/>
    <w:rsid w:val="00BD0002"/>
    <w:rsid w:val="00BD0D6C"/>
    <w:rsid w:val="00BD1673"/>
    <w:rsid w:val="00BD2198"/>
    <w:rsid w:val="00BE1F77"/>
    <w:rsid w:val="00BE2CAB"/>
    <w:rsid w:val="00BE73FA"/>
    <w:rsid w:val="00BF115F"/>
    <w:rsid w:val="00BF409B"/>
    <w:rsid w:val="00BF7416"/>
    <w:rsid w:val="00C020F6"/>
    <w:rsid w:val="00C04907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47292"/>
    <w:rsid w:val="00C503C2"/>
    <w:rsid w:val="00C554B4"/>
    <w:rsid w:val="00C6707F"/>
    <w:rsid w:val="00C70BAF"/>
    <w:rsid w:val="00C72D4C"/>
    <w:rsid w:val="00C75B22"/>
    <w:rsid w:val="00C80904"/>
    <w:rsid w:val="00C81C9A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5D0C"/>
    <w:rsid w:val="00CB6B55"/>
    <w:rsid w:val="00CC0792"/>
    <w:rsid w:val="00CC0FDF"/>
    <w:rsid w:val="00CC5383"/>
    <w:rsid w:val="00CC5C28"/>
    <w:rsid w:val="00CC5D0C"/>
    <w:rsid w:val="00CC736B"/>
    <w:rsid w:val="00CD1028"/>
    <w:rsid w:val="00CD3D54"/>
    <w:rsid w:val="00CD45BC"/>
    <w:rsid w:val="00CD4BA2"/>
    <w:rsid w:val="00CD7C32"/>
    <w:rsid w:val="00CE2B37"/>
    <w:rsid w:val="00CE2C0D"/>
    <w:rsid w:val="00CE3842"/>
    <w:rsid w:val="00CF2B06"/>
    <w:rsid w:val="00CF6A0C"/>
    <w:rsid w:val="00D0493C"/>
    <w:rsid w:val="00D06095"/>
    <w:rsid w:val="00D079C6"/>
    <w:rsid w:val="00D135C2"/>
    <w:rsid w:val="00D15D3B"/>
    <w:rsid w:val="00D24866"/>
    <w:rsid w:val="00D25B49"/>
    <w:rsid w:val="00D268CB"/>
    <w:rsid w:val="00D33BDD"/>
    <w:rsid w:val="00D41348"/>
    <w:rsid w:val="00D46A6A"/>
    <w:rsid w:val="00D50370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381"/>
    <w:rsid w:val="00D8370B"/>
    <w:rsid w:val="00D8573F"/>
    <w:rsid w:val="00D91953"/>
    <w:rsid w:val="00D97F9C"/>
    <w:rsid w:val="00DA1A8E"/>
    <w:rsid w:val="00DA1D21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68CD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668E7"/>
    <w:rsid w:val="00E6703B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2432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011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702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27EEB"/>
  <w15:docId w15:val="{4105CBB4-7C0E-452A-BD3F-5E45984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FDD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Ttulo1">
    <w:name w:val="heading 1"/>
    <w:basedOn w:val="Default"/>
    <w:next w:val="Normal"/>
    <w:link w:val="Ttulo1C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Ttulo2">
    <w:name w:val="heading 2"/>
    <w:basedOn w:val="Default"/>
    <w:next w:val="Normal"/>
    <w:link w:val="Ttulo2Car"/>
    <w:qFormat/>
    <w:rsid w:val="00645FE0"/>
    <w:pPr>
      <w:spacing w:before="120" w:after="480" w:line="276" w:lineRule="auto"/>
      <w:outlineLvl w:val="1"/>
    </w:pPr>
    <w:rPr>
      <w:rFonts w:ascii="Cambria" w:hAnsi="Cambria"/>
      <w:b/>
      <w:bCs/>
      <w:color w:val="B43131"/>
      <w:sz w:val="36"/>
      <w:szCs w:val="36"/>
      <w:lang w:val="es-ES_tradnl"/>
    </w:rPr>
  </w:style>
  <w:style w:type="paragraph" w:styleId="Ttulo3">
    <w:name w:val="heading 3"/>
    <w:basedOn w:val="Ttulo5"/>
    <w:next w:val="Normal"/>
    <w:link w:val="Ttulo3Car"/>
    <w:qFormat/>
    <w:rsid w:val="00371FDD"/>
    <w:pPr>
      <w:outlineLvl w:val="2"/>
    </w:pPr>
    <w:rPr>
      <w:color w:val="auto"/>
      <w:sz w:val="26"/>
      <w:szCs w:val="26"/>
    </w:rPr>
  </w:style>
  <w:style w:type="paragraph" w:styleId="Ttulo4">
    <w:name w:val="heading 4"/>
    <w:basedOn w:val="Sinespaciado"/>
    <w:next w:val="Normal"/>
    <w:link w:val="Ttulo4C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Ttulo5">
    <w:name w:val="heading 5"/>
    <w:basedOn w:val="Ttulo4"/>
    <w:next w:val="Normal"/>
    <w:link w:val="Ttulo5C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0604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701070"/>
    <w:pPr>
      <w:spacing w:before="120" w:after="0"/>
      <w:ind w:left="142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01070"/>
    <w:rPr>
      <w:rFonts w:ascii="Cambria" w:hAnsi="Cambria" w:cs="Times New Roman"/>
    </w:rPr>
  </w:style>
  <w:style w:type="paragraph" w:styleId="Textodeglobo">
    <w:name w:val="Balloon Text"/>
    <w:basedOn w:val="Normal"/>
    <w:link w:val="TextodegloboC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079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D079C6"/>
    <w:rPr>
      <w:rFonts w:cs="Times New Roman"/>
    </w:rPr>
  </w:style>
  <w:style w:type="paragraph" w:styleId="Piedepgina">
    <w:name w:val="footer"/>
    <w:basedOn w:val="Normal"/>
    <w:link w:val="PiedepginaC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645FE0"/>
    <w:rPr>
      <w:rFonts w:ascii="Cambria" w:eastAsia="Times New Roman" w:hAnsi="Cambria" w:cs="Arial"/>
      <w:b/>
      <w:bCs/>
      <w:color w:val="B43131"/>
      <w:sz w:val="36"/>
      <w:szCs w:val="36"/>
      <w:lang w:val="es-ES_tradnl"/>
    </w:rPr>
  </w:style>
  <w:style w:type="character" w:customStyle="1" w:styleId="Ttulo3Car">
    <w:name w:val="Título 3 Car"/>
    <w:basedOn w:val="Fuentedeprrafopredeter"/>
    <w:link w:val="Ttulo3"/>
    <w:rsid w:val="00371FDD"/>
    <w:rPr>
      <w:rFonts w:ascii="Cambria" w:eastAsia="Times New Roman" w:hAnsi="Cambria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rsid w:val="008F2ADB"/>
    <w:rPr>
      <w:rFonts w:ascii="Cambria" w:eastAsia="Times New Roman" w:hAnsi="Cambria"/>
      <w:b/>
      <w:sz w:val="24"/>
      <w:szCs w:val="24"/>
    </w:rPr>
  </w:style>
  <w:style w:type="paragraph" w:styleId="Prrafodelista">
    <w:name w:val="List Paragraph"/>
    <w:basedOn w:val="Sinespaciado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Ttulo5Car">
    <w:name w:val="Título 5 Car"/>
    <w:basedOn w:val="Fuentedeprrafopredeter"/>
    <w:link w:val="Ttulo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ipervnculo">
    <w:name w:val="Hyperlink"/>
    <w:basedOn w:val="Fuentedeprrafopredeter"/>
    <w:uiPriority w:val="99"/>
    <w:rsid w:val="003759C6"/>
    <w:rPr>
      <w:color w:val="31849B" w:themeColor="accent5" w:themeShade="BF"/>
      <w:u w:val="single"/>
    </w:rPr>
  </w:style>
  <w:style w:type="character" w:styleId="Hipervnculovisitado">
    <w:name w:val="FollowedHyperlink"/>
    <w:basedOn w:val="Fuentedeprrafopredeter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Refdecomentario">
    <w:name w:val="annotation reference"/>
    <w:basedOn w:val="Fuentedeprrafopredeter"/>
    <w:semiHidden/>
    <w:unhideWhenUsed/>
    <w:rsid w:val="004C3B0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Fuentedeprrafopredeter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Fuentedeprrafopredeter"/>
    <w:rsid w:val="009A2C45"/>
  </w:style>
  <w:style w:type="paragraph" w:styleId="Textonotapie">
    <w:name w:val="footnote text"/>
    <w:basedOn w:val="Normal"/>
    <w:link w:val="TextonotapieCar"/>
    <w:uiPriority w:val="99"/>
    <w:semiHidden/>
    <w:rsid w:val="00332C3C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C3C"/>
    <w:rPr>
      <w:rFonts w:ascii="Cambria" w:hAnsi="Cambria" w:cs="Calibri"/>
      <w:lang w:val="ru-RU"/>
    </w:rPr>
  </w:style>
  <w:style w:type="character" w:styleId="Refdenotaalpie">
    <w:name w:val="footnote reference"/>
    <w:basedOn w:val="Fuentedeprrafopredeter"/>
    <w:uiPriority w:val="99"/>
    <w:semiHidden/>
    <w:rsid w:val="00835461"/>
    <w:rPr>
      <w:vertAlign w:val="superscript"/>
    </w:rPr>
  </w:style>
  <w:style w:type="paragraph" w:customStyle="1" w:styleId="bodytext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rsid w:val="004B53B6"/>
    <w:rPr>
      <w:rFonts w:ascii="Times New Roman" w:eastAsia="Times New Roman" w:hAnsi="Times New Roman"/>
      <w:lang w:val="en-GB"/>
    </w:rPr>
  </w:style>
  <w:style w:type="character" w:styleId="Textoennegrita">
    <w:name w:val="Strong"/>
    <w:basedOn w:val="Fuentedeprrafopredeter"/>
    <w:uiPriority w:val="22"/>
    <w:qFormat/>
    <w:rsid w:val="00165DD2"/>
    <w:rPr>
      <w:b/>
      <w:bCs/>
    </w:rPr>
  </w:style>
  <w:style w:type="character" w:styleId="nfasis">
    <w:name w:val="Emphasis"/>
    <w:basedOn w:val="Fuentedeprrafopredeter"/>
    <w:uiPriority w:val="20"/>
    <w:qFormat/>
    <w:rsid w:val="00736BFE"/>
    <w:rPr>
      <w:i/>
      <w:iCs/>
    </w:rPr>
  </w:style>
  <w:style w:type="paragraph" w:customStyle="1" w:styleId="top">
    <w:name w:val="top"/>
    <w:basedOn w:val="Encabezado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aconcuadrcula">
    <w:name w:val="Table Grid"/>
    <w:basedOn w:val="Tabla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Fuentedeprrafopredeter"/>
    <w:rsid w:val="00F875C9"/>
  </w:style>
  <w:style w:type="character" w:customStyle="1" w:styleId="country">
    <w:name w:val="country"/>
    <w:basedOn w:val="Fuentedeprrafopredeter"/>
    <w:rsid w:val="00F875C9"/>
  </w:style>
  <w:style w:type="character" w:customStyle="1" w:styleId="st">
    <w:name w:val="st"/>
    <w:basedOn w:val="Fuentedeprrafopredeter"/>
    <w:rsid w:val="005E3DFC"/>
  </w:style>
  <w:style w:type="character" w:styleId="nfasisintenso">
    <w:name w:val="Intense Emphasis"/>
    <w:basedOn w:val="Fuentedeprrafopredeter"/>
    <w:uiPriority w:val="21"/>
    <w:qFormat/>
    <w:rsid w:val="00B73EAE"/>
    <w:rPr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B73EA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Fuentedeprrafopredeter"/>
    <w:rsid w:val="00181E0E"/>
  </w:style>
  <w:style w:type="character" w:customStyle="1" w:styleId="hps">
    <w:name w:val="hps"/>
    <w:basedOn w:val="Fuentedeprrafopredeter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Textosinformato">
    <w:name w:val="Plain Text"/>
    <w:basedOn w:val="Normal"/>
    <w:link w:val="TextosinformatoC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C47292"/>
    <w:pPr>
      <w:spacing w:before="240" w:line="276" w:lineRule="auto"/>
      <w:jc w:val="left"/>
    </w:pPr>
    <w:rPr>
      <w:i/>
    </w:rPr>
  </w:style>
  <w:style w:type="character" w:customStyle="1" w:styleId="Ttulo6Car">
    <w:name w:val="Título 6 Car"/>
    <w:basedOn w:val="Fuentedeprrafopredeter"/>
    <w:link w:val="Ttulo6"/>
    <w:uiPriority w:val="9"/>
    <w:rsid w:val="00906040"/>
    <w:rPr>
      <w:rFonts w:asciiTheme="majorHAnsi" w:eastAsiaTheme="majorEastAsia" w:hAnsiTheme="majorHAnsi" w:cstheme="majorBidi"/>
      <w:b/>
      <w:iCs/>
      <w:sz w:val="28"/>
      <w:szCs w:val="2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E7DD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E7DDA"/>
    <w:rPr>
      <w:rFonts w:ascii="Cambria" w:eastAsia="Times New Roman" w:hAnsi="Cambria"/>
    </w:rPr>
  </w:style>
  <w:style w:type="character" w:styleId="Refdenotaalfinal">
    <w:name w:val="endnote reference"/>
    <w:basedOn w:val="Fuentedeprrafopredeter"/>
    <w:uiPriority w:val="99"/>
    <w:semiHidden/>
    <w:unhideWhenUsed/>
    <w:rsid w:val="00AE7DDA"/>
    <w:rPr>
      <w:vertAlign w:val="superscript"/>
    </w:rPr>
  </w:style>
  <w:style w:type="paragraph" w:customStyle="1" w:styleId="Body">
    <w:name w:val="Body"/>
    <w:rsid w:val="001E4B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4D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comunidadparlamentaria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rlatino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n-moderator@fa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o.org/fsnforum/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o.org/fsnforum/es/activities/open-calls/CFS_right_to_food" TargetMode="External"/><Relationship Id="rId14" Type="http://schemas.openxmlformats.org/officeDocument/2006/relationships/hyperlink" Target="http://parlamentarioscontraelhambre.org/frentes/regionales/parlatin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es/activities/open-calls/CFS_right_to_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E5430-2F95-480C-ACBE-C1F4BA81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1935</Words>
  <Characters>10643</Characters>
  <Application>Microsoft Office Word</Application>
  <DocSecurity>0</DocSecurity>
  <Lines>88</Lines>
  <Paragraphs>25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12553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Mariana Carmona Alba</cp:lastModifiedBy>
  <cp:revision>3</cp:revision>
  <cp:lastPrinted>2015-02-02T14:02:00Z</cp:lastPrinted>
  <dcterms:created xsi:type="dcterms:W3CDTF">2017-11-27T20:45:00Z</dcterms:created>
  <dcterms:modified xsi:type="dcterms:W3CDTF">2017-11-27T20:51:00Z</dcterms:modified>
</cp:coreProperties>
</file>