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15" w:rsidRDefault="001D7215" w:rsidP="001D7215">
      <w:pPr>
        <w:spacing w:after="0" w:line="240" w:lineRule="auto"/>
        <w:jc w:val="right"/>
        <w:rPr>
          <w:rFonts w:ascii="Cambria" w:eastAsia="Times New Roman" w:hAnsi="Cambria" w:cs="Arial"/>
          <w:b/>
          <w:bCs/>
          <w:noProof/>
          <w:color w:val="E36C0A"/>
          <w:sz w:val="36"/>
          <w:szCs w:val="36"/>
        </w:rPr>
      </w:pPr>
      <w:r w:rsidRPr="001D7215">
        <w:rPr>
          <w:rFonts w:ascii="Cambria" w:eastAsia="Times New Roman" w:hAnsi="Cambria" w:cs="Times New Roman"/>
          <w:b/>
          <w:sz w:val="24"/>
          <w:lang w:val="en-US" w:eastAsia="en-US"/>
        </w:rPr>
        <w:t>15.06.2018 – 15.07.2018</w:t>
      </w:r>
    </w:p>
    <w:p w:rsidR="00DF7934" w:rsidRPr="00DF7934" w:rsidRDefault="00DF7934" w:rsidP="001D7215">
      <w:pPr>
        <w:spacing w:after="0" w:line="240" w:lineRule="auto"/>
        <w:jc w:val="both"/>
        <w:rPr>
          <w:rFonts w:ascii="Cambria" w:eastAsia="Times New Roman" w:hAnsi="Cambria" w:cs="Arial"/>
          <w:b/>
          <w:bCs/>
          <w:noProof/>
          <w:color w:val="E36C0A"/>
          <w:sz w:val="36"/>
          <w:szCs w:val="36"/>
        </w:rPr>
      </w:pPr>
      <w:r w:rsidRPr="00DF7934">
        <w:rPr>
          <w:rFonts w:ascii="Cambria" w:eastAsia="Times New Roman" w:hAnsi="Cambria" w:cs="Arial"/>
          <w:b/>
          <w:bCs/>
          <w:noProof/>
          <w:color w:val="E36C0A"/>
          <w:sz w:val="36"/>
          <w:szCs w:val="36"/>
        </w:rPr>
        <w:t>Online consultation for review and comments on the zero-draft International Code of Conduct for the Use and Management of Fertilizers.</w:t>
      </w:r>
    </w:p>
    <w:p w:rsidR="00E53EB5" w:rsidRDefault="008129F0" w:rsidP="001D7215">
      <w:pPr>
        <w:spacing w:after="0"/>
      </w:pPr>
    </w:p>
    <w:p w:rsidR="001D7215" w:rsidRPr="007E168B" w:rsidRDefault="001D7215">
      <w:pPr>
        <w:rPr>
          <w:rFonts w:ascii="Cambria" w:eastAsia="Calibri" w:hAnsi="Cambria" w:cs="Times New Roman"/>
          <w:b/>
          <w:lang w:val="en-US" w:eastAsia="en-US"/>
        </w:rPr>
      </w:pPr>
      <w:r w:rsidRPr="007E168B">
        <w:rPr>
          <w:rFonts w:ascii="Cambria" w:eastAsia="Calibri" w:hAnsi="Cambria" w:cs="Times New Roman"/>
          <w:b/>
          <w:lang w:val="en-US" w:eastAsia="en-US"/>
        </w:rPr>
        <w:t xml:space="preserve">Please respond to the questions leaving your comments below: </w:t>
      </w:r>
    </w:p>
    <w:tbl>
      <w:tblPr>
        <w:tblStyle w:val="TableGrid"/>
        <w:tblW w:w="9355" w:type="dxa"/>
        <w:tblLook w:val="04A0" w:firstRow="1" w:lastRow="0" w:firstColumn="1" w:lastColumn="0" w:noHBand="0" w:noVBand="1"/>
      </w:tblPr>
      <w:tblGrid>
        <w:gridCol w:w="9355"/>
      </w:tblGrid>
      <w:tr w:rsidR="00394FE1" w:rsidRPr="007E168B" w:rsidTr="00655546">
        <w:tc>
          <w:tcPr>
            <w:tcW w:w="9355" w:type="dxa"/>
          </w:tcPr>
          <w:p w:rsidR="00394FE1" w:rsidRDefault="00394FE1" w:rsidP="00394FE1">
            <w:pPr>
              <w:rPr>
                <w:rFonts w:ascii="Cambria" w:hAnsi="Cambria"/>
                <w:sz w:val="22"/>
                <w:szCs w:val="22"/>
              </w:rPr>
            </w:pPr>
            <w:r w:rsidRPr="00394FE1">
              <w:rPr>
                <w:rFonts w:ascii="Cambria" w:hAnsi="Cambria"/>
                <w:sz w:val="22"/>
                <w:szCs w:val="22"/>
              </w:rPr>
              <w:t>Question</w:t>
            </w:r>
          </w:p>
          <w:p w:rsidR="00394FE1" w:rsidRPr="00394FE1" w:rsidRDefault="00394FE1" w:rsidP="00394FE1">
            <w:pPr>
              <w:rPr>
                <w:rFonts w:ascii="Cambria" w:hAnsi="Cambria"/>
                <w:sz w:val="22"/>
                <w:szCs w:val="22"/>
              </w:rPr>
            </w:pPr>
          </w:p>
        </w:tc>
      </w:tr>
      <w:tr w:rsidR="00394FE1" w:rsidRPr="007E168B" w:rsidTr="00655546">
        <w:tc>
          <w:tcPr>
            <w:tcW w:w="9355" w:type="dxa"/>
          </w:tcPr>
          <w:p w:rsidR="00DA6BA3" w:rsidRDefault="00394FE1" w:rsidP="00394FE1">
            <w:pPr>
              <w:rPr>
                <w:rFonts w:ascii="Cambria" w:hAnsi="Cambria"/>
                <w:b/>
                <w:sz w:val="22"/>
                <w:szCs w:val="22"/>
              </w:rPr>
            </w:pPr>
            <w:r w:rsidRPr="00DA6BA3">
              <w:rPr>
                <w:rFonts w:ascii="Cambria" w:hAnsi="Cambria"/>
                <w:b/>
                <w:sz w:val="22"/>
                <w:szCs w:val="22"/>
              </w:rPr>
              <w:t>Is an International Code of Conduct for the Use and Management of Fertilizers beneficial and useful? To whom, and why?</w:t>
            </w:r>
          </w:p>
          <w:p w:rsidR="00DA6BA3" w:rsidRDefault="00DA6BA3" w:rsidP="00DA6BA3">
            <w:pPr>
              <w:spacing w:line="360" w:lineRule="auto"/>
              <w:jc w:val="both"/>
              <w:rPr>
                <w:rFonts w:ascii="Cambria" w:hAnsi="Cambria"/>
                <w:sz w:val="22"/>
                <w:szCs w:val="22"/>
              </w:rPr>
            </w:pPr>
            <w:r>
              <w:rPr>
                <w:rFonts w:ascii="Cambria" w:hAnsi="Cambria"/>
                <w:sz w:val="22"/>
                <w:szCs w:val="22"/>
              </w:rPr>
              <w:t xml:space="preserve"> The </w:t>
            </w:r>
            <w:proofErr w:type="spellStart"/>
            <w:r>
              <w:rPr>
                <w:rFonts w:ascii="Cambria" w:hAnsi="Cambria"/>
                <w:sz w:val="22"/>
                <w:szCs w:val="22"/>
              </w:rPr>
              <w:t>ICoCoforManagement</w:t>
            </w:r>
            <w:proofErr w:type="spellEnd"/>
            <w:r>
              <w:rPr>
                <w:rFonts w:ascii="Cambria" w:hAnsi="Cambria"/>
                <w:sz w:val="22"/>
                <w:szCs w:val="22"/>
              </w:rPr>
              <w:t xml:space="preserve"> of fertilizer is very fabulous and helpful Mostly to rural in habitants this is because rural in habitants depend on agriculture that other areas. The policy is very beneficial to Africa continent because it is the continent with higher percentage of Agriculture defendants and unfortunately with low level of Agriculture practices.  </w:t>
            </w: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Pr="00394FE1" w:rsidRDefault="00394FE1" w:rsidP="00394FE1">
            <w:pPr>
              <w:rPr>
                <w:rFonts w:ascii="Cambria" w:hAnsi="Cambria"/>
                <w:sz w:val="22"/>
                <w:szCs w:val="22"/>
              </w:rPr>
            </w:pPr>
          </w:p>
        </w:tc>
      </w:tr>
      <w:tr w:rsidR="00394FE1" w:rsidRPr="007E168B" w:rsidTr="00655546">
        <w:tc>
          <w:tcPr>
            <w:tcW w:w="9355" w:type="dxa"/>
          </w:tcPr>
          <w:p w:rsidR="00DA6BA3" w:rsidRDefault="00394FE1" w:rsidP="00394FE1">
            <w:pPr>
              <w:rPr>
                <w:rFonts w:ascii="Cambria" w:hAnsi="Cambria"/>
                <w:sz w:val="22"/>
                <w:szCs w:val="22"/>
              </w:rPr>
            </w:pPr>
            <w:r w:rsidRPr="00DA6BA3">
              <w:rPr>
                <w:rFonts w:ascii="Cambria" w:hAnsi="Cambria"/>
                <w:b/>
                <w:sz w:val="22"/>
                <w:szCs w:val="22"/>
              </w:rPr>
              <w:t>Does this Fertilizer Code of Conduct address all aspects necessary to ensure the responsible use of fertilizers, optimizing benefits while minimizing risks?</w:t>
            </w:r>
          </w:p>
          <w:p w:rsidR="00394FE1" w:rsidRDefault="00DA6BA3" w:rsidP="00394FE1">
            <w:pPr>
              <w:rPr>
                <w:rFonts w:ascii="Cambria" w:hAnsi="Cambria"/>
                <w:sz w:val="22"/>
                <w:szCs w:val="22"/>
              </w:rPr>
            </w:pPr>
            <w:r>
              <w:rPr>
                <w:rFonts w:ascii="Cambria" w:hAnsi="Cambria"/>
                <w:sz w:val="22"/>
                <w:szCs w:val="22"/>
              </w:rPr>
              <w:t xml:space="preserve">  For it is good and have at</w:t>
            </w:r>
            <w:r w:rsidR="008129F0">
              <w:rPr>
                <w:rFonts w:ascii="Cambria" w:hAnsi="Cambria"/>
                <w:sz w:val="22"/>
                <w:szCs w:val="22"/>
              </w:rPr>
              <w:t xml:space="preserve"> </w:t>
            </w:r>
            <w:r>
              <w:rPr>
                <w:rFonts w:ascii="Cambria" w:hAnsi="Cambria"/>
                <w:sz w:val="22"/>
                <w:szCs w:val="22"/>
              </w:rPr>
              <w:t xml:space="preserve">list look to many aspects of beneficiaries </w:t>
            </w:r>
            <w:r w:rsidR="008129F0">
              <w:rPr>
                <w:rFonts w:ascii="Cambria" w:hAnsi="Cambria"/>
                <w:sz w:val="22"/>
                <w:szCs w:val="22"/>
              </w:rPr>
              <w:t xml:space="preserve">but focus should be </w:t>
            </w:r>
          </w:p>
          <w:p w:rsidR="008129F0" w:rsidRDefault="008129F0" w:rsidP="00394FE1">
            <w:pPr>
              <w:rPr>
                <w:rFonts w:ascii="Cambria" w:hAnsi="Cambria"/>
                <w:sz w:val="22"/>
                <w:szCs w:val="22"/>
              </w:rPr>
            </w:pPr>
            <w:r>
              <w:rPr>
                <w:rFonts w:ascii="Cambria" w:hAnsi="Cambria"/>
                <w:sz w:val="22"/>
                <w:szCs w:val="22"/>
              </w:rPr>
              <w:t xml:space="preserve">Considered well. Example hiring some workers to vulgarize/sensibilize  </w:t>
            </w: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Pr="00394FE1" w:rsidRDefault="00394FE1" w:rsidP="00394FE1">
            <w:pPr>
              <w:rPr>
                <w:rFonts w:ascii="Cambria" w:hAnsi="Cambria"/>
                <w:sz w:val="22"/>
                <w:szCs w:val="22"/>
              </w:rPr>
            </w:pPr>
          </w:p>
        </w:tc>
      </w:tr>
      <w:tr w:rsidR="00394FE1" w:rsidRPr="007E168B" w:rsidTr="00655546">
        <w:tc>
          <w:tcPr>
            <w:tcW w:w="9355" w:type="dxa"/>
          </w:tcPr>
          <w:p w:rsidR="00394FE1" w:rsidRDefault="00394FE1" w:rsidP="008129F0">
            <w:pPr>
              <w:spacing w:line="360" w:lineRule="auto"/>
              <w:jc w:val="both"/>
              <w:rPr>
                <w:rFonts w:ascii="Cambria" w:hAnsi="Cambria"/>
                <w:sz w:val="22"/>
                <w:szCs w:val="22"/>
              </w:rPr>
            </w:pPr>
            <w:r w:rsidRPr="00DA6BA3">
              <w:rPr>
                <w:rFonts w:ascii="Cambria" w:hAnsi="Cambria"/>
                <w:b/>
                <w:sz w:val="22"/>
                <w:szCs w:val="22"/>
              </w:rPr>
              <w:t>Are there any topics or subject matter missing from this Fertilizer Code of Conduct? If so, what are they?</w:t>
            </w:r>
            <w:r w:rsidR="00DA6BA3">
              <w:rPr>
                <w:rFonts w:ascii="Cambria" w:hAnsi="Cambria"/>
                <w:sz w:val="22"/>
                <w:szCs w:val="22"/>
              </w:rPr>
              <w:t xml:space="preserve"> Quantitative and qualitative content topics should be formulated, </w:t>
            </w:r>
            <w:proofErr w:type="spellStart"/>
            <w:r w:rsidR="00DA6BA3">
              <w:rPr>
                <w:rFonts w:ascii="Cambria" w:hAnsi="Cambria"/>
                <w:sz w:val="22"/>
                <w:szCs w:val="22"/>
              </w:rPr>
              <w:t>i.e</w:t>
            </w:r>
            <w:proofErr w:type="spellEnd"/>
            <w:r w:rsidR="00DA6BA3">
              <w:rPr>
                <w:rFonts w:ascii="Cambria" w:hAnsi="Cambria"/>
                <w:sz w:val="22"/>
                <w:szCs w:val="22"/>
              </w:rPr>
              <w:t xml:space="preserve"> the quantity of fertilizer to be applied to which crop or what type of soils, </w:t>
            </w:r>
            <w:r w:rsidR="008129F0">
              <w:rPr>
                <w:rFonts w:ascii="Cambria" w:hAnsi="Cambria"/>
                <w:sz w:val="22"/>
                <w:szCs w:val="22"/>
              </w:rPr>
              <w:t xml:space="preserve">the quantity of emulsion concentration (EC) of fertilizers, this is because some fertilizers are very concentrated and very toxic once mal-dozed. This is not promising to the local low trained users, in other words fertilizers should not be highly dozed complicated.  </w:t>
            </w: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Pr="00394FE1" w:rsidRDefault="00394FE1" w:rsidP="00394FE1">
            <w:pPr>
              <w:rPr>
                <w:rFonts w:ascii="Cambria" w:hAnsi="Cambria"/>
                <w:sz w:val="22"/>
                <w:szCs w:val="22"/>
              </w:rPr>
            </w:pPr>
          </w:p>
        </w:tc>
      </w:tr>
      <w:tr w:rsidR="00394FE1" w:rsidRPr="007E168B" w:rsidTr="00655546">
        <w:tc>
          <w:tcPr>
            <w:tcW w:w="9355" w:type="dxa"/>
          </w:tcPr>
          <w:p w:rsidR="00394FE1" w:rsidRPr="008129F0" w:rsidRDefault="00394FE1" w:rsidP="00394FE1">
            <w:pPr>
              <w:rPr>
                <w:rFonts w:ascii="Cambria" w:hAnsi="Cambria"/>
                <w:b/>
                <w:sz w:val="22"/>
                <w:szCs w:val="22"/>
              </w:rPr>
            </w:pPr>
            <w:r w:rsidRPr="008129F0">
              <w:rPr>
                <w:rFonts w:ascii="Cambria" w:hAnsi="Cambria"/>
                <w:b/>
                <w:sz w:val="22"/>
                <w:szCs w:val="22"/>
              </w:rPr>
              <w:t>Are there redundancies or unnecessary items or subjects within this Code of Conduct? If so, what are they?</w:t>
            </w:r>
          </w:p>
          <w:p w:rsidR="00394FE1" w:rsidRDefault="008129F0" w:rsidP="00394FE1">
            <w:pPr>
              <w:rPr>
                <w:rFonts w:ascii="Cambria" w:hAnsi="Cambria"/>
                <w:sz w:val="22"/>
                <w:szCs w:val="22"/>
              </w:rPr>
            </w:pPr>
            <w:r>
              <w:rPr>
                <w:rFonts w:ascii="Cambria" w:hAnsi="Cambria"/>
                <w:sz w:val="22"/>
                <w:szCs w:val="22"/>
              </w:rPr>
              <w:t xml:space="preserve">There are no very redundancies detected </w:t>
            </w:r>
            <w:proofErr w:type="spellStart"/>
            <w:r>
              <w:rPr>
                <w:rFonts w:ascii="Cambria" w:hAnsi="Cambria"/>
                <w:sz w:val="22"/>
                <w:szCs w:val="22"/>
              </w:rPr>
              <w:t>sofar</w:t>
            </w:r>
            <w:proofErr w:type="spellEnd"/>
            <w:r>
              <w:rPr>
                <w:rFonts w:ascii="Cambria" w:hAnsi="Cambria"/>
                <w:sz w:val="22"/>
                <w:szCs w:val="22"/>
              </w:rPr>
              <w:t>, it is helping to many extents and good</w:t>
            </w:r>
            <w:bookmarkStart w:id="0" w:name="_GoBack"/>
            <w:bookmarkEnd w:id="0"/>
            <w:r>
              <w:rPr>
                <w:rFonts w:ascii="Cambria" w:hAnsi="Cambria"/>
                <w:sz w:val="22"/>
                <w:szCs w:val="22"/>
              </w:rPr>
              <w:t xml:space="preserve"> </w:t>
            </w: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Pr="00394FE1" w:rsidRDefault="00394FE1" w:rsidP="00394FE1">
            <w:pPr>
              <w:rPr>
                <w:rFonts w:ascii="Cambria" w:hAnsi="Cambria"/>
                <w:sz w:val="22"/>
                <w:szCs w:val="22"/>
              </w:rPr>
            </w:pPr>
          </w:p>
        </w:tc>
      </w:tr>
      <w:tr w:rsidR="00394FE1" w:rsidRPr="007E168B" w:rsidTr="00655546">
        <w:tc>
          <w:tcPr>
            <w:tcW w:w="9355" w:type="dxa"/>
          </w:tcPr>
          <w:p w:rsidR="00394FE1" w:rsidRDefault="00394FE1" w:rsidP="00394FE1">
            <w:pPr>
              <w:rPr>
                <w:rFonts w:ascii="Cambria" w:hAnsi="Cambria"/>
                <w:sz w:val="22"/>
                <w:szCs w:val="22"/>
              </w:rPr>
            </w:pPr>
            <w:r w:rsidRPr="00394FE1">
              <w:rPr>
                <w:rFonts w:ascii="Cambria" w:hAnsi="Cambria"/>
                <w:sz w:val="22"/>
                <w:szCs w:val="22"/>
              </w:rPr>
              <w:lastRenderedPageBreak/>
              <w:t>Do you have any other suggestions or comments not covered in the above questions? If so, please elaborate.</w:t>
            </w: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Default="00394FE1" w:rsidP="00394FE1">
            <w:pPr>
              <w:rPr>
                <w:rFonts w:ascii="Cambria" w:hAnsi="Cambria"/>
                <w:sz w:val="22"/>
                <w:szCs w:val="22"/>
              </w:rPr>
            </w:pPr>
          </w:p>
          <w:p w:rsidR="00394FE1" w:rsidRPr="00394FE1" w:rsidRDefault="00394FE1" w:rsidP="00394FE1">
            <w:pPr>
              <w:rPr>
                <w:rFonts w:ascii="Cambria" w:hAnsi="Cambria"/>
                <w:sz w:val="22"/>
                <w:szCs w:val="22"/>
              </w:rPr>
            </w:pPr>
          </w:p>
        </w:tc>
      </w:tr>
    </w:tbl>
    <w:p w:rsidR="001D7215" w:rsidRDefault="001D7215" w:rsidP="001D7215">
      <w:pPr>
        <w:rPr>
          <w:rFonts w:asciiTheme="majorHAnsi" w:hAnsiTheme="majorHAnsi"/>
        </w:rPr>
      </w:pPr>
    </w:p>
    <w:sectPr w:rsidR="001D72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D5"/>
    <w:rsid w:val="000137D8"/>
    <w:rsid w:val="000431F1"/>
    <w:rsid w:val="000474D3"/>
    <w:rsid w:val="00051848"/>
    <w:rsid w:val="0008124A"/>
    <w:rsid w:val="000855BD"/>
    <w:rsid w:val="000C132E"/>
    <w:rsid w:val="000C3C57"/>
    <w:rsid w:val="000E1FAC"/>
    <w:rsid w:val="0010233C"/>
    <w:rsid w:val="00110816"/>
    <w:rsid w:val="00116D72"/>
    <w:rsid w:val="00125B9E"/>
    <w:rsid w:val="00136990"/>
    <w:rsid w:val="0014390A"/>
    <w:rsid w:val="00147212"/>
    <w:rsid w:val="001A0032"/>
    <w:rsid w:val="001A23C2"/>
    <w:rsid w:val="001A3219"/>
    <w:rsid w:val="001D0576"/>
    <w:rsid w:val="001D56E7"/>
    <w:rsid w:val="001D7215"/>
    <w:rsid w:val="001F09E8"/>
    <w:rsid w:val="001F0D7D"/>
    <w:rsid w:val="00203F7A"/>
    <w:rsid w:val="00216CF5"/>
    <w:rsid w:val="00237D37"/>
    <w:rsid w:val="00247ED8"/>
    <w:rsid w:val="00251BBD"/>
    <w:rsid w:val="00251E30"/>
    <w:rsid w:val="00283697"/>
    <w:rsid w:val="00291EA3"/>
    <w:rsid w:val="00293DD5"/>
    <w:rsid w:val="002956BD"/>
    <w:rsid w:val="002A1CFD"/>
    <w:rsid w:val="002D4184"/>
    <w:rsid w:val="002D7428"/>
    <w:rsid w:val="002E26F2"/>
    <w:rsid w:val="0030635D"/>
    <w:rsid w:val="0035467B"/>
    <w:rsid w:val="003900EB"/>
    <w:rsid w:val="0039362F"/>
    <w:rsid w:val="00394FE1"/>
    <w:rsid w:val="003B0BE4"/>
    <w:rsid w:val="003B6CD5"/>
    <w:rsid w:val="003B77D6"/>
    <w:rsid w:val="003C24BF"/>
    <w:rsid w:val="003D0A1C"/>
    <w:rsid w:val="003D3541"/>
    <w:rsid w:val="0041150E"/>
    <w:rsid w:val="0044091E"/>
    <w:rsid w:val="004424BD"/>
    <w:rsid w:val="004476C5"/>
    <w:rsid w:val="004576B8"/>
    <w:rsid w:val="00462655"/>
    <w:rsid w:val="004A1A44"/>
    <w:rsid w:val="004C23FC"/>
    <w:rsid w:val="004C2AE0"/>
    <w:rsid w:val="004F3355"/>
    <w:rsid w:val="00525080"/>
    <w:rsid w:val="00541510"/>
    <w:rsid w:val="00575559"/>
    <w:rsid w:val="00586982"/>
    <w:rsid w:val="00591C3B"/>
    <w:rsid w:val="00597A86"/>
    <w:rsid w:val="005B345B"/>
    <w:rsid w:val="005C07EA"/>
    <w:rsid w:val="005C7E05"/>
    <w:rsid w:val="005D7168"/>
    <w:rsid w:val="005D7269"/>
    <w:rsid w:val="005E0297"/>
    <w:rsid w:val="005E27EC"/>
    <w:rsid w:val="005E448F"/>
    <w:rsid w:val="005F0DF9"/>
    <w:rsid w:val="00636AC4"/>
    <w:rsid w:val="00660948"/>
    <w:rsid w:val="006926DC"/>
    <w:rsid w:val="006B0E96"/>
    <w:rsid w:val="006E4CCC"/>
    <w:rsid w:val="00746FE3"/>
    <w:rsid w:val="00750595"/>
    <w:rsid w:val="00757C8A"/>
    <w:rsid w:val="00792C49"/>
    <w:rsid w:val="007952C2"/>
    <w:rsid w:val="0079634F"/>
    <w:rsid w:val="007A5BC2"/>
    <w:rsid w:val="007E168B"/>
    <w:rsid w:val="00805515"/>
    <w:rsid w:val="00810848"/>
    <w:rsid w:val="008129F0"/>
    <w:rsid w:val="00820A76"/>
    <w:rsid w:val="00825232"/>
    <w:rsid w:val="00832FD8"/>
    <w:rsid w:val="00865EFE"/>
    <w:rsid w:val="0088142B"/>
    <w:rsid w:val="00886B00"/>
    <w:rsid w:val="008A1FD8"/>
    <w:rsid w:val="008C45F4"/>
    <w:rsid w:val="008C7CC8"/>
    <w:rsid w:val="008D6B0E"/>
    <w:rsid w:val="00904A60"/>
    <w:rsid w:val="009147B4"/>
    <w:rsid w:val="009512EC"/>
    <w:rsid w:val="00960184"/>
    <w:rsid w:val="00977389"/>
    <w:rsid w:val="009D7CED"/>
    <w:rsid w:val="009F0F2E"/>
    <w:rsid w:val="00A16528"/>
    <w:rsid w:val="00A46280"/>
    <w:rsid w:val="00A51542"/>
    <w:rsid w:val="00A540F5"/>
    <w:rsid w:val="00A60382"/>
    <w:rsid w:val="00A745D8"/>
    <w:rsid w:val="00A9503D"/>
    <w:rsid w:val="00AC6BA9"/>
    <w:rsid w:val="00AD55DF"/>
    <w:rsid w:val="00AD6455"/>
    <w:rsid w:val="00AD74A2"/>
    <w:rsid w:val="00AE68A9"/>
    <w:rsid w:val="00B076DF"/>
    <w:rsid w:val="00B538F2"/>
    <w:rsid w:val="00B54362"/>
    <w:rsid w:val="00B55C2D"/>
    <w:rsid w:val="00B56005"/>
    <w:rsid w:val="00B65F38"/>
    <w:rsid w:val="00B73FDA"/>
    <w:rsid w:val="00B80A55"/>
    <w:rsid w:val="00BB7322"/>
    <w:rsid w:val="00BE0830"/>
    <w:rsid w:val="00C02CC6"/>
    <w:rsid w:val="00C2588F"/>
    <w:rsid w:val="00C26A9F"/>
    <w:rsid w:val="00C32570"/>
    <w:rsid w:val="00C3502E"/>
    <w:rsid w:val="00C42D1D"/>
    <w:rsid w:val="00C54098"/>
    <w:rsid w:val="00C614FC"/>
    <w:rsid w:val="00C909AC"/>
    <w:rsid w:val="00CA5ED3"/>
    <w:rsid w:val="00CE0E6F"/>
    <w:rsid w:val="00D1299E"/>
    <w:rsid w:val="00D21F80"/>
    <w:rsid w:val="00D37858"/>
    <w:rsid w:val="00D42B12"/>
    <w:rsid w:val="00D86656"/>
    <w:rsid w:val="00D87137"/>
    <w:rsid w:val="00D907A2"/>
    <w:rsid w:val="00DA6BA3"/>
    <w:rsid w:val="00DC0CFA"/>
    <w:rsid w:val="00DE290E"/>
    <w:rsid w:val="00DF10A2"/>
    <w:rsid w:val="00DF3BC0"/>
    <w:rsid w:val="00DF7934"/>
    <w:rsid w:val="00E165C1"/>
    <w:rsid w:val="00E33F7F"/>
    <w:rsid w:val="00E54DE8"/>
    <w:rsid w:val="00E7003C"/>
    <w:rsid w:val="00E8326F"/>
    <w:rsid w:val="00E93CD6"/>
    <w:rsid w:val="00EA278F"/>
    <w:rsid w:val="00EA33E6"/>
    <w:rsid w:val="00EA455D"/>
    <w:rsid w:val="00EA5A91"/>
    <w:rsid w:val="00EB6E44"/>
    <w:rsid w:val="00EC0696"/>
    <w:rsid w:val="00F00F95"/>
    <w:rsid w:val="00F07C60"/>
    <w:rsid w:val="00F11244"/>
    <w:rsid w:val="00F41357"/>
    <w:rsid w:val="00F64974"/>
    <w:rsid w:val="00F70418"/>
    <w:rsid w:val="00F84CB3"/>
    <w:rsid w:val="00FA55F8"/>
    <w:rsid w:val="00FA5AAF"/>
    <w:rsid w:val="00FB6C5D"/>
    <w:rsid w:val="00FD5A52"/>
    <w:rsid w:val="00FE21AE"/>
    <w:rsid w:val="00FE381A"/>
    <w:rsid w:val="00FF022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215"/>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72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215"/>
    <w:pPr>
      <w:spacing w:after="0" w:line="240" w:lineRule="auto"/>
    </w:pPr>
    <w:rPr>
      <w:rFonts w:ascii="Calibri" w:eastAsia="Calibri" w:hAnsi="Calibri"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7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Valle, Valeria (ESA)</dc:creator>
  <cp:lastModifiedBy>Andrew</cp:lastModifiedBy>
  <cp:revision>2</cp:revision>
  <dcterms:created xsi:type="dcterms:W3CDTF">2018-06-29T12:02:00Z</dcterms:created>
  <dcterms:modified xsi:type="dcterms:W3CDTF">2018-06-29T12:02:00Z</dcterms:modified>
</cp:coreProperties>
</file>