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15" w:rsidRDefault="001D7215" w:rsidP="001D7215">
      <w:pPr>
        <w:spacing w:after="0" w:line="240" w:lineRule="auto"/>
        <w:jc w:val="right"/>
        <w:rPr>
          <w:rFonts w:ascii="Cambria" w:eastAsia="Times New Roman" w:hAnsi="Cambria" w:cs="Arial"/>
          <w:b/>
          <w:bCs/>
          <w:noProof/>
          <w:color w:val="E36C0A"/>
          <w:sz w:val="36"/>
          <w:szCs w:val="36"/>
        </w:rPr>
      </w:pPr>
      <w:r w:rsidRPr="001D7215">
        <w:rPr>
          <w:rFonts w:ascii="Cambria" w:eastAsia="Times New Roman" w:hAnsi="Cambria" w:cs="Times New Roman"/>
          <w:b/>
          <w:sz w:val="24"/>
          <w:lang w:val="en-US" w:eastAsia="en-US"/>
        </w:rPr>
        <w:t>15.06.2018 – 15.07.2018</w:t>
      </w:r>
    </w:p>
    <w:p w:rsidR="00DF7934" w:rsidRPr="00DF7934" w:rsidRDefault="00DF7934" w:rsidP="001D7215">
      <w:pPr>
        <w:spacing w:after="0" w:line="240" w:lineRule="auto"/>
        <w:jc w:val="both"/>
        <w:rPr>
          <w:rFonts w:ascii="Cambria" w:eastAsia="Times New Roman" w:hAnsi="Cambria" w:cs="Arial"/>
          <w:b/>
          <w:bCs/>
          <w:noProof/>
          <w:color w:val="E36C0A"/>
          <w:sz w:val="36"/>
          <w:szCs w:val="36"/>
        </w:rPr>
      </w:pPr>
      <w:r w:rsidRPr="00DF7934">
        <w:rPr>
          <w:rFonts w:ascii="Cambria" w:eastAsia="Times New Roman" w:hAnsi="Cambria" w:cs="Arial"/>
          <w:b/>
          <w:bCs/>
          <w:noProof/>
          <w:color w:val="E36C0A"/>
          <w:sz w:val="36"/>
          <w:szCs w:val="36"/>
        </w:rPr>
        <w:t>Online consultation for review and comments on the zero-draft International Code of Conduct for the Use and Management of Fertilizers.</w:t>
      </w:r>
    </w:p>
    <w:p w:rsidR="00E53EB5" w:rsidRDefault="00A80F34" w:rsidP="001D7215">
      <w:pPr>
        <w:spacing w:after="0"/>
      </w:pPr>
    </w:p>
    <w:p w:rsidR="001D7215" w:rsidRPr="007E168B" w:rsidRDefault="001D7215">
      <w:pPr>
        <w:rPr>
          <w:rFonts w:ascii="Cambria" w:eastAsia="Calibri" w:hAnsi="Cambria" w:cs="Times New Roman"/>
          <w:b/>
          <w:lang w:val="en-US" w:eastAsia="en-US"/>
        </w:rPr>
      </w:pPr>
      <w:r w:rsidRPr="007E168B">
        <w:rPr>
          <w:rFonts w:ascii="Cambria" w:eastAsia="Calibri" w:hAnsi="Cambria" w:cs="Times New Roman"/>
          <w:b/>
          <w:lang w:val="en-US" w:eastAsia="en-US"/>
        </w:rPr>
        <w:t xml:space="preserve">Please respond to the questions leaving your comments below: </w:t>
      </w:r>
    </w:p>
    <w:tbl>
      <w:tblPr>
        <w:tblStyle w:val="Tablaconcuadrcula"/>
        <w:tblW w:w="9355" w:type="dxa"/>
        <w:tblLook w:val="04A0"/>
      </w:tblPr>
      <w:tblGrid>
        <w:gridCol w:w="9355"/>
      </w:tblGrid>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t>Question</w:t>
            </w: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t>Is an International Code of Conduct for the Use and Management of Fertilizers beneficial and useful? To whom, and why?</w:t>
            </w:r>
          </w:p>
          <w:p w:rsidR="009371FF" w:rsidRDefault="009371FF" w:rsidP="00394FE1">
            <w:pPr>
              <w:rPr>
                <w:rFonts w:ascii="Cambria" w:hAnsi="Cambria"/>
                <w:sz w:val="22"/>
                <w:szCs w:val="22"/>
              </w:rPr>
            </w:pPr>
            <w:r>
              <w:rPr>
                <w:rFonts w:ascii="Cambria" w:hAnsi="Cambria"/>
                <w:sz w:val="22"/>
                <w:szCs w:val="22"/>
              </w:rPr>
              <w:t>Yes, it provides the reference for sustainable use and management of fertilizers from a SDGs/FAO point of view.</w:t>
            </w:r>
          </w:p>
          <w:p w:rsidR="00394FE1" w:rsidRDefault="009371FF" w:rsidP="00394FE1">
            <w:pPr>
              <w:rPr>
                <w:rFonts w:ascii="Cambria" w:hAnsi="Cambria"/>
                <w:sz w:val="22"/>
                <w:szCs w:val="22"/>
              </w:rPr>
            </w:pPr>
            <w:r>
              <w:rPr>
                <w:rFonts w:ascii="Cambria" w:hAnsi="Cambria"/>
                <w:sz w:val="22"/>
                <w:szCs w:val="22"/>
              </w:rPr>
              <w:t xml:space="preserve">The benefit will have to be for the general society and environment. </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t>Does this Fertilizer Code of Conduct address all aspects necessary to ensure the responsible use of fertilizers, optimizing benefits while minimizing risks?</w:t>
            </w:r>
          </w:p>
          <w:p w:rsidR="00394FE1" w:rsidRDefault="00394FE1" w:rsidP="00394FE1">
            <w:pPr>
              <w:rPr>
                <w:rFonts w:ascii="Cambria" w:hAnsi="Cambria"/>
                <w:sz w:val="22"/>
                <w:szCs w:val="22"/>
              </w:rPr>
            </w:pPr>
          </w:p>
          <w:p w:rsidR="00394FE1" w:rsidRDefault="00A80F34" w:rsidP="00394FE1">
            <w:pPr>
              <w:rPr>
                <w:rFonts w:ascii="Cambria" w:hAnsi="Cambria"/>
                <w:sz w:val="22"/>
                <w:szCs w:val="22"/>
              </w:rPr>
            </w:pPr>
            <w:r>
              <w:rPr>
                <w:rFonts w:ascii="Cambria" w:hAnsi="Cambria"/>
                <w:sz w:val="22"/>
                <w:szCs w:val="22"/>
              </w:rPr>
              <w:t>No</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t>Are there any topics or subject matter missing from this Fertilizer Code of Conduct? If so, what are they?</w:t>
            </w:r>
          </w:p>
          <w:p w:rsidR="00394FE1" w:rsidRDefault="00A80F34" w:rsidP="00394FE1">
            <w:pPr>
              <w:rPr>
                <w:rFonts w:ascii="Cambria" w:hAnsi="Cambria"/>
                <w:sz w:val="22"/>
                <w:szCs w:val="22"/>
              </w:rPr>
            </w:pPr>
            <w:r w:rsidRPr="00A80F34">
              <w:rPr>
                <w:rFonts w:ascii="Cambria" w:hAnsi="Cambria"/>
                <w:sz w:val="22"/>
                <w:szCs w:val="22"/>
              </w:rPr>
              <w:t xml:space="preserve">The 3 main critics would be: 1- I have noticed there is no mention or recognition of use of fertilizers for nutrient build up at soil level, many regions in the world and specially in Argentina the shortage of use of mostly P fertilizers has depleted P levels at soils at very dramatic low levels, so the good practice there would be a fertility plan that would allow the soil to replenish that. 2- Also there is no mention of fertilizer/nutrient application at seed, which is in fact a growing practice. 3- No to consider Fertilizer blending: For physical blends such as </w:t>
            </w:r>
            <w:proofErr w:type="spellStart"/>
            <w:r w:rsidRPr="00A80F34">
              <w:rPr>
                <w:rFonts w:ascii="Cambria" w:hAnsi="Cambria"/>
                <w:sz w:val="22"/>
                <w:szCs w:val="22"/>
              </w:rPr>
              <w:t>Urea+MAP</w:t>
            </w:r>
            <w:proofErr w:type="spellEnd"/>
            <w:r w:rsidRPr="00A80F34">
              <w:rPr>
                <w:rFonts w:ascii="Cambria" w:hAnsi="Cambria"/>
                <w:sz w:val="22"/>
                <w:szCs w:val="22"/>
              </w:rPr>
              <w:t xml:space="preserve"> or others, parameters might be considered in order to guarantee a good fertilizer performance, such as appropriate fertilizer average size, dust and humidity content. Otherwise the blend might segregate at farm and excess and/or lack of certain nutrient will occur. This is not mentioned in the document and in Argentina for example does not work </w:t>
            </w:r>
            <w:proofErr w:type="gramStart"/>
            <w:r w:rsidRPr="00A80F34">
              <w:rPr>
                <w:rFonts w:ascii="Cambria" w:hAnsi="Cambria"/>
                <w:sz w:val="22"/>
                <w:szCs w:val="22"/>
              </w:rPr>
              <w:t>good</w:t>
            </w:r>
            <w:proofErr w:type="gramEnd"/>
            <w:r w:rsidRPr="00A80F34">
              <w:rPr>
                <w:rFonts w:ascii="Cambria" w:hAnsi="Cambria"/>
                <w:sz w:val="22"/>
                <w:szCs w:val="22"/>
              </w:rPr>
              <w:t>. </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t>Are there redundancies or unnecessary items or subjects within this Code of Conduct? If so, what are they?</w:t>
            </w:r>
          </w:p>
          <w:p w:rsidR="00394FE1" w:rsidRDefault="00A80F34" w:rsidP="00394FE1">
            <w:pPr>
              <w:rPr>
                <w:rFonts w:ascii="Cambria" w:hAnsi="Cambria"/>
                <w:sz w:val="22"/>
                <w:szCs w:val="22"/>
              </w:rPr>
            </w:pPr>
            <w:r>
              <w:rPr>
                <w:rFonts w:ascii="Cambria" w:hAnsi="Cambria"/>
                <w:sz w:val="22"/>
                <w:szCs w:val="22"/>
              </w:rPr>
              <w:t>No</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lastRenderedPageBreak/>
              <w:t>Do you have any other suggestions or comments not covered in the above questions? If so, please elaborate.</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bookmarkStart w:id="0" w:name="_GoBack"/>
            <w:bookmarkEnd w:id="0"/>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bl>
    <w:p w:rsidR="001D7215" w:rsidRDefault="001D7215" w:rsidP="001D7215">
      <w:pPr>
        <w:rPr>
          <w:rFonts w:asciiTheme="majorHAnsi" w:hAnsiTheme="majorHAnsi"/>
        </w:rPr>
      </w:pPr>
    </w:p>
    <w:sectPr w:rsidR="001D7215" w:rsidSect="00D002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293DD5"/>
    <w:rsid w:val="000137D8"/>
    <w:rsid w:val="000431F1"/>
    <w:rsid w:val="000474D3"/>
    <w:rsid w:val="00051848"/>
    <w:rsid w:val="0008124A"/>
    <w:rsid w:val="000855BD"/>
    <w:rsid w:val="000C132E"/>
    <w:rsid w:val="000C3C57"/>
    <w:rsid w:val="000E1FAC"/>
    <w:rsid w:val="0010233C"/>
    <w:rsid w:val="00110816"/>
    <w:rsid w:val="00116D72"/>
    <w:rsid w:val="00125B9E"/>
    <w:rsid w:val="00136990"/>
    <w:rsid w:val="0014390A"/>
    <w:rsid w:val="00147212"/>
    <w:rsid w:val="001A0032"/>
    <w:rsid w:val="001A23C2"/>
    <w:rsid w:val="001A3219"/>
    <w:rsid w:val="001D0576"/>
    <w:rsid w:val="001D56E7"/>
    <w:rsid w:val="001D7215"/>
    <w:rsid w:val="001F09E8"/>
    <w:rsid w:val="001F0D7D"/>
    <w:rsid w:val="00203F7A"/>
    <w:rsid w:val="00216CF5"/>
    <w:rsid w:val="00237D37"/>
    <w:rsid w:val="00247ED8"/>
    <w:rsid w:val="00251BBD"/>
    <w:rsid w:val="00251E30"/>
    <w:rsid w:val="00283697"/>
    <w:rsid w:val="00291EA3"/>
    <w:rsid w:val="00293DD5"/>
    <w:rsid w:val="002956BD"/>
    <w:rsid w:val="002A1CFD"/>
    <w:rsid w:val="002D4184"/>
    <w:rsid w:val="002D7428"/>
    <w:rsid w:val="002E26F2"/>
    <w:rsid w:val="0030635D"/>
    <w:rsid w:val="0035467B"/>
    <w:rsid w:val="003900EB"/>
    <w:rsid w:val="0039362F"/>
    <w:rsid w:val="00394FE1"/>
    <w:rsid w:val="003B0BE4"/>
    <w:rsid w:val="003B6CD5"/>
    <w:rsid w:val="003B77D6"/>
    <w:rsid w:val="003C24BF"/>
    <w:rsid w:val="003D0A1C"/>
    <w:rsid w:val="003D3541"/>
    <w:rsid w:val="0041150E"/>
    <w:rsid w:val="0044091E"/>
    <w:rsid w:val="004424BD"/>
    <w:rsid w:val="004476C5"/>
    <w:rsid w:val="004576B8"/>
    <w:rsid w:val="00462655"/>
    <w:rsid w:val="004A1A44"/>
    <w:rsid w:val="004C23FC"/>
    <w:rsid w:val="004C2AE0"/>
    <w:rsid w:val="004F3355"/>
    <w:rsid w:val="00525080"/>
    <w:rsid w:val="00541510"/>
    <w:rsid w:val="00575559"/>
    <w:rsid w:val="00586982"/>
    <w:rsid w:val="00591C3B"/>
    <w:rsid w:val="00597A86"/>
    <w:rsid w:val="005B345B"/>
    <w:rsid w:val="005C07EA"/>
    <w:rsid w:val="005C7E05"/>
    <w:rsid w:val="005D7168"/>
    <w:rsid w:val="005D7269"/>
    <w:rsid w:val="005E0297"/>
    <w:rsid w:val="005E27EC"/>
    <w:rsid w:val="005E448F"/>
    <w:rsid w:val="005F0DF9"/>
    <w:rsid w:val="00636AC4"/>
    <w:rsid w:val="00660948"/>
    <w:rsid w:val="006926DC"/>
    <w:rsid w:val="006B0E96"/>
    <w:rsid w:val="006E4CCC"/>
    <w:rsid w:val="00746FE3"/>
    <w:rsid w:val="00750595"/>
    <w:rsid w:val="00757C8A"/>
    <w:rsid w:val="00792C49"/>
    <w:rsid w:val="007952C2"/>
    <w:rsid w:val="0079634F"/>
    <w:rsid w:val="007A5BC2"/>
    <w:rsid w:val="007E168B"/>
    <w:rsid w:val="00805515"/>
    <w:rsid w:val="00810848"/>
    <w:rsid w:val="00820A76"/>
    <w:rsid w:val="00825232"/>
    <w:rsid w:val="00832FD8"/>
    <w:rsid w:val="00865EFE"/>
    <w:rsid w:val="0088142B"/>
    <w:rsid w:val="00886B00"/>
    <w:rsid w:val="008A1FD8"/>
    <w:rsid w:val="008C45F4"/>
    <w:rsid w:val="008C7CC8"/>
    <w:rsid w:val="008D6B0E"/>
    <w:rsid w:val="00904A60"/>
    <w:rsid w:val="009147B4"/>
    <w:rsid w:val="009371FF"/>
    <w:rsid w:val="009512EC"/>
    <w:rsid w:val="00960184"/>
    <w:rsid w:val="00977389"/>
    <w:rsid w:val="009D7CED"/>
    <w:rsid w:val="009F0F2E"/>
    <w:rsid w:val="00A16528"/>
    <w:rsid w:val="00A46280"/>
    <w:rsid w:val="00A51542"/>
    <w:rsid w:val="00A540F5"/>
    <w:rsid w:val="00A60382"/>
    <w:rsid w:val="00A745D8"/>
    <w:rsid w:val="00A80F34"/>
    <w:rsid w:val="00A9503D"/>
    <w:rsid w:val="00AC6BA9"/>
    <w:rsid w:val="00AD55DF"/>
    <w:rsid w:val="00AD6455"/>
    <w:rsid w:val="00AD74A2"/>
    <w:rsid w:val="00AE68A9"/>
    <w:rsid w:val="00B076DF"/>
    <w:rsid w:val="00B538F2"/>
    <w:rsid w:val="00B54362"/>
    <w:rsid w:val="00B55C2D"/>
    <w:rsid w:val="00B56005"/>
    <w:rsid w:val="00B65F38"/>
    <w:rsid w:val="00B73FDA"/>
    <w:rsid w:val="00B80A55"/>
    <w:rsid w:val="00BB7322"/>
    <w:rsid w:val="00BE0830"/>
    <w:rsid w:val="00C02CC6"/>
    <w:rsid w:val="00C2588F"/>
    <w:rsid w:val="00C26A9F"/>
    <w:rsid w:val="00C32570"/>
    <w:rsid w:val="00C3502E"/>
    <w:rsid w:val="00C42D1D"/>
    <w:rsid w:val="00C54098"/>
    <w:rsid w:val="00C614FC"/>
    <w:rsid w:val="00C909AC"/>
    <w:rsid w:val="00CA5ED3"/>
    <w:rsid w:val="00CE0E6F"/>
    <w:rsid w:val="00D00244"/>
    <w:rsid w:val="00D1299E"/>
    <w:rsid w:val="00D21F80"/>
    <w:rsid w:val="00D37858"/>
    <w:rsid w:val="00D42B12"/>
    <w:rsid w:val="00D86656"/>
    <w:rsid w:val="00D87137"/>
    <w:rsid w:val="00D907A2"/>
    <w:rsid w:val="00DC0CFA"/>
    <w:rsid w:val="00DE290E"/>
    <w:rsid w:val="00DF10A2"/>
    <w:rsid w:val="00DF3BC0"/>
    <w:rsid w:val="00DF7934"/>
    <w:rsid w:val="00E165C1"/>
    <w:rsid w:val="00E33F7F"/>
    <w:rsid w:val="00E54DE8"/>
    <w:rsid w:val="00E7003C"/>
    <w:rsid w:val="00E8326F"/>
    <w:rsid w:val="00E93CD6"/>
    <w:rsid w:val="00EA278F"/>
    <w:rsid w:val="00EA33E6"/>
    <w:rsid w:val="00EA455D"/>
    <w:rsid w:val="00EA5A91"/>
    <w:rsid w:val="00EB6E44"/>
    <w:rsid w:val="00EC0696"/>
    <w:rsid w:val="00F00F95"/>
    <w:rsid w:val="00F07C60"/>
    <w:rsid w:val="00F11244"/>
    <w:rsid w:val="00F41357"/>
    <w:rsid w:val="00F64974"/>
    <w:rsid w:val="00F70418"/>
    <w:rsid w:val="00F84CB3"/>
    <w:rsid w:val="00FA55F8"/>
    <w:rsid w:val="00FA5AAF"/>
    <w:rsid w:val="00FB6C5D"/>
    <w:rsid w:val="00FD5A52"/>
    <w:rsid w:val="00FE21AE"/>
    <w:rsid w:val="00FE381A"/>
    <w:rsid w:val="00FF02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7215"/>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7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FAO of the UN</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Valeria (ESA)</dc:creator>
  <cp:lastModifiedBy>Nocelli</cp:lastModifiedBy>
  <cp:revision>2</cp:revision>
  <dcterms:created xsi:type="dcterms:W3CDTF">2018-07-14T14:13:00Z</dcterms:created>
  <dcterms:modified xsi:type="dcterms:W3CDTF">2018-07-14T14:13:00Z</dcterms:modified>
</cp:coreProperties>
</file>