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16A" w:rsidRDefault="0096416A" w:rsidP="0096416A">
      <w:pPr>
        <w:pStyle w:val="NoSpacing"/>
        <w:jc w:val="center"/>
        <w:rPr>
          <w:rFonts w:ascii="Museo Sans 500" w:hAnsi="Museo Sans 500"/>
          <w:b/>
          <w:color w:val="4F81BD" w:themeColor="accent1"/>
        </w:rPr>
      </w:pPr>
      <w:r>
        <w:rPr>
          <w:noProof/>
        </w:rPr>
        <w:drawing>
          <wp:inline distT="0" distB="0" distL="0" distR="0" wp14:anchorId="47E99FCC" wp14:editId="68A425CE">
            <wp:extent cx="2090174" cy="731520"/>
            <wp:effectExtent l="0" t="0" r="5715" b="0"/>
            <wp:docPr id="1" name="Picture 1" descr="C:\Users\ewesserle\AppData\Local\Microsoft\Windows\Temporary Internet Files\Content.Word\GRI Logo 2009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esserle\AppData\Local\Microsoft\Windows\Temporary Internet Files\Content.Word\GRI Logo 2009 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0174" cy="731520"/>
                    </a:xfrm>
                    <a:prstGeom prst="rect">
                      <a:avLst/>
                    </a:prstGeom>
                    <a:noFill/>
                    <a:ln>
                      <a:noFill/>
                    </a:ln>
                  </pic:spPr>
                </pic:pic>
              </a:graphicData>
            </a:graphic>
          </wp:inline>
        </w:drawing>
      </w:r>
      <w:r w:rsidR="00E91666">
        <w:rPr>
          <w:rFonts w:ascii="Museo Sans 500" w:hAnsi="Museo Sans 500"/>
          <w:b/>
          <w:color w:val="4F81BD" w:themeColor="accent1"/>
        </w:rPr>
        <w:t xml:space="preserve">  </w:t>
      </w:r>
      <w:r w:rsidR="00481899">
        <w:rPr>
          <w:noProof/>
        </w:rPr>
        <w:drawing>
          <wp:inline distT="0" distB="0" distL="0" distR="0" wp14:anchorId="2AAC44DA" wp14:editId="2DDA27E1">
            <wp:extent cx="2150453" cy="731520"/>
            <wp:effectExtent l="0" t="0" r="2540" b="0"/>
            <wp:docPr id="2" name="Picture 2" descr="C:\Users\ewesserle\AppData\Local\Microsoft\Windows\Temporary Internet Files\Content.Word\IDEX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wesserle\AppData\Local\Microsoft\Windows\Temporary Internet Files\Content.Word\IDEXLog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0453" cy="731520"/>
                    </a:xfrm>
                    <a:prstGeom prst="rect">
                      <a:avLst/>
                    </a:prstGeom>
                    <a:noFill/>
                    <a:ln>
                      <a:noFill/>
                    </a:ln>
                  </pic:spPr>
                </pic:pic>
              </a:graphicData>
            </a:graphic>
          </wp:inline>
        </w:drawing>
      </w:r>
    </w:p>
    <w:p w:rsidR="0096416A" w:rsidRPr="0096416A" w:rsidRDefault="0096416A" w:rsidP="0096416A">
      <w:pPr>
        <w:pStyle w:val="NoSpacing"/>
        <w:jc w:val="center"/>
        <w:rPr>
          <w:rFonts w:ascii="Museo Sans 500" w:hAnsi="Museo Sans 500"/>
          <w:b/>
          <w:color w:val="4F81BD" w:themeColor="accent1"/>
          <w:sz w:val="8"/>
          <w:szCs w:val="8"/>
        </w:rPr>
      </w:pPr>
    </w:p>
    <w:p w:rsidR="00481899" w:rsidRDefault="00481899" w:rsidP="0096416A">
      <w:pPr>
        <w:pStyle w:val="NoSpacing"/>
        <w:jc w:val="center"/>
        <w:rPr>
          <w:rFonts w:ascii="Museo Sans 500" w:hAnsi="Museo Sans 500"/>
          <w:b/>
          <w:color w:val="4F81BD" w:themeColor="accent1"/>
        </w:rPr>
      </w:pPr>
      <w:r>
        <w:rPr>
          <w:noProof/>
        </w:rPr>
        <w:drawing>
          <wp:inline distT="0" distB="0" distL="0" distR="0" wp14:anchorId="25389D8F" wp14:editId="080140FB">
            <wp:extent cx="3905920" cy="640080"/>
            <wp:effectExtent l="0" t="0" r="0" b="7620"/>
            <wp:docPr id="3" name="Picture 3" descr="http://lists.iatp.org/intranet/comm/logos/iatp_color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sts.iatp.org/intranet/comm/logos/iatp_color_whit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920" cy="640080"/>
                    </a:xfrm>
                    <a:prstGeom prst="rect">
                      <a:avLst/>
                    </a:prstGeom>
                    <a:noFill/>
                    <a:ln>
                      <a:noFill/>
                    </a:ln>
                  </pic:spPr>
                </pic:pic>
              </a:graphicData>
            </a:graphic>
          </wp:inline>
        </w:drawing>
      </w:r>
    </w:p>
    <w:p w:rsidR="00481899" w:rsidRDefault="00481899" w:rsidP="00D751E5">
      <w:pPr>
        <w:pStyle w:val="NoSpacing"/>
        <w:rPr>
          <w:rFonts w:ascii="Museo Sans 500" w:hAnsi="Museo Sans 500"/>
          <w:b/>
          <w:color w:val="4F81BD" w:themeColor="accent1"/>
        </w:rPr>
      </w:pPr>
    </w:p>
    <w:p w:rsidR="009A7085" w:rsidRPr="00481899" w:rsidRDefault="009A7085" w:rsidP="00D751E5">
      <w:pPr>
        <w:pStyle w:val="NoSpacing"/>
        <w:rPr>
          <w:rFonts w:ascii="Museo Sans 500" w:hAnsi="Museo Sans 500"/>
          <w:b/>
        </w:rPr>
      </w:pPr>
      <w:r w:rsidRPr="00481899">
        <w:rPr>
          <w:rFonts w:ascii="Museo Sans 500" w:hAnsi="Museo Sans 500"/>
          <w:b/>
        </w:rPr>
        <w:t xml:space="preserve">Comments by </w:t>
      </w:r>
      <w:r w:rsidR="007C75A8" w:rsidRPr="00481899">
        <w:rPr>
          <w:rFonts w:ascii="Museo Sans 500" w:hAnsi="Museo Sans 500"/>
          <w:b/>
        </w:rPr>
        <w:t xml:space="preserve">the </w:t>
      </w:r>
      <w:r w:rsidRPr="00481899">
        <w:rPr>
          <w:rFonts w:ascii="Museo Sans 500" w:hAnsi="Museo Sans 500"/>
          <w:b/>
        </w:rPr>
        <w:t>Institute for Agriculture and Trade Policy</w:t>
      </w:r>
      <w:r w:rsidR="007C75A8" w:rsidRPr="00481899">
        <w:rPr>
          <w:rFonts w:ascii="Museo Sans 500" w:hAnsi="Museo Sans 500"/>
          <w:b/>
        </w:rPr>
        <w:t xml:space="preserve">, </w:t>
      </w:r>
      <w:r w:rsidRPr="00481899">
        <w:rPr>
          <w:rFonts w:ascii="Museo Sans 500" w:hAnsi="Museo Sans 500"/>
          <w:b/>
        </w:rPr>
        <w:t>Grassroots International</w:t>
      </w:r>
      <w:r w:rsidR="007C75A8" w:rsidRPr="00481899">
        <w:rPr>
          <w:rFonts w:ascii="Museo Sans 500" w:hAnsi="Museo Sans 500"/>
          <w:b/>
        </w:rPr>
        <w:t xml:space="preserve"> and International Development Exchange</w:t>
      </w:r>
      <w:r w:rsidRPr="00481899">
        <w:rPr>
          <w:rFonts w:ascii="Museo Sans 500" w:hAnsi="Museo Sans 500"/>
          <w:b/>
        </w:rPr>
        <w:t xml:space="preserve"> </w:t>
      </w:r>
      <w:r w:rsidR="00280962" w:rsidRPr="00481899">
        <w:rPr>
          <w:rFonts w:ascii="Museo Sans 500" w:hAnsi="Museo Sans 500"/>
          <w:b/>
        </w:rPr>
        <w:t xml:space="preserve">(IDEX) </w:t>
      </w:r>
      <w:r w:rsidRPr="00481899">
        <w:rPr>
          <w:rFonts w:ascii="Museo Sans 500" w:hAnsi="Museo Sans 500"/>
          <w:b/>
        </w:rPr>
        <w:t>for the HLPE consultation on the V0 draft of the Report: Investing in smallholder agriculture for food and nutrition security</w:t>
      </w:r>
    </w:p>
    <w:p w:rsidR="009A7085" w:rsidRPr="00427CDC" w:rsidRDefault="009A7085" w:rsidP="00D751E5">
      <w:pPr>
        <w:spacing w:after="0" w:line="240" w:lineRule="auto"/>
        <w:rPr>
          <w:rFonts w:ascii="Mokka" w:hAnsi="Mokka"/>
        </w:rPr>
      </w:pPr>
    </w:p>
    <w:p w:rsidR="00533201" w:rsidRPr="00427CDC" w:rsidRDefault="00691051" w:rsidP="00D751E5">
      <w:pPr>
        <w:spacing w:after="0" w:line="240" w:lineRule="auto"/>
        <w:rPr>
          <w:rFonts w:ascii="Mokka" w:hAnsi="Mokka"/>
        </w:rPr>
      </w:pPr>
      <w:r w:rsidRPr="00427CDC">
        <w:rPr>
          <w:rFonts w:ascii="Mokka" w:hAnsi="Mokka"/>
        </w:rPr>
        <w:t>Thank you for giving us the opportunity to provide input into the zero draft.</w:t>
      </w:r>
      <w:r w:rsidR="003D0B4F">
        <w:rPr>
          <w:rFonts w:ascii="Mokka" w:hAnsi="Mokka"/>
        </w:rPr>
        <w:t xml:space="preserve"> </w:t>
      </w:r>
      <w:r w:rsidRPr="00427CDC">
        <w:rPr>
          <w:rFonts w:ascii="Mokka" w:hAnsi="Mokka"/>
        </w:rPr>
        <w:t xml:space="preserve">We congratulate the HLPE and the project team in undertaking this study at a </w:t>
      </w:r>
      <w:r w:rsidR="00114DF9" w:rsidRPr="00427CDC">
        <w:rPr>
          <w:rFonts w:ascii="Mokka" w:hAnsi="Mokka"/>
        </w:rPr>
        <w:t>critical time.</w:t>
      </w:r>
      <w:r w:rsidR="003D0B4F">
        <w:rPr>
          <w:rFonts w:ascii="Mokka" w:hAnsi="Mokka"/>
        </w:rPr>
        <w:t xml:space="preserve"> </w:t>
      </w:r>
      <w:r w:rsidR="00533201" w:rsidRPr="00427CDC">
        <w:rPr>
          <w:rFonts w:ascii="Mokka" w:hAnsi="Mokka"/>
        </w:rPr>
        <w:t>High and volat</w:t>
      </w:r>
      <w:r w:rsidR="00114DF9" w:rsidRPr="00427CDC">
        <w:rPr>
          <w:rFonts w:ascii="Mokka" w:hAnsi="Mokka"/>
        </w:rPr>
        <w:t xml:space="preserve">ile food prices, climate change and increasing financialization of agriculture and agricultural </w:t>
      </w:r>
      <w:r w:rsidR="00533201" w:rsidRPr="00427CDC">
        <w:rPr>
          <w:rFonts w:ascii="Mokka" w:hAnsi="Mokka"/>
        </w:rPr>
        <w:t>land</w:t>
      </w:r>
      <w:r w:rsidR="00114DF9" w:rsidRPr="00427CDC">
        <w:rPr>
          <w:rFonts w:ascii="Mokka" w:hAnsi="Mokka"/>
        </w:rPr>
        <w:t xml:space="preserve"> make this </w:t>
      </w:r>
      <w:r w:rsidR="00244085" w:rsidRPr="00427CDC">
        <w:rPr>
          <w:rFonts w:ascii="Mokka" w:hAnsi="Mokka"/>
        </w:rPr>
        <w:t>a crucial endeavor</w:t>
      </w:r>
      <w:r w:rsidR="00114DF9" w:rsidRPr="00427CDC">
        <w:rPr>
          <w:rFonts w:ascii="Mokka" w:hAnsi="Mokka"/>
        </w:rPr>
        <w:t>.</w:t>
      </w:r>
      <w:r w:rsidR="00E91666">
        <w:rPr>
          <w:rFonts w:ascii="Mokka" w:hAnsi="Mokka"/>
        </w:rPr>
        <w:t xml:space="preserve"> </w:t>
      </w:r>
    </w:p>
    <w:p w:rsidR="00C570C0" w:rsidRDefault="00C570C0" w:rsidP="00D751E5">
      <w:pPr>
        <w:spacing w:after="0" w:line="240" w:lineRule="auto"/>
        <w:rPr>
          <w:rFonts w:ascii="Mokka" w:hAnsi="Mokka"/>
        </w:rPr>
      </w:pPr>
    </w:p>
    <w:p w:rsidR="00B200DE" w:rsidRDefault="00114DF9" w:rsidP="00D751E5">
      <w:pPr>
        <w:spacing w:after="0" w:line="240" w:lineRule="auto"/>
        <w:rPr>
          <w:rFonts w:ascii="Mokka" w:hAnsi="Mokka"/>
        </w:rPr>
      </w:pPr>
      <w:r w:rsidRPr="00427CDC">
        <w:rPr>
          <w:rFonts w:ascii="Mokka" w:hAnsi="Mokka"/>
        </w:rPr>
        <w:t xml:space="preserve">We hope this report will build on the </w:t>
      </w:r>
      <w:r w:rsidR="006512A6" w:rsidRPr="00427CDC">
        <w:rPr>
          <w:rFonts w:ascii="Mokka" w:hAnsi="Mokka"/>
        </w:rPr>
        <w:t xml:space="preserve">work </w:t>
      </w:r>
      <w:r w:rsidR="00B954F9" w:rsidRPr="00427CDC">
        <w:rPr>
          <w:rFonts w:ascii="Mokka" w:hAnsi="Mokka"/>
        </w:rPr>
        <w:t xml:space="preserve">the HLPE </w:t>
      </w:r>
      <w:r w:rsidRPr="00427CDC">
        <w:rPr>
          <w:rFonts w:ascii="Mokka" w:hAnsi="Mokka"/>
        </w:rPr>
        <w:t>has already done on food price volatility, land tenure</w:t>
      </w:r>
      <w:r w:rsidR="00C570C0">
        <w:rPr>
          <w:rFonts w:ascii="Mokka" w:hAnsi="Mokka"/>
        </w:rPr>
        <w:t>,</w:t>
      </w:r>
      <w:r w:rsidRPr="00427CDC">
        <w:rPr>
          <w:rFonts w:ascii="Mokka" w:hAnsi="Mokka"/>
        </w:rPr>
        <w:t xml:space="preserve"> international investments,</w:t>
      </w:r>
      <w:r w:rsidR="00C570C0">
        <w:rPr>
          <w:rFonts w:ascii="Mokka" w:hAnsi="Mokka"/>
        </w:rPr>
        <w:t xml:space="preserve"> and</w:t>
      </w:r>
      <w:r w:rsidRPr="00427CDC">
        <w:rPr>
          <w:rFonts w:ascii="Mokka" w:hAnsi="Mokka"/>
        </w:rPr>
        <w:t xml:space="preserve"> social protection for food security</w:t>
      </w:r>
      <w:r w:rsidR="00C570C0">
        <w:rPr>
          <w:rFonts w:ascii="Mokka" w:hAnsi="Mokka"/>
        </w:rPr>
        <w:t>,</w:t>
      </w:r>
      <w:r w:rsidRPr="00427CDC">
        <w:rPr>
          <w:rFonts w:ascii="Mokka" w:hAnsi="Mokka"/>
        </w:rPr>
        <w:t xml:space="preserve"> as they are all relevant to constraints facing smallholder agriculture investment.</w:t>
      </w:r>
      <w:r w:rsidR="003D0B4F">
        <w:rPr>
          <w:rFonts w:ascii="Mokka" w:hAnsi="Mokka"/>
        </w:rPr>
        <w:t xml:space="preserve"> </w:t>
      </w:r>
      <w:r w:rsidRPr="00427CDC">
        <w:rPr>
          <w:rFonts w:ascii="Mokka" w:hAnsi="Mokka"/>
        </w:rPr>
        <w:t xml:space="preserve">The CFS’s </w:t>
      </w:r>
      <w:hyperlink r:id="rId12" w:history="1">
        <w:r w:rsidRPr="00427CDC">
          <w:rPr>
            <w:rStyle w:val="Hyperlink"/>
            <w:rFonts w:ascii="Mokka" w:hAnsi="Mokka"/>
          </w:rPr>
          <w:t xml:space="preserve">approved Voluntary Guidelines </w:t>
        </w:r>
        <w:r w:rsidR="00B200DE" w:rsidRPr="00427CDC">
          <w:rPr>
            <w:rStyle w:val="Hyperlink"/>
            <w:rFonts w:ascii="Mokka" w:hAnsi="Mokka"/>
          </w:rPr>
          <w:t>on Responsible Tenure</w:t>
        </w:r>
      </w:hyperlink>
      <w:r w:rsidR="00B200DE" w:rsidRPr="00427CDC">
        <w:rPr>
          <w:rFonts w:ascii="Mokka" w:hAnsi="Mokka"/>
        </w:rPr>
        <w:t xml:space="preserve">, the </w:t>
      </w:r>
      <w:hyperlink r:id="rId13" w:history="1">
        <w:r w:rsidR="00B200DE" w:rsidRPr="00427CDC">
          <w:rPr>
            <w:rStyle w:val="Hyperlink"/>
            <w:rFonts w:ascii="Mokka" w:hAnsi="Mokka"/>
          </w:rPr>
          <w:t>Voluntary Guidelines on the Right to Food</w:t>
        </w:r>
      </w:hyperlink>
      <w:r w:rsidR="00B200DE" w:rsidRPr="00427CDC">
        <w:rPr>
          <w:rFonts w:ascii="Mokka" w:hAnsi="Mokka"/>
        </w:rPr>
        <w:t xml:space="preserve"> as well as the </w:t>
      </w:r>
      <w:hyperlink r:id="rId14" w:history="1">
        <w:r w:rsidR="00B200DE" w:rsidRPr="00427CDC">
          <w:rPr>
            <w:rStyle w:val="Hyperlink"/>
            <w:rFonts w:ascii="Mokka" w:hAnsi="Mokka"/>
          </w:rPr>
          <w:t>IAASTD Recommendations</w:t>
        </w:r>
      </w:hyperlink>
      <w:r w:rsidR="00B200DE" w:rsidRPr="00427CDC">
        <w:rPr>
          <w:rFonts w:ascii="Mokka" w:hAnsi="Mokka"/>
        </w:rPr>
        <w:t xml:space="preserve"> are </w:t>
      </w:r>
      <w:r w:rsidR="00244085" w:rsidRPr="00427CDC">
        <w:rPr>
          <w:rFonts w:ascii="Mokka" w:hAnsi="Mokka"/>
        </w:rPr>
        <w:t xml:space="preserve">existing and </w:t>
      </w:r>
      <w:r w:rsidR="00B200DE" w:rsidRPr="00427CDC">
        <w:rPr>
          <w:rFonts w:ascii="Mokka" w:hAnsi="Mokka"/>
        </w:rPr>
        <w:t xml:space="preserve">critical tools that can </w:t>
      </w:r>
      <w:r w:rsidR="00186D5A" w:rsidRPr="00427CDC">
        <w:rPr>
          <w:rFonts w:ascii="Mokka" w:hAnsi="Mokka"/>
        </w:rPr>
        <w:t xml:space="preserve">help </w:t>
      </w:r>
      <w:r w:rsidR="00244085" w:rsidRPr="00427CDC">
        <w:rPr>
          <w:rFonts w:ascii="Mokka" w:hAnsi="Mokka"/>
        </w:rPr>
        <w:t>provide the basis for</w:t>
      </w:r>
      <w:r w:rsidR="00B200DE" w:rsidRPr="00427CDC">
        <w:rPr>
          <w:rFonts w:ascii="Mokka" w:hAnsi="Mokka"/>
        </w:rPr>
        <w:t xml:space="preserve"> addressing agriculture investment in smallholder agriculture.</w:t>
      </w:r>
    </w:p>
    <w:p w:rsidR="00427CDC" w:rsidRPr="00427CDC" w:rsidRDefault="00427CDC" w:rsidP="00D751E5">
      <w:pPr>
        <w:spacing w:after="0" w:line="240" w:lineRule="auto"/>
        <w:rPr>
          <w:rFonts w:ascii="Mokka" w:hAnsi="Mokka"/>
        </w:rPr>
      </w:pPr>
    </w:p>
    <w:p w:rsidR="00F97E9C" w:rsidRPr="00427CDC" w:rsidRDefault="00F97E9C" w:rsidP="00D751E5">
      <w:pPr>
        <w:spacing w:after="0" w:line="240" w:lineRule="auto"/>
        <w:rPr>
          <w:rFonts w:ascii="Museo Sans 300" w:hAnsi="Museo Sans 300"/>
          <w:b/>
        </w:rPr>
      </w:pPr>
      <w:r w:rsidRPr="00427CDC">
        <w:rPr>
          <w:rFonts w:ascii="Museo Sans 300" w:hAnsi="Museo Sans 300"/>
          <w:b/>
        </w:rPr>
        <w:t>Overall Framework of the Report</w:t>
      </w:r>
    </w:p>
    <w:p w:rsidR="00D16397" w:rsidRDefault="00F97E9C" w:rsidP="00D751E5">
      <w:pPr>
        <w:spacing w:after="0" w:line="240" w:lineRule="auto"/>
        <w:rPr>
          <w:rFonts w:ascii="Mokka" w:hAnsi="Mokka"/>
          <w:color w:val="000000"/>
        </w:rPr>
      </w:pPr>
      <w:r w:rsidRPr="00427CDC">
        <w:rPr>
          <w:rFonts w:ascii="Mokka" w:hAnsi="Mokka"/>
        </w:rPr>
        <w:t xml:space="preserve">The report’s starting points that </w:t>
      </w:r>
      <w:r w:rsidR="002F5A03" w:rsidRPr="00427CDC">
        <w:rPr>
          <w:rFonts w:ascii="Mokka" w:hAnsi="Mokka"/>
        </w:rPr>
        <w:t>small-scale producers</w:t>
      </w:r>
      <w:r w:rsidRPr="00427CDC">
        <w:rPr>
          <w:rFonts w:ascii="Mokka" w:hAnsi="Mokka"/>
        </w:rPr>
        <w:t xml:space="preserve"> are not only embedded in agriculture markets, but also central to providing food security are critical for understanding their investment needs.</w:t>
      </w:r>
      <w:r w:rsidR="003D0B4F">
        <w:rPr>
          <w:rFonts w:ascii="Mokka" w:hAnsi="Mokka"/>
        </w:rPr>
        <w:t xml:space="preserve"> </w:t>
      </w:r>
      <w:r w:rsidRPr="00427CDC">
        <w:rPr>
          <w:rFonts w:ascii="Mokka" w:hAnsi="Mokka"/>
        </w:rPr>
        <w:t xml:space="preserve">The </w:t>
      </w:r>
      <w:r w:rsidR="00244085" w:rsidRPr="00427CDC">
        <w:rPr>
          <w:rFonts w:ascii="Mokka" w:hAnsi="Mokka"/>
        </w:rPr>
        <w:t xml:space="preserve">authors are therefore right in presenting a </w:t>
      </w:r>
      <w:r w:rsidRPr="00427CDC">
        <w:rPr>
          <w:rFonts w:ascii="Mokka" w:hAnsi="Mokka"/>
        </w:rPr>
        <w:t>Rights-</w:t>
      </w:r>
      <w:r w:rsidR="00244085" w:rsidRPr="00427CDC">
        <w:rPr>
          <w:rFonts w:ascii="Mokka" w:hAnsi="Mokka"/>
        </w:rPr>
        <w:t>based perspective.</w:t>
      </w:r>
      <w:r w:rsidR="003D0B4F">
        <w:rPr>
          <w:rFonts w:ascii="Mokka" w:hAnsi="Mokka"/>
        </w:rPr>
        <w:t xml:space="preserve"> </w:t>
      </w:r>
      <w:r w:rsidR="00A63D73" w:rsidRPr="00427CDC">
        <w:rPr>
          <w:rFonts w:ascii="Mokka" w:hAnsi="Mokka"/>
        </w:rPr>
        <w:t xml:space="preserve">In addition, </w:t>
      </w:r>
      <w:r w:rsidRPr="00427CDC">
        <w:rPr>
          <w:rFonts w:ascii="Mokka" w:hAnsi="Mokka"/>
        </w:rPr>
        <w:t xml:space="preserve">the authors </w:t>
      </w:r>
      <w:r w:rsidR="00D16397" w:rsidRPr="00427CDC">
        <w:rPr>
          <w:rFonts w:ascii="Mokka" w:hAnsi="Mokka"/>
        </w:rPr>
        <w:t>can strengthen this framework by d</w:t>
      </w:r>
      <w:r w:rsidRPr="00427CDC">
        <w:rPr>
          <w:rFonts w:ascii="Mokka" w:hAnsi="Mokka"/>
        </w:rPr>
        <w:t>iscuss</w:t>
      </w:r>
      <w:r w:rsidR="00D16397" w:rsidRPr="00427CDC">
        <w:rPr>
          <w:rFonts w:ascii="Mokka" w:hAnsi="Mokka"/>
        </w:rPr>
        <w:t>ing</w:t>
      </w:r>
      <w:r w:rsidRPr="00427CDC">
        <w:rPr>
          <w:rFonts w:ascii="Mokka" w:hAnsi="Mokka"/>
        </w:rPr>
        <w:t xml:space="preserve"> the notion of food sovereignty </w:t>
      </w:r>
      <w:r w:rsidR="00C579BC" w:rsidRPr="00427CDC">
        <w:rPr>
          <w:rFonts w:ascii="Mokka" w:hAnsi="Mokka"/>
        </w:rPr>
        <w:t xml:space="preserve">and its relevance for </w:t>
      </w:r>
      <w:r w:rsidR="002F5A03" w:rsidRPr="00427CDC">
        <w:rPr>
          <w:rFonts w:ascii="Mokka" w:hAnsi="Mokka"/>
        </w:rPr>
        <w:t>small-scale producers</w:t>
      </w:r>
      <w:r w:rsidR="00C579BC" w:rsidRPr="00427CDC">
        <w:rPr>
          <w:rFonts w:ascii="Mokka" w:hAnsi="Mokka"/>
        </w:rPr>
        <w:t xml:space="preserve">. </w:t>
      </w:r>
      <w:r w:rsidR="00BD68BD" w:rsidRPr="00427CDC">
        <w:rPr>
          <w:rFonts w:ascii="Mokka" w:hAnsi="Mokka"/>
          <w:color w:val="000000"/>
        </w:rPr>
        <w:t>The</w:t>
      </w:r>
      <w:r w:rsidR="009F02C9" w:rsidRPr="00427CDC">
        <w:rPr>
          <w:rFonts w:ascii="Mokka" w:hAnsi="Mokka"/>
          <w:color w:val="000000"/>
        </w:rPr>
        <w:t xml:space="preserve"> </w:t>
      </w:r>
      <w:r w:rsidR="00C579BC" w:rsidRPr="00427CDC">
        <w:rPr>
          <w:rFonts w:ascii="Mokka" w:hAnsi="Mokka"/>
          <w:color w:val="000000"/>
        </w:rPr>
        <w:t>principles of food sovereignty</w:t>
      </w:r>
      <w:r w:rsidR="00724966" w:rsidRPr="00427CDC">
        <w:rPr>
          <w:rStyle w:val="FootnoteReference"/>
          <w:rFonts w:ascii="Mokka" w:hAnsi="Mokka"/>
          <w:color w:val="000000"/>
        </w:rPr>
        <w:footnoteReference w:id="1"/>
      </w:r>
      <w:r w:rsidR="00E91666">
        <w:rPr>
          <w:rFonts w:ascii="Mokka" w:hAnsi="Mokka"/>
          <w:color w:val="000000"/>
        </w:rPr>
        <w:t xml:space="preserve"> </w:t>
      </w:r>
      <w:r w:rsidR="009F02C9" w:rsidRPr="00427CDC">
        <w:rPr>
          <w:rFonts w:ascii="Mokka" w:hAnsi="Mokka"/>
          <w:color w:val="000000"/>
        </w:rPr>
        <w:t xml:space="preserve">and </w:t>
      </w:r>
      <w:r w:rsidR="006302A8" w:rsidRPr="00427CDC">
        <w:rPr>
          <w:rFonts w:ascii="Mokka" w:hAnsi="Mokka"/>
          <w:color w:val="000000"/>
        </w:rPr>
        <w:t xml:space="preserve">the acknowledgement that agriculture </w:t>
      </w:r>
      <w:r w:rsidR="00C570C0">
        <w:rPr>
          <w:rFonts w:ascii="Mokka" w:hAnsi="Mokka"/>
          <w:color w:val="000000"/>
        </w:rPr>
        <w:t xml:space="preserve">is </w:t>
      </w:r>
      <w:r w:rsidR="006302A8" w:rsidRPr="00427CDC">
        <w:rPr>
          <w:rFonts w:ascii="Mokka" w:hAnsi="Mokka"/>
          <w:color w:val="000000"/>
        </w:rPr>
        <w:t>“multifunctional”, meaning that it is not only a commercial sector, but also provides social, cultural and environmental goods</w:t>
      </w:r>
      <w:r w:rsidR="00C570C0">
        <w:rPr>
          <w:rFonts w:ascii="Mokka" w:hAnsi="Mokka"/>
          <w:color w:val="000000"/>
        </w:rPr>
        <w:t>,</w:t>
      </w:r>
      <w:r w:rsidR="006302A8" w:rsidRPr="00427CDC">
        <w:rPr>
          <w:rFonts w:ascii="Mokka" w:hAnsi="Mokka"/>
          <w:color w:val="000000"/>
        </w:rPr>
        <w:t xml:space="preserve"> is essential.</w:t>
      </w:r>
      <w:r w:rsidR="003D0B4F">
        <w:rPr>
          <w:rFonts w:ascii="Mokka" w:hAnsi="Mokka"/>
          <w:color w:val="000000"/>
        </w:rPr>
        <w:t xml:space="preserve"> </w:t>
      </w:r>
      <w:r w:rsidR="006302A8" w:rsidRPr="00427CDC">
        <w:rPr>
          <w:rFonts w:ascii="Mokka" w:hAnsi="Mokka"/>
          <w:color w:val="000000"/>
        </w:rPr>
        <w:t xml:space="preserve">A </w:t>
      </w:r>
      <w:r w:rsidR="009F02C9" w:rsidRPr="00427CDC">
        <w:rPr>
          <w:rFonts w:ascii="Mokka" w:hAnsi="Mokka"/>
          <w:color w:val="000000"/>
        </w:rPr>
        <w:t xml:space="preserve">brief discussion of the meanings and values ascribed </w:t>
      </w:r>
      <w:r w:rsidR="00C579BC" w:rsidRPr="00427CDC">
        <w:rPr>
          <w:rFonts w:ascii="Mokka" w:hAnsi="Mokka"/>
          <w:color w:val="000000"/>
        </w:rPr>
        <w:t>to</w:t>
      </w:r>
      <w:r w:rsidR="006302A8" w:rsidRPr="00427CDC">
        <w:rPr>
          <w:rFonts w:ascii="Mokka" w:hAnsi="Mokka"/>
          <w:color w:val="000000"/>
        </w:rPr>
        <w:t xml:space="preserve"> agriculture and food sovereignty </w:t>
      </w:r>
      <w:r w:rsidR="009F02C9" w:rsidRPr="00427CDC">
        <w:rPr>
          <w:rFonts w:ascii="Mokka" w:hAnsi="Mokka"/>
          <w:color w:val="000000"/>
        </w:rPr>
        <w:t xml:space="preserve">by smallholder communities </w:t>
      </w:r>
      <w:r w:rsidR="007B154A" w:rsidRPr="00427CDC">
        <w:rPr>
          <w:rFonts w:ascii="Mokka" w:hAnsi="Mokka"/>
          <w:color w:val="000000"/>
        </w:rPr>
        <w:t xml:space="preserve">would </w:t>
      </w:r>
      <w:r w:rsidR="00C579BC" w:rsidRPr="00427CDC">
        <w:rPr>
          <w:rFonts w:ascii="Mokka" w:hAnsi="Mokka"/>
          <w:color w:val="000000"/>
        </w:rPr>
        <w:t>provide a good frame</w:t>
      </w:r>
      <w:r w:rsidR="007B154A" w:rsidRPr="00427CDC">
        <w:rPr>
          <w:rFonts w:ascii="Mokka" w:hAnsi="Mokka"/>
          <w:color w:val="000000"/>
        </w:rPr>
        <w:t>work</w:t>
      </w:r>
      <w:r w:rsidR="00C579BC" w:rsidRPr="00427CDC">
        <w:rPr>
          <w:rFonts w:ascii="Mokka" w:hAnsi="Mokka"/>
          <w:color w:val="000000"/>
        </w:rPr>
        <w:t xml:space="preserve"> for </w:t>
      </w:r>
      <w:r w:rsidR="009F02C9" w:rsidRPr="00427CDC">
        <w:rPr>
          <w:rFonts w:ascii="Mokka" w:hAnsi="Mokka"/>
          <w:color w:val="000000"/>
        </w:rPr>
        <w:t xml:space="preserve">chapter 1 and </w:t>
      </w:r>
      <w:r w:rsidR="00C579BC" w:rsidRPr="00427CDC">
        <w:rPr>
          <w:rFonts w:ascii="Mokka" w:hAnsi="Mokka"/>
          <w:color w:val="000000"/>
        </w:rPr>
        <w:t>t</w:t>
      </w:r>
      <w:r w:rsidR="009F02C9" w:rsidRPr="00427CDC">
        <w:rPr>
          <w:rFonts w:ascii="Mokka" w:hAnsi="Mokka"/>
          <w:color w:val="000000"/>
        </w:rPr>
        <w:t>he analysis in chapters ahead.</w:t>
      </w:r>
      <w:r w:rsidR="003D0B4F">
        <w:rPr>
          <w:rFonts w:ascii="Mokka" w:hAnsi="Mokka"/>
          <w:color w:val="000000"/>
        </w:rPr>
        <w:t xml:space="preserve"> </w:t>
      </w:r>
    </w:p>
    <w:p w:rsidR="00427CDC" w:rsidRPr="00427CDC" w:rsidRDefault="00427CDC" w:rsidP="00D751E5">
      <w:pPr>
        <w:spacing w:after="0" w:line="240" w:lineRule="auto"/>
        <w:rPr>
          <w:rFonts w:ascii="Mokka" w:hAnsi="Mokka"/>
          <w:color w:val="000000"/>
        </w:rPr>
      </w:pPr>
    </w:p>
    <w:p w:rsidR="007B154A" w:rsidRDefault="00DB56B3" w:rsidP="00D751E5">
      <w:pPr>
        <w:spacing w:after="0" w:line="240" w:lineRule="auto"/>
        <w:rPr>
          <w:rFonts w:ascii="Mokka" w:hAnsi="Mokka"/>
        </w:rPr>
      </w:pPr>
      <w:r w:rsidRPr="00427CDC">
        <w:rPr>
          <w:rFonts w:ascii="Mokka" w:hAnsi="Mokka"/>
        </w:rPr>
        <w:t xml:space="preserve">The report needs a </w:t>
      </w:r>
      <w:r w:rsidR="00142220" w:rsidRPr="00427CDC">
        <w:rPr>
          <w:rFonts w:ascii="Mokka" w:hAnsi="Mokka"/>
        </w:rPr>
        <w:t xml:space="preserve">better articulated analysis </w:t>
      </w:r>
      <w:r w:rsidRPr="00427CDC">
        <w:rPr>
          <w:rFonts w:ascii="Mokka" w:hAnsi="Mokka"/>
        </w:rPr>
        <w:t>of food security</w:t>
      </w:r>
      <w:r w:rsidR="006302A8" w:rsidRPr="00427CDC">
        <w:rPr>
          <w:rFonts w:ascii="Mokka" w:hAnsi="Mokka"/>
        </w:rPr>
        <w:t>, however,</w:t>
      </w:r>
      <w:r w:rsidRPr="00427CDC">
        <w:rPr>
          <w:rFonts w:ascii="Mokka" w:hAnsi="Mokka"/>
        </w:rPr>
        <w:t xml:space="preserve"> and the role small</w:t>
      </w:r>
      <w:r w:rsidR="002F5A03" w:rsidRPr="00427CDC">
        <w:rPr>
          <w:rFonts w:ascii="Mokka" w:hAnsi="Mokka"/>
        </w:rPr>
        <w:t xml:space="preserve">-scale producers </w:t>
      </w:r>
      <w:r w:rsidRPr="00427CDC">
        <w:rPr>
          <w:rFonts w:ascii="Mokka" w:hAnsi="Mokka"/>
        </w:rPr>
        <w:t>play in providing it.</w:t>
      </w:r>
      <w:r w:rsidR="007B154A" w:rsidRPr="00427CDC">
        <w:rPr>
          <w:rFonts w:ascii="Mokka" w:hAnsi="Mokka"/>
        </w:rPr>
        <w:t xml:space="preserve"> Investment is needed for all small producers,</w:t>
      </w:r>
      <w:r w:rsidR="005C3773" w:rsidRPr="00427CDC">
        <w:rPr>
          <w:rFonts w:ascii="Mokka" w:hAnsi="Mokka"/>
        </w:rPr>
        <w:t xml:space="preserve"> </w:t>
      </w:r>
      <w:r w:rsidR="007B154A" w:rsidRPr="00427CDC">
        <w:rPr>
          <w:rFonts w:ascii="Mokka" w:hAnsi="Mokka"/>
        </w:rPr>
        <w:t>not just those who own land.</w:t>
      </w:r>
      <w:r w:rsidR="003D0B4F">
        <w:rPr>
          <w:rFonts w:ascii="Mokka" w:hAnsi="Mokka"/>
        </w:rPr>
        <w:t xml:space="preserve"> </w:t>
      </w:r>
      <w:r w:rsidR="00340A36" w:rsidRPr="00427CDC">
        <w:rPr>
          <w:rFonts w:ascii="Mokka" w:hAnsi="Mokka"/>
        </w:rPr>
        <w:t>In this regard, we strongly support the comments submitted by Mr. Timothy Wise (Tufts Univer</w:t>
      </w:r>
      <w:r w:rsidR="007B154A" w:rsidRPr="00427CDC">
        <w:rPr>
          <w:rFonts w:ascii="Mokka" w:hAnsi="Mokka"/>
        </w:rPr>
        <w:t>si</w:t>
      </w:r>
      <w:r w:rsidR="00340A36" w:rsidRPr="00427CDC">
        <w:rPr>
          <w:rFonts w:ascii="Mokka" w:hAnsi="Mokka"/>
        </w:rPr>
        <w:t>ty) and encourage the authors to draw upon the literature referenced in his submission.</w:t>
      </w:r>
      <w:r w:rsidR="003D0B4F">
        <w:rPr>
          <w:rFonts w:ascii="Mokka" w:hAnsi="Mokka"/>
        </w:rPr>
        <w:t xml:space="preserve"> </w:t>
      </w:r>
      <w:r w:rsidR="002F5A03" w:rsidRPr="00427CDC">
        <w:rPr>
          <w:rFonts w:ascii="Mokka" w:hAnsi="Mokka"/>
        </w:rPr>
        <w:t>Small-scale producers</w:t>
      </w:r>
      <w:r w:rsidR="00874E6C" w:rsidRPr="00427CDC">
        <w:rPr>
          <w:rFonts w:ascii="Mokka" w:hAnsi="Mokka"/>
        </w:rPr>
        <w:t xml:space="preserve"> can</w:t>
      </w:r>
      <w:r w:rsidRPr="00427CDC">
        <w:rPr>
          <w:rFonts w:ascii="Mokka" w:hAnsi="Mokka"/>
        </w:rPr>
        <w:t xml:space="preserve"> “feed the world” because they produce </w:t>
      </w:r>
      <w:r w:rsidR="00244085" w:rsidRPr="00427CDC">
        <w:rPr>
          <w:rFonts w:ascii="Mokka" w:hAnsi="Mokka"/>
        </w:rPr>
        <w:t>local</w:t>
      </w:r>
      <w:r w:rsidRPr="00427CDC">
        <w:rPr>
          <w:rFonts w:ascii="Mokka" w:hAnsi="Mokka"/>
        </w:rPr>
        <w:t xml:space="preserve">ly for </w:t>
      </w:r>
      <w:r w:rsidR="00244085" w:rsidRPr="00427CDC">
        <w:rPr>
          <w:rFonts w:ascii="Mokka" w:hAnsi="Mokka"/>
        </w:rPr>
        <w:t>local consumption</w:t>
      </w:r>
      <w:r w:rsidRPr="00427CDC">
        <w:rPr>
          <w:rFonts w:ascii="Mokka" w:hAnsi="Mokka"/>
        </w:rPr>
        <w:t>.</w:t>
      </w:r>
      <w:r w:rsidR="00DE297C" w:rsidRPr="00427CDC">
        <w:rPr>
          <w:rStyle w:val="FootnoteReference"/>
          <w:rFonts w:ascii="Mokka" w:hAnsi="Mokka"/>
        </w:rPr>
        <w:footnoteReference w:id="2"/>
      </w:r>
      <w:r w:rsidR="003D0B4F">
        <w:rPr>
          <w:rFonts w:ascii="Mokka" w:hAnsi="Mokka"/>
        </w:rPr>
        <w:t xml:space="preserve"> </w:t>
      </w:r>
      <w:r w:rsidRPr="00427CDC">
        <w:rPr>
          <w:rFonts w:ascii="Mokka" w:hAnsi="Mokka"/>
        </w:rPr>
        <w:t xml:space="preserve">Most of what </w:t>
      </w:r>
      <w:r w:rsidR="003C714B" w:rsidRPr="00427CDC">
        <w:rPr>
          <w:rFonts w:ascii="Mokka" w:hAnsi="Mokka"/>
        </w:rPr>
        <w:t>we</w:t>
      </w:r>
      <w:r w:rsidRPr="00427CDC">
        <w:rPr>
          <w:rFonts w:ascii="Mokka" w:hAnsi="Mokka"/>
        </w:rPr>
        <w:t xml:space="preserve"> eat </w:t>
      </w:r>
      <w:r w:rsidR="003C714B" w:rsidRPr="00427CDC">
        <w:rPr>
          <w:rFonts w:ascii="Mokka" w:hAnsi="Mokka"/>
        </w:rPr>
        <w:t xml:space="preserve">to ensure food security </w:t>
      </w:r>
      <w:r w:rsidRPr="00427CDC">
        <w:rPr>
          <w:rFonts w:ascii="Mokka" w:hAnsi="Mokka"/>
        </w:rPr>
        <w:t>does not come from international markets</w:t>
      </w:r>
      <w:r w:rsidR="00D571FD" w:rsidRPr="00427CDC">
        <w:rPr>
          <w:rFonts w:ascii="Mokka" w:hAnsi="Mokka"/>
        </w:rPr>
        <w:t>.</w:t>
      </w:r>
      <w:r w:rsidR="00D571FD" w:rsidRPr="00427CDC">
        <w:rPr>
          <w:rStyle w:val="FootnoteReference"/>
          <w:rFonts w:ascii="Mokka" w:hAnsi="Mokka"/>
        </w:rPr>
        <w:footnoteReference w:id="3"/>
      </w:r>
      <w:r w:rsidR="003C714B" w:rsidRPr="00427CDC">
        <w:rPr>
          <w:rFonts w:ascii="Mokka" w:hAnsi="Mokka"/>
        </w:rPr>
        <w:t xml:space="preserve"> </w:t>
      </w:r>
      <w:r w:rsidR="00244085" w:rsidRPr="00427CDC">
        <w:rPr>
          <w:rFonts w:ascii="Mokka" w:hAnsi="Mokka"/>
        </w:rPr>
        <w:t xml:space="preserve">This needs to be </w:t>
      </w:r>
      <w:r w:rsidR="00CD16EF" w:rsidRPr="00427CDC">
        <w:rPr>
          <w:rFonts w:ascii="Mokka" w:hAnsi="Mokka"/>
        </w:rPr>
        <w:t xml:space="preserve">clearly spelled out </w:t>
      </w:r>
      <w:r w:rsidR="00D16397" w:rsidRPr="00427CDC">
        <w:rPr>
          <w:rFonts w:ascii="Mokka" w:hAnsi="Mokka"/>
        </w:rPr>
        <w:t>in the report</w:t>
      </w:r>
      <w:r w:rsidR="00603F48" w:rsidRPr="00427CDC">
        <w:rPr>
          <w:rFonts w:ascii="Mokka" w:hAnsi="Mokka"/>
        </w:rPr>
        <w:t>.</w:t>
      </w:r>
      <w:r w:rsidR="003D0B4F">
        <w:rPr>
          <w:rFonts w:ascii="Mokka" w:hAnsi="Mokka"/>
        </w:rPr>
        <w:t xml:space="preserve"> </w:t>
      </w:r>
    </w:p>
    <w:p w:rsidR="00427CDC" w:rsidRPr="00427CDC" w:rsidRDefault="00427CDC" w:rsidP="00D751E5">
      <w:pPr>
        <w:spacing w:after="0" w:line="240" w:lineRule="auto"/>
        <w:rPr>
          <w:rFonts w:ascii="Mokka" w:hAnsi="Mokka"/>
        </w:rPr>
      </w:pPr>
    </w:p>
    <w:p w:rsidR="00CD16EF" w:rsidRPr="00427CDC" w:rsidRDefault="00340A36" w:rsidP="00D751E5">
      <w:pPr>
        <w:spacing w:after="0" w:line="240" w:lineRule="auto"/>
        <w:rPr>
          <w:rFonts w:ascii="Mokka" w:hAnsi="Mokka"/>
          <w:color w:val="000000"/>
        </w:rPr>
      </w:pPr>
      <w:r w:rsidRPr="00427CDC">
        <w:rPr>
          <w:rFonts w:ascii="Mokka" w:hAnsi="Mokka"/>
        </w:rPr>
        <w:t>It is critical to articulate that t</w:t>
      </w:r>
      <w:r w:rsidR="00603F48" w:rsidRPr="00427CDC">
        <w:rPr>
          <w:rFonts w:ascii="Mokka" w:hAnsi="Mokka"/>
        </w:rPr>
        <w:t>he challenges for national and global food security in light of climate change and</w:t>
      </w:r>
      <w:r w:rsidR="00D571FD" w:rsidRPr="00427CDC">
        <w:rPr>
          <w:rFonts w:ascii="Mokka" w:hAnsi="Mokka"/>
        </w:rPr>
        <w:t xml:space="preserve"> high and volatile prices in international and domestic food </w:t>
      </w:r>
      <w:r w:rsidR="00603F48" w:rsidRPr="00427CDC">
        <w:rPr>
          <w:rFonts w:ascii="Mokka" w:hAnsi="Mokka"/>
        </w:rPr>
        <w:t xml:space="preserve">are not fundamentally about </w:t>
      </w:r>
      <w:r w:rsidR="007B154A" w:rsidRPr="00427CDC">
        <w:rPr>
          <w:rFonts w:ascii="Mokka" w:hAnsi="Mokka"/>
        </w:rPr>
        <w:t xml:space="preserve">the </w:t>
      </w:r>
      <w:r w:rsidR="00603F48" w:rsidRPr="00427CDC">
        <w:rPr>
          <w:rFonts w:ascii="Mokka" w:hAnsi="Mokka"/>
        </w:rPr>
        <w:t>size of landholdings</w:t>
      </w:r>
      <w:r w:rsidR="00D571FD" w:rsidRPr="00427CDC">
        <w:rPr>
          <w:rFonts w:ascii="Mokka" w:hAnsi="Mokka"/>
        </w:rPr>
        <w:t>.</w:t>
      </w:r>
      <w:r w:rsidR="003D0B4F">
        <w:rPr>
          <w:rFonts w:ascii="Mokka" w:hAnsi="Mokka"/>
        </w:rPr>
        <w:t xml:space="preserve"> </w:t>
      </w:r>
      <w:r w:rsidR="007B154A" w:rsidRPr="00427CDC">
        <w:rPr>
          <w:rFonts w:ascii="Mokka" w:hAnsi="Mokka"/>
        </w:rPr>
        <w:t>They involve</w:t>
      </w:r>
      <w:r w:rsidR="00D571FD" w:rsidRPr="00427CDC">
        <w:rPr>
          <w:rFonts w:ascii="Mokka" w:hAnsi="Mokka"/>
        </w:rPr>
        <w:t xml:space="preserve"> the </w:t>
      </w:r>
      <w:r w:rsidR="00D85F71" w:rsidRPr="00427CDC">
        <w:rPr>
          <w:rFonts w:ascii="Mokka" w:hAnsi="Mokka"/>
        </w:rPr>
        <w:t xml:space="preserve">governance of </w:t>
      </w:r>
      <w:r w:rsidR="00D571FD" w:rsidRPr="00427CDC">
        <w:rPr>
          <w:rFonts w:ascii="Mokka" w:hAnsi="Mokka"/>
        </w:rPr>
        <w:t xml:space="preserve">complex </w:t>
      </w:r>
      <w:r w:rsidR="005219D3" w:rsidRPr="00427CDC">
        <w:rPr>
          <w:rFonts w:ascii="Mokka" w:hAnsi="Mokka"/>
        </w:rPr>
        <w:t xml:space="preserve">food and agriculture </w:t>
      </w:r>
      <w:r w:rsidR="00603F48" w:rsidRPr="00427CDC">
        <w:rPr>
          <w:rFonts w:ascii="Mokka" w:hAnsi="Mokka"/>
        </w:rPr>
        <w:t>system</w:t>
      </w:r>
      <w:r w:rsidR="00D571FD" w:rsidRPr="00427CDC">
        <w:rPr>
          <w:rFonts w:ascii="Mokka" w:hAnsi="Mokka"/>
        </w:rPr>
        <w:t>s</w:t>
      </w:r>
      <w:r w:rsidR="00603F48" w:rsidRPr="00427CDC">
        <w:rPr>
          <w:rFonts w:ascii="Mokka" w:hAnsi="Mokka"/>
        </w:rPr>
        <w:t xml:space="preserve"> that </w:t>
      </w:r>
      <w:r w:rsidRPr="00427CDC">
        <w:rPr>
          <w:rFonts w:ascii="Mokka" w:hAnsi="Mokka"/>
        </w:rPr>
        <w:t xml:space="preserve">marginalize those </w:t>
      </w:r>
      <w:r w:rsidR="00772E21" w:rsidRPr="00427CDC">
        <w:rPr>
          <w:rFonts w:ascii="Mokka" w:hAnsi="Mokka"/>
        </w:rPr>
        <w:t xml:space="preserve">who are central to </w:t>
      </w:r>
      <w:r w:rsidR="00772E21" w:rsidRPr="00427CDC">
        <w:rPr>
          <w:rFonts w:ascii="Mokka" w:hAnsi="Mokka"/>
        </w:rPr>
        <w:lastRenderedPageBreak/>
        <w:t xml:space="preserve">providing </w:t>
      </w:r>
      <w:r w:rsidRPr="00427CDC">
        <w:rPr>
          <w:rFonts w:ascii="Mokka" w:hAnsi="Mokka"/>
        </w:rPr>
        <w:t xml:space="preserve">food security. </w:t>
      </w:r>
      <w:r w:rsidR="00D571FD" w:rsidRPr="00427CDC">
        <w:rPr>
          <w:rFonts w:ascii="Mokka" w:hAnsi="Mokka"/>
        </w:rPr>
        <w:t xml:space="preserve">Multilateral </w:t>
      </w:r>
      <w:r w:rsidR="00D85F71" w:rsidRPr="00427CDC">
        <w:rPr>
          <w:rFonts w:ascii="Mokka" w:hAnsi="Mokka"/>
        </w:rPr>
        <w:t>rules and government regulation</w:t>
      </w:r>
      <w:r w:rsidR="00D571FD" w:rsidRPr="00427CDC">
        <w:rPr>
          <w:rFonts w:ascii="Mokka" w:hAnsi="Mokka"/>
        </w:rPr>
        <w:t xml:space="preserve">s, in most countries reinforced by domestic laws, </w:t>
      </w:r>
      <w:r w:rsidR="00D85F71" w:rsidRPr="00427CDC">
        <w:rPr>
          <w:rFonts w:ascii="Mokka" w:hAnsi="Mokka"/>
        </w:rPr>
        <w:t>promote an</w:t>
      </w:r>
      <w:r w:rsidR="00D571FD" w:rsidRPr="00427CDC">
        <w:rPr>
          <w:rFonts w:ascii="Mokka" w:hAnsi="Mokka"/>
        </w:rPr>
        <w:t xml:space="preserve"> agriculture system and a vision of food security that is</w:t>
      </w:r>
      <w:r w:rsidR="00D85F71" w:rsidRPr="00427CDC">
        <w:rPr>
          <w:rFonts w:ascii="Mokka" w:hAnsi="Mokka"/>
        </w:rPr>
        <w:t xml:space="preserve"> industrial</w:t>
      </w:r>
      <w:r w:rsidR="00D571FD" w:rsidRPr="00427CDC">
        <w:rPr>
          <w:rFonts w:ascii="Mokka" w:hAnsi="Mokka"/>
        </w:rPr>
        <w:t xml:space="preserve"> and </w:t>
      </w:r>
      <w:r w:rsidR="00D85F71" w:rsidRPr="00427CDC">
        <w:rPr>
          <w:rFonts w:ascii="Mokka" w:hAnsi="Mokka"/>
        </w:rPr>
        <w:t>export-led</w:t>
      </w:r>
      <w:r w:rsidR="00D571FD" w:rsidRPr="00427CDC">
        <w:rPr>
          <w:rFonts w:ascii="Mokka" w:hAnsi="Mokka"/>
        </w:rPr>
        <w:t>.</w:t>
      </w:r>
      <w:r w:rsidR="003D0B4F">
        <w:rPr>
          <w:rFonts w:ascii="Mokka" w:hAnsi="Mokka"/>
        </w:rPr>
        <w:t xml:space="preserve"> </w:t>
      </w:r>
      <w:r w:rsidR="00D571FD" w:rsidRPr="00427CDC">
        <w:rPr>
          <w:rFonts w:ascii="Mokka" w:hAnsi="Mokka"/>
        </w:rPr>
        <w:t>It has its own investment patterns, distribution channels</w:t>
      </w:r>
      <w:r w:rsidR="006D2EF7">
        <w:rPr>
          <w:rFonts w:ascii="Mokka" w:hAnsi="Mokka"/>
        </w:rPr>
        <w:t>,</w:t>
      </w:r>
      <w:r w:rsidR="00D571FD" w:rsidRPr="00427CDC">
        <w:rPr>
          <w:rFonts w:ascii="Mokka" w:hAnsi="Mokka"/>
        </w:rPr>
        <w:t xml:space="preserve"> and consumers. This </w:t>
      </w:r>
      <w:r w:rsidR="00D85F71" w:rsidRPr="00427CDC">
        <w:rPr>
          <w:rFonts w:ascii="Mokka" w:hAnsi="Mokka"/>
        </w:rPr>
        <w:t>vision of food security</w:t>
      </w:r>
      <w:r w:rsidR="00D571FD" w:rsidRPr="00427CDC">
        <w:rPr>
          <w:rFonts w:ascii="Mokka" w:hAnsi="Mokka"/>
        </w:rPr>
        <w:t xml:space="preserve"> is </w:t>
      </w:r>
      <w:r w:rsidR="00D85F71" w:rsidRPr="00427CDC">
        <w:rPr>
          <w:rFonts w:ascii="Mokka" w:hAnsi="Mokka"/>
        </w:rPr>
        <w:t>demonstrably unviable</w:t>
      </w:r>
      <w:r w:rsidR="00CD16EF" w:rsidRPr="00427CDC">
        <w:rPr>
          <w:rFonts w:ascii="Mokka" w:hAnsi="Mokka"/>
        </w:rPr>
        <w:t xml:space="preserve">. </w:t>
      </w:r>
      <w:r w:rsidR="00D571FD" w:rsidRPr="00427CDC">
        <w:rPr>
          <w:rFonts w:ascii="Mokka" w:hAnsi="Mokka"/>
        </w:rPr>
        <w:t xml:space="preserve">It </w:t>
      </w:r>
      <w:r w:rsidR="00CD16EF" w:rsidRPr="00427CDC">
        <w:rPr>
          <w:rFonts w:ascii="Mokka" w:hAnsi="Mokka"/>
        </w:rPr>
        <w:t xml:space="preserve">nonetheless </w:t>
      </w:r>
      <w:r w:rsidR="00D85F71" w:rsidRPr="00427CDC">
        <w:rPr>
          <w:rFonts w:ascii="Mokka" w:hAnsi="Mokka"/>
        </w:rPr>
        <w:t>drive</w:t>
      </w:r>
      <w:r w:rsidR="00D571FD" w:rsidRPr="00427CDC">
        <w:rPr>
          <w:rFonts w:ascii="Mokka" w:hAnsi="Mokka"/>
        </w:rPr>
        <w:t>s</w:t>
      </w:r>
      <w:r w:rsidR="00D85F71" w:rsidRPr="00427CDC">
        <w:rPr>
          <w:rFonts w:ascii="Mokka" w:hAnsi="Mokka"/>
        </w:rPr>
        <w:t xml:space="preserve"> investment towards powerful actors </w:t>
      </w:r>
      <w:r w:rsidR="00CD16EF" w:rsidRPr="00427CDC">
        <w:rPr>
          <w:rFonts w:ascii="Mokka" w:hAnsi="Mokka"/>
        </w:rPr>
        <w:t xml:space="preserve">that shape the system </w:t>
      </w:r>
      <w:r w:rsidR="00D85F71" w:rsidRPr="00427CDC">
        <w:rPr>
          <w:rFonts w:ascii="Mokka" w:hAnsi="Mokka"/>
        </w:rPr>
        <w:t xml:space="preserve">and away from those who actually provide food </w:t>
      </w:r>
      <w:r w:rsidR="00CD16EF" w:rsidRPr="00427CDC">
        <w:rPr>
          <w:rFonts w:ascii="Mokka" w:hAnsi="Mokka"/>
        </w:rPr>
        <w:t>on th</w:t>
      </w:r>
      <w:r w:rsidR="00D85F71" w:rsidRPr="00427CDC">
        <w:rPr>
          <w:rFonts w:ascii="Mokka" w:hAnsi="Mokka"/>
        </w:rPr>
        <w:t>e table</w:t>
      </w:r>
      <w:r w:rsidR="00C5673B" w:rsidRPr="00427CDC">
        <w:rPr>
          <w:rFonts w:ascii="Mokka" w:hAnsi="Mokka"/>
        </w:rPr>
        <w:t>.</w:t>
      </w:r>
      <w:r w:rsidR="003D0B4F">
        <w:rPr>
          <w:rFonts w:ascii="Mokka" w:hAnsi="Mokka"/>
        </w:rPr>
        <w:t xml:space="preserve"> </w:t>
      </w:r>
      <w:r w:rsidR="00C5673B" w:rsidRPr="00427CDC">
        <w:rPr>
          <w:rFonts w:ascii="Mokka" w:hAnsi="Mokka"/>
        </w:rPr>
        <w:t xml:space="preserve">It is essential to understand how this dominant model undermines </w:t>
      </w:r>
      <w:r w:rsidR="002F5A03" w:rsidRPr="00427CDC">
        <w:rPr>
          <w:rFonts w:ascii="Mokka" w:hAnsi="Mokka"/>
        </w:rPr>
        <w:t>small-scale producers</w:t>
      </w:r>
      <w:r w:rsidR="00C5673B" w:rsidRPr="00427CDC">
        <w:rPr>
          <w:rFonts w:ascii="Mokka" w:hAnsi="Mokka"/>
        </w:rPr>
        <w:t>.</w:t>
      </w:r>
      <w:r w:rsidR="003D0B4F">
        <w:rPr>
          <w:rFonts w:ascii="Mokka" w:hAnsi="Mokka"/>
        </w:rPr>
        <w:t xml:space="preserve"> </w:t>
      </w:r>
      <w:r w:rsidR="00C5673B" w:rsidRPr="00427CDC">
        <w:rPr>
          <w:rFonts w:ascii="Mokka" w:hAnsi="Mokka"/>
        </w:rPr>
        <w:t xml:space="preserve">Governments need to </w:t>
      </w:r>
      <w:r w:rsidR="00CD16EF" w:rsidRPr="00427CDC">
        <w:rPr>
          <w:rFonts w:ascii="Mokka" w:hAnsi="Mokka"/>
        </w:rPr>
        <w:t xml:space="preserve">accurately </w:t>
      </w:r>
      <w:r w:rsidR="005219D3" w:rsidRPr="00427CDC">
        <w:rPr>
          <w:rFonts w:ascii="Mokka" w:hAnsi="Mokka"/>
        </w:rPr>
        <w:t xml:space="preserve">assess the contribution </w:t>
      </w:r>
      <w:r w:rsidR="00C5673B" w:rsidRPr="00427CDC">
        <w:rPr>
          <w:rFonts w:ascii="Mokka" w:hAnsi="Mokka"/>
        </w:rPr>
        <w:t xml:space="preserve">of small-scale producers </w:t>
      </w:r>
      <w:r w:rsidR="005219D3" w:rsidRPr="00427CDC">
        <w:rPr>
          <w:rFonts w:ascii="Mokka" w:hAnsi="Mokka"/>
        </w:rPr>
        <w:t>to local, national</w:t>
      </w:r>
      <w:r w:rsidR="006D2EF7">
        <w:rPr>
          <w:rFonts w:ascii="Mokka" w:hAnsi="Mokka"/>
        </w:rPr>
        <w:t>,</w:t>
      </w:r>
      <w:r w:rsidR="005219D3" w:rsidRPr="00427CDC">
        <w:rPr>
          <w:rFonts w:ascii="Mokka" w:hAnsi="Mokka"/>
        </w:rPr>
        <w:t xml:space="preserve"> and global food security </w:t>
      </w:r>
      <w:r w:rsidR="00603F48" w:rsidRPr="00427CDC">
        <w:rPr>
          <w:rFonts w:ascii="Mokka" w:hAnsi="Mokka"/>
        </w:rPr>
        <w:t xml:space="preserve">and </w:t>
      </w:r>
      <w:r w:rsidR="005219D3" w:rsidRPr="00427CDC">
        <w:rPr>
          <w:rFonts w:ascii="Mokka" w:hAnsi="Mokka"/>
        </w:rPr>
        <w:t xml:space="preserve">propose </w:t>
      </w:r>
      <w:r w:rsidR="00603F48" w:rsidRPr="00427CDC">
        <w:rPr>
          <w:rFonts w:ascii="Mokka" w:hAnsi="Mokka"/>
        </w:rPr>
        <w:t>how they can be supported amidst the challenges</w:t>
      </w:r>
      <w:r w:rsidR="00CD16EF" w:rsidRPr="00427CDC">
        <w:rPr>
          <w:rFonts w:ascii="Mokka" w:hAnsi="Mokka"/>
        </w:rPr>
        <w:t xml:space="preserve"> of the 21</w:t>
      </w:r>
      <w:r w:rsidR="00CD16EF" w:rsidRPr="00427CDC">
        <w:rPr>
          <w:rFonts w:ascii="Mokka" w:hAnsi="Mokka"/>
          <w:vertAlign w:val="superscript"/>
        </w:rPr>
        <w:t>st</w:t>
      </w:r>
      <w:r w:rsidR="00CD16EF" w:rsidRPr="00427CDC">
        <w:rPr>
          <w:rFonts w:ascii="Mokka" w:hAnsi="Mokka"/>
        </w:rPr>
        <w:t xml:space="preserve"> century</w:t>
      </w:r>
      <w:r w:rsidR="00603F48" w:rsidRPr="00427CDC">
        <w:rPr>
          <w:rFonts w:ascii="Mokka" w:hAnsi="Mokka"/>
        </w:rPr>
        <w:t>.</w:t>
      </w:r>
      <w:r w:rsidR="00772E21" w:rsidRPr="00427CDC">
        <w:rPr>
          <w:rFonts w:ascii="Mokka" w:hAnsi="Mokka"/>
        </w:rPr>
        <w:t xml:space="preserve"> </w:t>
      </w:r>
      <w:r w:rsidR="00FC3255" w:rsidRPr="00427CDC">
        <w:rPr>
          <w:rFonts w:ascii="Mokka" w:hAnsi="Mokka"/>
          <w:color w:val="000000"/>
        </w:rPr>
        <w:t xml:space="preserve">This also means that special </w:t>
      </w:r>
      <w:r w:rsidR="00B419A1" w:rsidRPr="00427CDC">
        <w:rPr>
          <w:rFonts w:ascii="Mokka" w:hAnsi="Mokka"/>
          <w:color w:val="000000"/>
        </w:rPr>
        <w:t xml:space="preserve">and specific </w:t>
      </w:r>
      <w:r w:rsidR="00FC3255" w:rsidRPr="00427CDC">
        <w:rPr>
          <w:rFonts w:ascii="Mokka" w:hAnsi="Mokka"/>
          <w:color w:val="000000"/>
        </w:rPr>
        <w:t xml:space="preserve">attention should be given </w:t>
      </w:r>
      <w:r w:rsidR="00B419A1" w:rsidRPr="00427CDC">
        <w:rPr>
          <w:rFonts w:ascii="Mokka" w:hAnsi="Mokka"/>
          <w:color w:val="000000"/>
        </w:rPr>
        <w:t xml:space="preserve">in the report </w:t>
      </w:r>
      <w:r w:rsidR="00FC3255" w:rsidRPr="00427CDC">
        <w:rPr>
          <w:rFonts w:ascii="Mokka" w:hAnsi="Mokka"/>
          <w:color w:val="000000"/>
        </w:rPr>
        <w:t xml:space="preserve">to </w:t>
      </w:r>
      <w:r w:rsidR="00B419A1" w:rsidRPr="00427CDC">
        <w:rPr>
          <w:rFonts w:ascii="Mokka" w:hAnsi="Mokka"/>
          <w:color w:val="000000"/>
        </w:rPr>
        <w:t xml:space="preserve">assess the </w:t>
      </w:r>
      <w:r w:rsidR="00C5673B" w:rsidRPr="00427CDC">
        <w:rPr>
          <w:rFonts w:ascii="Mokka" w:hAnsi="Mokka"/>
          <w:color w:val="000000"/>
        </w:rPr>
        <w:t>re</w:t>
      </w:r>
      <w:r w:rsidR="00B419A1" w:rsidRPr="00427CDC">
        <w:rPr>
          <w:rFonts w:ascii="Mokka" w:hAnsi="Mokka"/>
          <w:color w:val="000000"/>
        </w:rPr>
        <w:t xml:space="preserve">sources needed to invest in </w:t>
      </w:r>
      <w:r w:rsidR="002F5A03" w:rsidRPr="00427CDC">
        <w:rPr>
          <w:rFonts w:ascii="Mokka" w:hAnsi="Mokka"/>
          <w:color w:val="000000"/>
        </w:rPr>
        <w:t>small-scale producers</w:t>
      </w:r>
      <w:r w:rsidR="00B419A1" w:rsidRPr="00427CDC">
        <w:rPr>
          <w:rFonts w:ascii="Mokka" w:hAnsi="Mokka"/>
          <w:color w:val="000000"/>
        </w:rPr>
        <w:t>’ adaptation to climate change.</w:t>
      </w:r>
      <w:r w:rsidR="003D0B4F">
        <w:rPr>
          <w:rFonts w:ascii="Mokka" w:hAnsi="Mokka"/>
          <w:color w:val="000000"/>
        </w:rPr>
        <w:t xml:space="preserve"> </w:t>
      </w:r>
      <w:r w:rsidR="00B419A1" w:rsidRPr="00427CDC">
        <w:rPr>
          <w:rFonts w:ascii="Mokka" w:hAnsi="Mokka"/>
          <w:color w:val="000000"/>
        </w:rPr>
        <w:t>The HLPE report on climate change does not adequately focus on this</w:t>
      </w:r>
      <w:r w:rsidR="005219D3" w:rsidRPr="00427CDC">
        <w:rPr>
          <w:rFonts w:ascii="Mokka" w:hAnsi="Mokka"/>
          <w:color w:val="000000"/>
        </w:rPr>
        <w:t xml:space="preserve"> </w:t>
      </w:r>
      <w:r w:rsidR="00C5673B" w:rsidRPr="00427CDC">
        <w:rPr>
          <w:rFonts w:ascii="Mokka" w:hAnsi="Mokka"/>
          <w:color w:val="000000"/>
        </w:rPr>
        <w:t xml:space="preserve">investment </w:t>
      </w:r>
      <w:r w:rsidR="005219D3" w:rsidRPr="00427CDC">
        <w:rPr>
          <w:rFonts w:ascii="Mokka" w:hAnsi="Mokka"/>
          <w:color w:val="000000"/>
        </w:rPr>
        <w:t xml:space="preserve">need </w:t>
      </w:r>
      <w:r w:rsidR="00C5673B" w:rsidRPr="00427CDC">
        <w:rPr>
          <w:rFonts w:ascii="Mokka" w:hAnsi="Mokka"/>
          <w:color w:val="000000"/>
        </w:rPr>
        <w:t>of</w:t>
      </w:r>
      <w:r w:rsidR="005219D3" w:rsidRPr="00427CDC">
        <w:rPr>
          <w:rFonts w:ascii="Mokka" w:hAnsi="Mokka"/>
          <w:color w:val="000000"/>
        </w:rPr>
        <w:t xml:space="preserve"> small</w:t>
      </w:r>
      <w:r w:rsidR="00C5673B" w:rsidRPr="00427CDC">
        <w:rPr>
          <w:rFonts w:ascii="Mokka" w:hAnsi="Mokka"/>
          <w:color w:val="000000"/>
        </w:rPr>
        <w:t>-scale producers.</w:t>
      </w:r>
      <w:r w:rsidR="00E91666">
        <w:rPr>
          <w:rFonts w:ascii="Mokka" w:hAnsi="Mokka"/>
          <w:color w:val="000000"/>
        </w:rPr>
        <w:t xml:space="preserve"> </w:t>
      </w:r>
    </w:p>
    <w:p w:rsidR="00603F48" w:rsidRDefault="00603F48" w:rsidP="00D751E5">
      <w:pPr>
        <w:spacing w:after="0" w:line="240" w:lineRule="auto"/>
        <w:rPr>
          <w:rFonts w:ascii="Mokka" w:hAnsi="Mokka"/>
        </w:rPr>
      </w:pPr>
      <w:r w:rsidRPr="00427CDC">
        <w:rPr>
          <w:rFonts w:ascii="Mokka" w:hAnsi="Mokka"/>
          <w:color w:val="000000"/>
        </w:rPr>
        <w:t>Understanding</w:t>
      </w:r>
      <w:r w:rsidR="00CD16EF" w:rsidRPr="00427CDC">
        <w:rPr>
          <w:rFonts w:ascii="Mokka" w:hAnsi="Mokka"/>
          <w:color w:val="000000"/>
        </w:rPr>
        <w:t xml:space="preserve"> the power structure of the global food and agriculture system and</w:t>
      </w:r>
      <w:r w:rsidRPr="00427CDC">
        <w:rPr>
          <w:rFonts w:ascii="Mokka" w:hAnsi="Mokka"/>
          <w:color w:val="000000"/>
        </w:rPr>
        <w:t xml:space="preserve"> how </w:t>
      </w:r>
      <w:r w:rsidR="002F5A03" w:rsidRPr="00427CDC">
        <w:rPr>
          <w:rFonts w:ascii="Mokka" w:hAnsi="Mokka"/>
          <w:color w:val="000000"/>
        </w:rPr>
        <w:t>small-scale producers</w:t>
      </w:r>
      <w:r w:rsidRPr="00427CDC">
        <w:rPr>
          <w:rFonts w:ascii="Mokka" w:hAnsi="Mokka"/>
          <w:color w:val="000000"/>
        </w:rPr>
        <w:t xml:space="preserve"> contribute to food security </w:t>
      </w:r>
      <w:r w:rsidR="00D85F71" w:rsidRPr="00427CDC">
        <w:rPr>
          <w:rFonts w:ascii="Mokka" w:hAnsi="Mokka"/>
          <w:color w:val="000000"/>
        </w:rPr>
        <w:t xml:space="preserve">also </w:t>
      </w:r>
      <w:r w:rsidRPr="00427CDC">
        <w:rPr>
          <w:rFonts w:ascii="Mokka" w:hAnsi="Mokka"/>
          <w:color w:val="000000"/>
        </w:rPr>
        <w:t xml:space="preserve">helps explain why </w:t>
      </w:r>
      <w:r w:rsidR="00C5673B" w:rsidRPr="00427CDC">
        <w:rPr>
          <w:rFonts w:ascii="Mokka" w:hAnsi="Mokka"/>
        </w:rPr>
        <w:t xml:space="preserve">they </w:t>
      </w:r>
      <w:r w:rsidRPr="00427CDC">
        <w:rPr>
          <w:rFonts w:ascii="Mokka" w:hAnsi="Mokka"/>
        </w:rPr>
        <w:t xml:space="preserve">cannot simply be incorporated into a contract farming system or a corporate farm that supplies food globally. </w:t>
      </w:r>
      <w:r w:rsidR="005219D3" w:rsidRPr="00427CDC">
        <w:rPr>
          <w:rFonts w:ascii="Mokka" w:hAnsi="Mokka"/>
        </w:rPr>
        <w:t xml:space="preserve">Corporate farming </w:t>
      </w:r>
      <w:r w:rsidR="00C5673B" w:rsidRPr="00427CDC">
        <w:rPr>
          <w:rFonts w:ascii="Mokka" w:hAnsi="Mokka"/>
        </w:rPr>
        <w:t xml:space="preserve">is not a simple </w:t>
      </w:r>
      <w:r w:rsidR="005219D3" w:rsidRPr="00427CDC">
        <w:rPr>
          <w:rFonts w:ascii="Mokka" w:hAnsi="Mokka"/>
        </w:rPr>
        <w:t xml:space="preserve">solution for </w:t>
      </w:r>
      <w:r w:rsidR="002F5A03" w:rsidRPr="00427CDC">
        <w:rPr>
          <w:rFonts w:ascii="Mokka" w:hAnsi="Mokka"/>
        </w:rPr>
        <w:t>small-scale producers</w:t>
      </w:r>
      <w:r w:rsidR="005219D3" w:rsidRPr="00427CDC">
        <w:rPr>
          <w:rFonts w:ascii="Mokka" w:hAnsi="Mokka"/>
        </w:rPr>
        <w:t xml:space="preserve"> </w:t>
      </w:r>
      <w:r w:rsidR="00C5673B" w:rsidRPr="00427CDC">
        <w:rPr>
          <w:rFonts w:ascii="Mokka" w:hAnsi="Mokka"/>
        </w:rPr>
        <w:t>and its constraints and disadvantages should</w:t>
      </w:r>
      <w:r w:rsidR="00951FAC" w:rsidRPr="00427CDC">
        <w:rPr>
          <w:rFonts w:ascii="Mokka" w:hAnsi="Mokka"/>
        </w:rPr>
        <w:t xml:space="preserve"> also</w:t>
      </w:r>
      <w:r w:rsidR="00C5673B" w:rsidRPr="00427CDC">
        <w:rPr>
          <w:rFonts w:ascii="Mokka" w:hAnsi="Mokka"/>
        </w:rPr>
        <w:t xml:space="preserve"> be discussed </w:t>
      </w:r>
      <w:r w:rsidR="005219D3" w:rsidRPr="00427CDC">
        <w:rPr>
          <w:rFonts w:ascii="Mokka" w:hAnsi="Mokka"/>
        </w:rPr>
        <w:t>in the report.</w:t>
      </w:r>
      <w:r w:rsidRPr="00427CDC">
        <w:rPr>
          <w:rFonts w:ascii="Mokka" w:hAnsi="Mokka"/>
        </w:rPr>
        <w:t xml:space="preserve"> </w:t>
      </w:r>
    </w:p>
    <w:p w:rsidR="00427CDC" w:rsidRPr="00427CDC" w:rsidRDefault="00427CDC" w:rsidP="00D751E5">
      <w:pPr>
        <w:spacing w:after="0" w:line="240" w:lineRule="auto"/>
        <w:rPr>
          <w:rFonts w:ascii="Mokka" w:hAnsi="Mokka"/>
          <w:color w:val="000000"/>
        </w:rPr>
      </w:pPr>
    </w:p>
    <w:p w:rsidR="00772E21" w:rsidRDefault="00951FAC" w:rsidP="00D751E5">
      <w:pPr>
        <w:spacing w:after="0" w:line="240" w:lineRule="auto"/>
        <w:rPr>
          <w:rFonts w:ascii="Mokka" w:hAnsi="Mokka"/>
        </w:rPr>
      </w:pPr>
      <w:r w:rsidRPr="00427CDC">
        <w:rPr>
          <w:rFonts w:ascii="Mokka" w:hAnsi="Mokka"/>
        </w:rPr>
        <w:t>T</w:t>
      </w:r>
      <w:r w:rsidR="00697305" w:rsidRPr="00427CDC">
        <w:rPr>
          <w:rFonts w:ascii="Mokka" w:hAnsi="Mokka"/>
        </w:rPr>
        <w:t xml:space="preserve">he report </w:t>
      </w:r>
      <w:r w:rsidRPr="00427CDC">
        <w:rPr>
          <w:rFonts w:ascii="Mokka" w:hAnsi="Mokka"/>
        </w:rPr>
        <w:t xml:space="preserve">should focus on the importance </w:t>
      </w:r>
      <w:r w:rsidR="00697305" w:rsidRPr="00427CDC">
        <w:rPr>
          <w:rFonts w:ascii="Mokka" w:hAnsi="Mokka"/>
        </w:rPr>
        <w:t xml:space="preserve">of empowerment, agency and dignity </w:t>
      </w:r>
      <w:r w:rsidRPr="00427CDC">
        <w:rPr>
          <w:rFonts w:ascii="Mokka" w:hAnsi="Mokka"/>
        </w:rPr>
        <w:t>for small-scale producers.</w:t>
      </w:r>
      <w:r w:rsidR="003D0B4F">
        <w:rPr>
          <w:rFonts w:ascii="Mokka" w:hAnsi="Mokka"/>
        </w:rPr>
        <w:t xml:space="preserve"> </w:t>
      </w:r>
      <w:r w:rsidRPr="00427CDC">
        <w:rPr>
          <w:rFonts w:ascii="Mokka" w:hAnsi="Mokka"/>
        </w:rPr>
        <w:t>In particular, the discussion of women small-scale producers is almost entirely lacking.</w:t>
      </w:r>
      <w:r w:rsidR="003D0B4F">
        <w:rPr>
          <w:rFonts w:ascii="Mokka" w:hAnsi="Mokka"/>
        </w:rPr>
        <w:t xml:space="preserve"> </w:t>
      </w:r>
      <w:r w:rsidRPr="00427CDC">
        <w:rPr>
          <w:rFonts w:ascii="Mokka" w:hAnsi="Mokka"/>
        </w:rPr>
        <w:t xml:space="preserve">Paragraph </w:t>
      </w:r>
      <w:r w:rsidR="00797450" w:rsidRPr="00427CDC">
        <w:rPr>
          <w:rFonts w:ascii="Mokka" w:hAnsi="Mokka"/>
        </w:rPr>
        <w:t xml:space="preserve">31 of the summary </w:t>
      </w:r>
      <w:r w:rsidRPr="00427CDC">
        <w:rPr>
          <w:rFonts w:ascii="Mokka" w:hAnsi="Mokka"/>
        </w:rPr>
        <w:t>r</w:t>
      </w:r>
      <w:r w:rsidR="00797450" w:rsidRPr="00427CDC">
        <w:rPr>
          <w:rFonts w:ascii="Mokka" w:hAnsi="Mokka"/>
        </w:rPr>
        <w:t xml:space="preserve">efers to “women and children” in the context of wellbeing and social protection </w:t>
      </w:r>
      <w:r w:rsidR="00694C66" w:rsidRPr="00427CDC">
        <w:rPr>
          <w:rFonts w:ascii="Mokka" w:hAnsi="Mokka"/>
        </w:rPr>
        <w:t xml:space="preserve">which </w:t>
      </w:r>
      <w:r w:rsidR="00797450" w:rsidRPr="00427CDC">
        <w:rPr>
          <w:rFonts w:ascii="Mokka" w:hAnsi="Mokka"/>
        </w:rPr>
        <w:t>is an in</w:t>
      </w:r>
      <w:r w:rsidR="00694C66" w:rsidRPr="00427CDC">
        <w:rPr>
          <w:rFonts w:ascii="Mokka" w:hAnsi="Mokka"/>
        </w:rPr>
        <w:t>adequate and in</w:t>
      </w:r>
      <w:r w:rsidR="00797450" w:rsidRPr="00427CDC">
        <w:rPr>
          <w:rFonts w:ascii="Mokka" w:hAnsi="Mokka"/>
        </w:rPr>
        <w:t>complete</w:t>
      </w:r>
      <w:r w:rsidR="00004968" w:rsidRPr="00427CDC">
        <w:rPr>
          <w:rFonts w:ascii="Mokka" w:hAnsi="Mokka"/>
        </w:rPr>
        <w:t xml:space="preserve"> </w:t>
      </w:r>
      <w:r w:rsidR="00797450" w:rsidRPr="00427CDC">
        <w:rPr>
          <w:rFonts w:ascii="Mokka" w:hAnsi="Mokka"/>
        </w:rPr>
        <w:t>understanding of the role women play in small</w:t>
      </w:r>
      <w:r w:rsidR="00694C66" w:rsidRPr="00427CDC">
        <w:rPr>
          <w:rFonts w:ascii="Mokka" w:hAnsi="Mokka"/>
        </w:rPr>
        <w:t xml:space="preserve">-scale </w:t>
      </w:r>
      <w:r w:rsidR="00797450" w:rsidRPr="00427CDC">
        <w:rPr>
          <w:rFonts w:ascii="Mokka" w:hAnsi="Mokka"/>
        </w:rPr>
        <w:t>agriculture and their investment needs.</w:t>
      </w:r>
      <w:r w:rsidR="003D0B4F">
        <w:rPr>
          <w:rFonts w:ascii="Mokka" w:hAnsi="Mokka"/>
        </w:rPr>
        <w:t xml:space="preserve"> </w:t>
      </w:r>
      <w:r w:rsidR="00697305" w:rsidRPr="00427CDC">
        <w:rPr>
          <w:rFonts w:ascii="Mokka" w:hAnsi="Mokka"/>
        </w:rPr>
        <w:t xml:space="preserve">Women are a </w:t>
      </w:r>
      <w:r w:rsidR="00694C66" w:rsidRPr="00427CDC">
        <w:rPr>
          <w:rFonts w:ascii="Mokka" w:hAnsi="Mokka"/>
        </w:rPr>
        <w:t>vital</w:t>
      </w:r>
      <w:r w:rsidR="00697305" w:rsidRPr="00427CDC">
        <w:rPr>
          <w:rFonts w:ascii="Mokka" w:hAnsi="Mokka"/>
        </w:rPr>
        <w:t xml:space="preserve"> part of </w:t>
      </w:r>
      <w:r w:rsidR="00797450" w:rsidRPr="00427CDC">
        <w:rPr>
          <w:rFonts w:ascii="Mokka" w:hAnsi="Mokka"/>
        </w:rPr>
        <w:t xml:space="preserve">agricultural production, processing and distribution </w:t>
      </w:r>
      <w:r w:rsidR="00697305" w:rsidRPr="00427CDC">
        <w:rPr>
          <w:rFonts w:ascii="Mokka" w:hAnsi="Mokka"/>
        </w:rPr>
        <w:t xml:space="preserve">and </w:t>
      </w:r>
      <w:r w:rsidR="00797450" w:rsidRPr="00427CDC">
        <w:rPr>
          <w:rFonts w:ascii="Mokka" w:hAnsi="Mokka"/>
        </w:rPr>
        <w:t>an ana</w:t>
      </w:r>
      <w:r w:rsidR="00812AD0" w:rsidRPr="00427CDC">
        <w:rPr>
          <w:rFonts w:ascii="Mokka" w:hAnsi="Mokka"/>
        </w:rPr>
        <w:t>l</w:t>
      </w:r>
      <w:r w:rsidR="00797450" w:rsidRPr="00427CDC">
        <w:rPr>
          <w:rFonts w:ascii="Mokka" w:hAnsi="Mokka"/>
        </w:rPr>
        <w:t xml:space="preserve">ysis of </w:t>
      </w:r>
      <w:r w:rsidR="00697305" w:rsidRPr="00427CDC">
        <w:rPr>
          <w:rFonts w:ascii="Mokka" w:hAnsi="Mokka"/>
        </w:rPr>
        <w:t>the</w:t>
      </w:r>
      <w:r w:rsidR="00BE3BDC" w:rsidRPr="00427CDC">
        <w:rPr>
          <w:rFonts w:ascii="Mokka" w:hAnsi="Mokka"/>
        </w:rPr>
        <w:t xml:space="preserve">ir contribution </w:t>
      </w:r>
      <w:r w:rsidR="00797450" w:rsidRPr="00427CDC">
        <w:rPr>
          <w:rFonts w:ascii="Mokka" w:hAnsi="Mokka"/>
        </w:rPr>
        <w:t>to the</w:t>
      </w:r>
      <w:r w:rsidR="00BE3BDC" w:rsidRPr="00427CDC">
        <w:rPr>
          <w:rFonts w:ascii="Mokka" w:hAnsi="Mokka"/>
        </w:rPr>
        <w:t xml:space="preserve"> sector</w:t>
      </w:r>
      <w:r w:rsidR="00694C66" w:rsidRPr="00427CDC">
        <w:rPr>
          <w:rFonts w:ascii="Mokka" w:hAnsi="Mokka"/>
        </w:rPr>
        <w:t xml:space="preserve"> must be added to the report (see references listed at the end).</w:t>
      </w:r>
      <w:r w:rsidR="003D0B4F">
        <w:rPr>
          <w:rFonts w:ascii="Mokka" w:hAnsi="Mokka"/>
        </w:rPr>
        <w:t xml:space="preserve"> </w:t>
      </w:r>
    </w:p>
    <w:p w:rsidR="00427CDC" w:rsidRPr="00427CDC" w:rsidRDefault="00427CDC" w:rsidP="00D751E5">
      <w:pPr>
        <w:spacing w:after="0" w:line="240" w:lineRule="auto"/>
        <w:rPr>
          <w:rFonts w:ascii="Mokka" w:hAnsi="Mokka"/>
        </w:rPr>
      </w:pPr>
    </w:p>
    <w:p w:rsidR="009644D7" w:rsidRPr="00427CDC" w:rsidRDefault="00D8412D" w:rsidP="00D751E5">
      <w:pPr>
        <w:spacing w:after="0" w:line="240" w:lineRule="auto"/>
        <w:rPr>
          <w:rFonts w:ascii="Museo Sans 300" w:hAnsi="Museo Sans 300"/>
          <w:b/>
        </w:rPr>
      </w:pPr>
      <w:r w:rsidRPr="00427CDC">
        <w:rPr>
          <w:rFonts w:ascii="Museo Sans 300" w:hAnsi="Museo Sans 300"/>
          <w:b/>
        </w:rPr>
        <w:t>Agroecology as a M</w:t>
      </w:r>
      <w:r w:rsidR="00772E21" w:rsidRPr="00427CDC">
        <w:rPr>
          <w:rFonts w:ascii="Museo Sans 300" w:hAnsi="Museo Sans 300"/>
          <w:b/>
        </w:rPr>
        <w:t xml:space="preserve">ajor </w:t>
      </w:r>
      <w:r w:rsidRPr="00427CDC">
        <w:rPr>
          <w:rFonts w:ascii="Museo Sans 300" w:hAnsi="Museo Sans 300"/>
          <w:b/>
        </w:rPr>
        <w:t>T</w:t>
      </w:r>
      <w:r w:rsidR="00772E21" w:rsidRPr="00427CDC">
        <w:rPr>
          <w:rFonts w:ascii="Museo Sans 300" w:hAnsi="Museo Sans 300"/>
          <w:b/>
        </w:rPr>
        <w:t xml:space="preserve">hrust of </w:t>
      </w:r>
      <w:r w:rsidRPr="00427CDC">
        <w:rPr>
          <w:rFonts w:ascii="Museo Sans 300" w:hAnsi="Museo Sans 300"/>
          <w:b/>
        </w:rPr>
        <w:t>R</w:t>
      </w:r>
      <w:r w:rsidR="00772E21" w:rsidRPr="00427CDC">
        <w:rPr>
          <w:rFonts w:ascii="Museo Sans 300" w:hAnsi="Museo Sans 300"/>
          <w:b/>
        </w:rPr>
        <w:t xml:space="preserve">eport </w:t>
      </w:r>
    </w:p>
    <w:p w:rsidR="00A20380" w:rsidRDefault="009644D7" w:rsidP="00D751E5">
      <w:pPr>
        <w:spacing w:after="0" w:line="240" w:lineRule="auto"/>
        <w:rPr>
          <w:rFonts w:ascii="Mokka" w:hAnsi="Mokka"/>
        </w:rPr>
      </w:pPr>
      <w:r w:rsidRPr="00427CDC">
        <w:rPr>
          <w:rFonts w:ascii="Mokka" w:hAnsi="Mokka"/>
        </w:rPr>
        <w:t xml:space="preserve">Agroecology </w:t>
      </w:r>
      <w:r w:rsidR="00797450" w:rsidRPr="00427CDC">
        <w:rPr>
          <w:rFonts w:ascii="Mokka" w:hAnsi="Mokka"/>
        </w:rPr>
        <w:t>is a critical</w:t>
      </w:r>
      <w:r w:rsidR="00D8412D" w:rsidRPr="00427CDC">
        <w:rPr>
          <w:rFonts w:ascii="Mokka" w:hAnsi="Mokka"/>
        </w:rPr>
        <w:t xml:space="preserve"> </w:t>
      </w:r>
      <w:r w:rsidR="00797450" w:rsidRPr="00427CDC">
        <w:rPr>
          <w:rFonts w:ascii="Mokka" w:hAnsi="Mokka"/>
        </w:rPr>
        <w:t xml:space="preserve">issue </w:t>
      </w:r>
      <w:r w:rsidR="00D8412D" w:rsidRPr="00427CDC">
        <w:rPr>
          <w:rFonts w:ascii="Mokka" w:hAnsi="Mokka"/>
        </w:rPr>
        <w:t xml:space="preserve">that the report neglects. </w:t>
      </w:r>
      <w:r w:rsidRPr="00427CDC">
        <w:rPr>
          <w:rFonts w:ascii="Mokka" w:hAnsi="Mokka"/>
        </w:rPr>
        <w:t>The report can provide a</w:t>
      </w:r>
      <w:r w:rsidR="007B154A" w:rsidRPr="00427CDC">
        <w:rPr>
          <w:rFonts w:ascii="Mokka" w:hAnsi="Mokka"/>
        </w:rPr>
        <w:t xml:space="preserve"> </w:t>
      </w:r>
      <w:r w:rsidRPr="00427CDC">
        <w:rPr>
          <w:rFonts w:ascii="Mokka" w:hAnsi="Mokka"/>
        </w:rPr>
        <w:t>valuable contribution to the small</w:t>
      </w:r>
      <w:r w:rsidR="00D8412D" w:rsidRPr="00427CDC">
        <w:rPr>
          <w:rFonts w:ascii="Mokka" w:hAnsi="Mokka"/>
        </w:rPr>
        <w:t xml:space="preserve">-scale producer </w:t>
      </w:r>
      <w:r w:rsidRPr="00427CDC">
        <w:rPr>
          <w:rFonts w:ascii="Mokka" w:hAnsi="Mokka"/>
        </w:rPr>
        <w:t xml:space="preserve">investment debate by providing examples of policy frameworks that have enabled successful, </w:t>
      </w:r>
      <w:r w:rsidR="00D8412D" w:rsidRPr="00427CDC">
        <w:rPr>
          <w:rFonts w:ascii="Mokka" w:hAnsi="Mokka"/>
        </w:rPr>
        <w:t xml:space="preserve">peasant-led </w:t>
      </w:r>
      <w:r w:rsidRPr="00427CDC">
        <w:rPr>
          <w:rFonts w:ascii="Mokka" w:hAnsi="Mokka"/>
        </w:rPr>
        <w:t>agroecology initiatives</w:t>
      </w:r>
      <w:r w:rsidR="00D8412D" w:rsidRPr="00427CDC">
        <w:rPr>
          <w:rFonts w:ascii="Mokka" w:hAnsi="Mokka"/>
        </w:rPr>
        <w:t>.</w:t>
      </w:r>
      <w:r w:rsidR="003D0B4F">
        <w:rPr>
          <w:rFonts w:ascii="Mokka" w:hAnsi="Mokka"/>
        </w:rPr>
        <w:t xml:space="preserve"> </w:t>
      </w:r>
      <w:r w:rsidR="007B154A" w:rsidRPr="00427CDC">
        <w:rPr>
          <w:rFonts w:ascii="Mokka" w:hAnsi="Mokka"/>
        </w:rPr>
        <w:t>(</w:t>
      </w:r>
      <w:r w:rsidR="00D8412D" w:rsidRPr="00427CDC">
        <w:rPr>
          <w:rFonts w:ascii="Mokka" w:hAnsi="Mokka"/>
        </w:rPr>
        <w:t>See the three Grassroots International case studies appended to these comments.</w:t>
      </w:r>
      <w:r w:rsidR="007B154A" w:rsidRPr="00427CDC">
        <w:rPr>
          <w:rFonts w:ascii="Mokka" w:hAnsi="Mokka"/>
        </w:rPr>
        <w:t>)</w:t>
      </w:r>
      <w:r w:rsidR="00D8412D" w:rsidRPr="00427CDC">
        <w:rPr>
          <w:rFonts w:ascii="Mokka" w:hAnsi="Mokka"/>
        </w:rPr>
        <w:t xml:space="preserve"> Numerous examples exist around the world </w:t>
      </w:r>
      <w:r w:rsidRPr="00427CDC">
        <w:rPr>
          <w:rFonts w:ascii="Mokka" w:hAnsi="Mokka"/>
        </w:rPr>
        <w:t xml:space="preserve">that </w:t>
      </w:r>
      <w:r w:rsidR="00D8412D" w:rsidRPr="00427CDC">
        <w:rPr>
          <w:rFonts w:ascii="Mokka" w:hAnsi="Mokka"/>
        </w:rPr>
        <w:t xml:space="preserve">show how they </w:t>
      </w:r>
      <w:r w:rsidRPr="00427CDC">
        <w:rPr>
          <w:rFonts w:ascii="Mokka" w:hAnsi="Mokka"/>
        </w:rPr>
        <w:t xml:space="preserve">not only improved the livelihoods and the environment of those growing food, but enabled </w:t>
      </w:r>
      <w:r w:rsidR="00D8412D" w:rsidRPr="00427CDC">
        <w:rPr>
          <w:rFonts w:ascii="Mokka" w:hAnsi="Mokka"/>
        </w:rPr>
        <w:t xml:space="preserve">these producers </w:t>
      </w:r>
      <w:r w:rsidRPr="00427CDC">
        <w:rPr>
          <w:rFonts w:ascii="Mokka" w:hAnsi="Mokka"/>
        </w:rPr>
        <w:t>to become more resilient in the face of new threats.</w:t>
      </w:r>
      <w:r w:rsidR="003D0B4F">
        <w:rPr>
          <w:rFonts w:ascii="Mokka" w:hAnsi="Mokka"/>
        </w:rPr>
        <w:t xml:space="preserve"> </w:t>
      </w:r>
      <w:r w:rsidRPr="00427CDC">
        <w:rPr>
          <w:rFonts w:ascii="Mokka" w:hAnsi="Mokka"/>
        </w:rPr>
        <w:t xml:space="preserve">The report </w:t>
      </w:r>
      <w:r w:rsidR="00D8412D" w:rsidRPr="00427CDC">
        <w:rPr>
          <w:rFonts w:ascii="Mokka" w:hAnsi="Mokka"/>
        </w:rPr>
        <w:t xml:space="preserve">should </w:t>
      </w:r>
      <w:r w:rsidRPr="00427CDC">
        <w:rPr>
          <w:rFonts w:ascii="Mokka" w:hAnsi="Mokka"/>
        </w:rPr>
        <w:t xml:space="preserve">help guide policy makers to </w:t>
      </w:r>
      <w:r w:rsidR="00D8412D" w:rsidRPr="00427CDC">
        <w:rPr>
          <w:rFonts w:ascii="Mokka" w:hAnsi="Mokka"/>
        </w:rPr>
        <w:t xml:space="preserve">learn how they can </w:t>
      </w:r>
      <w:r w:rsidR="00797450" w:rsidRPr="00427CDC">
        <w:rPr>
          <w:rFonts w:ascii="Mokka" w:hAnsi="Mokka"/>
        </w:rPr>
        <w:t xml:space="preserve">multiply </w:t>
      </w:r>
      <w:r w:rsidR="00A20380" w:rsidRPr="00427CDC">
        <w:rPr>
          <w:rFonts w:ascii="Mokka" w:hAnsi="Mokka"/>
        </w:rPr>
        <w:t>these approaches</w:t>
      </w:r>
      <w:r w:rsidR="00D8412D" w:rsidRPr="00427CDC">
        <w:rPr>
          <w:rFonts w:ascii="Mokka" w:hAnsi="Mokka"/>
        </w:rPr>
        <w:t xml:space="preserve"> and ensure that they are peasant-led</w:t>
      </w:r>
      <w:r w:rsidRPr="00427CDC">
        <w:rPr>
          <w:rFonts w:ascii="Mokka" w:hAnsi="Mokka"/>
        </w:rPr>
        <w:t>.</w:t>
      </w:r>
      <w:r w:rsidR="003D0B4F">
        <w:rPr>
          <w:rFonts w:ascii="Mokka" w:hAnsi="Mokka"/>
        </w:rPr>
        <w:t xml:space="preserve"> </w:t>
      </w:r>
    </w:p>
    <w:p w:rsidR="00427CDC" w:rsidRPr="00427CDC" w:rsidRDefault="00427CDC" w:rsidP="00D751E5">
      <w:pPr>
        <w:spacing w:after="0" w:line="240" w:lineRule="auto"/>
        <w:rPr>
          <w:rFonts w:ascii="Mokka" w:hAnsi="Mokka"/>
        </w:rPr>
      </w:pPr>
    </w:p>
    <w:p w:rsidR="009644D7" w:rsidRPr="00427CDC" w:rsidRDefault="009644D7" w:rsidP="00D751E5">
      <w:pPr>
        <w:spacing w:after="0" w:line="240" w:lineRule="auto"/>
        <w:rPr>
          <w:rFonts w:ascii="Mokka" w:hAnsi="Mokka"/>
        </w:rPr>
      </w:pPr>
      <w:r w:rsidRPr="00427CDC">
        <w:rPr>
          <w:rFonts w:ascii="Mokka" w:hAnsi="Mokka"/>
        </w:rPr>
        <w:t xml:space="preserve">The current draft </w:t>
      </w:r>
      <w:r w:rsidR="00A20380" w:rsidRPr="00427CDC">
        <w:rPr>
          <w:rFonts w:ascii="Mokka" w:hAnsi="Mokka"/>
        </w:rPr>
        <w:t>first mention</w:t>
      </w:r>
      <w:r w:rsidRPr="00427CDC">
        <w:rPr>
          <w:rFonts w:ascii="Mokka" w:hAnsi="Mokka"/>
        </w:rPr>
        <w:t xml:space="preserve">s </w:t>
      </w:r>
      <w:r w:rsidR="00A20380" w:rsidRPr="00427CDC">
        <w:rPr>
          <w:rFonts w:ascii="Mokka" w:hAnsi="Mokka"/>
        </w:rPr>
        <w:t>this approach on page 55 (c). The issue deserves a special chapter</w:t>
      </w:r>
      <w:r w:rsidR="00D8412D" w:rsidRPr="00427CDC">
        <w:rPr>
          <w:rFonts w:ascii="Mokka" w:hAnsi="Mokka"/>
        </w:rPr>
        <w:t xml:space="preserve">; </w:t>
      </w:r>
      <w:r w:rsidRPr="00427CDC">
        <w:rPr>
          <w:rFonts w:ascii="Mokka" w:hAnsi="Mokka"/>
        </w:rPr>
        <w:t xml:space="preserve">a framework for smallholder investment that promotes agroecology </w:t>
      </w:r>
      <w:r w:rsidR="00A20380" w:rsidRPr="00427CDC">
        <w:rPr>
          <w:rFonts w:ascii="Mokka" w:hAnsi="Mokka"/>
        </w:rPr>
        <w:t>could be elaborated in chapter 3. On page 59, agroecology is mentioned but we agree with Mr.</w:t>
      </w:r>
      <w:r w:rsidRPr="00427CDC">
        <w:rPr>
          <w:rFonts w:ascii="Mokka" w:hAnsi="Mokka"/>
        </w:rPr>
        <w:t xml:space="preserve"> Jacques</w:t>
      </w:r>
      <w:r w:rsidR="00A20380" w:rsidRPr="00427CDC">
        <w:rPr>
          <w:rFonts w:ascii="Mokka" w:hAnsi="Mokka"/>
        </w:rPr>
        <w:t xml:space="preserve"> Loy</w:t>
      </w:r>
      <w:r w:rsidRPr="00427CDC">
        <w:rPr>
          <w:rFonts w:ascii="Mokka" w:hAnsi="Mokka"/>
        </w:rPr>
        <w:t>at</w:t>
      </w:r>
      <w:r w:rsidR="00A20380" w:rsidRPr="00427CDC">
        <w:rPr>
          <w:rFonts w:ascii="Mokka" w:hAnsi="Mokka"/>
        </w:rPr>
        <w:t xml:space="preserve">’s comments (CIRAD) that the discussion is framed in a way that makes it an unviable option for most </w:t>
      </w:r>
      <w:r w:rsidR="002F5A03" w:rsidRPr="00427CDC">
        <w:rPr>
          <w:rFonts w:ascii="Mokka" w:hAnsi="Mokka"/>
        </w:rPr>
        <w:t>small-scale producers</w:t>
      </w:r>
      <w:r w:rsidR="00A20380" w:rsidRPr="00427CDC">
        <w:rPr>
          <w:rFonts w:ascii="Mokka" w:hAnsi="Mokka"/>
        </w:rPr>
        <w:t>.</w:t>
      </w:r>
      <w:r w:rsidR="003D0B4F">
        <w:rPr>
          <w:rFonts w:ascii="Mokka" w:hAnsi="Mokka"/>
        </w:rPr>
        <w:t xml:space="preserve"> </w:t>
      </w:r>
      <w:r w:rsidR="00283559" w:rsidRPr="00427CDC">
        <w:rPr>
          <w:rFonts w:ascii="Mokka" w:hAnsi="Mokka"/>
        </w:rPr>
        <w:t>A</w:t>
      </w:r>
      <w:r w:rsidR="00A20380" w:rsidRPr="00427CDC">
        <w:rPr>
          <w:rFonts w:ascii="Mokka" w:hAnsi="Mokka"/>
        </w:rPr>
        <w:t xml:space="preserve">ccess to cheap inputs and time saving devices seem to be portrayed as key priorities for </w:t>
      </w:r>
      <w:r w:rsidR="00283559" w:rsidRPr="00427CDC">
        <w:rPr>
          <w:rFonts w:ascii="Mokka" w:hAnsi="Mokka"/>
        </w:rPr>
        <w:t>s</w:t>
      </w:r>
      <w:r w:rsidR="002F5A03" w:rsidRPr="00427CDC">
        <w:rPr>
          <w:rFonts w:ascii="Mokka" w:hAnsi="Mokka"/>
        </w:rPr>
        <w:t>mall-scale producers</w:t>
      </w:r>
      <w:r w:rsidR="00283559" w:rsidRPr="00427CDC">
        <w:rPr>
          <w:rFonts w:ascii="Mokka" w:hAnsi="Mokka"/>
        </w:rPr>
        <w:t>,</w:t>
      </w:r>
      <w:r w:rsidR="00A20380" w:rsidRPr="00427CDC">
        <w:rPr>
          <w:rFonts w:ascii="Mokka" w:hAnsi="Mokka"/>
        </w:rPr>
        <w:t xml:space="preserve"> rather than risk-reduction and stable incomes.</w:t>
      </w:r>
      <w:r w:rsidR="003D0B4F">
        <w:rPr>
          <w:rFonts w:ascii="Mokka" w:hAnsi="Mokka"/>
        </w:rPr>
        <w:t xml:space="preserve"> </w:t>
      </w:r>
    </w:p>
    <w:p w:rsidR="00A20380" w:rsidRDefault="00283559" w:rsidP="00D751E5">
      <w:pPr>
        <w:spacing w:after="0" w:line="240" w:lineRule="auto"/>
        <w:rPr>
          <w:rFonts w:ascii="Mokka" w:hAnsi="Mokka"/>
        </w:rPr>
      </w:pPr>
      <w:r w:rsidRPr="00427CDC">
        <w:rPr>
          <w:rFonts w:ascii="Mokka" w:hAnsi="Mokka"/>
        </w:rPr>
        <w:t>Here are s</w:t>
      </w:r>
      <w:r w:rsidR="00A20380" w:rsidRPr="00427CDC">
        <w:rPr>
          <w:rFonts w:ascii="Mokka" w:hAnsi="Mokka"/>
        </w:rPr>
        <w:t xml:space="preserve">ome </w:t>
      </w:r>
      <w:r w:rsidRPr="00427CDC">
        <w:rPr>
          <w:rFonts w:ascii="Mokka" w:hAnsi="Mokka"/>
        </w:rPr>
        <w:t xml:space="preserve">points </w:t>
      </w:r>
      <w:r w:rsidR="00A20380" w:rsidRPr="00427CDC">
        <w:rPr>
          <w:rFonts w:ascii="Mokka" w:hAnsi="Mokka"/>
        </w:rPr>
        <w:t xml:space="preserve">about agroecology </w:t>
      </w:r>
      <w:r w:rsidRPr="00427CDC">
        <w:rPr>
          <w:rFonts w:ascii="Mokka" w:hAnsi="Mokka"/>
        </w:rPr>
        <w:t xml:space="preserve">to consider </w:t>
      </w:r>
      <w:r w:rsidR="00A20380" w:rsidRPr="00427CDC">
        <w:rPr>
          <w:rFonts w:ascii="Mokka" w:hAnsi="Mokka"/>
        </w:rPr>
        <w:t xml:space="preserve">and </w:t>
      </w:r>
      <w:r w:rsidRPr="00427CDC">
        <w:rPr>
          <w:rFonts w:ascii="Mokka" w:hAnsi="Mokka"/>
        </w:rPr>
        <w:t xml:space="preserve">some </w:t>
      </w:r>
      <w:r w:rsidR="00A20380" w:rsidRPr="00427CDC">
        <w:rPr>
          <w:rFonts w:ascii="Mokka" w:hAnsi="Mokka"/>
        </w:rPr>
        <w:t>constraints to small</w:t>
      </w:r>
      <w:r w:rsidRPr="00427CDC">
        <w:rPr>
          <w:rFonts w:ascii="Mokka" w:hAnsi="Mokka"/>
        </w:rPr>
        <w:t xml:space="preserve">-scale producer </w:t>
      </w:r>
      <w:r w:rsidR="00A20380" w:rsidRPr="00427CDC">
        <w:rPr>
          <w:rFonts w:ascii="Mokka" w:hAnsi="Mokka"/>
        </w:rPr>
        <w:t>investments:</w:t>
      </w:r>
    </w:p>
    <w:p w:rsidR="00427CDC" w:rsidRPr="00427CDC" w:rsidRDefault="00427CDC" w:rsidP="00D751E5">
      <w:pPr>
        <w:spacing w:after="0" w:line="240" w:lineRule="auto"/>
        <w:rPr>
          <w:rFonts w:ascii="Mokka" w:hAnsi="Mokka"/>
        </w:rPr>
      </w:pPr>
    </w:p>
    <w:p w:rsidR="00427CDC" w:rsidRDefault="00A20380" w:rsidP="00D751E5">
      <w:pPr>
        <w:pStyle w:val="ListParagraph"/>
        <w:numPr>
          <w:ilvl w:val="0"/>
          <w:numId w:val="2"/>
        </w:numPr>
        <w:spacing w:after="0" w:line="240" w:lineRule="auto"/>
        <w:rPr>
          <w:rFonts w:ascii="Mokka" w:hAnsi="Mokka"/>
        </w:rPr>
      </w:pPr>
      <w:r w:rsidRPr="00427CDC">
        <w:rPr>
          <w:rFonts w:ascii="Mokka" w:hAnsi="Mokka"/>
          <w:b/>
          <w:bCs/>
        </w:rPr>
        <w:t>Investing and the expansion in the use of agro-chemicals.</w:t>
      </w:r>
      <w:r w:rsidRPr="00427CDC">
        <w:rPr>
          <w:rFonts w:ascii="Mokka" w:hAnsi="Mokka"/>
        </w:rPr>
        <w:t xml:space="preserve"> In the past, investment programs for small scale farmers favored agribusinesses companies (producers of agrochemicals and hybrid seeds)</w:t>
      </w:r>
      <w:r w:rsidR="00C4148C" w:rsidRPr="00427CDC">
        <w:rPr>
          <w:rFonts w:ascii="Mokka" w:hAnsi="Mokka"/>
        </w:rPr>
        <w:t>. Lending programs often compel</w:t>
      </w:r>
      <w:r w:rsidR="00E70269" w:rsidRPr="00427CDC">
        <w:rPr>
          <w:rFonts w:ascii="Mokka" w:hAnsi="Mokka"/>
        </w:rPr>
        <w:t>led</w:t>
      </w:r>
      <w:r w:rsidR="00C4148C" w:rsidRPr="00427CDC">
        <w:rPr>
          <w:rFonts w:ascii="Mokka" w:hAnsi="Mokka"/>
        </w:rPr>
        <w:t xml:space="preserve"> farmers to </w:t>
      </w:r>
      <w:r w:rsidRPr="00427CDC">
        <w:rPr>
          <w:rFonts w:ascii="Mokka" w:hAnsi="Mokka"/>
        </w:rPr>
        <w:t>purchase specific pesticides and chemical fertilizers</w:t>
      </w:r>
      <w:r w:rsidR="00E70269" w:rsidRPr="00427CDC">
        <w:rPr>
          <w:rFonts w:ascii="Mokka" w:hAnsi="Mokka"/>
        </w:rPr>
        <w:t>, even against the borrowers’ will</w:t>
      </w:r>
      <w:r w:rsidRPr="00427CDC">
        <w:rPr>
          <w:rFonts w:ascii="Mokka" w:hAnsi="Mokka"/>
        </w:rPr>
        <w:t>. Bank managers made th</w:t>
      </w:r>
      <w:r w:rsidR="00283559" w:rsidRPr="00427CDC">
        <w:rPr>
          <w:rFonts w:ascii="Mokka" w:hAnsi="Mokka"/>
        </w:rPr>
        <w:t xml:space="preserve">e use of certain inputs </w:t>
      </w:r>
      <w:r w:rsidRPr="00427CDC">
        <w:rPr>
          <w:rFonts w:ascii="Mokka" w:hAnsi="Mokka"/>
        </w:rPr>
        <w:t xml:space="preserve">a condition </w:t>
      </w:r>
      <w:r w:rsidR="00C4148C" w:rsidRPr="00427CDC">
        <w:rPr>
          <w:rFonts w:ascii="Mokka" w:hAnsi="Mokka"/>
        </w:rPr>
        <w:t xml:space="preserve">of lending in order </w:t>
      </w:r>
      <w:r w:rsidR="00E91666">
        <w:rPr>
          <w:rFonts w:ascii="Mokka" w:hAnsi="Mokka"/>
        </w:rPr>
        <w:t>to “protect the investment</w:t>
      </w:r>
      <w:r w:rsidRPr="00427CDC">
        <w:rPr>
          <w:rFonts w:ascii="Mokka" w:hAnsi="Mokka"/>
        </w:rPr>
        <w:t>.</w:t>
      </w:r>
      <w:r w:rsidR="00E91666">
        <w:rPr>
          <w:rFonts w:ascii="Mokka" w:hAnsi="Mokka"/>
        </w:rPr>
        <w:t>”</w:t>
      </w:r>
      <w:r w:rsidRPr="00427CDC">
        <w:rPr>
          <w:rFonts w:ascii="Mokka" w:hAnsi="Mokka"/>
        </w:rPr>
        <w:t xml:space="preserve"> As result, </w:t>
      </w:r>
      <w:r w:rsidR="001F0846" w:rsidRPr="00427CDC">
        <w:rPr>
          <w:rFonts w:ascii="Mokka" w:hAnsi="Mokka"/>
        </w:rPr>
        <w:t xml:space="preserve">many </w:t>
      </w:r>
      <w:r w:rsidRPr="00427CDC">
        <w:rPr>
          <w:rFonts w:ascii="Mokka" w:hAnsi="Mokka"/>
        </w:rPr>
        <w:t>small scale farmers were forced to change their agricultur</w:t>
      </w:r>
      <w:r w:rsidR="00C4148C" w:rsidRPr="00427CDC">
        <w:rPr>
          <w:rFonts w:ascii="Mokka" w:hAnsi="Mokka"/>
        </w:rPr>
        <w:t>al practices</w:t>
      </w:r>
      <w:r w:rsidR="00283559" w:rsidRPr="00427CDC">
        <w:rPr>
          <w:rFonts w:ascii="Mokka" w:hAnsi="Mokka"/>
        </w:rPr>
        <w:t xml:space="preserve"> and became </w:t>
      </w:r>
      <w:r w:rsidRPr="00427CDC">
        <w:rPr>
          <w:rFonts w:ascii="Mokka" w:hAnsi="Mokka"/>
        </w:rPr>
        <w:t xml:space="preserve">dependent on </w:t>
      </w:r>
      <w:r w:rsidR="00283559" w:rsidRPr="00427CDC">
        <w:rPr>
          <w:rFonts w:ascii="Mokka" w:hAnsi="Mokka"/>
        </w:rPr>
        <w:t xml:space="preserve">externally purchased </w:t>
      </w:r>
      <w:r w:rsidR="00427CDC" w:rsidRPr="00427CDC">
        <w:rPr>
          <w:rFonts w:ascii="Mokka" w:hAnsi="Mokka"/>
        </w:rPr>
        <w:t>agrochemicals.</w:t>
      </w:r>
    </w:p>
    <w:p w:rsidR="00427CDC" w:rsidRDefault="00A20380" w:rsidP="00D751E5">
      <w:pPr>
        <w:pStyle w:val="ListParagraph"/>
        <w:numPr>
          <w:ilvl w:val="0"/>
          <w:numId w:val="2"/>
        </w:numPr>
        <w:spacing w:after="0" w:line="240" w:lineRule="auto"/>
        <w:rPr>
          <w:rFonts w:ascii="Mokka" w:hAnsi="Mokka"/>
        </w:rPr>
      </w:pPr>
      <w:r w:rsidRPr="00427CDC">
        <w:rPr>
          <w:rFonts w:ascii="Mokka" w:hAnsi="Mokka"/>
          <w:b/>
          <w:bCs/>
        </w:rPr>
        <w:t>Investing in agroecological practices</w:t>
      </w:r>
      <w:r w:rsidRPr="00427CDC">
        <w:rPr>
          <w:rFonts w:ascii="Mokka" w:hAnsi="Mokka"/>
        </w:rPr>
        <w:t xml:space="preserve">: The </w:t>
      </w:r>
      <w:r w:rsidR="001F0846" w:rsidRPr="00427CDC">
        <w:rPr>
          <w:rFonts w:ascii="Mokka" w:hAnsi="Mokka"/>
        </w:rPr>
        <w:t>a</w:t>
      </w:r>
      <w:r w:rsidRPr="00427CDC">
        <w:rPr>
          <w:rFonts w:ascii="Mokka" w:hAnsi="Mokka"/>
        </w:rPr>
        <w:t>groecological path to economically viable agriculture revives training and technical support in a very different manner</w:t>
      </w:r>
      <w:r w:rsidR="00283559" w:rsidRPr="00427CDC">
        <w:rPr>
          <w:rFonts w:ascii="Mokka" w:hAnsi="Mokka"/>
        </w:rPr>
        <w:t xml:space="preserve"> to dependence on agro-chemicals</w:t>
      </w:r>
      <w:r w:rsidRPr="00427CDC">
        <w:rPr>
          <w:rFonts w:ascii="Mokka" w:hAnsi="Mokka"/>
        </w:rPr>
        <w:t xml:space="preserve">, using low input, locally and ecologically appropriate practices that reduce risks for </w:t>
      </w:r>
      <w:r w:rsidR="00E91666">
        <w:rPr>
          <w:rFonts w:ascii="Mokka" w:hAnsi="Mokka"/>
        </w:rPr>
        <w:t>small-</w:t>
      </w:r>
      <w:r w:rsidR="002F5A03" w:rsidRPr="00427CDC">
        <w:rPr>
          <w:rFonts w:ascii="Mokka" w:hAnsi="Mokka"/>
        </w:rPr>
        <w:t>scale producers</w:t>
      </w:r>
      <w:r w:rsidRPr="00427CDC">
        <w:rPr>
          <w:rFonts w:ascii="Mokka" w:hAnsi="Mokka"/>
        </w:rPr>
        <w:t xml:space="preserve"> in the long</w:t>
      </w:r>
      <w:r w:rsidR="001F0846" w:rsidRPr="00427CDC">
        <w:rPr>
          <w:rFonts w:ascii="Mokka" w:hAnsi="Mokka"/>
        </w:rPr>
        <w:t xml:space="preserve"> </w:t>
      </w:r>
      <w:r w:rsidR="00427CDC">
        <w:rPr>
          <w:rFonts w:ascii="Mokka" w:hAnsi="Mokka"/>
        </w:rPr>
        <w:t xml:space="preserve">term. </w:t>
      </w:r>
    </w:p>
    <w:p w:rsidR="00427CDC" w:rsidRDefault="00427CDC" w:rsidP="00D751E5">
      <w:pPr>
        <w:pStyle w:val="ListParagraph"/>
        <w:spacing w:after="0" w:line="240" w:lineRule="auto"/>
        <w:ind w:left="758"/>
        <w:rPr>
          <w:rFonts w:ascii="Mokka" w:hAnsi="Mokka"/>
        </w:rPr>
      </w:pPr>
    </w:p>
    <w:p w:rsidR="00427CDC" w:rsidRDefault="00A20380" w:rsidP="00D751E5">
      <w:pPr>
        <w:spacing w:after="0" w:line="240" w:lineRule="auto"/>
        <w:ind w:left="38"/>
        <w:rPr>
          <w:rFonts w:ascii="Mokka" w:hAnsi="Mokka"/>
        </w:rPr>
      </w:pPr>
      <w:r w:rsidRPr="00427CDC">
        <w:rPr>
          <w:rFonts w:ascii="Mokka" w:hAnsi="Mokka"/>
        </w:rPr>
        <w:t>In the document, these two pieces are somewhat missing. Because of structural adjustment programs, technical assistance programs and research programs dedicated to small</w:t>
      </w:r>
      <w:r w:rsidR="00E91666">
        <w:rPr>
          <w:rFonts w:ascii="Mokka" w:hAnsi="Mokka"/>
        </w:rPr>
        <w:t>-</w:t>
      </w:r>
      <w:r w:rsidRPr="00427CDC">
        <w:rPr>
          <w:rFonts w:ascii="Mokka" w:hAnsi="Mokka"/>
        </w:rPr>
        <w:t xml:space="preserve">scale farming and agroecology have been </w:t>
      </w:r>
      <w:r w:rsidRPr="00427CDC">
        <w:rPr>
          <w:rFonts w:ascii="Mokka" w:hAnsi="Mokka"/>
        </w:rPr>
        <w:lastRenderedPageBreak/>
        <w:t>dismantled. Some governments tried to revive technical assistance through market-based solutions, e.g. debiting a percentage of the agriculture loan to pay for technical assistance. In the end, farmers paid with their own money for technical assistance</w:t>
      </w:r>
      <w:r w:rsidR="001F0846" w:rsidRPr="00427CDC">
        <w:rPr>
          <w:rFonts w:ascii="Mokka" w:hAnsi="Mokka"/>
        </w:rPr>
        <w:t xml:space="preserve"> that often did not meet their expressed needs</w:t>
      </w:r>
      <w:r w:rsidRPr="00427CDC">
        <w:rPr>
          <w:rFonts w:ascii="Mokka" w:hAnsi="Mokka"/>
        </w:rPr>
        <w:t>.</w:t>
      </w:r>
      <w:r w:rsidR="001F0846" w:rsidRPr="00427CDC">
        <w:rPr>
          <w:rFonts w:ascii="Mokka" w:hAnsi="Mokka"/>
        </w:rPr>
        <w:t xml:space="preserve"> While much could be done to expand knowledge through farmer-to-farmer exchanges (as in the case of the </w:t>
      </w:r>
      <w:hyperlink r:id="rId15" w:history="1">
        <w:r w:rsidR="001F0846" w:rsidRPr="00427CDC">
          <w:rPr>
            <w:rStyle w:val="Hyperlink"/>
            <w:rFonts w:ascii="Mokka" w:hAnsi="Mokka"/>
          </w:rPr>
          <w:t>Cambodian experience with the System of Rice Intensification</w:t>
        </w:r>
      </w:hyperlink>
      <w:r w:rsidR="001F0846" w:rsidRPr="00427CDC">
        <w:rPr>
          <w:rFonts w:ascii="Mokka" w:hAnsi="Mokka"/>
        </w:rPr>
        <w:t xml:space="preserve">), investments are also needed to provide training and technical assistance from </w:t>
      </w:r>
      <w:r w:rsidRPr="00427CDC">
        <w:rPr>
          <w:rFonts w:ascii="Mokka" w:hAnsi="Mokka"/>
        </w:rPr>
        <w:t>specialized practitioners in agroecology (farmers</w:t>
      </w:r>
      <w:r w:rsidR="00427CDC">
        <w:rPr>
          <w:rFonts w:ascii="Mokka" w:hAnsi="Mokka"/>
        </w:rPr>
        <w:t xml:space="preserve"> and agronomists).</w:t>
      </w:r>
    </w:p>
    <w:p w:rsidR="00427CDC" w:rsidRDefault="00427CDC" w:rsidP="00D751E5">
      <w:pPr>
        <w:spacing w:after="0" w:line="240" w:lineRule="auto"/>
        <w:ind w:left="38"/>
        <w:rPr>
          <w:rFonts w:ascii="Mokka" w:hAnsi="Mokka"/>
        </w:rPr>
      </w:pPr>
    </w:p>
    <w:p w:rsidR="00A20380" w:rsidRPr="00427CDC" w:rsidRDefault="00A20380" w:rsidP="00D751E5">
      <w:pPr>
        <w:pStyle w:val="ListParagraph"/>
        <w:numPr>
          <w:ilvl w:val="0"/>
          <w:numId w:val="2"/>
        </w:numPr>
        <w:spacing w:after="0" w:line="240" w:lineRule="auto"/>
        <w:rPr>
          <w:rFonts w:ascii="Mokka" w:hAnsi="Mokka"/>
        </w:rPr>
      </w:pPr>
      <w:r w:rsidRPr="00427CDC">
        <w:rPr>
          <w:rFonts w:ascii="Mokka" w:hAnsi="Mokka"/>
          <w:b/>
          <w:bCs/>
        </w:rPr>
        <w:t>Long-term investing vs. market-based investing</w:t>
      </w:r>
      <w:r w:rsidRPr="00427CDC">
        <w:rPr>
          <w:rFonts w:ascii="Mokka" w:hAnsi="Mokka"/>
        </w:rPr>
        <w:t xml:space="preserve">: Small scale farmers are often </w:t>
      </w:r>
      <w:r w:rsidR="001F0846" w:rsidRPr="00427CDC">
        <w:rPr>
          <w:rFonts w:ascii="Mokka" w:hAnsi="Mokka"/>
        </w:rPr>
        <w:t xml:space="preserve">skeptical </w:t>
      </w:r>
      <w:r w:rsidRPr="00427CDC">
        <w:rPr>
          <w:rFonts w:ascii="Mokka" w:hAnsi="Mokka"/>
        </w:rPr>
        <w:t xml:space="preserve">of investment programs because </w:t>
      </w:r>
      <w:r w:rsidR="001F0846" w:rsidRPr="00427CDC">
        <w:rPr>
          <w:rFonts w:ascii="Mokka" w:hAnsi="Mokka"/>
        </w:rPr>
        <w:t xml:space="preserve">too many of them </w:t>
      </w:r>
      <w:r w:rsidRPr="00427CDC">
        <w:rPr>
          <w:rFonts w:ascii="Mokka" w:hAnsi="Mokka"/>
        </w:rPr>
        <w:t>focus only on the financing aspects or short-term, market-based gains.</w:t>
      </w:r>
      <w:r w:rsidR="003D0B4F">
        <w:rPr>
          <w:rFonts w:ascii="Mokka" w:hAnsi="Mokka"/>
        </w:rPr>
        <w:t xml:space="preserve"> </w:t>
      </w:r>
      <w:r w:rsidRPr="00427CDC">
        <w:rPr>
          <w:rFonts w:ascii="Mokka" w:hAnsi="Mokka"/>
        </w:rPr>
        <w:t>This view has created a deep lack of trust on those programs among peasant farmers. In the HLPE report, a distinction between and analysis of long-term investment in small scale agriculture versus short-term market-based solutions should be included.</w:t>
      </w:r>
      <w:r w:rsidR="003D0B4F">
        <w:rPr>
          <w:rFonts w:ascii="Mokka" w:hAnsi="Mokka"/>
        </w:rPr>
        <w:t xml:space="preserve"> </w:t>
      </w:r>
      <w:r w:rsidRPr="00427CDC">
        <w:rPr>
          <w:rFonts w:ascii="Mokka" w:hAnsi="Mokka"/>
        </w:rPr>
        <w:t>Investing in agroecology requires a long-term strategy coupled with the financing of appropriate technical assistance, training and basic infrastructure.</w:t>
      </w:r>
      <w:r w:rsidR="003D0B4F">
        <w:rPr>
          <w:rFonts w:ascii="Mokka" w:hAnsi="Mokka"/>
        </w:rPr>
        <w:t xml:space="preserve"> </w:t>
      </w:r>
      <w:r w:rsidRPr="00427CDC">
        <w:rPr>
          <w:rFonts w:ascii="Mokka" w:hAnsi="Mokka"/>
        </w:rPr>
        <w:t xml:space="preserve">Such a framework can be developed through </w:t>
      </w:r>
      <w:r w:rsidR="00C4148C" w:rsidRPr="00427CDC">
        <w:rPr>
          <w:rFonts w:ascii="Mokka" w:hAnsi="Mokka"/>
        </w:rPr>
        <w:t xml:space="preserve">analysis of </w:t>
      </w:r>
      <w:r w:rsidRPr="00427CDC">
        <w:rPr>
          <w:rFonts w:ascii="Mokka" w:hAnsi="Mokka"/>
        </w:rPr>
        <w:t xml:space="preserve">the positive agroecological examples that are working for </w:t>
      </w:r>
      <w:r w:rsidR="002F5A03" w:rsidRPr="00427CDC">
        <w:rPr>
          <w:rFonts w:ascii="Mokka" w:hAnsi="Mokka"/>
        </w:rPr>
        <w:t>small-scale producers</w:t>
      </w:r>
      <w:r w:rsidRPr="00427CDC">
        <w:rPr>
          <w:rFonts w:ascii="Mokka" w:hAnsi="Mokka"/>
        </w:rPr>
        <w:t xml:space="preserve"> in different localities around the world.</w:t>
      </w:r>
      <w:r w:rsidR="003D0B4F">
        <w:rPr>
          <w:rFonts w:ascii="Mokka" w:hAnsi="Mokka"/>
        </w:rPr>
        <w:t xml:space="preserve"> </w:t>
      </w:r>
    </w:p>
    <w:p w:rsidR="00427CDC" w:rsidRPr="00427CDC" w:rsidRDefault="00427CDC" w:rsidP="00D751E5">
      <w:pPr>
        <w:spacing w:after="0" w:line="240" w:lineRule="auto"/>
        <w:rPr>
          <w:rFonts w:ascii="Mokka" w:hAnsi="Mokka"/>
        </w:rPr>
      </w:pPr>
    </w:p>
    <w:p w:rsidR="00C048D5" w:rsidRDefault="00C048D5" w:rsidP="00D751E5">
      <w:pPr>
        <w:spacing w:after="0" w:line="240" w:lineRule="auto"/>
        <w:rPr>
          <w:rFonts w:ascii="Mokka" w:hAnsi="Mokka"/>
          <w:color w:val="000000"/>
        </w:rPr>
      </w:pPr>
      <w:r w:rsidRPr="00427CDC">
        <w:rPr>
          <w:rFonts w:ascii="Mokka" w:hAnsi="Mokka"/>
          <w:color w:val="000000"/>
        </w:rPr>
        <w:t>In chapter 3,</w:t>
      </w:r>
      <w:r w:rsidR="00173504" w:rsidRPr="00427CDC">
        <w:rPr>
          <w:rFonts w:ascii="Mokka" w:hAnsi="Mokka"/>
          <w:color w:val="000000"/>
        </w:rPr>
        <w:t xml:space="preserve"> </w:t>
      </w:r>
      <w:r w:rsidR="00126041" w:rsidRPr="00427CDC">
        <w:rPr>
          <w:rFonts w:ascii="Mokka" w:hAnsi="Mokka"/>
          <w:color w:val="000000"/>
        </w:rPr>
        <w:t xml:space="preserve">the definition of </w:t>
      </w:r>
      <w:r w:rsidRPr="00427CDC">
        <w:rPr>
          <w:rFonts w:ascii="Mokka" w:hAnsi="Mokka"/>
          <w:color w:val="000000"/>
        </w:rPr>
        <w:t xml:space="preserve">investment </w:t>
      </w:r>
      <w:r w:rsidR="00126041" w:rsidRPr="00427CDC">
        <w:rPr>
          <w:rFonts w:ascii="Mokka" w:hAnsi="Mokka"/>
          <w:color w:val="000000"/>
        </w:rPr>
        <w:t xml:space="preserve">includes </w:t>
      </w:r>
      <w:r w:rsidRPr="00427CDC">
        <w:rPr>
          <w:rFonts w:ascii="Mokka" w:hAnsi="Mokka"/>
          <w:color w:val="000000"/>
        </w:rPr>
        <w:t xml:space="preserve">“human and ecological capital” but initially with narrow references to building soils, improved varieties or </w:t>
      </w:r>
      <w:r w:rsidR="00283559" w:rsidRPr="00427CDC">
        <w:rPr>
          <w:rFonts w:ascii="Mokka" w:hAnsi="Mokka"/>
          <w:color w:val="000000"/>
        </w:rPr>
        <w:t>larger sizes of herds</w:t>
      </w:r>
      <w:r w:rsidRPr="00427CDC">
        <w:rPr>
          <w:rFonts w:ascii="Mokka" w:hAnsi="Mokka"/>
          <w:color w:val="000000"/>
        </w:rPr>
        <w:t xml:space="preserve"> or creating “better cows.” In reality</w:t>
      </w:r>
      <w:r w:rsidR="00283559" w:rsidRPr="00427CDC">
        <w:rPr>
          <w:rFonts w:ascii="Mokka" w:hAnsi="Mokka"/>
          <w:color w:val="000000"/>
        </w:rPr>
        <w:t>,</w:t>
      </w:r>
      <w:r w:rsidRPr="00427CDC">
        <w:rPr>
          <w:rFonts w:ascii="Mokka" w:hAnsi="Mokka"/>
          <w:color w:val="000000"/>
        </w:rPr>
        <w:t xml:space="preserve"> and as the authors acknowledge in different parts of the report, small holder systems are more complex in that they are not </w:t>
      </w:r>
      <w:r w:rsidR="00CD16EF" w:rsidRPr="00427CDC">
        <w:rPr>
          <w:rFonts w:ascii="Mokka" w:hAnsi="Mokka"/>
          <w:color w:val="000000"/>
        </w:rPr>
        <w:t xml:space="preserve">narrowly </w:t>
      </w:r>
      <w:r w:rsidRPr="00427CDC">
        <w:rPr>
          <w:rFonts w:ascii="Mokka" w:hAnsi="Mokka"/>
          <w:color w:val="000000"/>
        </w:rPr>
        <w:t xml:space="preserve">geared towards more production </w:t>
      </w:r>
      <w:r w:rsidR="00283559" w:rsidRPr="00427CDC">
        <w:rPr>
          <w:rFonts w:ascii="Mokka" w:hAnsi="Mokka"/>
          <w:color w:val="000000"/>
        </w:rPr>
        <w:t xml:space="preserve">of one particular crop or animal, </w:t>
      </w:r>
      <w:r w:rsidRPr="00427CDC">
        <w:rPr>
          <w:rFonts w:ascii="Mokka" w:hAnsi="Mokka"/>
          <w:color w:val="000000"/>
        </w:rPr>
        <w:t xml:space="preserve">but </w:t>
      </w:r>
      <w:r w:rsidR="00283559" w:rsidRPr="00427CDC">
        <w:rPr>
          <w:rFonts w:ascii="Mokka" w:hAnsi="Mokka"/>
          <w:color w:val="000000"/>
        </w:rPr>
        <w:t xml:space="preserve">instead invest in </w:t>
      </w:r>
      <w:r w:rsidRPr="00427CDC">
        <w:rPr>
          <w:rFonts w:ascii="Mokka" w:hAnsi="Mokka"/>
          <w:color w:val="000000"/>
        </w:rPr>
        <w:t xml:space="preserve">a varied set of interests in the hope of an overall improved quality of life and wellbeing. </w:t>
      </w:r>
      <w:r w:rsidR="002F5A03" w:rsidRPr="00427CDC">
        <w:rPr>
          <w:rFonts w:ascii="Mokka" w:hAnsi="Mokka"/>
          <w:color w:val="000000"/>
        </w:rPr>
        <w:t>Small-scale producers</w:t>
      </w:r>
      <w:r w:rsidRPr="00427CDC">
        <w:rPr>
          <w:rFonts w:ascii="Mokka" w:hAnsi="Mokka"/>
          <w:color w:val="000000"/>
        </w:rPr>
        <w:t xml:space="preserve"> must grapple with their own position of power, resource tenure, input costs, labor, income, exposure to various risks including climate change and the economic context in which they function to achieve their desired quality of life.</w:t>
      </w:r>
      <w:r w:rsidR="003D0B4F">
        <w:rPr>
          <w:rFonts w:ascii="Mokka" w:hAnsi="Mokka"/>
          <w:color w:val="000000"/>
        </w:rPr>
        <w:t xml:space="preserve"> </w:t>
      </w:r>
      <w:r w:rsidRPr="00427CDC">
        <w:rPr>
          <w:rFonts w:ascii="Mokka" w:hAnsi="Mokka"/>
          <w:color w:val="000000"/>
        </w:rPr>
        <w:t>This should come out more clearly.</w:t>
      </w:r>
      <w:r w:rsidR="003D0B4F">
        <w:rPr>
          <w:rFonts w:ascii="Mokka" w:hAnsi="Mokka"/>
          <w:color w:val="000000"/>
        </w:rPr>
        <w:t xml:space="preserve"> </w:t>
      </w:r>
      <w:r w:rsidRPr="00427CDC">
        <w:rPr>
          <w:rFonts w:ascii="Mokka" w:hAnsi="Mokka"/>
          <w:color w:val="000000"/>
        </w:rPr>
        <w:t xml:space="preserve">The writers could therefore improve their analysis of the multifunctionality of agriculture and how the varied cultural, ecological, economic and social objectives of </w:t>
      </w:r>
      <w:r w:rsidR="002F5A03" w:rsidRPr="00427CDC">
        <w:rPr>
          <w:rFonts w:ascii="Mokka" w:hAnsi="Mokka"/>
          <w:color w:val="000000"/>
        </w:rPr>
        <w:t>small-scale producers</w:t>
      </w:r>
      <w:r w:rsidRPr="00427CDC">
        <w:rPr>
          <w:rFonts w:ascii="Mokka" w:hAnsi="Mokka"/>
          <w:color w:val="000000"/>
        </w:rPr>
        <w:t xml:space="preserve"> play into their investment decisions.</w:t>
      </w:r>
      <w:r w:rsidR="003D0B4F">
        <w:rPr>
          <w:rFonts w:ascii="Mokka" w:hAnsi="Mokka"/>
          <w:color w:val="000000"/>
        </w:rPr>
        <w:t xml:space="preserve"> </w:t>
      </w:r>
    </w:p>
    <w:p w:rsidR="00427CDC" w:rsidRPr="00427CDC" w:rsidRDefault="00427CDC" w:rsidP="00D751E5">
      <w:pPr>
        <w:spacing w:after="0" w:line="240" w:lineRule="auto"/>
        <w:rPr>
          <w:rFonts w:ascii="Mokka" w:hAnsi="Mokka"/>
          <w:color w:val="000000"/>
        </w:rPr>
      </w:pPr>
    </w:p>
    <w:p w:rsidR="00C048D5" w:rsidRDefault="00C048D5" w:rsidP="00D751E5">
      <w:pPr>
        <w:spacing w:after="0" w:line="240" w:lineRule="auto"/>
        <w:rPr>
          <w:rFonts w:ascii="Mokka" w:hAnsi="Mokka"/>
          <w:color w:val="000000"/>
        </w:rPr>
      </w:pPr>
      <w:r w:rsidRPr="00427CDC">
        <w:rPr>
          <w:rFonts w:ascii="Mokka" w:hAnsi="Mokka"/>
          <w:color w:val="000000"/>
        </w:rPr>
        <w:t>Also in chapter 3, the section on “natural capital” downplays the constraints associated with genetic material and its expropriation through increasingly stringent intellectual property rights regimes at the global, regional and national level</w:t>
      </w:r>
      <w:r w:rsidR="007B154A" w:rsidRPr="00427CDC">
        <w:rPr>
          <w:rFonts w:ascii="Mokka" w:hAnsi="Mokka"/>
          <w:color w:val="000000"/>
        </w:rPr>
        <w:t>s</w:t>
      </w:r>
      <w:r w:rsidR="00426BE8" w:rsidRPr="00427CDC">
        <w:rPr>
          <w:rFonts w:ascii="Mokka" w:hAnsi="Mokka"/>
          <w:color w:val="000000"/>
        </w:rPr>
        <w:t>. T</w:t>
      </w:r>
      <w:r w:rsidRPr="00427CDC">
        <w:rPr>
          <w:rFonts w:ascii="Mokka" w:hAnsi="Mokka"/>
          <w:color w:val="000000"/>
        </w:rPr>
        <w:t xml:space="preserve">hese constraints have not only </w:t>
      </w:r>
      <w:r w:rsidR="00283559" w:rsidRPr="00427CDC">
        <w:rPr>
          <w:rFonts w:ascii="Mokka" w:hAnsi="Mokka"/>
          <w:color w:val="000000"/>
        </w:rPr>
        <w:t xml:space="preserve">inhibited </w:t>
      </w:r>
      <w:r w:rsidRPr="00427CDC">
        <w:rPr>
          <w:rFonts w:ascii="Mokka" w:hAnsi="Mokka"/>
          <w:color w:val="000000"/>
        </w:rPr>
        <w:t>farmers</w:t>
      </w:r>
      <w:r w:rsidR="00283559" w:rsidRPr="00427CDC">
        <w:rPr>
          <w:rFonts w:ascii="Mokka" w:hAnsi="Mokka"/>
          <w:color w:val="000000"/>
        </w:rPr>
        <w:t>’ own</w:t>
      </w:r>
      <w:r w:rsidRPr="00427CDC">
        <w:rPr>
          <w:rFonts w:ascii="Mokka" w:hAnsi="Mokka"/>
          <w:color w:val="000000"/>
        </w:rPr>
        <w:t xml:space="preserve"> </w:t>
      </w:r>
      <w:r w:rsidR="00283559" w:rsidRPr="00427CDC">
        <w:rPr>
          <w:rFonts w:ascii="Mokka" w:hAnsi="Mokka"/>
          <w:color w:val="000000"/>
        </w:rPr>
        <w:t>breeding efforts and seed sharing</w:t>
      </w:r>
      <w:r w:rsidRPr="00427CDC">
        <w:rPr>
          <w:rFonts w:ascii="Mokka" w:hAnsi="Mokka"/>
          <w:color w:val="000000"/>
        </w:rPr>
        <w:t xml:space="preserve">, but also </w:t>
      </w:r>
      <w:r w:rsidR="00283559" w:rsidRPr="00427CDC">
        <w:rPr>
          <w:rFonts w:ascii="Mokka" w:hAnsi="Mokka"/>
          <w:color w:val="000000"/>
        </w:rPr>
        <w:t>pushed</w:t>
      </w:r>
      <w:r w:rsidRPr="00427CDC">
        <w:rPr>
          <w:rFonts w:ascii="Mokka" w:hAnsi="Mokka"/>
          <w:color w:val="000000"/>
        </w:rPr>
        <w:t xml:space="preserve"> research and development in</w:t>
      </w:r>
      <w:r w:rsidR="00283559" w:rsidRPr="00427CDC">
        <w:rPr>
          <w:rFonts w:ascii="Mokka" w:hAnsi="Mokka"/>
          <w:color w:val="000000"/>
        </w:rPr>
        <w:t>to exploring</w:t>
      </w:r>
      <w:r w:rsidRPr="00427CDC">
        <w:rPr>
          <w:rFonts w:ascii="Mokka" w:hAnsi="Mokka"/>
          <w:color w:val="000000"/>
        </w:rPr>
        <w:t xml:space="preserve"> </w:t>
      </w:r>
      <w:r w:rsidR="00E91666">
        <w:rPr>
          <w:rFonts w:ascii="Mokka" w:hAnsi="Mokka"/>
          <w:color w:val="000000"/>
        </w:rPr>
        <w:t xml:space="preserve">an </w:t>
      </w:r>
      <w:r w:rsidRPr="00427CDC">
        <w:rPr>
          <w:rFonts w:ascii="Mokka" w:hAnsi="Mokka"/>
          <w:color w:val="000000"/>
        </w:rPr>
        <w:t xml:space="preserve">ever narrower spectrum of seed varieties and animal breeds to the detriment of </w:t>
      </w:r>
      <w:r w:rsidR="00283559" w:rsidRPr="00427CDC">
        <w:rPr>
          <w:rFonts w:ascii="Mokka" w:hAnsi="Mokka"/>
          <w:color w:val="000000"/>
        </w:rPr>
        <w:t>biological diversity, food security</w:t>
      </w:r>
      <w:r w:rsidR="00E91666">
        <w:rPr>
          <w:rFonts w:ascii="Mokka" w:hAnsi="Mokka"/>
          <w:color w:val="000000"/>
        </w:rPr>
        <w:t>,</w:t>
      </w:r>
      <w:r w:rsidR="00283559" w:rsidRPr="00427CDC">
        <w:rPr>
          <w:rFonts w:ascii="Mokka" w:hAnsi="Mokka"/>
          <w:color w:val="000000"/>
        </w:rPr>
        <w:t xml:space="preserve"> and to the interests of </w:t>
      </w:r>
      <w:r w:rsidR="002F5A03" w:rsidRPr="00427CDC">
        <w:rPr>
          <w:rFonts w:ascii="Mokka" w:hAnsi="Mokka"/>
          <w:color w:val="000000"/>
        </w:rPr>
        <w:t>small-scale producers</w:t>
      </w:r>
      <w:r w:rsidR="00426BE8" w:rsidRPr="00427CDC">
        <w:rPr>
          <w:rFonts w:ascii="Mokka" w:hAnsi="Mokka"/>
          <w:color w:val="000000"/>
        </w:rPr>
        <w:t>.</w:t>
      </w:r>
      <w:r w:rsidR="003D0B4F">
        <w:rPr>
          <w:rFonts w:ascii="Mokka" w:hAnsi="Mokka"/>
          <w:color w:val="000000"/>
        </w:rPr>
        <w:t xml:space="preserve"> </w:t>
      </w:r>
      <w:r w:rsidR="00426BE8" w:rsidRPr="00427CDC">
        <w:rPr>
          <w:rFonts w:ascii="Mokka" w:hAnsi="Mokka"/>
          <w:color w:val="000000"/>
        </w:rPr>
        <w:t xml:space="preserve">These trends have not only increased </w:t>
      </w:r>
      <w:r w:rsidRPr="00427CDC">
        <w:rPr>
          <w:rFonts w:ascii="Mokka" w:hAnsi="Mokka"/>
          <w:color w:val="000000"/>
        </w:rPr>
        <w:t xml:space="preserve">input costs, </w:t>
      </w:r>
      <w:r w:rsidR="00426BE8" w:rsidRPr="00427CDC">
        <w:rPr>
          <w:rFonts w:ascii="Mokka" w:hAnsi="Mokka"/>
          <w:color w:val="000000"/>
        </w:rPr>
        <w:t xml:space="preserve">but also </w:t>
      </w:r>
      <w:r w:rsidR="00283559" w:rsidRPr="00427CDC">
        <w:rPr>
          <w:rFonts w:ascii="Mokka" w:hAnsi="Mokka"/>
          <w:color w:val="000000"/>
        </w:rPr>
        <w:t xml:space="preserve">left small-scale producers more exposed to </w:t>
      </w:r>
      <w:r w:rsidRPr="00427CDC">
        <w:rPr>
          <w:rFonts w:ascii="Mokka" w:hAnsi="Mokka"/>
          <w:color w:val="000000"/>
        </w:rPr>
        <w:t>climate change</w:t>
      </w:r>
      <w:r w:rsidR="00004968" w:rsidRPr="00427CDC">
        <w:rPr>
          <w:rFonts w:ascii="Mokka" w:hAnsi="Mokka"/>
          <w:color w:val="000000"/>
        </w:rPr>
        <w:t xml:space="preserve"> </w:t>
      </w:r>
      <w:r w:rsidR="00283559" w:rsidRPr="00427CDC">
        <w:rPr>
          <w:rFonts w:ascii="Mokka" w:hAnsi="Mokka"/>
          <w:color w:val="000000"/>
        </w:rPr>
        <w:t xml:space="preserve">by reducing the tools available to them to allow </w:t>
      </w:r>
      <w:r w:rsidR="00004968" w:rsidRPr="00427CDC">
        <w:rPr>
          <w:rFonts w:ascii="Mokka" w:hAnsi="Mokka"/>
          <w:color w:val="000000"/>
        </w:rPr>
        <w:t xml:space="preserve">them to </w:t>
      </w:r>
      <w:r w:rsidRPr="00427CDC">
        <w:rPr>
          <w:rFonts w:ascii="Mokka" w:hAnsi="Mokka"/>
          <w:color w:val="000000"/>
        </w:rPr>
        <w:t xml:space="preserve">adapt. </w:t>
      </w:r>
    </w:p>
    <w:p w:rsidR="00427CDC" w:rsidRPr="00427CDC" w:rsidRDefault="00427CDC" w:rsidP="00D751E5">
      <w:pPr>
        <w:spacing w:after="0" w:line="240" w:lineRule="auto"/>
        <w:rPr>
          <w:rFonts w:ascii="Mokka" w:hAnsi="Mokka"/>
          <w:color w:val="000000"/>
        </w:rPr>
      </w:pPr>
    </w:p>
    <w:p w:rsidR="00C048D5" w:rsidRDefault="00C048D5" w:rsidP="00D751E5">
      <w:pPr>
        <w:spacing w:after="0" w:line="240" w:lineRule="auto"/>
        <w:rPr>
          <w:rFonts w:ascii="Mokka" w:hAnsi="Mokka"/>
          <w:color w:val="000000"/>
        </w:rPr>
      </w:pPr>
      <w:r w:rsidRPr="00427CDC">
        <w:rPr>
          <w:rFonts w:ascii="Mokka" w:hAnsi="Mokka"/>
          <w:color w:val="000000"/>
        </w:rPr>
        <w:t xml:space="preserve">Similarly, a discussion of these assets deserves </w:t>
      </w:r>
      <w:r w:rsidR="007B154A" w:rsidRPr="00427CDC">
        <w:rPr>
          <w:rFonts w:ascii="Mokka" w:hAnsi="Mokka"/>
          <w:color w:val="000000"/>
        </w:rPr>
        <w:t xml:space="preserve">examination </w:t>
      </w:r>
      <w:r w:rsidRPr="00427CDC">
        <w:rPr>
          <w:rFonts w:ascii="Mokka" w:hAnsi="Mokka"/>
          <w:color w:val="000000"/>
        </w:rPr>
        <w:t xml:space="preserve">of the </w:t>
      </w:r>
      <w:r w:rsidRPr="00427CDC">
        <w:rPr>
          <w:rFonts w:ascii="Mokka" w:hAnsi="Mokka"/>
        </w:rPr>
        <w:t>legal and regulatory steps needed to ensure tenure rights.</w:t>
      </w:r>
      <w:r w:rsidR="003D0B4F">
        <w:rPr>
          <w:rFonts w:ascii="Mokka" w:hAnsi="Mokka"/>
        </w:rPr>
        <w:t xml:space="preserve"> </w:t>
      </w:r>
      <w:r w:rsidRPr="00427CDC">
        <w:rPr>
          <w:rFonts w:ascii="Mokka" w:hAnsi="Mokka"/>
        </w:rPr>
        <w:t>Investment goes where money can be made</w:t>
      </w:r>
      <w:r w:rsidR="00E91666">
        <w:rPr>
          <w:rFonts w:ascii="Mokka" w:hAnsi="Mokka"/>
        </w:rPr>
        <w:t>–</w:t>
      </w:r>
      <w:r w:rsidRPr="00427CDC">
        <w:rPr>
          <w:rFonts w:ascii="Mokka" w:hAnsi="Mokka"/>
        </w:rPr>
        <w:t xml:space="preserve">and that is determined by trade, investment and other rules. While the report puts a lot of emphasis on strengthening farmers’ voices and representation, the report must acknowledge the power of oligopolies in the global agriculture system, its excesses and how they prevent </w:t>
      </w:r>
      <w:r w:rsidR="002F5A03" w:rsidRPr="00427CDC">
        <w:rPr>
          <w:rFonts w:ascii="Mokka" w:hAnsi="Mokka"/>
        </w:rPr>
        <w:t>small-scale producers</w:t>
      </w:r>
      <w:r w:rsidRPr="00427CDC">
        <w:rPr>
          <w:rFonts w:ascii="Mokka" w:hAnsi="Mokka"/>
        </w:rPr>
        <w:t xml:space="preserve">’ </w:t>
      </w:r>
      <w:r w:rsidR="00126041" w:rsidRPr="00427CDC">
        <w:rPr>
          <w:rFonts w:ascii="Mokka" w:hAnsi="Mokka"/>
        </w:rPr>
        <w:t xml:space="preserve">markets from flourishing and </w:t>
      </w:r>
      <w:r w:rsidR="00004968" w:rsidRPr="00427CDC">
        <w:rPr>
          <w:rFonts w:ascii="Mokka" w:hAnsi="Mokka"/>
        </w:rPr>
        <w:t xml:space="preserve">stop </w:t>
      </w:r>
      <w:r w:rsidR="00126041" w:rsidRPr="00427CDC">
        <w:rPr>
          <w:rFonts w:ascii="Mokka" w:hAnsi="Mokka"/>
        </w:rPr>
        <w:t xml:space="preserve">their </w:t>
      </w:r>
      <w:r w:rsidRPr="00427CDC">
        <w:rPr>
          <w:rFonts w:ascii="Mokka" w:hAnsi="Mokka"/>
        </w:rPr>
        <w:t xml:space="preserve">voices </w:t>
      </w:r>
      <w:r w:rsidR="00E91666">
        <w:rPr>
          <w:rFonts w:ascii="Mokka" w:hAnsi="Mokka"/>
        </w:rPr>
        <w:t>from being</w:t>
      </w:r>
      <w:r w:rsidRPr="00427CDC">
        <w:rPr>
          <w:rFonts w:ascii="Mokka" w:hAnsi="Mokka"/>
        </w:rPr>
        <w:t xml:space="preserve"> heard.</w:t>
      </w:r>
      <w:r w:rsidR="003D0B4F">
        <w:rPr>
          <w:rFonts w:ascii="Mokka" w:hAnsi="Mokka"/>
        </w:rPr>
        <w:t xml:space="preserve"> </w:t>
      </w:r>
      <w:r w:rsidRPr="00427CDC">
        <w:rPr>
          <w:rFonts w:ascii="Mokka" w:hAnsi="Mokka"/>
        </w:rPr>
        <w:t xml:space="preserve">Real changes will </w:t>
      </w:r>
      <w:r w:rsidR="00126041" w:rsidRPr="00427CDC">
        <w:rPr>
          <w:rFonts w:ascii="Mokka" w:hAnsi="Mokka"/>
        </w:rPr>
        <w:t>only</w:t>
      </w:r>
      <w:r w:rsidR="00CD16EF" w:rsidRPr="00427CDC">
        <w:rPr>
          <w:rFonts w:ascii="Mokka" w:hAnsi="Mokka"/>
        </w:rPr>
        <w:t xml:space="preserve"> </w:t>
      </w:r>
      <w:r w:rsidRPr="00427CDC">
        <w:rPr>
          <w:rFonts w:ascii="Mokka" w:hAnsi="Mokka"/>
        </w:rPr>
        <w:t xml:space="preserve">be made when </w:t>
      </w:r>
      <w:r w:rsidR="00126041" w:rsidRPr="00427CDC">
        <w:rPr>
          <w:rFonts w:ascii="Mokka" w:hAnsi="Mokka"/>
        </w:rPr>
        <w:t>other much more</w:t>
      </w:r>
      <w:r w:rsidRPr="00427CDC">
        <w:rPr>
          <w:rFonts w:ascii="Mokka" w:hAnsi="Mokka"/>
        </w:rPr>
        <w:t xml:space="preserve"> powerful interests are not given the best seats at the policy and governance</w:t>
      </w:r>
      <w:r w:rsidR="00004968" w:rsidRPr="00427CDC">
        <w:rPr>
          <w:rFonts w:ascii="Mokka" w:hAnsi="Mokka"/>
        </w:rPr>
        <w:t xml:space="preserve"> decision-making</w:t>
      </w:r>
      <w:r w:rsidRPr="00427CDC">
        <w:rPr>
          <w:rFonts w:ascii="Mokka" w:hAnsi="Mokka"/>
        </w:rPr>
        <w:t xml:space="preserve"> table.</w:t>
      </w:r>
      <w:r w:rsidRPr="00427CDC">
        <w:rPr>
          <w:rFonts w:ascii="Mokka" w:hAnsi="Mokka"/>
          <w:color w:val="000000"/>
        </w:rPr>
        <w:t xml:space="preserve"> </w:t>
      </w:r>
    </w:p>
    <w:p w:rsidR="00427CDC" w:rsidRPr="00427CDC" w:rsidRDefault="00427CDC" w:rsidP="00D751E5">
      <w:pPr>
        <w:spacing w:after="0" w:line="240" w:lineRule="auto"/>
        <w:rPr>
          <w:rFonts w:ascii="Mokka" w:hAnsi="Mokka"/>
          <w:color w:val="000000"/>
        </w:rPr>
      </w:pPr>
    </w:p>
    <w:p w:rsidR="003C094D" w:rsidRDefault="00004968" w:rsidP="00D751E5">
      <w:pPr>
        <w:spacing w:after="0" w:line="240" w:lineRule="auto"/>
        <w:rPr>
          <w:rFonts w:ascii="Mokka" w:hAnsi="Mokka"/>
        </w:rPr>
      </w:pPr>
      <w:r w:rsidRPr="00427CDC">
        <w:rPr>
          <w:rFonts w:ascii="Mokka" w:hAnsi="Mokka"/>
        </w:rPr>
        <w:t>S</w:t>
      </w:r>
      <w:r w:rsidR="003C094D" w:rsidRPr="00427CDC">
        <w:rPr>
          <w:rFonts w:ascii="Mokka" w:hAnsi="Mokka"/>
        </w:rPr>
        <w:t>mall</w:t>
      </w:r>
      <w:r w:rsidRPr="00427CDC">
        <w:rPr>
          <w:rFonts w:ascii="Mokka" w:hAnsi="Mokka"/>
        </w:rPr>
        <w:t xml:space="preserve">-scale producers’ </w:t>
      </w:r>
      <w:r w:rsidR="003C094D" w:rsidRPr="00427CDC">
        <w:rPr>
          <w:rFonts w:ascii="Mokka" w:hAnsi="Mokka"/>
        </w:rPr>
        <w:t>assets also include their knowledge systems.</w:t>
      </w:r>
      <w:r w:rsidR="003D0B4F">
        <w:rPr>
          <w:rFonts w:ascii="Mokka" w:hAnsi="Mokka"/>
        </w:rPr>
        <w:t xml:space="preserve"> </w:t>
      </w:r>
      <w:r w:rsidR="002F5A03" w:rsidRPr="00427CDC">
        <w:rPr>
          <w:rFonts w:ascii="Mokka" w:hAnsi="Mokka"/>
        </w:rPr>
        <w:t>Small-scale producers</w:t>
      </w:r>
      <w:r w:rsidRPr="00427CDC">
        <w:rPr>
          <w:rFonts w:ascii="Mokka" w:hAnsi="Mokka"/>
        </w:rPr>
        <w:t xml:space="preserve"> cannot easily</w:t>
      </w:r>
      <w:r w:rsidR="003C094D" w:rsidRPr="00427CDC">
        <w:rPr>
          <w:rFonts w:ascii="Mokka" w:hAnsi="Mokka"/>
        </w:rPr>
        <w:t xml:space="preserve"> access credit or grants because their knowledge about natural resource management, agronomic practices, local marketing channels, traditional seed breeding </w:t>
      </w:r>
      <w:r w:rsidRPr="00427CDC">
        <w:rPr>
          <w:rFonts w:ascii="Mokka" w:hAnsi="Mokka"/>
        </w:rPr>
        <w:t xml:space="preserve">and so on </w:t>
      </w:r>
      <w:r w:rsidR="003C094D" w:rsidRPr="00427CDC">
        <w:rPr>
          <w:rFonts w:ascii="Mokka" w:hAnsi="Mokka"/>
        </w:rPr>
        <w:t xml:space="preserve">are not </w:t>
      </w:r>
      <w:r w:rsidRPr="00427CDC">
        <w:rPr>
          <w:rFonts w:ascii="Mokka" w:hAnsi="Mokka"/>
        </w:rPr>
        <w:t xml:space="preserve">appreciated </w:t>
      </w:r>
      <w:r w:rsidR="003C094D" w:rsidRPr="00427CDC">
        <w:rPr>
          <w:rFonts w:ascii="Mokka" w:hAnsi="Mokka"/>
        </w:rPr>
        <w:t>by government lenders or intergovernmental agencies.</w:t>
      </w:r>
      <w:r w:rsidR="003D0B4F">
        <w:rPr>
          <w:rFonts w:ascii="Mokka" w:hAnsi="Mokka"/>
        </w:rPr>
        <w:t xml:space="preserve"> </w:t>
      </w:r>
      <w:r w:rsidR="003C094D" w:rsidRPr="00427CDC">
        <w:rPr>
          <w:rFonts w:ascii="Mokka" w:hAnsi="Mokka"/>
        </w:rPr>
        <w:t>Governments must affirm the value of small</w:t>
      </w:r>
      <w:r w:rsidRPr="00427CDC">
        <w:rPr>
          <w:rFonts w:ascii="Mokka" w:hAnsi="Mokka"/>
        </w:rPr>
        <w:t xml:space="preserve">-scale producers’ </w:t>
      </w:r>
      <w:r w:rsidR="003C094D" w:rsidRPr="00427CDC">
        <w:rPr>
          <w:rFonts w:ascii="Mokka" w:hAnsi="Mokka"/>
        </w:rPr>
        <w:t>knowledge of food and agricultural systems and invest in them.</w:t>
      </w:r>
      <w:r w:rsidR="003D0B4F">
        <w:rPr>
          <w:rFonts w:ascii="Mokka" w:hAnsi="Mokka"/>
        </w:rPr>
        <w:t xml:space="preserve"> </w:t>
      </w:r>
    </w:p>
    <w:p w:rsidR="00427CDC" w:rsidRPr="00427CDC" w:rsidRDefault="00427CDC" w:rsidP="00D751E5">
      <w:pPr>
        <w:spacing w:after="0" w:line="240" w:lineRule="auto"/>
        <w:rPr>
          <w:rFonts w:ascii="Mokka" w:hAnsi="Mokka"/>
          <w:color w:val="000000"/>
        </w:rPr>
      </w:pPr>
    </w:p>
    <w:p w:rsidR="00D0509E" w:rsidRDefault="00126041" w:rsidP="00D751E5">
      <w:pPr>
        <w:spacing w:after="0" w:line="240" w:lineRule="auto"/>
        <w:rPr>
          <w:rFonts w:ascii="Mokka" w:hAnsi="Mokka"/>
        </w:rPr>
      </w:pPr>
      <w:r w:rsidRPr="00427CDC">
        <w:rPr>
          <w:rFonts w:ascii="Mokka" w:hAnsi="Mokka"/>
          <w:color w:val="000000"/>
        </w:rPr>
        <w:t xml:space="preserve">As such, the discussion on markets should </w:t>
      </w:r>
      <w:r w:rsidR="00812AD0" w:rsidRPr="00427CDC">
        <w:rPr>
          <w:rFonts w:ascii="Mokka" w:hAnsi="Mokka"/>
          <w:color w:val="000000"/>
        </w:rPr>
        <w:t xml:space="preserve">also </w:t>
      </w:r>
      <w:r w:rsidRPr="00427CDC">
        <w:rPr>
          <w:rFonts w:ascii="Mokka" w:hAnsi="Mokka"/>
          <w:color w:val="000000"/>
        </w:rPr>
        <w:t>include alternative markets and those created through government procurement in boosting investments</w:t>
      </w:r>
      <w:r w:rsidR="00D0509E" w:rsidRPr="00427CDC">
        <w:rPr>
          <w:rFonts w:ascii="Mokka" w:hAnsi="Mokka"/>
          <w:color w:val="000000"/>
        </w:rPr>
        <w:t xml:space="preserve"> (in addition to school feeding programs) </w:t>
      </w:r>
      <w:r w:rsidRPr="00427CDC">
        <w:rPr>
          <w:rFonts w:ascii="Mokka" w:hAnsi="Mokka"/>
          <w:color w:val="000000"/>
        </w:rPr>
        <w:t xml:space="preserve">into local food </w:t>
      </w:r>
      <w:r w:rsidRPr="00427CDC">
        <w:rPr>
          <w:rFonts w:ascii="Mokka" w:hAnsi="Mokka"/>
          <w:color w:val="000000"/>
        </w:rPr>
        <w:lastRenderedPageBreak/>
        <w:t>production.</w:t>
      </w:r>
      <w:r w:rsidR="003D0B4F">
        <w:rPr>
          <w:rFonts w:ascii="Mokka" w:hAnsi="Mokka"/>
          <w:color w:val="000000"/>
        </w:rPr>
        <w:t xml:space="preserve"> </w:t>
      </w:r>
      <w:r w:rsidR="00444DD6" w:rsidRPr="00427CDC">
        <w:rPr>
          <w:rFonts w:ascii="Mokka" w:hAnsi="Mokka"/>
          <w:color w:val="000000"/>
        </w:rPr>
        <w:t>D</w:t>
      </w:r>
      <w:r w:rsidR="00D0509E" w:rsidRPr="00427CDC">
        <w:rPr>
          <w:rFonts w:ascii="Mokka" w:hAnsi="Mokka"/>
          <w:color w:val="000000"/>
        </w:rPr>
        <w:t xml:space="preserve">ominant trade and investment policies </w:t>
      </w:r>
      <w:r w:rsidR="00D0509E" w:rsidRPr="00427CDC">
        <w:rPr>
          <w:rFonts w:ascii="Mokka" w:hAnsi="Mokka"/>
        </w:rPr>
        <w:t xml:space="preserve">pose genuine </w:t>
      </w:r>
      <w:r w:rsidR="00444DD6" w:rsidRPr="00427CDC">
        <w:rPr>
          <w:rFonts w:ascii="Mokka" w:hAnsi="Mokka"/>
        </w:rPr>
        <w:t xml:space="preserve">constraints </w:t>
      </w:r>
      <w:r w:rsidR="00D0509E" w:rsidRPr="00427CDC">
        <w:rPr>
          <w:rFonts w:ascii="Mokka" w:hAnsi="Mokka"/>
        </w:rPr>
        <w:t>to the existence of local and traditional markets</w:t>
      </w:r>
      <w:r w:rsidR="00444DD6" w:rsidRPr="00427CDC">
        <w:rPr>
          <w:rFonts w:ascii="Mokka" w:hAnsi="Mokka"/>
        </w:rPr>
        <w:t>.</w:t>
      </w:r>
      <w:r w:rsidR="003D0B4F">
        <w:rPr>
          <w:rFonts w:ascii="Mokka" w:hAnsi="Mokka"/>
        </w:rPr>
        <w:t xml:space="preserve"> </w:t>
      </w:r>
      <w:r w:rsidR="00444DD6" w:rsidRPr="00427CDC">
        <w:rPr>
          <w:rFonts w:ascii="Mokka" w:hAnsi="Mokka"/>
        </w:rPr>
        <w:t>These c</w:t>
      </w:r>
      <w:r w:rsidR="002073DE" w:rsidRPr="00427CDC">
        <w:rPr>
          <w:rFonts w:ascii="Mokka" w:hAnsi="Mokka"/>
        </w:rPr>
        <w:t xml:space="preserve">hallenges and solutions </w:t>
      </w:r>
      <w:r w:rsidR="00D0509E" w:rsidRPr="00427CDC">
        <w:rPr>
          <w:rFonts w:ascii="Mokka" w:hAnsi="Mokka"/>
        </w:rPr>
        <w:t>should be spelled out</w:t>
      </w:r>
      <w:r w:rsidR="002073DE" w:rsidRPr="00427CDC">
        <w:rPr>
          <w:rFonts w:ascii="Mokka" w:hAnsi="Mokka"/>
        </w:rPr>
        <w:t>.</w:t>
      </w:r>
      <w:r w:rsidR="00E91666">
        <w:rPr>
          <w:rFonts w:ascii="Mokka" w:hAnsi="Mokka"/>
        </w:rPr>
        <w:t xml:space="preserve"> </w:t>
      </w:r>
    </w:p>
    <w:p w:rsidR="00427CDC" w:rsidRPr="00427CDC" w:rsidRDefault="00427CDC" w:rsidP="00D751E5">
      <w:pPr>
        <w:spacing w:after="0" w:line="240" w:lineRule="auto"/>
        <w:rPr>
          <w:rFonts w:ascii="Mokka" w:hAnsi="Mokka"/>
        </w:rPr>
      </w:pPr>
    </w:p>
    <w:p w:rsidR="00993AC3" w:rsidRDefault="00D0509E" w:rsidP="00D751E5">
      <w:pPr>
        <w:spacing w:after="0" w:line="240" w:lineRule="auto"/>
        <w:rPr>
          <w:rFonts w:ascii="Mokka" w:hAnsi="Mokka"/>
          <w:color w:val="000000"/>
        </w:rPr>
      </w:pPr>
      <w:r w:rsidRPr="00427CDC">
        <w:rPr>
          <w:rFonts w:ascii="Mokka" w:hAnsi="Mokka"/>
          <w:color w:val="000000"/>
        </w:rPr>
        <w:t>Finally, a reference to Payment for Ecosystem Services</w:t>
      </w:r>
      <w:r w:rsidR="00CD16EF" w:rsidRPr="00427CDC">
        <w:rPr>
          <w:rFonts w:ascii="Mokka" w:hAnsi="Mokka"/>
          <w:color w:val="000000"/>
        </w:rPr>
        <w:t xml:space="preserve"> (PES)</w:t>
      </w:r>
      <w:r w:rsidRPr="00427CDC">
        <w:rPr>
          <w:rFonts w:ascii="Mokka" w:hAnsi="Mokka"/>
          <w:color w:val="000000"/>
        </w:rPr>
        <w:t xml:space="preserve"> is made in the paper.</w:t>
      </w:r>
      <w:r w:rsidR="003D0B4F">
        <w:rPr>
          <w:rFonts w:ascii="Mokka" w:hAnsi="Mokka"/>
          <w:color w:val="000000"/>
        </w:rPr>
        <w:t xml:space="preserve"> </w:t>
      </w:r>
      <w:r w:rsidRPr="00427CDC">
        <w:rPr>
          <w:rFonts w:ascii="Mokka" w:hAnsi="Mokka"/>
          <w:color w:val="000000"/>
        </w:rPr>
        <w:t xml:space="preserve">Many </w:t>
      </w:r>
      <w:r w:rsidR="00444DD6" w:rsidRPr="00427CDC">
        <w:rPr>
          <w:rFonts w:ascii="Mokka" w:hAnsi="Mokka"/>
          <w:color w:val="000000"/>
        </w:rPr>
        <w:t xml:space="preserve">controversial </w:t>
      </w:r>
      <w:r w:rsidRPr="00427CDC">
        <w:rPr>
          <w:rFonts w:ascii="Mokka" w:hAnsi="Mokka"/>
          <w:color w:val="000000"/>
        </w:rPr>
        <w:t xml:space="preserve">proposals are emerging under the </w:t>
      </w:r>
      <w:r w:rsidR="00CD16EF" w:rsidRPr="00427CDC">
        <w:rPr>
          <w:rFonts w:ascii="Mokka" w:hAnsi="Mokka"/>
          <w:color w:val="000000"/>
        </w:rPr>
        <w:t xml:space="preserve">general </w:t>
      </w:r>
      <w:r w:rsidRPr="00427CDC">
        <w:rPr>
          <w:rFonts w:ascii="Mokka" w:hAnsi="Mokka"/>
          <w:color w:val="000000"/>
        </w:rPr>
        <w:t>rubric of PES—</w:t>
      </w:r>
      <w:r w:rsidR="00004968" w:rsidRPr="00427CDC">
        <w:rPr>
          <w:rFonts w:ascii="Mokka" w:hAnsi="Mokka"/>
          <w:color w:val="000000"/>
        </w:rPr>
        <w:t xml:space="preserve">it is essential the </w:t>
      </w:r>
      <w:r w:rsidR="000B4E82" w:rsidRPr="00427CDC">
        <w:rPr>
          <w:rFonts w:ascii="Mokka" w:hAnsi="Mokka"/>
          <w:color w:val="000000"/>
        </w:rPr>
        <w:t xml:space="preserve">report not mention these ideas </w:t>
      </w:r>
      <w:r w:rsidR="00004968" w:rsidRPr="00427CDC">
        <w:rPr>
          <w:rFonts w:ascii="Mokka" w:hAnsi="Mokka"/>
          <w:color w:val="000000"/>
        </w:rPr>
        <w:t xml:space="preserve">without an in depth </w:t>
      </w:r>
      <w:r w:rsidRPr="00427CDC">
        <w:rPr>
          <w:rFonts w:ascii="Mokka" w:hAnsi="Mokka"/>
          <w:color w:val="000000"/>
        </w:rPr>
        <w:t xml:space="preserve">analysis of these proposals and their pros and cons for </w:t>
      </w:r>
      <w:r w:rsidR="002F5A03" w:rsidRPr="00427CDC">
        <w:rPr>
          <w:rFonts w:ascii="Mokka" w:hAnsi="Mokka"/>
          <w:color w:val="000000"/>
        </w:rPr>
        <w:t>small-scale producers</w:t>
      </w:r>
      <w:r w:rsidR="00004968" w:rsidRPr="00427CDC">
        <w:rPr>
          <w:rFonts w:ascii="Mokka" w:hAnsi="Mokka"/>
          <w:color w:val="000000"/>
        </w:rPr>
        <w:t>.</w:t>
      </w:r>
      <w:r w:rsidR="003D0B4F">
        <w:rPr>
          <w:rFonts w:ascii="Mokka" w:hAnsi="Mokka"/>
          <w:color w:val="000000"/>
        </w:rPr>
        <w:t xml:space="preserve"> </w:t>
      </w:r>
    </w:p>
    <w:p w:rsidR="00427CDC" w:rsidRPr="00427CDC" w:rsidRDefault="00427CDC" w:rsidP="00D751E5">
      <w:pPr>
        <w:spacing w:after="0" w:line="240" w:lineRule="auto"/>
        <w:rPr>
          <w:rFonts w:ascii="Mokka" w:hAnsi="Mokka"/>
          <w:b/>
          <w:color w:val="000000"/>
        </w:rPr>
      </w:pPr>
    </w:p>
    <w:p w:rsidR="00993AC3" w:rsidRPr="00427CDC" w:rsidRDefault="00BE3BDC" w:rsidP="00D751E5">
      <w:pPr>
        <w:spacing w:after="0" w:line="240" w:lineRule="auto"/>
        <w:rPr>
          <w:rFonts w:ascii="Museo Sans 300" w:hAnsi="Museo Sans 300"/>
          <w:b/>
          <w:color w:val="000000"/>
        </w:rPr>
      </w:pPr>
      <w:r w:rsidRPr="00427CDC">
        <w:rPr>
          <w:rFonts w:ascii="Museo Sans 300" w:hAnsi="Museo Sans 300"/>
          <w:b/>
          <w:color w:val="000000"/>
        </w:rPr>
        <w:t>F</w:t>
      </w:r>
      <w:r w:rsidR="00691051" w:rsidRPr="00427CDC">
        <w:rPr>
          <w:rFonts w:ascii="Museo Sans 300" w:hAnsi="Museo Sans 300"/>
          <w:b/>
          <w:color w:val="000000"/>
        </w:rPr>
        <w:t>ramework for Smallholder agriculture and related investments: is the typology useful, adequate and accessible for the problem at hand?</w:t>
      </w:r>
    </w:p>
    <w:p w:rsidR="00B954F9" w:rsidRDefault="00691051" w:rsidP="00D751E5">
      <w:pPr>
        <w:spacing w:after="0" w:line="240" w:lineRule="auto"/>
        <w:rPr>
          <w:rFonts w:ascii="Mokka" w:hAnsi="Mokka"/>
          <w:color w:val="000000"/>
        </w:rPr>
      </w:pPr>
      <w:r w:rsidRPr="00427CDC">
        <w:rPr>
          <w:rFonts w:ascii="Mokka" w:hAnsi="Mokka"/>
          <w:color w:val="000000"/>
        </w:rPr>
        <w:t xml:space="preserve">The description and framing of the typology in the summary and </w:t>
      </w:r>
      <w:r w:rsidR="00E16406" w:rsidRPr="00427CDC">
        <w:rPr>
          <w:rFonts w:ascii="Mokka" w:hAnsi="Mokka"/>
          <w:color w:val="000000"/>
        </w:rPr>
        <w:t xml:space="preserve">particularly </w:t>
      </w:r>
      <w:r w:rsidR="00B954F9" w:rsidRPr="00427CDC">
        <w:rPr>
          <w:rFonts w:ascii="Mokka" w:hAnsi="Mokka"/>
          <w:color w:val="000000"/>
        </w:rPr>
        <w:t xml:space="preserve">in the main body </w:t>
      </w:r>
      <w:r w:rsidRPr="00427CDC">
        <w:rPr>
          <w:rFonts w:ascii="Mokka" w:hAnsi="Mokka"/>
          <w:color w:val="000000"/>
        </w:rPr>
        <w:t xml:space="preserve">is confusing and </w:t>
      </w:r>
      <w:r w:rsidR="00E16406" w:rsidRPr="00427CDC">
        <w:rPr>
          <w:rFonts w:ascii="Mokka" w:hAnsi="Mokka"/>
          <w:color w:val="000000"/>
        </w:rPr>
        <w:t xml:space="preserve">it is </w:t>
      </w:r>
      <w:r w:rsidR="00B954F9" w:rsidRPr="00427CDC">
        <w:rPr>
          <w:rFonts w:ascii="Mokka" w:hAnsi="Mokka"/>
          <w:color w:val="000000"/>
        </w:rPr>
        <w:t>not entirely clear what the purpose of the typology is.</w:t>
      </w:r>
      <w:r w:rsidR="003D0B4F">
        <w:rPr>
          <w:rFonts w:ascii="Mokka" w:hAnsi="Mokka"/>
          <w:color w:val="000000"/>
        </w:rPr>
        <w:t xml:space="preserve"> </w:t>
      </w:r>
      <w:r w:rsidR="00B954F9" w:rsidRPr="00427CDC">
        <w:rPr>
          <w:rFonts w:ascii="Mokka" w:hAnsi="Mokka"/>
          <w:color w:val="000000"/>
        </w:rPr>
        <w:t>It would be good if the authors c</w:t>
      </w:r>
      <w:r w:rsidR="00C4148C" w:rsidRPr="00427CDC">
        <w:rPr>
          <w:rFonts w:ascii="Mokka" w:hAnsi="Mokka"/>
          <w:color w:val="000000"/>
        </w:rPr>
        <w:t>ould</w:t>
      </w:r>
      <w:r w:rsidR="00B954F9" w:rsidRPr="00427CDC">
        <w:rPr>
          <w:rFonts w:ascii="Mokka" w:hAnsi="Mokka"/>
          <w:color w:val="000000"/>
        </w:rPr>
        <w:t xml:space="preserve"> reframe it in a way that is easily accessible to policy makers and </w:t>
      </w:r>
      <w:r w:rsidR="00004968" w:rsidRPr="00427CDC">
        <w:rPr>
          <w:rFonts w:ascii="Mokka" w:hAnsi="Mokka"/>
          <w:color w:val="000000"/>
        </w:rPr>
        <w:t xml:space="preserve">that would help to </w:t>
      </w:r>
      <w:r w:rsidR="00B954F9" w:rsidRPr="00427CDC">
        <w:rPr>
          <w:rFonts w:ascii="Mokka" w:hAnsi="Mokka"/>
          <w:color w:val="000000"/>
        </w:rPr>
        <w:t>draw out 1) key investment constraints facing farmers and/or 2) key recommendations for promoting sound agroecological investment in small</w:t>
      </w:r>
      <w:r w:rsidR="00004968" w:rsidRPr="00427CDC">
        <w:rPr>
          <w:rFonts w:ascii="Mokka" w:hAnsi="Mokka"/>
          <w:color w:val="000000"/>
        </w:rPr>
        <w:t xml:space="preserve">-scale </w:t>
      </w:r>
      <w:r w:rsidR="00B954F9" w:rsidRPr="00427CDC">
        <w:rPr>
          <w:rFonts w:ascii="Mokka" w:hAnsi="Mokka"/>
          <w:color w:val="000000"/>
        </w:rPr>
        <w:t>agriculture.</w:t>
      </w:r>
      <w:r w:rsidR="003D0B4F">
        <w:rPr>
          <w:rFonts w:ascii="Mokka" w:hAnsi="Mokka"/>
          <w:color w:val="000000"/>
        </w:rPr>
        <w:t xml:space="preserve"> </w:t>
      </w:r>
      <w:r w:rsidR="00B954F9" w:rsidRPr="00427CDC">
        <w:rPr>
          <w:rFonts w:ascii="Mokka" w:hAnsi="Mokka"/>
          <w:color w:val="000000"/>
        </w:rPr>
        <w:t>The term “territoriality” is</w:t>
      </w:r>
      <w:r w:rsidR="004B0EF6" w:rsidRPr="00427CDC">
        <w:rPr>
          <w:rFonts w:ascii="Mokka" w:hAnsi="Mokka"/>
          <w:color w:val="000000"/>
        </w:rPr>
        <w:t xml:space="preserve"> used in the s</w:t>
      </w:r>
      <w:r w:rsidR="00B954F9" w:rsidRPr="00427CDC">
        <w:rPr>
          <w:rFonts w:ascii="Mokka" w:hAnsi="Mokka"/>
          <w:color w:val="000000"/>
        </w:rPr>
        <w:t>ummary without defining it</w:t>
      </w:r>
      <w:r w:rsidR="00004968" w:rsidRPr="00427CDC">
        <w:rPr>
          <w:rFonts w:ascii="Mokka" w:hAnsi="Mokka"/>
          <w:color w:val="000000"/>
        </w:rPr>
        <w:t>.</w:t>
      </w:r>
      <w:r w:rsidR="003D0B4F">
        <w:rPr>
          <w:rFonts w:ascii="Mokka" w:hAnsi="Mokka"/>
          <w:color w:val="000000"/>
        </w:rPr>
        <w:t xml:space="preserve"> </w:t>
      </w:r>
      <w:r w:rsidR="00004968" w:rsidRPr="00427CDC">
        <w:rPr>
          <w:rFonts w:ascii="Mokka" w:hAnsi="Mokka"/>
          <w:color w:val="000000"/>
        </w:rPr>
        <w:t xml:space="preserve">There is a </w:t>
      </w:r>
      <w:r w:rsidR="00B954F9" w:rsidRPr="00427CDC">
        <w:rPr>
          <w:rFonts w:ascii="Mokka" w:hAnsi="Mokka"/>
          <w:color w:val="000000"/>
        </w:rPr>
        <w:t>definition on the last page of the draft</w:t>
      </w:r>
      <w:r w:rsidR="00004968" w:rsidRPr="00427CDC">
        <w:rPr>
          <w:rFonts w:ascii="Mokka" w:hAnsi="Mokka"/>
          <w:color w:val="000000"/>
        </w:rPr>
        <w:t xml:space="preserve">, but it is potentially </w:t>
      </w:r>
      <w:r w:rsidR="004B0EF6" w:rsidRPr="00427CDC">
        <w:rPr>
          <w:rFonts w:ascii="Mokka" w:hAnsi="Mokka"/>
          <w:color w:val="000000"/>
        </w:rPr>
        <w:t>problematic</w:t>
      </w:r>
      <w:r w:rsidR="00004968" w:rsidRPr="00427CDC">
        <w:rPr>
          <w:rFonts w:ascii="Mokka" w:hAnsi="Mokka"/>
          <w:color w:val="000000"/>
        </w:rPr>
        <w:t>.</w:t>
      </w:r>
      <w:r w:rsidR="003D0B4F">
        <w:rPr>
          <w:rFonts w:ascii="Mokka" w:hAnsi="Mokka"/>
          <w:color w:val="000000"/>
        </w:rPr>
        <w:t xml:space="preserve"> </w:t>
      </w:r>
      <w:r w:rsidR="00004968" w:rsidRPr="00427CDC">
        <w:rPr>
          <w:rFonts w:ascii="Mokka" w:hAnsi="Mokka"/>
          <w:color w:val="000000"/>
        </w:rPr>
        <w:t>The definit</w:t>
      </w:r>
      <w:r w:rsidR="0079007A" w:rsidRPr="00427CDC">
        <w:rPr>
          <w:rFonts w:ascii="Mokka" w:hAnsi="Mokka"/>
          <w:color w:val="000000"/>
        </w:rPr>
        <w:t>i</w:t>
      </w:r>
      <w:r w:rsidR="00004968" w:rsidRPr="00427CDC">
        <w:rPr>
          <w:rFonts w:ascii="Mokka" w:hAnsi="Mokka"/>
          <w:color w:val="000000"/>
        </w:rPr>
        <w:t>on:</w:t>
      </w:r>
      <w:r w:rsidR="00E16406" w:rsidRPr="00427CDC">
        <w:rPr>
          <w:rFonts w:ascii="Mokka" w:hAnsi="Mokka"/>
          <w:color w:val="000000"/>
        </w:rPr>
        <w:t xml:space="preserve"> “land occupied and appropriated by a social group”</w:t>
      </w:r>
      <w:r w:rsidR="00004968" w:rsidRPr="00427CDC">
        <w:rPr>
          <w:rFonts w:ascii="Mokka" w:hAnsi="Mokka"/>
          <w:color w:val="000000"/>
        </w:rPr>
        <w:t xml:space="preserve"> </w:t>
      </w:r>
      <w:r w:rsidR="0079007A" w:rsidRPr="00427CDC">
        <w:rPr>
          <w:rFonts w:ascii="Mokka" w:hAnsi="Mokka"/>
          <w:color w:val="000000"/>
        </w:rPr>
        <w:t>i</w:t>
      </w:r>
      <w:r w:rsidR="00004968" w:rsidRPr="00427CDC">
        <w:rPr>
          <w:rFonts w:ascii="Mokka" w:hAnsi="Mokka"/>
          <w:color w:val="000000"/>
        </w:rPr>
        <w:t xml:space="preserve">s not satisfactory. </w:t>
      </w:r>
      <w:r w:rsidR="00E16406" w:rsidRPr="00427CDC">
        <w:rPr>
          <w:rFonts w:ascii="Mokka" w:hAnsi="Mokka"/>
          <w:color w:val="000000"/>
        </w:rPr>
        <w:t xml:space="preserve">It is not clear </w:t>
      </w:r>
      <w:r w:rsidR="00BE3BDC" w:rsidRPr="00427CDC">
        <w:rPr>
          <w:rFonts w:ascii="Mokka" w:hAnsi="Mokka"/>
          <w:color w:val="000000"/>
        </w:rPr>
        <w:t xml:space="preserve">in the presentation </w:t>
      </w:r>
      <w:r w:rsidR="00E16406" w:rsidRPr="00427CDC">
        <w:rPr>
          <w:rFonts w:ascii="Mokka" w:hAnsi="Mokka"/>
          <w:color w:val="000000"/>
        </w:rPr>
        <w:t xml:space="preserve">how this term helps to </w:t>
      </w:r>
      <w:r w:rsidR="00004968" w:rsidRPr="00427CDC">
        <w:rPr>
          <w:rFonts w:ascii="Mokka" w:hAnsi="Mokka"/>
          <w:color w:val="000000"/>
        </w:rPr>
        <w:t xml:space="preserve">explain </w:t>
      </w:r>
      <w:r w:rsidR="00E16406" w:rsidRPr="00427CDC">
        <w:rPr>
          <w:rFonts w:ascii="Mokka" w:hAnsi="Mokka"/>
          <w:color w:val="000000"/>
        </w:rPr>
        <w:t xml:space="preserve">the constraints and solutions to </w:t>
      </w:r>
      <w:r w:rsidR="00004968" w:rsidRPr="00427CDC">
        <w:rPr>
          <w:rFonts w:ascii="Mokka" w:hAnsi="Mokka"/>
          <w:color w:val="000000"/>
        </w:rPr>
        <w:t xml:space="preserve">investments in </w:t>
      </w:r>
      <w:r w:rsidR="00E16406" w:rsidRPr="00427CDC">
        <w:rPr>
          <w:rFonts w:ascii="Mokka" w:hAnsi="Mokka"/>
          <w:color w:val="000000"/>
        </w:rPr>
        <w:t>small</w:t>
      </w:r>
      <w:r w:rsidR="00004968" w:rsidRPr="00427CDC">
        <w:rPr>
          <w:rFonts w:ascii="Mokka" w:hAnsi="Mokka"/>
          <w:color w:val="000000"/>
        </w:rPr>
        <w:t xml:space="preserve">-scale </w:t>
      </w:r>
      <w:r w:rsidR="00E16406" w:rsidRPr="00427CDC">
        <w:rPr>
          <w:rFonts w:ascii="Mokka" w:hAnsi="Mokka"/>
          <w:color w:val="000000"/>
        </w:rPr>
        <w:t>agriculture.</w:t>
      </w:r>
      <w:r w:rsidR="00B954F9" w:rsidRPr="00427CDC">
        <w:rPr>
          <w:rFonts w:ascii="Mokka" w:hAnsi="Mokka"/>
          <w:color w:val="000000"/>
        </w:rPr>
        <w:t xml:space="preserve"> </w:t>
      </w:r>
      <w:r w:rsidR="00004968" w:rsidRPr="00427CDC">
        <w:rPr>
          <w:rFonts w:ascii="Mokka" w:hAnsi="Mokka"/>
          <w:color w:val="000000"/>
        </w:rPr>
        <w:t xml:space="preserve">This needs to be </w:t>
      </w:r>
      <w:r w:rsidR="00BE3BDC" w:rsidRPr="00427CDC">
        <w:rPr>
          <w:rFonts w:ascii="Mokka" w:hAnsi="Mokka"/>
          <w:color w:val="000000"/>
        </w:rPr>
        <w:t>clarified.</w:t>
      </w:r>
    </w:p>
    <w:p w:rsidR="00427CDC" w:rsidRPr="00427CDC" w:rsidRDefault="00427CDC" w:rsidP="00D751E5">
      <w:pPr>
        <w:spacing w:after="0" w:line="240" w:lineRule="auto"/>
        <w:rPr>
          <w:rFonts w:ascii="Mokka" w:hAnsi="Mokka"/>
          <w:color w:val="000000"/>
        </w:rPr>
      </w:pPr>
    </w:p>
    <w:p w:rsidR="009A7085" w:rsidRPr="00427CDC" w:rsidRDefault="009978FA" w:rsidP="00D751E5">
      <w:pPr>
        <w:spacing w:after="0" w:line="240" w:lineRule="auto"/>
        <w:rPr>
          <w:rFonts w:ascii="Mokka" w:hAnsi="Mokka"/>
        </w:rPr>
      </w:pPr>
      <w:r w:rsidRPr="00427CDC">
        <w:rPr>
          <w:rFonts w:ascii="Mokka" w:hAnsi="Mokka"/>
        </w:rPr>
        <w:t xml:space="preserve">A </w:t>
      </w:r>
      <w:r w:rsidR="00555C16" w:rsidRPr="00427CDC">
        <w:rPr>
          <w:rFonts w:ascii="Mokka" w:hAnsi="Mokka"/>
        </w:rPr>
        <w:t>key recommendation of the report is</w:t>
      </w:r>
      <w:r w:rsidR="0079007A" w:rsidRPr="00427CDC">
        <w:rPr>
          <w:rFonts w:ascii="Mokka" w:hAnsi="Mokka"/>
        </w:rPr>
        <w:t xml:space="preserve"> the formation of</w:t>
      </w:r>
      <w:r w:rsidR="00555C16" w:rsidRPr="00427CDC">
        <w:rPr>
          <w:rFonts w:ascii="Mokka" w:hAnsi="Mokka"/>
        </w:rPr>
        <w:t xml:space="preserve"> a National Smallholder Vision and Strategic Framework.</w:t>
      </w:r>
      <w:r w:rsidR="003D0B4F">
        <w:rPr>
          <w:rFonts w:ascii="Mokka" w:hAnsi="Mokka"/>
        </w:rPr>
        <w:t xml:space="preserve"> </w:t>
      </w:r>
      <w:r w:rsidR="00555C16" w:rsidRPr="00427CDC">
        <w:rPr>
          <w:rFonts w:ascii="Mokka" w:hAnsi="Mokka"/>
        </w:rPr>
        <w:t>While this is a good proposal, it is important to go back to the report’s discussion about the power of small</w:t>
      </w:r>
      <w:r w:rsidR="00004968" w:rsidRPr="00427CDC">
        <w:rPr>
          <w:rFonts w:ascii="Mokka" w:hAnsi="Mokka"/>
        </w:rPr>
        <w:t xml:space="preserve">-scale producers’ </w:t>
      </w:r>
      <w:r w:rsidR="00555C16" w:rsidRPr="00427CDC">
        <w:rPr>
          <w:rFonts w:ascii="Mokka" w:hAnsi="Mokka"/>
        </w:rPr>
        <w:t>voices in shaping such a framework.</w:t>
      </w:r>
      <w:r w:rsidR="003D0B4F">
        <w:rPr>
          <w:rFonts w:ascii="Mokka" w:hAnsi="Mokka"/>
        </w:rPr>
        <w:t xml:space="preserve"> </w:t>
      </w:r>
      <w:r w:rsidR="00555C16" w:rsidRPr="00427CDC">
        <w:rPr>
          <w:rFonts w:ascii="Mokka" w:hAnsi="Mokka"/>
        </w:rPr>
        <w:t xml:space="preserve">As a starting point, it would be </w:t>
      </w:r>
      <w:r w:rsidR="0079007A" w:rsidRPr="00427CDC">
        <w:rPr>
          <w:rFonts w:ascii="Mokka" w:hAnsi="Mokka"/>
        </w:rPr>
        <w:t xml:space="preserve">important </w:t>
      </w:r>
      <w:r w:rsidR="00555C16" w:rsidRPr="00427CDC">
        <w:rPr>
          <w:rFonts w:ascii="Mokka" w:hAnsi="Mokka"/>
        </w:rPr>
        <w:t xml:space="preserve">to ask countries to share </w:t>
      </w:r>
      <w:r w:rsidR="0079007A" w:rsidRPr="00427CDC">
        <w:rPr>
          <w:rFonts w:ascii="Mokka" w:hAnsi="Mokka"/>
        </w:rPr>
        <w:t xml:space="preserve">their experiences with </w:t>
      </w:r>
      <w:r w:rsidR="00555C16" w:rsidRPr="00427CDC">
        <w:rPr>
          <w:rFonts w:ascii="Mokka" w:hAnsi="Mokka"/>
        </w:rPr>
        <w:t>any such processes that are already underway or reports published.</w:t>
      </w:r>
      <w:r w:rsidR="003D0B4F">
        <w:rPr>
          <w:rFonts w:ascii="Mokka" w:hAnsi="Mokka"/>
        </w:rPr>
        <w:t xml:space="preserve"> </w:t>
      </w:r>
      <w:r w:rsidR="00555C16" w:rsidRPr="00427CDC">
        <w:rPr>
          <w:rFonts w:ascii="Mokka" w:hAnsi="Mokka"/>
        </w:rPr>
        <w:t xml:space="preserve">The US government initiated such a process </w:t>
      </w:r>
      <w:r w:rsidR="005928D3" w:rsidRPr="00427CDC">
        <w:rPr>
          <w:rFonts w:ascii="Mokka" w:hAnsi="Mokka"/>
        </w:rPr>
        <w:t xml:space="preserve">through the </w:t>
      </w:r>
      <w:hyperlink r:id="rId16" w:history="1">
        <w:r w:rsidR="005928D3" w:rsidRPr="00427CDC">
          <w:rPr>
            <w:rStyle w:val="Hyperlink"/>
            <w:rFonts w:ascii="Mokka" w:hAnsi="Mokka"/>
          </w:rPr>
          <w:t>United States Department of Agriculture Commission on Small Farms which submitted its report</w:t>
        </w:r>
      </w:hyperlink>
      <w:r w:rsidR="005928D3" w:rsidRPr="00427CDC">
        <w:rPr>
          <w:rFonts w:ascii="Mokka" w:hAnsi="Mokka"/>
        </w:rPr>
        <w:t xml:space="preserve"> in 1998, </w:t>
      </w:r>
      <w:r w:rsidR="00555C16" w:rsidRPr="00427CDC">
        <w:rPr>
          <w:rFonts w:ascii="Mokka" w:hAnsi="Mokka"/>
        </w:rPr>
        <w:t>, but its recommendations have not been implemented.</w:t>
      </w:r>
      <w:r w:rsidR="003D0B4F">
        <w:rPr>
          <w:rFonts w:ascii="Mokka" w:hAnsi="Mokka"/>
        </w:rPr>
        <w:t xml:space="preserve"> </w:t>
      </w:r>
      <w:r w:rsidR="00555C16" w:rsidRPr="00427CDC">
        <w:rPr>
          <w:rFonts w:ascii="Mokka" w:hAnsi="Mokka"/>
        </w:rPr>
        <w:t>The Voluntary Guidelines on the Right to Food ask for nationally led inclusive processes to create national right to food strategies</w:t>
      </w:r>
      <w:r w:rsidR="00377EB3" w:rsidRPr="00427CDC">
        <w:rPr>
          <w:rFonts w:ascii="Mokka" w:hAnsi="Mokka"/>
        </w:rPr>
        <w:t>;</w:t>
      </w:r>
      <w:r w:rsidR="00555C16" w:rsidRPr="00427CDC">
        <w:rPr>
          <w:rFonts w:ascii="Mokka" w:hAnsi="Mokka"/>
        </w:rPr>
        <w:t xml:space="preserve"> the vision and strategic framework </w:t>
      </w:r>
      <w:r w:rsidR="00377EB3" w:rsidRPr="00427CDC">
        <w:rPr>
          <w:rFonts w:ascii="Mokka" w:hAnsi="Mokka"/>
        </w:rPr>
        <w:t xml:space="preserve">for small-scale producers </w:t>
      </w:r>
      <w:r w:rsidR="00555C16" w:rsidRPr="00427CDC">
        <w:rPr>
          <w:rFonts w:ascii="Mokka" w:hAnsi="Mokka"/>
        </w:rPr>
        <w:t>should be a part of that implemented process.</w:t>
      </w:r>
    </w:p>
    <w:p w:rsidR="00142C9B" w:rsidRPr="00427CDC" w:rsidRDefault="00142C9B" w:rsidP="00D751E5">
      <w:pPr>
        <w:spacing w:after="0" w:line="240" w:lineRule="auto"/>
        <w:rPr>
          <w:rFonts w:ascii="Mokka" w:hAnsi="Mokka"/>
        </w:rPr>
      </w:pPr>
    </w:p>
    <w:p w:rsidR="00142C9B" w:rsidRPr="00427CDC" w:rsidRDefault="00142C9B" w:rsidP="00D751E5">
      <w:pPr>
        <w:spacing w:after="0" w:line="240" w:lineRule="auto"/>
        <w:rPr>
          <w:rFonts w:ascii="Mokka" w:hAnsi="Mokka"/>
        </w:rPr>
      </w:pPr>
      <w:r w:rsidRPr="00427CDC">
        <w:rPr>
          <w:rFonts w:ascii="Mokka" w:hAnsi="Mokka"/>
        </w:rPr>
        <w:t>F</w:t>
      </w:r>
      <w:r w:rsidRPr="00427CDC">
        <w:rPr>
          <w:rFonts w:ascii="Mokka" w:hAnsi="Mokka"/>
          <w:b/>
        </w:rPr>
        <w:t>or more information about these comments, please contact:</w:t>
      </w:r>
    </w:p>
    <w:p w:rsidR="00142C9B" w:rsidRPr="00427CDC" w:rsidRDefault="00142C9B" w:rsidP="00D751E5">
      <w:pPr>
        <w:pStyle w:val="NoSpacing"/>
        <w:rPr>
          <w:rFonts w:ascii="Mokka" w:hAnsi="Mokka"/>
        </w:rPr>
      </w:pPr>
      <w:r w:rsidRPr="00427CDC">
        <w:rPr>
          <w:rFonts w:ascii="Mokka" w:hAnsi="Mokka"/>
        </w:rPr>
        <w:t>Shefali Sharma, Senior Policy Analyst</w:t>
      </w:r>
    </w:p>
    <w:p w:rsidR="00142C9B" w:rsidRPr="00427CDC" w:rsidRDefault="00142C9B" w:rsidP="00D751E5">
      <w:pPr>
        <w:pStyle w:val="NoSpacing"/>
        <w:rPr>
          <w:rFonts w:ascii="Mokka" w:hAnsi="Mokka"/>
        </w:rPr>
      </w:pPr>
      <w:r w:rsidRPr="00427CDC">
        <w:rPr>
          <w:rFonts w:ascii="Mokka" w:hAnsi="Mokka"/>
        </w:rPr>
        <w:t>Institute for Agriculture and Trade Policy</w:t>
      </w:r>
    </w:p>
    <w:p w:rsidR="00142C9B" w:rsidRPr="00427CDC" w:rsidRDefault="00383473" w:rsidP="00D751E5">
      <w:pPr>
        <w:pStyle w:val="NoSpacing"/>
        <w:rPr>
          <w:rFonts w:ascii="Mokka" w:hAnsi="Mokka"/>
        </w:rPr>
      </w:pPr>
      <w:hyperlink r:id="rId17" w:history="1">
        <w:r w:rsidR="00142C9B" w:rsidRPr="00427CDC">
          <w:rPr>
            <w:rStyle w:val="Hyperlink"/>
            <w:rFonts w:ascii="Mokka" w:hAnsi="Mokka"/>
          </w:rPr>
          <w:t>ssharma@iatp.org</w:t>
        </w:r>
      </w:hyperlink>
    </w:p>
    <w:p w:rsidR="00142C9B" w:rsidRDefault="00383473" w:rsidP="00D751E5">
      <w:pPr>
        <w:spacing w:after="0" w:line="240" w:lineRule="auto"/>
        <w:rPr>
          <w:rFonts w:ascii="Mokka" w:hAnsi="Mokka"/>
        </w:rPr>
      </w:pPr>
      <w:hyperlink r:id="rId18" w:history="1">
        <w:r w:rsidR="00427CDC" w:rsidRPr="004712DA">
          <w:rPr>
            <w:rStyle w:val="Hyperlink"/>
            <w:rFonts w:ascii="Mokka" w:hAnsi="Mokka"/>
          </w:rPr>
          <w:t>www.iatp.org</w:t>
        </w:r>
      </w:hyperlink>
    </w:p>
    <w:p w:rsidR="00427CDC" w:rsidRPr="00427CDC" w:rsidRDefault="00427CDC" w:rsidP="00D751E5">
      <w:pPr>
        <w:spacing w:after="0" w:line="240" w:lineRule="auto"/>
        <w:rPr>
          <w:rFonts w:ascii="Mokka" w:hAnsi="Mokka"/>
        </w:rPr>
      </w:pPr>
    </w:p>
    <w:p w:rsidR="00142C9B" w:rsidRPr="00427CDC" w:rsidRDefault="00142C9B" w:rsidP="00D751E5">
      <w:pPr>
        <w:spacing w:after="0" w:line="240" w:lineRule="auto"/>
        <w:rPr>
          <w:rFonts w:ascii="Mokka" w:hAnsi="Mokka"/>
          <w:b/>
        </w:rPr>
      </w:pPr>
      <w:r w:rsidRPr="00427CDC">
        <w:rPr>
          <w:rFonts w:ascii="Mokka" w:hAnsi="Mokka"/>
          <w:b/>
        </w:rPr>
        <w:t>Contact at Grassroots International:</w:t>
      </w:r>
    </w:p>
    <w:p w:rsidR="00427CDC" w:rsidRDefault="00142C9B" w:rsidP="00D751E5">
      <w:pPr>
        <w:spacing w:after="0" w:line="240" w:lineRule="auto"/>
        <w:rPr>
          <w:rFonts w:ascii="Mokka" w:hAnsi="Mokka"/>
        </w:rPr>
      </w:pPr>
      <w:r w:rsidRPr="00427CDC">
        <w:rPr>
          <w:rFonts w:ascii="Mokka" w:hAnsi="Mokka"/>
        </w:rPr>
        <w:t>Saulo Araújo, Program Coordinator for Latin America</w:t>
      </w:r>
      <w:r w:rsidRPr="00427CDC">
        <w:rPr>
          <w:rFonts w:ascii="Mokka" w:hAnsi="Mokka"/>
        </w:rPr>
        <w:br/>
        <w:t>Grassroots International</w:t>
      </w:r>
      <w:r w:rsidRPr="00427CDC">
        <w:rPr>
          <w:rFonts w:ascii="Mokka" w:hAnsi="Mokka"/>
        </w:rPr>
        <w:br/>
        <w:t>Saulo Arauj</w:t>
      </w:r>
      <w:r w:rsidR="00427CDC">
        <w:rPr>
          <w:rFonts w:ascii="Mokka" w:hAnsi="Mokka"/>
        </w:rPr>
        <w:t xml:space="preserve">o </w:t>
      </w:r>
    </w:p>
    <w:p w:rsidR="00142C9B" w:rsidRPr="00427CDC" w:rsidRDefault="00383473" w:rsidP="00D751E5">
      <w:pPr>
        <w:spacing w:after="0" w:line="240" w:lineRule="auto"/>
        <w:rPr>
          <w:rStyle w:val="Hyperlink"/>
          <w:rFonts w:ascii="Mokka" w:hAnsi="Mokka"/>
          <w:color w:val="auto"/>
          <w:u w:val="none"/>
        </w:rPr>
      </w:pPr>
      <w:hyperlink r:id="rId19" w:history="1">
        <w:r w:rsidR="00427CDC" w:rsidRPr="004712DA">
          <w:rPr>
            <w:rStyle w:val="Hyperlink"/>
            <w:rFonts w:ascii="Mokka" w:hAnsi="Mokka"/>
          </w:rPr>
          <w:t>saraujo@grassrootsonline.org</w:t>
        </w:r>
      </w:hyperlink>
      <w:r w:rsidR="00427CDC">
        <w:rPr>
          <w:rFonts w:ascii="Mokka" w:hAnsi="Mokka"/>
        </w:rPr>
        <w:t xml:space="preserve"> </w:t>
      </w:r>
      <w:r w:rsidR="00142C9B" w:rsidRPr="00427CDC">
        <w:rPr>
          <w:rFonts w:ascii="Mokka" w:hAnsi="Mokka"/>
        </w:rPr>
        <w:br/>
      </w:r>
      <w:hyperlink r:id="rId20" w:tgtFrame="_blank" w:history="1">
        <w:r w:rsidR="00142C9B" w:rsidRPr="00427CDC">
          <w:rPr>
            <w:rStyle w:val="Hyperlink"/>
            <w:rFonts w:ascii="Mokka" w:hAnsi="Mokka"/>
          </w:rPr>
          <w:t>www.GrassrootsOnline.org</w:t>
        </w:r>
      </w:hyperlink>
    </w:p>
    <w:p w:rsidR="00427CDC" w:rsidRPr="00427CDC" w:rsidRDefault="00427CDC" w:rsidP="00D751E5">
      <w:pPr>
        <w:spacing w:after="0" w:line="240" w:lineRule="auto"/>
        <w:rPr>
          <w:rFonts w:ascii="Mokka" w:hAnsi="Mokka"/>
        </w:rPr>
      </w:pPr>
    </w:p>
    <w:p w:rsidR="00142C9B" w:rsidRPr="00427CDC" w:rsidRDefault="00142C9B" w:rsidP="00D751E5">
      <w:pPr>
        <w:spacing w:after="0" w:line="240" w:lineRule="auto"/>
        <w:rPr>
          <w:rFonts w:ascii="Mokka" w:hAnsi="Mokka"/>
          <w:b/>
        </w:rPr>
      </w:pPr>
      <w:r w:rsidRPr="00427CDC">
        <w:rPr>
          <w:rFonts w:ascii="Mokka" w:hAnsi="Mokka"/>
          <w:b/>
        </w:rPr>
        <w:t>Contact at International Development Exchange (IDEX):</w:t>
      </w:r>
    </w:p>
    <w:p w:rsidR="00142C9B" w:rsidRPr="00427CDC" w:rsidRDefault="00142C9B" w:rsidP="00D751E5">
      <w:pPr>
        <w:spacing w:after="0" w:line="240" w:lineRule="auto"/>
        <w:rPr>
          <w:rFonts w:ascii="Mokka" w:hAnsi="Mokka"/>
          <w:color w:val="000000"/>
        </w:rPr>
      </w:pPr>
      <w:r w:rsidRPr="00427CDC">
        <w:rPr>
          <w:rStyle w:val="apple-style-span"/>
          <w:rFonts w:ascii="Mokka" w:hAnsi="Mokka"/>
        </w:rPr>
        <w:t xml:space="preserve">Katherine Zavala, Program Manager, Grassroots Alliances </w:t>
      </w:r>
      <w:r w:rsidRPr="00427CDC">
        <w:rPr>
          <w:rFonts w:ascii="Mokka" w:hAnsi="Mokka"/>
        </w:rPr>
        <w:br/>
      </w:r>
      <w:r w:rsidRPr="00427CDC">
        <w:rPr>
          <w:rStyle w:val="apple-style-span"/>
          <w:rFonts w:ascii="Mokka" w:hAnsi="Mokka"/>
        </w:rPr>
        <w:t>International Development Exchange (IDEX</w:t>
      </w:r>
      <w:r w:rsidR="00E91666" w:rsidRPr="00427CDC">
        <w:rPr>
          <w:rStyle w:val="apple-style-span"/>
          <w:rFonts w:ascii="Mokka" w:hAnsi="Mokka"/>
        </w:rPr>
        <w:t xml:space="preserve">) </w:t>
      </w:r>
      <w:r w:rsidRPr="00427CDC">
        <w:rPr>
          <w:rFonts w:ascii="Mokka" w:hAnsi="Mokka"/>
          <w:color w:val="542518"/>
        </w:rPr>
        <w:br/>
      </w:r>
      <w:hyperlink r:id="rId21" w:history="1">
        <w:r w:rsidRPr="00427CDC">
          <w:rPr>
            <w:rStyle w:val="Hyperlink"/>
            <w:rFonts w:ascii="Mokka" w:hAnsi="Mokka"/>
          </w:rPr>
          <w:t>katherinez@idex.org</w:t>
        </w:r>
      </w:hyperlink>
    </w:p>
    <w:p w:rsidR="007E0D8B" w:rsidRDefault="00383473" w:rsidP="007E0D8B">
      <w:pPr>
        <w:spacing w:after="0" w:line="240" w:lineRule="auto"/>
        <w:rPr>
          <w:rStyle w:val="Hyperlink"/>
          <w:rFonts w:ascii="Mokka" w:hAnsi="Mokka" w:cs="Arial"/>
        </w:rPr>
      </w:pPr>
      <w:hyperlink r:id="rId22" w:tgtFrame="_blank" w:history="1">
        <w:r w:rsidR="00142C9B" w:rsidRPr="00427CDC">
          <w:rPr>
            <w:rStyle w:val="Hyperlink"/>
            <w:rFonts w:ascii="Mokka" w:hAnsi="Mokka" w:cs="Arial"/>
          </w:rPr>
          <w:t>www.idex.org</w:t>
        </w:r>
      </w:hyperlink>
    </w:p>
    <w:p w:rsidR="007E0D8B" w:rsidRDefault="007E0D8B" w:rsidP="007E0D8B">
      <w:pPr>
        <w:spacing w:after="0" w:line="240" w:lineRule="auto"/>
        <w:rPr>
          <w:rStyle w:val="Hyperlink"/>
          <w:rFonts w:ascii="Mokka" w:hAnsi="Mokka" w:cs="Arial"/>
        </w:rPr>
      </w:pPr>
    </w:p>
    <w:p w:rsidR="007E0D8B" w:rsidRDefault="0096416A" w:rsidP="00383473">
      <w:pPr>
        <w:spacing w:after="0" w:line="240" w:lineRule="auto"/>
        <w:jc w:val="center"/>
        <w:rPr>
          <w:rStyle w:val="Hyperlink"/>
          <w:rFonts w:ascii="Mokka" w:hAnsi="Mokka" w:cs="Arial"/>
        </w:rPr>
      </w:pPr>
      <w:r>
        <w:rPr>
          <w:noProof/>
        </w:rPr>
        <w:drawing>
          <wp:inline distT="0" distB="0" distL="0" distR="0" wp14:anchorId="19832ED9" wp14:editId="58A8EB3C">
            <wp:extent cx="1567630" cy="548640"/>
            <wp:effectExtent l="0" t="0" r="0" b="3810"/>
            <wp:docPr id="5" name="Picture 5" descr="C:\Users\ewesserle\AppData\Local\Microsoft\Windows\Temporary Internet Files\Content.Word\GRI Logo 2009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esserle\AppData\Local\Microsoft\Windows\Temporary Internet Files\Content.Word\GRI Logo 2009 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7630" cy="548640"/>
                    </a:xfrm>
                    <a:prstGeom prst="rect">
                      <a:avLst/>
                    </a:prstGeom>
                    <a:noFill/>
                    <a:ln>
                      <a:noFill/>
                    </a:ln>
                  </pic:spPr>
                </pic:pic>
              </a:graphicData>
            </a:graphic>
          </wp:inline>
        </w:drawing>
      </w:r>
      <w:r w:rsidR="00E91666">
        <w:rPr>
          <w:rStyle w:val="Hyperlink"/>
          <w:rFonts w:ascii="Mokka" w:hAnsi="Mokka" w:cs="Arial"/>
        </w:rPr>
        <w:t xml:space="preserve">   </w:t>
      </w:r>
      <w:r w:rsidR="0036366D">
        <w:rPr>
          <w:noProof/>
        </w:rPr>
        <w:drawing>
          <wp:inline distT="0" distB="0" distL="0" distR="0" wp14:anchorId="635543AC" wp14:editId="59120662">
            <wp:extent cx="2789944" cy="457200"/>
            <wp:effectExtent l="0" t="0" r="0" b="0"/>
            <wp:docPr id="4" name="Picture 4" descr="http://lists.iatp.org/intranet/comm/logos/iatp_color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sts.iatp.org/intranet/comm/logos/iatp_color_whit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9944" cy="457200"/>
                    </a:xfrm>
                    <a:prstGeom prst="rect">
                      <a:avLst/>
                    </a:prstGeom>
                    <a:noFill/>
                    <a:ln>
                      <a:noFill/>
                    </a:ln>
                  </pic:spPr>
                </pic:pic>
              </a:graphicData>
            </a:graphic>
          </wp:inline>
        </w:drawing>
      </w:r>
      <w:r w:rsidR="00E91666">
        <w:rPr>
          <w:rStyle w:val="Hyperlink"/>
          <w:rFonts w:ascii="Mokka" w:hAnsi="Mokka" w:cs="Arial"/>
        </w:rPr>
        <w:t xml:space="preserve"> </w:t>
      </w:r>
      <w:r>
        <w:rPr>
          <w:rStyle w:val="Hyperlink"/>
          <w:rFonts w:ascii="Mokka" w:hAnsi="Mokka" w:cs="Arial"/>
        </w:rPr>
        <w:t xml:space="preserve"> </w:t>
      </w:r>
      <w:r w:rsidR="00481899">
        <w:rPr>
          <w:noProof/>
        </w:rPr>
        <w:drawing>
          <wp:inline distT="0" distB="0" distL="0" distR="0" wp14:anchorId="238BC2D5" wp14:editId="43BE2811">
            <wp:extent cx="1612842" cy="548640"/>
            <wp:effectExtent l="0" t="0" r="6985" b="3810"/>
            <wp:docPr id="6" name="Picture 6" descr="C:\Users\ewesserle\AppData\Local\Microsoft\Windows\Temporary Internet Files\Content.Word\IDEX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wesserle\AppData\Local\Microsoft\Windows\Temporary Internet Files\Content.Word\IDEXLogo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12842" cy="548640"/>
                    </a:xfrm>
                    <a:prstGeom prst="rect">
                      <a:avLst/>
                    </a:prstGeom>
                    <a:noFill/>
                    <a:ln>
                      <a:noFill/>
                    </a:ln>
                  </pic:spPr>
                </pic:pic>
              </a:graphicData>
            </a:graphic>
          </wp:inline>
        </w:drawing>
      </w:r>
    </w:p>
    <w:p w:rsidR="009A7085" w:rsidRDefault="009A7085" w:rsidP="00D751E5">
      <w:pPr>
        <w:spacing w:after="0" w:line="240" w:lineRule="auto"/>
        <w:rPr>
          <w:rFonts w:ascii="Museo Sans 500" w:hAnsi="Museo Sans 500"/>
          <w:b/>
        </w:rPr>
      </w:pPr>
      <w:r w:rsidRPr="00427CDC">
        <w:rPr>
          <w:rFonts w:ascii="Museo Sans 500" w:hAnsi="Museo Sans 500"/>
          <w:b/>
        </w:rPr>
        <w:lastRenderedPageBreak/>
        <w:t>Appendix</w:t>
      </w:r>
      <w:r w:rsidR="00957241" w:rsidRPr="00427CDC">
        <w:rPr>
          <w:rFonts w:ascii="Museo Sans 500" w:hAnsi="Museo Sans 500"/>
          <w:b/>
        </w:rPr>
        <w:t xml:space="preserve"> 1</w:t>
      </w:r>
      <w:r w:rsidRPr="00427CDC">
        <w:rPr>
          <w:rFonts w:ascii="Museo Sans 500" w:hAnsi="Museo Sans 500"/>
          <w:b/>
        </w:rPr>
        <w:t>:</w:t>
      </w:r>
      <w:r w:rsidR="003D0B4F">
        <w:rPr>
          <w:rFonts w:ascii="Museo Sans 500" w:hAnsi="Museo Sans 500"/>
          <w:b/>
        </w:rPr>
        <w:t xml:space="preserve"> </w:t>
      </w:r>
      <w:r w:rsidRPr="00427CDC">
        <w:rPr>
          <w:rFonts w:ascii="Museo Sans 500" w:hAnsi="Museo Sans 500"/>
          <w:b/>
        </w:rPr>
        <w:t xml:space="preserve">Agroecology </w:t>
      </w:r>
      <w:r w:rsidR="00280962" w:rsidRPr="00427CDC">
        <w:rPr>
          <w:rFonts w:ascii="Museo Sans 500" w:hAnsi="Museo Sans 500"/>
          <w:b/>
        </w:rPr>
        <w:t>in Action</w:t>
      </w:r>
      <w:r w:rsidR="00427CDC">
        <w:rPr>
          <w:rFonts w:ascii="Museo Sans 500" w:hAnsi="Museo Sans 500"/>
          <w:b/>
        </w:rPr>
        <w:t xml:space="preserve"> — </w:t>
      </w:r>
      <w:r w:rsidRPr="00427CDC">
        <w:rPr>
          <w:rFonts w:ascii="Museo Sans 500" w:hAnsi="Museo Sans 500"/>
          <w:b/>
        </w:rPr>
        <w:t>Case Studies by Grassroots International</w:t>
      </w:r>
    </w:p>
    <w:p w:rsidR="00427CDC" w:rsidRPr="00427CDC" w:rsidRDefault="00427CDC" w:rsidP="00D751E5">
      <w:pPr>
        <w:spacing w:after="0" w:line="240" w:lineRule="auto"/>
        <w:rPr>
          <w:rFonts w:ascii="Museo Sans 500" w:hAnsi="Museo Sans 500"/>
          <w:b/>
        </w:rPr>
      </w:pPr>
    </w:p>
    <w:p w:rsidR="00280962" w:rsidRPr="00383473" w:rsidRDefault="00280962" w:rsidP="00D751E5">
      <w:pPr>
        <w:spacing w:after="0" w:line="240" w:lineRule="auto"/>
        <w:rPr>
          <w:rFonts w:ascii="Museo Sans 500" w:hAnsi="Museo Sans 500"/>
          <w:b/>
        </w:rPr>
      </w:pPr>
      <w:r w:rsidRPr="00383473">
        <w:rPr>
          <w:rFonts w:ascii="Museo Sans 500" w:hAnsi="Museo Sans 500"/>
          <w:b/>
        </w:rPr>
        <w:t>Investing in Haiti’s Rural Communities</w:t>
      </w:r>
    </w:p>
    <w:p w:rsidR="00280962" w:rsidRPr="00D751E5" w:rsidRDefault="00280962" w:rsidP="00D751E5">
      <w:pPr>
        <w:spacing w:after="0" w:line="240" w:lineRule="auto"/>
        <w:rPr>
          <w:rFonts w:ascii="Mokka" w:hAnsi="Mokka"/>
          <w:b/>
        </w:rPr>
      </w:pPr>
      <w:r w:rsidRPr="00D751E5">
        <w:rPr>
          <w:rFonts w:ascii="Mokka" w:hAnsi="Mokka"/>
          <w:b/>
        </w:rPr>
        <w:t xml:space="preserve">Organization: Peasant Movement of Papaye (MPP) </w:t>
      </w:r>
    </w:p>
    <w:p w:rsidR="00D751E5" w:rsidRDefault="00280962" w:rsidP="00D751E5">
      <w:pPr>
        <w:spacing w:after="0" w:line="240" w:lineRule="auto"/>
        <w:rPr>
          <w:rFonts w:ascii="Mokka" w:hAnsi="Mokka"/>
          <w:b/>
        </w:rPr>
      </w:pPr>
      <w:r w:rsidRPr="00427CDC">
        <w:rPr>
          <w:rFonts w:ascii="Mokka" w:hAnsi="Mokka"/>
          <w:color w:val="000000"/>
        </w:rPr>
        <w:t>Haitian peasant movements and organizations provide practical demonstrations of sustainable agricultural methods and practices and act as an example of the way out of poverty. One of these groups, the Peasant Movement of Papaye (MPP) has been working in Haiti’s Central Plateau for nearly 40 years. A partner of Grassroots International, the MPP is today one of Haiti’s largest and most successful peasant movements with over 60,000 members, which includes 20,000 women and 10,000 youth.</w:t>
      </w:r>
      <w:r w:rsidR="00957241" w:rsidRPr="00427CDC">
        <w:rPr>
          <w:rFonts w:ascii="Mokka" w:hAnsi="Mokka"/>
        </w:rPr>
        <w:br/>
      </w:r>
    </w:p>
    <w:p w:rsidR="00D751E5" w:rsidRDefault="00280962" w:rsidP="00D751E5">
      <w:pPr>
        <w:spacing w:after="0" w:line="240" w:lineRule="auto"/>
        <w:rPr>
          <w:rFonts w:ascii="Mokka" w:hAnsi="Mokka"/>
        </w:rPr>
      </w:pPr>
      <w:r w:rsidRPr="00D751E5">
        <w:rPr>
          <w:rFonts w:ascii="Mokka" w:hAnsi="Mokka"/>
          <w:b/>
        </w:rPr>
        <w:t>Read more:</w:t>
      </w:r>
      <w:r w:rsidR="00D751E5">
        <w:rPr>
          <w:rFonts w:ascii="Mokka" w:hAnsi="Mokka"/>
        </w:rPr>
        <w:t xml:space="preserve"> </w:t>
      </w:r>
      <w:hyperlink r:id="rId24" w:tgtFrame="_blank" w:history="1">
        <w:r w:rsidR="00957241" w:rsidRPr="00427CDC">
          <w:rPr>
            <w:rStyle w:val="Hyperlink"/>
            <w:rFonts w:ascii="Mokka" w:hAnsi="Mokka"/>
          </w:rPr>
          <w:t>http://www.grassrootsonline.org/news/blog/investing-haiti%E2%80%99s-rural-community</w:t>
        </w:r>
      </w:hyperlink>
      <w:r w:rsidR="00957241" w:rsidRPr="00427CDC">
        <w:rPr>
          <w:rFonts w:ascii="Mokka" w:hAnsi="Mokka"/>
        </w:rPr>
        <w:br/>
      </w:r>
    </w:p>
    <w:p w:rsidR="00280962" w:rsidRPr="00383473" w:rsidRDefault="00957241" w:rsidP="00D751E5">
      <w:pPr>
        <w:spacing w:after="0" w:line="240" w:lineRule="auto"/>
        <w:rPr>
          <w:rFonts w:ascii="Museo Sans 500" w:eastAsia="Times New Roman" w:hAnsi="Museo Sans 500" w:cs="Times New Roman"/>
          <w:b/>
          <w:bCs/>
          <w:color w:val="000000"/>
          <w:kern w:val="36"/>
        </w:rPr>
      </w:pPr>
      <w:r w:rsidRPr="00427CDC">
        <w:rPr>
          <w:rFonts w:ascii="Mokka" w:hAnsi="Mokka"/>
        </w:rPr>
        <w:br/>
      </w:r>
      <w:r w:rsidR="00280962" w:rsidRPr="00383473">
        <w:rPr>
          <w:rFonts w:ascii="Museo Sans 500" w:eastAsia="Times New Roman" w:hAnsi="Museo Sans 500" w:cs="Times New Roman"/>
          <w:b/>
          <w:bCs/>
          <w:color w:val="000000"/>
          <w:kern w:val="36"/>
        </w:rPr>
        <w:t>Nut Harvesters Are Changing the Local Economy</w:t>
      </w:r>
    </w:p>
    <w:p w:rsidR="00280962" w:rsidRPr="00D751E5" w:rsidRDefault="00280962" w:rsidP="00D751E5">
      <w:pPr>
        <w:spacing w:after="0" w:line="240" w:lineRule="auto"/>
        <w:rPr>
          <w:rFonts w:ascii="Mokka" w:hAnsi="Mokka"/>
          <w:b/>
          <w:bCs/>
        </w:rPr>
      </w:pPr>
      <w:r w:rsidRPr="00D751E5">
        <w:rPr>
          <w:rFonts w:ascii="Mokka" w:hAnsi="Mokka"/>
          <w:b/>
          <w:bCs/>
        </w:rPr>
        <w:t xml:space="preserve">Organization: </w:t>
      </w:r>
      <w:r w:rsidRPr="00D751E5">
        <w:rPr>
          <w:rFonts w:ascii="Mokka" w:hAnsi="Mokka"/>
          <w:b/>
        </w:rPr>
        <w:t>Association of Agrarian Reform Settlement Areas of the State of Maranhão, Brazil (</w:t>
      </w:r>
      <w:r w:rsidRPr="00D751E5">
        <w:rPr>
          <w:rFonts w:ascii="Mokka" w:hAnsi="Mokka"/>
          <w:b/>
          <w:bCs/>
        </w:rPr>
        <w:t>ASSEMA)</w:t>
      </w:r>
    </w:p>
    <w:p w:rsidR="00A24C35" w:rsidRDefault="00D751E5" w:rsidP="00D751E5">
      <w:pPr>
        <w:spacing w:after="0" w:line="240" w:lineRule="auto"/>
        <w:rPr>
          <w:rFonts w:ascii="Mokka" w:hAnsi="Mokka"/>
          <w:bCs/>
        </w:rPr>
      </w:pPr>
      <w:r w:rsidRPr="00D751E5">
        <w:rPr>
          <w:rFonts w:ascii="Mokka" w:hAnsi="Mokka"/>
          <w:bCs/>
        </w:rPr>
        <w:t>Maranhão is one of the poorest Brazilian states. Despite its wealth of natural resources, 62.3 percent of the population lives below the poverty index defined by the World Health Organization, with the poorest families living in rural areas. Landlessness is one of the root causes for the widespread poverty in Maranhão. Without land, many peasant families struggle to eke out a living through seasonal jobs on plantations or large farms and through the harvesting of wild fruits such as the nuts of the native Babaçu palm tree. Barely able to feed themselves, these families are subjected to backbreaking work conditions and are often forced to migrate to cities and other regions. For the hard work of collecting the Babaçu and then breaking the shells to expose the nuts, peasants, mostly women, are paid a pittance by intermediaries who resell the nuts for a larger profit to pharmaceutical or cosmetic companies. Collectively, however, the nut harvesters are winning rights and royalties that benefit the whole community.</w:t>
      </w:r>
    </w:p>
    <w:p w:rsidR="00D751E5" w:rsidRDefault="00D751E5" w:rsidP="00D751E5">
      <w:pPr>
        <w:spacing w:after="0" w:line="240" w:lineRule="auto"/>
        <w:rPr>
          <w:rFonts w:ascii="Mokka" w:hAnsi="Mokka"/>
          <w:b/>
        </w:rPr>
      </w:pPr>
    </w:p>
    <w:p w:rsidR="00D751E5" w:rsidRDefault="00280962" w:rsidP="00D751E5">
      <w:pPr>
        <w:spacing w:after="0" w:line="240" w:lineRule="auto"/>
        <w:rPr>
          <w:rFonts w:ascii="Mokka" w:hAnsi="Mokka"/>
        </w:rPr>
      </w:pPr>
      <w:r w:rsidRPr="00D751E5">
        <w:rPr>
          <w:rFonts w:ascii="Mokka" w:hAnsi="Mokka"/>
          <w:b/>
        </w:rPr>
        <w:t>Read more:</w:t>
      </w:r>
      <w:r w:rsidR="00D751E5" w:rsidRPr="00D751E5">
        <w:rPr>
          <w:rFonts w:ascii="Mokka" w:hAnsi="Mokka"/>
          <w:b/>
        </w:rPr>
        <w:t xml:space="preserve"> </w:t>
      </w:r>
      <w:hyperlink r:id="rId25" w:history="1">
        <w:r w:rsidR="00957241" w:rsidRPr="00427CDC">
          <w:rPr>
            <w:rStyle w:val="Hyperlink"/>
            <w:rFonts w:ascii="Mokka" w:hAnsi="Mokka"/>
          </w:rPr>
          <w:t>http://www.grassrootsonline.org/news/blog/nut-harvesters-are-changing-local-economy</w:t>
        </w:r>
      </w:hyperlink>
      <w:r w:rsidR="00957241" w:rsidRPr="00427CDC">
        <w:rPr>
          <w:rFonts w:ascii="Mokka" w:hAnsi="Mokka"/>
        </w:rPr>
        <w:br/>
      </w:r>
    </w:p>
    <w:p w:rsidR="00280962" w:rsidRPr="00383473" w:rsidRDefault="00957241" w:rsidP="00D751E5">
      <w:pPr>
        <w:spacing w:after="0" w:line="240" w:lineRule="auto"/>
        <w:rPr>
          <w:rFonts w:ascii="Museo Sans 500" w:eastAsia="Times New Roman" w:hAnsi="Museo Sans 500" w:cs="Times New Roman"/>
          <w:b/>
          <w:bCs/>
          <w:color w:val="000000"/>
          <w:kern w:val="36"/>
        </w:rPr>
      </w:pPr>
      <w:r w:rsidRPr="00427CDC">
        <w:rPr>
          <w:rFonts w:ascii="Mokka" w:hAnsi="Mokka"/>
        </w:rPr>
        <w:br/>
      </w:r>
      <w:bookmarkStart w:id="0" w:name="_GoBack"/>
      <w:r w:rsidR="00280962" w:rsidRPr="00383473">
        <w:rPr>
          <w:rFonts w:ascii="Museo Sans 500" w:eastAsia="Times New Roman" w:hAnsi="Museo Sans 500" w:cs="Times New Roman"/>
          <w:b/>
          <w:bCs/>
          <w:color w:val="000000"/>
          <w:kern w:val="36"/>
        </w:rPr>
        <w:t>Seeds Help Communities Raise Hope, Independence</w:t>
      </w:r>
    </w:p>
    <w:bookmarkEnd w:id="0"/>
    <w:p w:rsidR="00280962" w:rsidRPr="00D751E5" w:rsidRDefault="00280962" w:rsidP="00D751E5">
      <w:pPr>
        <w:spacing w:after="0" w:line="240" w:lineRule="auto"/>
        <w:rPr>
          <w:rFonts w:ascii="Mokka" w:hAnsi="Mokka"/>
          <w:b/>
        </w:rPr>
      </w:pPr>
      <w:r w:rsidRPr="00D751E5">
        <w:rPr>
          <w:rFonts w:ascii="Mokka" w:hAnsi="Mokka"/>
          <w:b/>
        </w:rPr>
        <w:t>Organization: Popular Peasant Movement (MCP)</w:t>
      </w:r>
    </w:p>
    <w:p w:rsidR="00D751E5" w:rsidRDefault="00D751E5" w:rsidP="00D751E5">
      <w:pPr>
        <w:spacing w:after="0" w:line="240" w:lineRule="auto"/>
        <w:rPr>
          <w:rFonts w:ascii="Mokka" w:hAnsi="Mokka"/>
        </w:rPr>
      </w:pPr>
      <w:r w:rsidRPr="00D751E5">
        <w:rPr>
          <w:rFonts w:ascii="Mokka" w:hAnsi="Mokka"/>
        </w:rPr>
        <w:t xml:space="preserve">This shift from locally controlled agriculture to large-scale industrial agricultural operations is affecting the capacity of rural communities to produce their own food, especially because it creates unfair competition between small-scale farmers and large agricultural corporations. With the expansion of agro-fuels plantations, and no control over their seeds, small-scale farmers end up having no option other than selling their land to large farmers and international investors. This shift in Brazilian agriculture is a result of and also exacerbates the growing influence of transnational corporations over the local food system. In Brazil, three companies – Cargill, Archer Daniels Midland, and Bunge – control 66 </w:t>
      </w:r>
      <w:r>
        <w:rPr>
          <w:rFonts w:ascii="Mokka" w:hAnsi="Mokka"/>
        </w:rPr>
        <w:t xml:space="preserve">percent of the exported grains. </w:t>
      </w:r>
      <w:r w:rsidRPr="00D751E5">
        <w:rPr>
          <w:rFonts w:ascii="Mokka" w:hAnsi="Mokka"/>
        </w:rPr>
        <w:t>Within this daunting context, the Popular Peasant Movement (MCP) and their Creole Seeds Program (supported by Grassroots International) are demonstrating viable alternatives to industrial agriculture.</w:t>
      </w:r>
    </w:p>
    <w:p w:rsidR="00D751E5" w:rsidRDefault="00D751E5" w:rsidP="00D751E5">
      <w:pPr>
        <w:spacing w:after="0" w:line="240" w:lineRule="auto"/>
        <w:rPr>
          <w:rFonts w:ascii="Mokka" w:hAnsi="Mokka"/>
          <w:b/>
        </w:rPr>
      </w:pPr>
    </w:p>
    <w:p w:rsidR="00957241" w:rsidRPr="00D751E5" w:rsidRDefault="00280962" w:rsidP="00D751E5">
      <w:pPr>
        <w:spacing w:after="0" w:line="240" w:lineRule="auto"/>
        <w:rPr>
          <w:rFonts w:ascii="Mokka" w:hAnsi="Mokka"/>
        </w:rPr>
      </w:pPr>
      <w:r w:rsidRPr="00D751E5">
        <w:rPr>
          <w:rFonts w:ascii="Mokka" w:hAnsi="Mokka"/>
          <w:b/>
        </w:rPr>
        <w:t>Read more:</w:t>
      </w:r>
      <w:r w:rsidR="00D751E5">
        <w:rPr>
          <w:rFonts w:ascii="Mokka" w:hAnsi="Mokka"/>
        </w:rPr>
        <w:t xml:space="preserve"> </w:t>
      </w:r>
      <w:hyperlink r:id="rId26" w:history="1">
        <w:r w:rsidR="00957241" w:rsidRPr="00427CDC">
          <w:rPr>
            <w:rStyle w:val="Hyperlink"/>
            <w:rFonts w:ascii="Mokka" w:hAnsi="Mokka"/>
          </w:rPr>
          <w:t>http://www.grassrootsonline.org/news/blog/seeds-help-communities-raise-hope-independence</w:t>
        </w:r>
      </w:hyperlink>
    </w:p>
    <w:p w:rsidR="00280962" w:rsidRDefault="00280962" w:rsidP="00D751E5">
      <w:pPr>
        <w:spacing w:after="0" w:line="240" w:lineRule="auto"/>
        <w:rPr>
          <w:rFonts w:ascii="Mokka" w:hAnsi="Mokka"/>
          <w:b/>
        </w:rPr>
      </w:pPr>
    </w:p>
    <w:p w:rsidR="00D751E5" w:rsidRPr="00427CDC" w:rsidRDefault="00D751E5" w:rsidP="00D751E5">
      <w:pPr>
        <w:spacing w:after="0" w:line="240" w:lineRule="auto"/>
        <w:rPr>
          <w:rFonts w:ascii="Mokka" w:hAnsi="Mokka"/>
          <w:b/>
        </w:rPr>
      </w:pPr>
    </w:p>
    <w:p w:rsidR="00280962" w:rsidRPr="00427CDC" w:rsidRDefault="00280962" w:rsidP="00D751E5">
      <w:pPr>
        <w:spacing w:after="0" w:line="240" w:lineRule="auto"/>
        <w:rPr>
          <w:rFonts w:ascii="Mokka" w:hAnsi="Mokka"/>
          <w:b/>
        </w:rPr>
      </w:pPr>
      <w:r w:rsidRPr="00427CDC">
        <w:rPr>
          <w:rFonts w:ascii="Mokka" w:hAnsi="Mokka"/>
          <w:b/>
        </w:rPr>
        <w:t>For more information</w:t>
      </w:r>
      <w:r w:rsidR="00142C9B" w:rsidRPr="00427CDC">
        <w:rPr>
          <w:rFonts w:ascii="Mokka" w:hAnsi="Mokka"/>
          <w:b/>
        </w:rPr>
        <w:t xml:space="preserve"> about these case studies</w:t>
      </w:r>
      <w:r w:rsidRPr="00427CDC">
        <w:rPr>
          <w:rFonts w:ascii="Mokka" w:hAnsi="Mokka"/>
          <w:b/>
        </w:rPr>
        <w:t>, contact:</w:t>
      </w:r>
    </w:p>
    <w:p w:rsidR="00D751E5" w:rsidRDefault="00280962" w:rsidP="00D751E5">
      <w:pPr>
        <w:spacing w:after="0" w:line="240" w:lineRule="auto"/>
        <w:rPr>
          <w:rFonts w:ascii="Mokka" w:hAnsi="Mokka"/>
        </w:rPr>
      </w:pPr>
      <w:r w:rsidRPr="00427CDC">
        <w:rPr>
          <w:rFonts w:ascii="Mokka" w:hAnsi="Mokka"/>
        </w:rPr>
        <w:t>Saulo Araújo</w:t>
      </w:r>
      <w:r w:rsidRPr="00427CDC">
        <w:rPr>
          <w:rFonts w:ascii="Mokka" w:hAnsi="Mokka"/>
        </w:rPr>
        <w:br/>
        <w:t>saraujo@grassrootsonline.org</w:t>
      </w:r>
    </w:p>
    <w:p w:rsidR="009B5CDC" w:rsidRPr="00BC21AB" w:rsidRDefault="009A7085" w:rsidP="00BC21AB">
      <w:pPr>
        <w:spacing w:line="240" w:lineRule="auto"/>
        <w:rPr>
          <w:rFonts w:ascii="Mokka" w:hAnsi="Mokka"/>
        </w:rPr>
      </w:pPr>
      <w:r w:rsidRPr="00427CDC">
        <w:rPr>
          <w:rFonts w:ascii="Mokka" w:hAnsi="Mokka"/>
          <w:b/>
        </w:rPr>
        <w:br w:type="page"/>
      </w:r>
      <w:r w:rsidR="00957241" w:rsidRPr="00BC21AB">
        <w:rPr>
          <w:rFonts w:ascii="Museo Sans 500" w:hAnsi="Museo Sans 500"/>
          <w:b/>
        </w:rPr>
        <w:lastRenderedPageBreak/>
        <w:t>Appendix 2:</w:t>
      </w:r>
      <w:r w:rsidR="003D0B4F" w:rsidRPr="00BC21AB">
        <w:rPr>
          <w:rFonts w:ascii="Museo Sans 500" w:hAnsi="Museo Sans 500"/>
          <w:b/>
        </w:rPr>
        <w:t xml:space="preserve"> </w:t>
      </w:r>
      <w:r w:rsidR="00280962" w:rsidRPr="00BC21AB">
        <w:rPr>
          <w:rFonts w:ascii="Museo Sans 500" w:hAnsi="Museo Sans 500"/>
          <w:b/>
        </w:rPr>
        <w:t>Other</w:t>
      </w:r>
      <w:r w:rsidR="005C3773" w:rsidRPr="00BC21AB">
        <w:rPr>
          <w:rFonts w:ascii="Museo Sans 500" w:hAnsi="Museo Sans 500"/>
          <w:b/>
        </w:rPr>
        <w:t xml:space="preserve"> </w:t>
      </w:r>
      <w:r w:rsidR="007B0CB6" w:rsidRPr="00BC21AB">
        <w:rPr>
          <w:rFonts w:ascii="Museo Sans 500" w:hAnsi="Museo Sans 500"/>
          <w:b/>
        </w:rPr>
        <w:t>Re</w:t>
      </w:r>
      <w:r w:rsidR="005B3580" w:rsidRPr="00BC21AB">
        <w:rPr>
          <w:rFonts w:ascii="Museo Sans 500" w:hAnsi="Museo Sans 500"/>
          <w:b/>
        </w:rPr>
        <w:t>sources and References</w:t>
      </w:r>
      <w:r w:rsidR="00E6679E" w:rsidRPr="00BC21AB">
        <w:rPr>
          <w:rFonts w:ascii="Museo Sans 500" w:hAnsi="Museo Sans 500"/>
          <w:b/>
        </w:rPr>
        <w:t xml:space="preserve"> </w:t>
      </w:r>
      <w:r w:rsidR="00280962" w:rsidRPr="00BC21AB">
        <w:rPr>
          <w:rFonts w:ascii="Museo Sans 500" w:hAnsi="Museo Sans 500"/>
          <w:b/>
        </w:rPr>
        <w:t>on</w:t>
      </w:r>
      <w:r w:rsidR="00E6679E" w:rsidRPr="00BC21AB">
        <w:rPr>
          <w:rFonts w:ascii="Museo Sans 500" w:hAnsi="Museo Sans 500"/>
          <w:b/>
        </w:rPr>
        <w:t xml:space="preserve"> Agroecology</w:t>
      </w:r>
    </w:p>
    <w:p w:rsidR="000B4E82" w:rsidRDefault="00A7652C" w:rsidP="00D751E5">
      <w:pPr>
        <w:spacing w:after="0" w:line="240" w:lineRule="auto"/>
        <w:rPr>
          <w:rFonts w:ascii="Mokka" w:hAnsi="Mokka"/>
        </w:rPr>
      </w:pPr>
      <w:r w:rsidRPr="00D751E5">
        <w:rPr>
          <w:rFonts w:ascii="Mokka" w:hAnsi="Mokka"/>
        </w:rPr>
        <w:t>De Schutter</w:t>
      </w:r>
      <w:r>
        <w:rPr>
          <w:rFonts w:ascii="Mokka" w:hAnsi="Mokka"/>
        </w:rPr>
        <w:t>,</w:t>
      </w:r>
      <w:r w:rsidRPr="00D751E5">
        <w:rPr>
          <w:rFonts w:ascii="Mokka" w:hAnsi="Mokka"/>
        </w:rPr>
        <w:t xml:space="preserve"> </w:t>
      </w:r>
      <w:r w:rsidR="000B4E82" w:rsidRPr="00D751E5">
        <w:rPr>
          <w:rFonts w:ascii="Mokka" w:hAnsi="Mokka"/>
        </w:rPr>
        <w:t>Olivier</w:t>
      </w:r>
      <w:r>
        <w:rPr>
          <w:rFonts w:ascii="Mokka" w:hAnsi="Mokka"/>
        </w:rPr>
        <w:t>.</w:t>
      </w:r>
      <w:r w:rsidRPr="00D751E5">
        <w:rPr>
          <w:rFonts w:ascii="Mokka" w:hAnsi="Mokka"/>
        </w:rPr>
        <w:t xml:space="preserve"> </w:t>
      </w:r>
      <w:r w:rsidR="000B4E82" w:rsidRPr="00D751E5">
        <w:rPr>
          <w:rFonts w:ascii="Mokka" w:hAnsi="Mokka"/>
        </w:rPr>
        <w:t>“Agr</w:t>
      </w:r>
      <w:r>
        <w:rPr>
          <w:rFonts w:ascii="Mokka" w:hAnsi="Mokka"/>
        </w:rPr>
        <w:t>oe</w:t>
      </w:r>
      <w:r w:rsidR="003D0B4F">
        <w:rPr>
          <w:rFonts w:ascii="Mokka" w:hAnsi="Mokka"/>
        </w:rPr>
        <w:t>cology and the Right to Food</w:t>
      </w:r>
      <w:r w:rsidR="008B0311">
        <w:rPr>
          <w:rFonts w:ascii="Mokka" w:hAnsi="Mokka"/>
        </w:rPr>
        <w:t>.</w:t>
      </w:r>
      <w:r w:rsidR="003D0B4F">
        <w:rPr>
          <w:rFonts w:ascii="Mokka" w:hAnsi="Mokka"/>
        </w:rPr>
        <w:t>” R</w:t>
      </w:r>
      <w:r>
        <w:rPr>
          <w:rFonts w:ascii="Mokka" w:hAnsi="Mokka"/>
        </w:rPr>
        <w:t>eport</w:t>
      </w:r>
      <w:r w:rsidR="000B4E82" w:rsidRPr="00D751E5">
        <w:rPr>
          <w:rFonts w:ascii="Mokka" w:hAnsi="Mokka"/>
        </w:rPr>
        <w:t xml:space="preserve"> presented at the 16th Session of the United Nations Human Rights Council [A/HRC/16/49], March </w:t>
      </w:r>
      <w:r w:rsidR="00BC21AB">
        <w:rPr>
          <w:rFonts w:ascii="Mokka" w:hAnsi="Mokka"/>
        </w:rPr>
        <w:t xml:space="preserve">8, </w:t>
      </w:r>
      <w:r w:rsidR="000B4E82" w:rsidRPr="00D751E5">
        <w:rPr>
          <w:rFonts w:ascii="Mokka" w:hAnsi="Mokka"/>
        </w:rPr>
        <w:t>2011</w:t>
      </w:r>
      <w:r w:rsidR="003D0B4F">
        <w:rPr>
          <w:rFonts w:ascii="Mokka" w:hAnsi="Mokka"/>
        </w:rPr>
        <w:t xml:space="preserve">. Accessed January 23, 2013. </w:t>
      </w:r>
      <w:hyperlink r:id="rId27" w:history="1">
        <w:r w:rsidRPr="00D751E5">
          <w:rPr>
            <w:rStyle w:val="Hyperlink"/>
            <w:rFonts w:ascii="Mokka" w:hAnsi="Mokka"/>
          </w:rPr>
          <w:t>http://www.srfood.org/images/stories/pdf/officialreports/20110308_a-hrc-16-49_agroecology_en.pdf</w:t>
        </w:r>
      </w:hyperlink>
      <w:r w:rsidR="003D0B4F">
        <w:rPr>
          <w:rFonts w:ascii="Mokka" w:hAnsi="Mokka"/>
        </w:rPr>
        <w:t>.</w:t>
      </w:r>
      <w:r w:rsidRPr="00D751E5">
        <w:rPr>
          <w:rFonts w:ascii="Mokka" w:hAnsi="Mokka"/>
        </w:rPr>
        <w:t xml:space="preserve"> </w:t>
      </w:r>
      <w:r>
        <w:rPr>
          <w:rFonts w:ascii="Mokka" w:hAnsi="Mokka"/>
        </w:rPr>
        <w:t>A</w:t>
      </w:r>
      <w:r w:rsidR="000B4E82" w:rsidRPr="00D751E5">
        <w:rPr>
          <w:rFonts w:ascii="Mokka" w:hAnsi="Mokka"/>
        </w:rPr>
        <w:t>lso available in </w:t>
      </w:r>
      <w:hyperlink r:id="rId28" w:history="1">
        <w:r w:rsidR="000B4E82" w:rsidRPr="00D751E5">
          <w:rPr>
            <w:rStyle w:val="Hyperlink"/>
            <w:rFonts w:ascii="Mokka" w:hAnsi="Mokka"/>
          </w:rPr>
          <w:t>French</w:t>
        </w:r>
      </w:hyperlink>
      <w:r w:rsidR="000B4E82" w:rsidRPr="00D751E5">
        <w:rPr>
          <w:rFonts w:ascii="Mokka" w:hAnsi="Mokka"/>
        </w:rPr>
        <w:t>, </w:t>
      </w:r>
      <w:hyperlink r:id="rId29" w:history="1">
        <w:r w:rsidR="000B4E82" w:rsidRPr="00D751E5">
          <w:rPr>
            <w:rStyle w:val="Hyperlink"/>
            <w:rFonts w:ascii="Mokka" w:hAnsi="Mokka"/>
          </w:rPr>
          <w:t>Spanish</w:t>
        </w:r>
      </w:hyperlink>
      <w:r w:rsidR="000B4E82" w:rsidRPr="00D751E5">
        <w:rPr>
          <w:rFonts w:ascii="Mokka" w:hAnsi="Mokka"/>
        </w:rPr>
        <w:t>, </w:t>
      </w:r>
      <w:hyperlink r:id="rId30" w:history="1">
        <w:r w:rsidR="000B4E82" w:rsidRPr="00D751E5">
          <w:rPr>
            <w:rStyle w:val="Hyperlink"/>
            <w:rFonts w:ascii="Mokka" w:hAnsi="Mokka"/>
          </w:rPr>
          <w:t>Chinese</w:t>
        </w:r>
      </w:hyperlink>
      <w:r w:rsidR="000B4E82" w:rsidRPr="00D751E5">
        <w:rPr>
          <w:rFonts w:ascii="Mokka" w:hAnsi="Mokka"/>
        </w:rPr>
        <w:t> and </w:t>
      </w:r>
      <w:hyperlink r:id="rId31" w:history="1">
        <w:r w:rsidR="000B4E82" w:rsidRPr="00D751E5">
          <w:rPr>
            <w:rStyle w:val="Hyperlink"/>
            <w:rFonts w:ascii="Mokka" w:hAnsi="Mokka"/>
          </w:rPr>
          <w:t>Russian</w:t>
        </w:r>
      </w:hyperlink>
      <w:r>
        <w:rPr>
          <w:rFonts w:ascii="Mokka" w:hAnsi="Mokka"/>
        </w:rPr>
        <w:t>.</w:t>
      </w:r>
    </w:p>
    <w:p w:rsidR="008B0311" w:rsidRPr="00D751E5" w:rsidRDefault="008B0311" w:rsidP="008B0311">
      <w:pPr>
        <w:spacing w:after="0" w:line="240" w:lineRule="auto"/>
        <w:rPr>
          <w:rFonts w:ascii="Mokka" w:hAnsi="Mokka"/>
        </w:rPr>
      </w:pPr>
    </w:p>
    <w:p w:rsidR="008B0311" w:rsidRDefault="008B0311" w:rsidP="008B0311">
      <w:pPr>
        <w:spacing w:after="0" w:line="240" w:lineRule="auto"/>
        <w:rPr>
          <w:rFonts w:ascii="Mokka" w:hAnsi="Mokka"/>
        </w:rPr>
      </w:pPr>
      <w:r w:rsidRPr="00A7652C">
        <w:rPr>
          <w:rFonts w:ascii="Mokka" w:hAnsi="Mokka"/>
        </w:rPr>
        <w:t>Frehaut</w:t>
      </w:r>
      <w:r>
        <w:rPr>
          <w:rFonts w:ascii="Mokka" w:hAnsi="Mokka"/>
        </w:rPr>
        <w:t xml:space="preserve">, </w:t>
      </w:r>
      <w:r w:rsidRPr="00A7652C">
        <w:rPr>
          <w:rFonts w:ascii="Mokka" w:hAnsi="Mokka"/>
        </w:rPr>
        <w:t>Berenger and Seema Rupani</w:t>
      </w:r>
      <w:r>
        <w:rPr>
          <w:rFonts w:ascii="Mokka" w:hAnsi="Mokka"/>
        </w:rPr>
        <w:t xml:space="preserve">. “Agro-Ecological Farming.” Surplus People Project. Accessed January 23, 2013. </w:t>
      </w:r>
      <w:hyperlink r:id="rId32" w:history="1">
        <w:r w:rsidRPr="004712DA">
          <w:rPr>
            <w:rStyle w:val="Hyperlink"/>
            <w:rFonts w:ascii="Mokka" w:hAnsi="Mokka"/>
          </w:rPr>
          <w:t>http://www.spp.org.za/agro-ecological-farming/</w:t>
        </w:r>
      </w:hyperlink>
      <w:r>
        <w:rPr>
          <w:rFonts w:ascii="Mokka" w:hAnsi="Mokka"/>
        </w:rPr>
        <w:t>.</w:t>
      </w:r>
    </w:p>
    <w:p w:rsidR="00D751E5" w:rsidRPr="00D751E5" w:rsidRDefault="00D751E5" w:rsidP="00D751E5">
      <w:pPr>
        <w:spacing w:after="0" w:line="240" w:lineRule="auto"/>
        <w:rPr>
          <w:rFonts w:ascii="Mokka" w:hAnsi="Mokka"/>
        </w:rPr>
      </w:pPr>
    </w:p>
    <w:p w:rsidR="005928D3" w:rsidRDefault="00A7652C" w:rsidP="00D751E5">
      <w:pPr>
        <w:spacing w:after="0" w:line="240" w:lineRule="auto"/>
        <w:rPr>
          <w:rFonts w:ascii="Mokka" w:hAnsi="Mokka"/>
        </w:rPr>
      </w:pPr>
      <w:r w:rsidRPr="00A7652C">
        <w:rPr>
          <w:rFonts w:ascii="Mokka" w:hAnsi="Mokka"/>
        </w:rPr>
        <w:t>Hansen-Kuhn</w:t>
      </w:r>
      <w:r w:rsidR="003D0B4F">
        <w:rPr>
          <w:rFonts w:ascii="Mokka" w:hAnsi="Mokka"/>
        </w:rPr>
        <w:t>, Karen</w:t>
      </w:r>
      <w:r>
        <w:rPr>
          <w:rFonts w:ascii="Mokka" w:hAnsi="Mokka"/>
        </w:rPr>
        <w:t>,</w:t>
      </w:r>
      <w:r w:rsidRPr="00A7652C">
        <w:rPr>
          <w:rFonts w:ascii="Mokka" w:hAnsi="Mokka"/>
        </w:rPr>
        <w:t xml:space="preserve"> Yang Saing Koma, Tony Santos, </w:t>
      </w:r>
      <w:r>
        <w:rPr>
          <w:rFonts w:ascii="Mokka" w:hAnsi="Mokka"/>
        </w:rPr>
        <w:t xml:space="preserve">and </w:t>
      </w:r>
      <w:r w:rsidRPr="00A7652C">
        <w:rPr>
          <w:rFonts w:ascii="Mokka" w:hAnsi="Mokka"/>
        </w:rPr>
        <w:t>Ika Krshnayanti</w:t>
      </w:r>
      <w:r w:rsidR="003D0B4F">
        <w:rPr>
          <w:rFonts w:ascii="Mokka" w:hAnsi="Mokka"/>
        </w:rPr>
        <w:t>.</w:t>
      </w:r>
      <w:r w:rsidR="003D0B4F" w:rsidRPr="003D0B4F">
        <w:t xml:space="preserve"> </w:t>
      </w:r>
      <w:r w:rsidR="003D0B4F">
        <w:t>“</w:t>
      </w:r>
      <w:r w:rsidR="003D0B4F" w:rsidRPr="003D0B4F">
        <w:rPr>
          <w:rFonts w:ascii="Mokka" w:hAnsi="Mokka"/>
        </w:rPr>
        <w:t>Agroecology and Advocacy: Innovations in Asia</w:t>
      </w:r>
      <w:r w:rsidR="005928D3" w:rsidRPr="00D751E5">
        <w:rPr>
          <w:rFonts w:ascii="Mokka" w:hAnsi="Mokka"/>
        </w:rPr>
        <w:t>.</w:t>
      </w:r>
      <w:r w:rsidR="003D0B4F">
        <w:rPr>
          <w:rFonts w:ascii="Mokka" w:hAnsi="Mokka"/>
        </w:rPr>
        <w:t>” Institute for Agriculture and Trade Policy</w:t>
      </w:r>
      <w:r w:rsidR="00881E28" w:rsidRPr="00D751E5">
        <w:rPr>
          <w:rFonts w:ascii="Mokka" w:hAnsi="Mokka"/>
        </w:rPr>
        <w:t xml:space="preserve"> and Asian Farmers Association</w:t>
      </w:r>
      <w:r w:rsidR="003D0B4F">
        <w:rPr>
          <w:rFonts w:ascii="Mokka" w:hAnsi="Mokka"/>
        </w:rPr>
        <w:t xml:space="preserve">, </w:t>
      </w:r>
      <w:r w:rsidR="003D0B4F" w:rsidRPr="003D0B4F">
        <w:rPr>
          <w:rFonts w:ascii="Mokka" w:hAnsi="Mokka"/>
        </w:rPr>
        <w:t>October 14, 2011</w:t>
      </w:r>
      <w:r w:rsidR="00881E28" w:rsidRPr="00D751E5">
        <w:rPr>
          <w:rFonts w:ascii="Mokka" w:hAnsi="Mokka"/>
        </w:rPr>
        <w:t xml:space="preserve">. </w:t>
      </w:r>
      <w:r w:rsidR="003D0B4F">
        <w:rPr>
          <w:rFonts w:ascii="Mokka" w:hAnsi="Mokka"/>
        </w:rPr>
        <w:t xml:space="preserve">Accessed January 23, 2013. </w:t>
      </w:r>
      <w:hyperlink r:id="rId33" w:history="1">
        <w:r w:rsidR="005A6777" w:rsidRPr="00D751E5">
          <w:rPr>
            <w:rStyle w:val="Hyperlink"/>
            <w:rFonts w:ascii="Mokka" w:hAnsi="Mokka"/>
          </w:rPr>
          <w:t>http://www.iatp.org/documents/agroecology-and-advocacy-innovations-in-asia</w:t>
        </w:r>
      </w:hyperlink>
      <w:r w:rsidR="003D0B4F">
        <w:rPr>
          <w:rFonts w:ascii="Mokka" w:hAnsi="Mokka"/>
        </w:rPr>
        <w:t xml:space="preserve">. </w:t>
      </w:r>
    </w:p>
    <w:p w:rsidR="00D751E5" w:rsidRPr="00D751E5" w:rsidRDefault="00D751E5" w:rsidP="00D751E5">
      <w:pPr>
        <w:spacing w:after="0" w:line="240" w:lineRule="auto"/>
        <w:rPr>
          <w:rFonts w:ascii="Mokka" w:hAnsi="Mokka"/>
        </w:rPr>
      </w:pPr>
    </w:p>
    <w:p w:rsidR="009A7085" w:rsidRPr="00D751E5" w:rsidRDefault="003D0B4F" w:rsidP="00D751E5">
      <w:pPr>
        <w:spacing w:after="0" w:line="240" w:lineRule="auto"/>
        <w:rPr>
          <w:rFonts w:ascii="Mokka" w:hAnsi="Mokka"/>
        </w:rPr>
      </w:pPr>
      <w:r>
        <w:rPr>
          <w:rFonts w:ascii="Mokka" w:hAnsi="Mokka"/>
        </w:rPr>
        <w:t>Pretty, J. et al.</w:t>
      </w:r>
      <w:r w:rsidR="009A7085" w:rsidRPr="00D751E5">
        <w:rPr>
          <w:rFonts w:ascii="Mokka" w:hAnsi="Mokka"/>
        </w:rPr>
        <w:t xml:space="preserve"> “Resource-conserving agriculture increases</w:t>
      </w:r>
      <w:r>
        <w:rPr>
          <w:rFonts w:ascii="Mokka" w:hAnsi="Mokka"/>
        </w:rPr>
        <w:t xml:space="preserve"> yields in developing countries.</w:t>
      </w:r>
      <w:r w:rsidR="009A7085" w:rsidRPr="00D751E5">
        <w:rPr>
          <w:rFonts w:ascii="Mokka" w:hAnsi="Mokka"/>
        </w:rPr>
        <w:t>”</w:t>
      </w:r>
    </w:p>
    <w:p w:rsidR="009A7085" w:rsidRDefault="009A7085" w:rsidP="00D751E5">
      <w:pPr>
        <w:spacing w:after="0" w:line="240" w:lineRule="auto"/>
        <w:rPr>
          <w:rFonts w:ascii="Mokka" w:hAnsi="Mokka"/>
        </w:rPr>
      </w:pPr>
      <w:r w:rsidRPr="003D0B4F">
        <w:rPr>
          <w:rFonts w:ascii="Mokka" w:hAnsi="Mokka"/>
          <w:i/>
        </w:rPr>
        <w:t>Environmental Science and Technology</w:t>
      </w:r>
      <w:r w:rsidR="003D0B4F">
        <w:rPr>
          <w:rFonts w:ascii="Mokka" w:hAnsi="Mokka"/>
        </w:rPr>
        <w:t xml:space="preserve"> 40 (</w:t>
      </w:r>
      <w:r w:rsidRPr="00D751E5">
        <w:rPr>
          <w:rFonts w:ascii="Mokka" w:hAnsi="Mokka"/>
        </w:rPr>
        <w:t>2006</w:t>
      </w:r>
      <w:r w:rsidR="003D0B4F">
        <w:rPr>
          <w:rFonts w:ascii="Mokka" w:hAnsi="Mokka"/>
        </w:rPr>
        <w:t>):</w:t>
      </w:r>
      <w:r w:rsidRPr="00D751E5">
        <w:rPr>
          <w:rFonts w:ascii="Mokka" w:hAnsi="Mokka"/>
        </w:rPr>
        <w:t>1114</w:t>
      </w:r>
      <w:r w:rsidRPr="00D751E5">
        <w:rPr>
          <w:rFonts w:ascii="Times New Roman" w:hAnsi="Times New Roman" w:cs="Times New Roman"/>
        </w:rPr>
        <w:t>−</w:t>
      </w:r>
      <w:r w:rsidRPr="00D751E5">
        <w:rPr>
          <w:rFonts w:ascii="Mokka" w:hAnsi="Mokka"/>
        </w:rPr>
        <w:t>1119.</w:t>
      </w:r>
    </w:p>
    <w:p w:rsidR="00D751E5" w:rsidRPr="00D751E5" w:rsidRDefault="00D751E5" w:rsidP="00D751E5">
      <w:pPr>
        <w:spacing w:after="0" w:line="240" w:lineRule="auto"/>
        <w:rPr>
          <w:rFonts w:ascii="Mokka" w:hAnsi="Mokka"/>
        </w:rPr>
      </w:pPr>
    </w:p>
    <w:p w:rsidR="009A7085" w:rsidRDefault="009A7085" w:rsidP="00D751E5">
      <w:pPr>
        <w:spacing w:after="0" w:line="240" w:lineRule="auto"/>
        <w:rPr>
          <w:rFonts w:ascii="Mokka" w:hAnsi="Mokka"/>
        </w:rPr>
      </w:pPr>
      <w:r w:rsidRPr="00D751E5">
        <w:rPr>
          <w:rFonts w:ascii="Mokka" w:hAnsi="Mokka"/>
        </w:rPr>
        <w:t>Pretty</w:t>
      </w:r>
      <w:r w:rsidR="003D0B4F">
        <w:rPr>
          <w:rFonts w:ascii="Mokka" w:hAnsi="Mokka"/>
        </w:rPr>
        <w:t>,</w:t>
      </w:r>
      <w:r w:rsidRPr="00D751E5">
        <w:rPr>
          <w:rFonts w:ascii="Mokka" w:hAnsi="Mokka"/>
        </w:rPr>
        <w:t xml:space="preserve"> J. et al. </w:t>
      </w:r>
      <w:r w:rsidR="003D0B4F">
        <w:rPr>
          <w:rFonts w:ascii="Mokka" w:hAnsi="Mokka"/>
        </w:rPr>
        <w:t>“</w:t>
      </w:r>
      <w:r w:rsidRPr="00D751E5">
        <w:rPr>
          <w:rFonts w:ascii="Mokka" w:hAnsi="Mokka"/>
        </w:rPr>
        <w:t>Reducing food poverty by increasing agricultural sustaina</w:t>
      </w:r>
      <w:r w:rsidR="003D0B4F">
        <w:rPr>
          <w:rFonts w:ascii="Mokka" w:hAnsi="Mokka"/>
        </w:rPr>
        <w:t xml:space="preserve">bility in developing countries.” </w:t>
      </w:r>
      <w:r w:rsidRPr="003D0B4F">
        <w:rPr>
          <w:rFonts w:ascii="Mokka" w:hAnsi="Mokka"/>
          <w:i/>
        </w:rPr>
        <w:t>Agriculture, Ecosystems and Environment</w:t>
      </w:r>
      <w:r w:rsidRPr="00D751E5">
        <w:rPr>
          <w:rFonts w:ascii="Mokka" w:hAnsi="Mokka"/>
        </w:rPr>
        <w:t xml:space="preserve"> 95</w:t>
      </w:r>
      <w:r w:rsidR="003D0B4F">
        <w:rPr>
          <w:rFonts w:ascii="Mokka" w:hAnsi="Mokka"/>
        </w:rPr>
        <w:t xml:space="preserve"> (2003)</w:t>
      </w:r>
      <w:r w:rsidRPr="00D751E5">
        <w:rPr>
          <w:rFonts w:ascii="Mokka" w:hAnsi="Mokka"/>
        </w:rPr>
        <w:t>:217–234.</w:t>
      </w:r>
    </w:p>
    <w:p w:rsidR="007E0D8B" w:rsidRDefault="007E0D8B" w:rsidP="00D751E5">
      <w:pPr>
        <w:spacing w:after="0" w:line="240" w:lineRule="auto"/>
        <w:rPr>
          <w:rFonts w:ascii="Mokka" w:hAnsi="Mokka"/>
        </w:rPr>
      </w:pPr>
    </w:p>
    <w:p w:rsidR="007E0D8B" w:rsidRDefault="007E0D8B" w:rsidP="007E0D8B">
      <w:pPr>
        <w:spacing w:after="0" w:line="240" w:lineRule="auto"/>
        <w:rPr>
          <w:rFonts w:ascii="Mokka" w:hAnsi="Mokka"/>
        </w:rPr>
      </w:pPr>
      <w:proofErr w:type="gramStart"/>
      <w:r>
        <w:rPr>
          <w:rFonts w:ascii="Mokka" w:hAnsi="Mokka"/>
        </w:rPr>
        <w:t>Surplus People Project.</w:t>
      </w:r>
      <w:proofErr w:type="gramEnd"/>
      <w:r>
        <w:rPr>
          <w:rFonts w:ascii="Mokka" w:hAnsi="Mokka"/>
        </w:rPr>
        <w:t xml:space="preserve"> </w:t>
      </w:r>
      <w:proofErr w:type="gramStart"/>
      <w:r>
        <w:rPr>
          <w:rFonts w:ascii="Mokka" w:hAnsi="Mokka"/>
        </w:rPr>
        <w:t>“Research Reports.”</w:t>
      </w:r>
      <w:proofErr w:type="gramEnd"/>
      <w:r>
        <w:rPr>
          <w:rFonts w:ascii="Mokka" w:hAnsi="Mokka"/>
        </w:rPr>
        <w:t xml:space="preserve"> </w:t>
      </w:r>
      <w:proofErr w:type="gramStart"/>
      <w:r>
        <w:rPr>
          <w:rFonts w:ascii="Mokka" w:hAnsi="Mokka"/>
        </w:rPr>
        <w:t>Surplus People Project.</w:t>
      </w:r>
      <w:proofErr w:type="gramEnd"/>
      <w:r>
        <w:rPr>
          <w:rFonts w:ascii="Mokka" w:hAnsi="Mokka"/>
        </w:rPr>
        <w:t xml:space="preserve"> </w:t>
      </w:r>
      <w:proofErr w:type="gramStart"/>
      <w:r>
        <w:rPr>
          <w:rFonts w:ascii="Mokka" w:hAnsi="Mokka"/>
        </w:rPr>
        <w:t>Accessed January 23, 2013.</w:t>
      </w:r>
      <w:proofErr w:type="gramEnd"/>
      <w:r>
        <w:rPr>
          <w:rFonts w:ascii="Mokka" w:hAnsi="Mokka"/>
        </w:rPr>
        <w:t xml:space="preserve"> </w:t>
      </w:r>
      <w:hyperlink r:id="rId34" w:history="1">
        <w:r w:rsidRPr="00D751E5">
          <w:rPr>
            <w:rStyle w:val="Hyperlink"/>
            <w:rFonts w:ascii="Mokka" w:hAnsi="Mokka"/>
          </w:rPr>
          <w:t>http://www.spp.org.za/research-reports/</w:t>
        </w:r>
      </w:hyperlink>
      <w:r>
        <w:rPr>
          <w:rFonts w:ascii="Mokka" w:hAnsi="Mokka"/>
        </w:rPr>
        <w:t>.</w:t>
      </w:r>
    </w:p>
    <w:p w:rsidR="009A7085" w:rsidRPr="00D751E5" w:rsidRDefault="009A7085" w:rsidP="00D751E5">
      <w:pPr>
        <w:spacing w:after="0" w:line="240" w:lineRule="auto"/>
        <w:rPr>
          <w:rFonts w:ascii="Mokka" w:hAnsi="Mokka"/>
        </w:rPr>
      </w:pPr>
    </w:p>
    <w:p w:rsidR="008F171E" w:rsidRPr="00D751E5" w:rsidRDefault="008F171E" w:rsidP="00D751E5">
      <w:pPr>
        <w:spacing w:after="0" w:line="240" w:lineRule="auto"/>
        <w:rPr>
          <w:rFonts w:ascii="Mokka" w:hAnsi="Mokka"/>
        </w:rPr>
      </w:pPr>
      <w:r w:rsidRPr="00D751E5">
        <w:rPr>
          <w:rFonts w:ascii="Mokka" w:hAnsi="Mokka"/>
        </w:rPr>
        <w:t xml:space="preserve">UNEP-UNCTAD Capacity Building Task Force on Trade, </w:t>
      </w:r>
      <w:proofErr w:type="gramStart"/>
      <w:r w:rsidRPr="00D751E5">
        <w:rPr>
          <w:rFonts w:ascii="Mokka" w:hAnsi="Mokka"/>
        </w:rPr>
        <w:t>Env</w:t>
      </w:r>
      <w:r w:rsidR="003D0B4F">
        <w:rPr>
          <w:rFonts w:ascii="Mokka" w:hAnsi="Mokka"/>
        </w:rPr>
        <w:t>ironment</w:t>
      </w:r>
      <w:proofErr w:type="gramEnd"/>
      <w:r w:rsidR="003D0B4F">
        <w:rPr>
          <w:rFonts w:ascii="Mokka" w:hAnsi="Mokka"/>
        </w:rPr>
        <w:t xml:space="preserve"> and Development (CBTF).</w:t>
      </w:r>
    </w:p>
    <w:p w:rsidR="008F171E" w:rsidRDefault="008F171E" w:rsidP="00D751E5">
      <w:pPr>
        <w:spacing w:after="0" w:line="240" w:lineRule="auto"/>
        <w:rPr>
          <w:rFonts w:ascii="Mokka" w:hAnsi="Mokka"/>
        </w:rPr>
      </w:pPr>
      <w:r w:rsidRPr="003D0B4F">
        <w:rPr>
          <w:rFonts w:ascii="Mokka" w:hAnsi="Mokka"/>
          <w:i/>
        </w:rPr>
        <w:t>Organic Agriculture and Food Security in Africa</w:t>
      </w:r>
      <w:r w:rsidR="003D0B4F">
        <w:rPr>
          <w:rFonts w:ascii="Mokka" w:hAnsi="Mokka"/>
        </w:rPr>
        <w:t>.</w:t>
      </w:r>
      <w:r w:rsidRPr="00D751E5">
        <w:rPr>
          <w:rFonts w:ascii="Mokka" w:hAnsi="Mokka"/>
        </w:rPr>
        <w:t xml:space="preserve"> New York/Geneva</w:t>
      </w:r>
      <w:r w:rsidR="003D0B4F">
        <w:rPr>
          <w:rFonts w:ascii="Mokka" w:hAnsi="Mokka"/>
        </w:rPr>
        <w:t>:</w:t>
      </w:r>
      <w:r w:rsidRPr="00D751E5">
        <w:rPr>
          <w:rFonts w:ascii="Mokka" w:hAnsi="Mokka"/>
        </w:rPr>
        <w:t xml:space="preserve"> United Nations, 2008</w:t>
      </w:r>
      <w:r w:rsidR="003D0B4F">
        <w:rPr>
          <w:rFonts w:ascii="Mokka" w:hAnsi="Mokka"/>
        </w:rPr>
        <w:t>.</w:t>
      </w:r>
    </w:p>
    <w:p w:rsidR="00D751E5" w:rsidRPr="00D751E5" w:rsidRDefault="00D751E5" w:rsidP="00D751E5">
      <w:pPr>
        <w:spacing w:after="0" w:line="240" w:lineRule="auto"/>
        <w:rPr>
          <w:rFonts w:ascii="Mokka" w:hAnsi="Mokka"/>
        </w:rPr>
      </w:pPr>
    </w:p>
    <w:p w:rsidR="000B4E82" w:rsidRPr="00D751E5" w:rsidRDefault="000B4E82" w:rsidP="00D751E5">
      <w:pPr>
        <w:spacing w:after="0" w:line="240" w:lineRule="auto"/>
        <w:rPr>
          <w:rFonts w:ascii="Mokka" w:hAnsi="Mokka"/>
        </w:rPr>
      </w:pPr>
      <w:r w:rsidRPr="00D751E5">
        <w:rPr>
          <w:rFonts w:ascii="Mokka" w:hAnsi="Mokka"/>
        </w:rPr>
        <w:t xml:space="preserve">Uphoff, </w:t>
      </w:r>
      <w:r w:rsidR="003D0B4F">
        <w:rPr>
          <w:rFonts w:ascii="Mokka" w:hAnsi="Mokka"/>
        </w:rPr>
        <w:t>Norman.</w:t>
      </w:r>
      <w:r w:rsidRPr="00D751E5">
        <w:rPr>
          <w:rFonts w:ascii="Mokka" w:hAnsi="Mokka"/>
        </w:rPr>
        <w:t xml:space="preserve"> </w:t>
      </w:r>
      <w:r w:rsidR="003D0B4F">
        <w:rPr>
          <w:rFonts w:ascii="Mokka" w:hAnsi="Mokka"/>
        </w:rPr>
        <w:t>“</w:t>
      </w:r>
      <w:r w:rsidRPr="00D751E5">
        <w:rPr>
          <w:rFonts w:ascii="Mokka" w:hAnsi="Mokka"/>
        </w:rPr>
        <w:t>The System of Rice Intensification: An Alternate Civil Society Innovation</w:t>
      </w:r>
      <w:r w:rsidR="003D0B4F">
        <w:rPr>
          <w:rFonts w:ascii="Mokka" w:hAnsi="Mokka"/>
        </w:rPr>
        <w:t>.”</w:t>
      </w:r>
    </w:p>
    <w:p w:rsidR="000B4E82" w:rsidRPr="00D751E5" w:rsidRDefault="00176EC6" w:rsidP="00D751E5">
      <w:pPr>
        <w:spacing w:after="0" w:line="240" w:lineRule="auto"/>
        <w:rPr>
          <w:rFonts w:ascii="Mokka" w:hAnsi="Mokka"/>
        </w:rPr>
      </w:pPr>
      <w:r w:rsidRPr="00176EC6">
        <w:rPr>
          <w:rFonts w:ascii="Mokka" w:hAnsi="Mokka"/>
          <w:i/>
        </w:rPr>
        <w:t>TECHNIKFOLGENABSCHÄTZUNG – Theorie und Praxis</w:t>
      </w:r>
      <w:r>
        <w:rPr>
          <w:rFonts w:ascii="Mokka" w:hAnsi="Mokka"/>
          <w:i/>
        </w:rPr>
        <w:t xml:space="preserve"> </w:t>
      </w:r>
      <w:r>
        <w:rPr>
          <w:rFonts w:ascii="Mokka" w:hAnsi="Mokka"/>
        </w:rPr>
        <w:t>20 (2011): 45-52.</w:t>
      </w:r>
      <w:r w:rsidR="00E91666">
        <w:rPr>
          <w:rFonts w:ascii="Mokka" w:hAnsi="Mokka"/>
        </w:rPr>
        <w:t xml:space="preserve"> </w:t>
      </w:r>
      <w:r>
        <w:rPr>
          <w:rFonts w:ascii="Mokka" w:hAnsi="Mokka"/>
        </w:rPr>
        <w:t xml:space="preserve">Accessed January 23, 2013. </w:t>
      </w:r>
      <w:hyperlink r:id="rId35" w:history="1">
        <w:r w:rsidR="000B4E82" w:rsidRPr="00D751E5">
          <w:rPr>
            <w:rStyle w:val="Hyperlink"/>
            <w:rFonts w:ascii="Mokka" w:hAnsi="Mokka"/>
          </w:rPr>
          <w:t>http://www.itas.fzk.de/tatup/112/upho11a.htm</w:t>
        </w:r>
      </w:hyperlink>
      <w:r>
        <w:rPr>
          <w:rFonts w:ascii="Mokka" w:hAnsi="Mokka"/>
        </w:rPr>
        <w:t>.</w:t>
      </w:r>
    </w:p>
    <w:p w:rsidR="009A7085" w:rsidRPr="00D751E5" w:rsidRDefault="009A7085" w:rsidP="00D751E5">
      <w:pPr>
        <w:spacing w:after="0" w:line="240" w:lineRule="auto"/>
        <w:rPr>
          <w:rFonts w:ascii="Mokka" w:hAnsi="Mokka"/>
        </w:rPr>
      </w:pPr>
    </w:p>
    <w:p w:rsidR="000B4E82" w:rsidRDefault="009A7085" w:rsidP="00176EC6">
      <w:pPr>
        <w:spacing w:after="0" w:line="240" w:lineRule="auto"/>
        <w:rPr>
          <w:rFonts w:ascii="Mokka" w:hAnsi="Mokka"/>
        </w:rPr>
      </w:pPr>
      <w:r w:rsidRPr="00D751E5">
        <w:rPr>
          <w:rFonts w:ascii="Mokka" w:hAnsi="Mokka"/>
        </w:rPr>
        <w:t>Uphoff, N</w:t>
      </w:r>
      <w:r w:rsidR="00176EC6">
        <w:rPr>
          <w:rFonts w:ascii="Mokka" w:hAnsi="Mokka"/>
        </w:rPr>
        <w:t>orman.</w:t>
      </w:r>
      <w:r w:rsidR="00E91666">
        <w:rPr>
          <w:rFonts w:ascii="Mokka" w:hAnsi="Mokka"/>
        </w:rPr>
        <w:t xml:space="preserve"> </w:t>
      </w:r>
      <w:r w:rsidRPr="00D751E5">
        <w:rPr>
          <w:rFonts w:ascii="Mokka" w:hAnsi="Mokka"/>
        </w:rPr>
        <w:t>“Institut</w:t>
      </w:r>
      <w:r w:rsidR="00176EC6">
        <w:rPr>
          <w:rFonts w:ascii="Mokka" w:hAnsi="Mokka"/>
        </w:rPr>
        <w:t>ional change and policy reforms.” I</w:t>
      </w:r>
      <w:r w:rsidRPr="00D751E5">
        <w:rPr>
          <w:rFonts w:ascii="Mokka" w:hAnsi="Mokka"/>
        </w:rPr>
        <w:t xml:space="preserve">n </w:t>
      </w:r>
      <w:r w:rsidR="00176EC6" w:rsidRPr="00176EC6">
        <w:rPr>
          <w:rFonts w:ascii="Mokka" w:hAnsi="Mokka"/>
          <w:i/>
        </w:rPr>
        <w:t xml:space="preserve">Agroecological innovations: </w:t>
      </w:r>
      <w:r w:rsidRPr="00176EC6">
        <w:rPr>
          <w:rFonts w:ascii="Mokka" w:hAnsi="Mokka"/>
          <w:i/>
        </w:rPr>
        <w:t>Increasing food</w:t>
      </w:r>
      <w:r w:rsidR="00176EC6" w:rsidRPr="00176EC6">
        <w:rPr>
          <w:rFonts w:ascii="Mokka" w:hAnsi="Mokka"/>
          <w:i/>
        </w:rPr>
        <w:t xml:space="preserve"> </w:t>
      </w:r>
      <w:r w:rsidRPr="00176EC6">
        <w:rPr>
          <w:rFonts w:ascii="Mokka" w:hAnsi="Mokka"/>
          <w:i/>
        </w:rPr>
        <w:t>production with participatory development</w:t>
      </w:r>
      <w:r w:rsidRPr="00D751E5">
        <w:rPr>
          <w:rFonts w:ascii="Mokka" w:hAnsi="Mokka"/>
        </w:rPr>
        <w:t xml:space="preserve">, </w:t>
      </w:r>
      <w:r w:rsidR="00176EC6">
        <w:rPr>
          <w:rFonts w:ascii="Mokka" w:hAnsi="Mokka"/>
        </w:rPr>
        <w:t xml:space="preserve">edited by Norman Uphoff, 255. London: </w:t>
      </w:r>
      <w:r w:rsidRPr="00D751E5">
        <w:rPr>
          <w:rFonts w:ascii="Mokka" w:hAnsi="Mokka"/>
        </w:rPr>
        <w:t>Earthscan Publications,</w:t>
      </w:r>
      <w:r w:rsidR="003D0B4F">
        <w:rPr>
          <w:rFonts w:ascii="Mokka" w:hAnsi="Mokka"/>
        </w:rPr>
        <w:t xml:space="preserve"> </w:t>
      </w:r>
      <w:r w:rsidR="00176EC6">
        <w:rPr>
          <w:rFonts w:ascii="Mokka" w:hAnsi="Mokka"/>
        </w:rPr>
        <w:t>2001.</w:t>
      </w:r>
    </w:p>
    <w:p w:rsidR="008B0311" w:rsidRPr="00D751E5" w:rsidRDefault="008B0311" w:rsidP="008B0311">
      <w:pPr>
        <w:spacing w:after="0" w:line="240" w:lineRule="auto"/>
        <w:rPr>
          <w:rFonts w:ascii="Mokka" w:hAnsi="Mokka"/>
        </w:rPr>
      </w:pPr>
    </w:p>
    <w:p w:rsidR="000B4E82" w:rsidRDefault="000B4E82" w:rsidP="00D751E5">
      <w:pPr>
        <w:spacing w:after="0" w:line="240" w:lineRule="auto"/>
        <w:rPr>
          <w:rFonts w:ascii="Mokka" w:hAnsi="Mokka"/>
        </w:rPr>
      </w:pPr>
      <w:r w:rsidRPr="00D751E5">
        <w:rPr>
          <w:rFonts w:ascii="Mokka" w:hAnsi="Mokka"/>
        </w:rPr>
        <w:t>Via Campesina</w:t>
      </w:r>
      <w:r w:rsidR="008B0311">
        <w:rPr>
          <w:rFonts w:ascii="Mokka" w:hAnsi="Mokka"/>
        </w:rPr>
        <w:t>, La</w:t>
      </w:r>
      <w:r w:rsidR="00176EC6">
        <w:rPr>
          <w:rFonts w:ascii="Mokka" w:hAnsi="Mokka"/>
        </w:rPr>
        <w:t>.</w:t>
      </w:r>
      <w:r w:rsidR="00E91666">
        <w:rPr>
          <w:rFonts w:ascii="Mokka" w:hAnsi="Mokka"/>
        </w:rPr>
        <w:t xml:space="preserve"> </w:t>
      </w:r>
      <w:r w:rsidR="00176EC6">
        <w:rPr>
          <w:rFonts w:ascii="Mokka" w:hAnsi="Mokka"/>
        </w:rPr>
        <w:t>“</w:t>
      </w:r>
      <w:r w:rsidRPr="00D751E5">
        <w:rPr>
          <w:rFonts w:ascii="Mokka" w:hAnsi="Mokka"/>
        </w:rPr>
        <w:t xml:space="preserve">Sustainable Peasant and Family Farm </w:t>
      </w:r>
      <w:r w:rsidR="00176EC6">
        <w:rPr>
          <w:rFonts w:ascii="Mokka" w:hAnsi="Mokka"/>
        </w:rPr>
        <w:t xml:space="preserve">Agriculture Can Feed the World.” La </w:t>
      </w:r>
      <w:r w:rsidR="00176EC6" w:rsidRPr="00D751E5">
        <w:rPr>
          <w:rFonts w:ascii="Mokka" w:hAnsi="Mokka"/>
        </w:rPr>
        <w:t>Via Campesina</w:t>
      </w:r>
      <w:r w:rsidR="00176EC6">
        <w:rPr>
          <w:rFonts w:ascii="Mokka" w:hAnsi="Mokka"/>
        </w:rPr>
        <w:t xml:space="preserve">, September 2010. Accessed January 23, 2013. </w:t>
      </w:r>
      <w:hyperlink r:id="rId36" w:history="1">
        <w:r w:rsidR="009A7085" w:rsidRPr="00D751E5">
          <w:rPr>
            <w:rStyle w:val="Hyperlink"/>
            <w:rFonts w:ascii="Mokka" w:hAnsi="Mokka"/>
          </w:rPr>
          <w:t>http://viacampesina.org/downloads/pdf/en/paper6-EN-FINAL.pdf</w:t>
        </w:r>
      </w:hyperlink>
      <w:r w:rsidR="00176EC6">
        <w:rPr>
          <w:rFonts w:ascii="Mokka" w:hAnsi="Mokka"/>
        </w:rPr>
        <w:t>.</w:t>
      </w:r>
    </w:p>
    <w:p w:rsidR="00D751E5" w:rsidRPr="00D751E5" w:rsidRDefault="00D751E5" w:rsidP="00D751E5">
      <w:pPr>
        <w:spacing w:after="0" w:line="240" w:lineRule="auto"/>
        <w:rPr>
          <w:rFonts w:ascii="Mokka" w:hAnsi="Mokka"/>
        </w:rPr>
      </w:pPr>
    </w:p>
    <w:p w:rsidR="005C3773" w:rsidRPr="00D751E5" w:rsidRDefault="00176EC6" w:rsidP="00D751E5">
      <w:pPr>
        <w:spacing w:after="0" w:line="240" w:lineRule="auto"/>
        <w:rPr>
          <w:rFonts w:ascii="Mokka" w:hAnsi="Mokka"/>
        </w:rPr>
      </w:pPr>
      <w:r w:rsidRPr="00176EC6">
        <w:rPr>
          <w:rFonts w:ascii="Mokka" w:hAnsi="Mokka"/>
        </w:rPr>
        <w:t>Wynberg, Rachel</w:t>
      </w:r>
      <w:r>
        <w:rPr>
          <w:rFonts w:ascii="Mokka" w:hAnsi="Mokka"/>
        </w:rPr>
        <w:t xml:space="preserve">, Jaci van Niekerk, </w:t>
      </w:r>
      <w:r w:rsidRPr="00176EC6">
        <w:rPr>
          <w:rFonts w:ascii="Mokka" w:hAnsi="Mokka"/>
        </w:rPr>
        <w:t>Rose</w:t>
      </w:r>
      <w:r>
        <w:rPr>
          <w:rFonts w:ascii="Mokka" w:hAnsi="Mokka"/>
        </w:rPr>
        <w:t xml:space="preserve"> </w:t>
      </w:r>
      <w:r w:rsidRPr="00176EC6">
        <w:rPr>
          <w:rFonts w:ascii="Mokka" w:hAnsi="Mokka"/>
        </w:rPr>
        <w:t>Williams and Lawrence Mkhaliphi</w:t>
      </w:r>
      <w:r>
        <w:rPr>
          <w:rFonts w:ascii="Mokka" w:hAnsi="Mokka"/>
        </w:rPr>
        <w:t>. “</w:t>
      </w:r>
      <w:r w:rsidR="005C3773" w:rsidRPr="00D751E5">
        <w:rPr>
          <w:rFonts w:ascii="Mokka" w:hAnsi="Mokka"/>
        </w:rPr>
        <w:t>Policy Brief</w:t>
      </w:r>
      <w:r>
        <w:rPr>
          <w:rFonts w:ascii="Mokka" w:hAnsi="Mokka"/>
        </w:rPr>
        <w:t xml:space="preserve">: </w:t>
      </w:r>
      <w:r w:rsidR="005C3773" w:rsidRPr="00D751E5">
        <w:rPr>
          <w:rFonts w:ascii="Mokka" w:hAnsi="Mokka"/>
        </w:rPr>
        <w:t>Securing Farmers’ Rights</w:t>
      </w:r>
      <w:r>
        <w:rPr>
          <w:rFonts w:ascii="Mokka" w:hAnsi="Mokka"/>
        </w:rPr>
        <w:t xml:space="preserve"> </w:t>
      </w:r>
      <w:r w:rsidR="005C3773" w:rsidRPr="00D751E5">
        <w:rPr>
          <w:rFonts w:ascii="Mokka" w:hAnsi="Mokka"/>
        </w:rPr>
        <w:t>and Seed Sovereignty in South Africa.</w:t>
      </w:r>
      <w:r>
        <w:rPr>
          <w:rFonts w:ascii="Mokka" w:hAnsi="Mokka"/>
        </w:rPr>
        <w:t xml:space="preserve">” Biowatch South Africa, June 2012. Accessed January 23, 2013. </w:t>
      </w:r>
      <w:hyperlink r:id="rId37" w:history="1">
        <w:r w:rsidR="005C3773" w:rsidRPr="00D751E5">
          <w:rPr>
            <w:rStyle w:val="Hyperlink"/>
            <w:rFonts w:ascii="Mokka" w:hAnsi="Mokka"/>
          </w:rPr>
          <w:t>http://www.biowatch.org.za/docs/policy/seed.pdf</w:t>
        </w:r>
      </w:hyperlink>
      <w:r>
        <w:rPr>
          <w:rFonts w:ascii="Mokka" w:hAnsi="Mokka"/>
        </w:rPr>
        <w:t>.</w:t>
      </w:r>
    </w:p>
    <w:p w:rsidR="005C3773" w:rsidRPr="00D751E5" w:rsidRDefault="005C3773" w:rsidP="00D751E5">
      <w:pPr>
        <w:spacing w:after="0" w:line="240" w:lineRule="auto"/>
        <w:rPr>
          <w:rFonts w:ascii="Mokka" w:hAnsi="Mokka"/>
        </w:rPr>
      </w:pPr>
    </w:p>
    <w:p w:rsidR="00672DD6" w:rsidRPr="00D751E5" w:rsidRDefault="005C3773" w:rsidP="00D751E5">
      <w:pPr>
        <w:spacing w:after="0" w:line="240" w:lineRule="auto"/>
        <w:rPr>
          <w:rFonts w:ascii="Mokka" w:hAnsi="Mokka"/>
          <w:b/>
        </w:rPr>
      </w:pPr>
      <w:r w:rsidRPr="00D751E5">
        <w:rPr>
          <w:rFonts w:ascii="Mokka" w:hAnsi="Mokka"/>
          <w:b/>
        </w:rPr>
        <w:t xml:space="preserve">Some </w:t>
      </w:r>
      <w:r w:rsidR="007B0CB6" w:rsidRPr="00D751E5">
        <w:rPr>
          <w:rFonts w:ascii="Mokka" w:hAnsi="Mokka"/>
          <w:b/>
        </w:rPr>
        <w:t>References on Women in Agriculture:</w:t>
      </w:r>
      <w:r w:rsidR="003D0B4F">
        <w:rPr>
          <w:rFonts w:ascii="Mokka" w:hAnsi="Mokka"/>
          <w:b/>
        </w:rPr>
        <w:t xml:space="preserve"> </w:t>
      </w:r>
    </w:p>
    <w:p w:rsidR="007B0CB6" w:rsidRDefault="008B0311" w:rsidP="00D751E5">
      <w:pPr>
        <w:spacing w:after="0" w:line="240" w:lineRule="auto"/>
        <w:rPr>
          <w:rFonts w:ascii="Mokka" w:hAnsi="Mokka"/>
        </w:rPr>
      </w:pPr>
      <w:r>
        <w:rPr>
          <w:rFonts w:ascii="Mokka" w:hAnsi="Mokka"/>
        </w:rPr>
        <w:t xml:space="preserve">FAO. </w:t>
      </w:r>
      <w:r w:rsidR="007B0CB6" w:rsidRPr="008B0311">
        <w:rPr>
          <w:rFonts w:ascii="Mokka" w:hAnsi="Mokka"/>
          <w:i/>
        </w:rPr>
        <w:t>State of Food and Agriculture 2010-2011.</w:t>
      </w:r>
      <w:r w:rsidR="003D0B4F" w:rsidRPr="008B0311">
        <w:rPr>
          <w:rFonts w:ascii="Mokka" w:hAnsi="Mokka"/>
          <w:i/>
        </w:rPr>
        <w:t xml:space="preserve"> </w:t>
      </w:r>
      <w:r w:rsidR="007B0CB6" w:rsidRPr="008B0311">
        <w:rPr>
          <w:rFonts w:ascii="Mokka" w:hAnsi="Mokka"/>
          <w:i/>
        </w:rPr>
        <w:t xml:space="preserve">Women in </w:t>
      </w:r>
      <w:r w:rsidRPr="008B0311">
        <w:rPr>
          <w:rFonts w:ascii="Mokka" w:hAnsi="Mokka"/>
          <w:i/>
        </w:rPr>
        <w:t>a</w:t>
      </w:r>
      <w:r w:rsidR="007B0CB6" w:rsidRPr="008B0311">
        <w:rPr>
          <w:rFonts w:ascii="Mokka" w:hAnsi="Mokka"/>
          <w:i/>
        </w:rPr>
        <w:t xml:space="preserve">griculture: Closing the </w:t>
      </w:r>
      <w:r w:rsidRPr="008B0311">
        <w:rPr>
          <w:rFonts w:ascii="Mokka" w:hAnsi="Mokka"/>
          <w:i/>
        </w:rPr>
        <w:t>g</w:t>
      </w:r>
      <w:r w:rsidR="007B0CB6" w:rsidRPr="008B0311">
        <w:rPr>
          <w:rFonts w:ascii="Mokka" w:hAnsi="Mokka"/>
          <w:i/>
        </w:rPr>
        <w:t xml:space="preserve">ender </w:t>
      </w:r>
      <w:r w:rsidRPr="008B0311">
        <w:rPr>
          <w:rFonts w:ascii="Mokka" w:hAnsi="Mokka"/>
          <w:i/>
        </w:rPr>
        <w:t>g</w:t>
      </w:r>
      <w:r w:rsidR="007B0CB6" w:rsidRPr="008B0311">
        <w:rPr>
          <w:rFonts w:ascii="Mokka" w:hAnsi="Mokka"/>
          <w:i/>
        </w:rPr>
        <w:t>ap</w:t>
      </w:r>
      <w:r w:rsidRPr="008B0311">
        <w:rPr>
          <w:rFonts w:ascii="Mokka" w:hAnsi="Mokka"/>
          <w:i/>
        </w:rPr>
        <w:t xml:space="preserve"> for development</w:t>
      </w:r>
      <w:r w:rsidR="007B0CB6" w:rsidRPr="008B0311">
        <w:rPr>
          <w:rFonts w:ascii="Mokka" w:hAnsi="Mokka"/>
          <w:i/>
        </w:rPr>
        <w:t>.</w:t>
      </w:r>
      <w:r w:rsidR="007B0CB6" w:rsidRPr="00D751E5">
        <w:rPr>
          <w:rFonts w:ascii="Mokka" w:hAnsi="Mokka"/>
        </w:rPr>
        <w:t xml:space="preserve"> </w:t>
      </w:r>
      <w:r>
        <w:rPr>
          <w:rFonts w:ascii="Mokka" w:hAnsi="Mokka"/>
        </w:rPr>
        <w:t xml:space="preserve">Rome: </w:t>
      </w:r>
      <w:r w:rsidRPr="008B0311">
        <w:rPr>
          <w:rFonts w:ascii="Mokka" w:hAnsi="Mokka"/>
        </w:rPr>
        <w:t>Food and Agricultural Org</w:t>
      </w:r>
      <w:r>
        <w:rPr>
          <w:rFonts w:ascii="Mokka" w:hAnsi="Mokka"/>
        </w:rPr>
        <w:t xml:space="preserve">anization of the United Nations, 2011. Accessed January 23, 2013. </w:t>
      </w:r>
      <w:hyperlink r:id="rId38" w:history="1">
        <w:r w:rsidR="008D08FB" w:rsidRPr="00D751E5">
          <w:rPr>
            <w:rStyle w:val="Hyperlink"/>
            <w:rFonts w:ascii="Mokka" w:hAnsi="Mokka"/>
          </w:rPr>
          <w:t>http://www.fao.org/docrep/013/i2050e/i2050e00.htm</w:t>
        </w:r>
      </w:hyperlink>
      <w:r>
        <w:rPr>
          <w:rFonts w:ascii="Mokka" w:hAnsi="Mokka"/>
        </w:rPr>
        <w:t>.</w:t>
      </w:r>
    </w:p>
    <w:p w:rsidR="00D751E5" w:rsidRPr="00D751E5" w:rsidRDefault="00D751E5" w:rsidP="00D751E5">
      <w:pPr>
        <w:spacing w:after="0" w:line="240" w:lineRule="auto"/>
        <w:rPr>
          <w:rFonts w:ascii="Mokka" w:hAnsi="Mokka"/>
        </w:rPr>
      </w:pPr>
    </w:p>
    <w:p w:rsidR="008D08FB" w:rsidRDefault="008D08FB" w:rsidP="008B0311">
      <w:pPr>
        <w:spacing w:after="0" w:line="240" w:lineRule="auto"/>
        <w:rPr>
          <w:rFonts w:ascii="Mokka" w:hAnsi="Mokka"/>
        </w:rPr>
      </w:pPr>
      <w:r w:rsidRPr="00D751E5">
        <w:rPr>
          <w:rFonts w:ascii="Mokka" w:hAnsi="Mokka"/>
        </w:rPr>
        <w:t>FAO</w:t>
      </w:r>
      <w:r w:rsidR="008B0311">
        <w:rPr>
          <w:rFonts w:ascii="Mokka" w:hAnsi="Mokka"/>
        </w:rPr>
        <w:t>,</w:t>
      </w:r>
      <w:r w:rsidRPr="00D751E5">
        <w:rPr>
          <w:rFonts w:ascii="Mokka" w:hAnsi="Mokka"/>
        </w:rPr>
        <w:t xml:space="preserve"> IFAD</w:t>
      </w:r>
      <w:r w:rsidR="008B0311">
        <w:rPr>
          <w:rFonts w:ascii="Mokka" w:hAnsi="Mokka"/>
        </w:rPr>
        <w:t xml:space="preserve"> and the ILO</w:t>
      </w:r>
      <w:r w:rsidRPr="00D751E5">
        <w:rPr>
          <w:rFonts w:ascii="Mokka" w:hAnsi="Mokka"/>
        </w:rPr>
        <w:t>.</w:t>
      </w:r>
      <w:r w:rsidR="003D0B4F">
        <w:rPr>
          <w:rFonts w:ascii="Mokka" w:hAnsi="Mokka"/>
        </w:rPr>
        <w:t xml:space="preserve"> </w:t>
      </w:r>
      <w:r w:rsidR="008B0311" w:rsidRPr="008B0311">
        <w:rPr>
          <w:rFonts w:ascii="Mokka" w:hAnsi="Mokka"/>
          <w:i/>
        </w:rPr>
        <w:t>Gender dimensions of agricultural and rural employment: Differentiated pathways out of poverty. Status, trends and gaps.</w:t>
      </w:r>
      <w:r w:rsidR="008B0311">
        <w:rPr>
          <w:rFonts w:ascii="Mokka" w:hAnsi="Mokka"/>
        </w:rPr>
        <w:t xml:space="preserve"> Rome: </w:t>
      </w:r>
      <w:r w:rsidR="008B0311" w:rsidRPr="008B0311">
        <w:rPr>
          <w:rFonts w:ascii="Mokka" w:hAnsi="Mokka"/>
        </w:rPr>
        <w:t>Food and Agricultural Orga</w:t>
      </w:r>
      <w:r w:rsidR="008B0311">
        <w:rPr>
          <w:rFonts w:ascii="Mokka" w:hAnsi="Mokka"/>
        </w:rPr>
        <w:t xml:space="preserve">nization of the United Nations, </w:t>
      </w:r>
      <w:r w:rsidR="008B0311" w:rsidRPr="008B0311">
        <w:rPr>
          <w:rFonts w:ascii="Mokka" w:hAnsi="Mokka"/>
        </w:rPr>
        <w:t>the International Fu</w:t>
      </w:r>
      <w:r w:rsidR="008B0311">
        <w:rPr>
          <w:rFonts w:ascii="Mokka" w:hAnsi="Mokka"/>
        </w:rPr>
        <w:t xml:space="preserve">nd for Agricultural Development and the International Labour </w:t>
      </w:r>
      <w:r w:rsidR="008B0311" w:rsidRPr="008B0311">
        <w:rPr>
          <w:rFonts w:ascii="Mokka" w:hAnsi="Mokka"/>
        </w:rPr>
        <w:t>Office</w:t>
      </w:r>
      <w:r w:rsidR="008B0311">
        <w:rPr>
          <w:rFonts w:ascii="Mokka" w:hAnsi="Mokka"/>
        </w:rPr>
        <w:t>, 2010. Accessed January 23, 2013</w:t>
      </w:r>
      <w:r w:rsidR="00E91666">
        <w:rPr>
          <w:rFonts w:ascii="Mokka" w:hAnsi="Mokka"/>
        </w:rPr>
        <w:t xml:space="preserve">. </w:t>
      </w:r>
      <w:hyperlink r:id="rId39" w:history="1">
        <w:r w:rsidR="00377EB3" w:rsidRPr="00D751E5">
          <w:rPr>
            <w:rStyle w:val="Hyperlink"/>
            <w:rFonts w:ascii="Mokka" w:hAnsi="Mokka"/>
          </w:rPr>
          <w:t>http://www.fao.org/docrep/013/i1638e/i1638e.pdf</w:t>
        </w:r>
      </w:hyperlink>
      <w:r w:rsidR="008B0311">
        <w:rPr>
          <w:rFonts w:ascii="Mokka" w:hAnsi="Mokka"/>
        </w:rPr>
        <w:t>.</w:t>
      </w:r>
    </w:p>
    <w:p w:rsidR="007E0D8B" w:rsidRDefault="007E0D8B" w:rsidP="008B0311">
      <w:pPr>
        <w:spacing w:after="0" w:line="240" w:lineRule="auto"/>
        <w:rPr>
          <w:rFonts w:ascii="Mokka" w:hAnsi="Mokka"/>
        </w:rPr>
      </w:pPr>
    </w:p>
    <w:p w:rsidR="007E0D8B" w:rsidRPr="00D751E5" w:rsidRDefault="007E0D8B" w:rsidP="007E0D8B">
      <w:pPr>
        <w:spacing w:after="0" w:line="240" w:lineRule="auto"/>
        <w:rPr>
          <w:rFonts w:ascii="Mokka" w:hAnsi="Mokka"/>
        </w:rPr>
      </w:pPr>
      <w:r>
        <w:rPr>
          <w:rFonts w:ascii="Mokka" w:hAnsi="Mokka"/>
        </w:rPr>
        <w:t xml:space="preserve">Spieldoch, Alexandra. “Reference Document: Women Farmers, Change and Development Agents.” Document presented at the Family Farming World Conference, October 5-7, 2011. </w:t>
      </w:r>
      <w:proofErr w:type="gramStart"/>
      <w:r>
        <w:rPr>
          <w:rFonts w:ascii="Mokka" w:hAnsi="Mokka"/>
        </w:rPr>
        <w:t>Accessed January 23, 2013.</w:t>
      </w:r>
      <w:proofErr w:type="gramEnd"/>
      <w:r>
        <w:rPr>
          <w:rFonts w:ascii="Mokka" w:hAnsi="Mokka"/>
        </w:rPr>
        <w:t xml:space="preserve"> </w:t>
      </w:r>
      <w:hyperlink r:id="rId40" w:history="1">
        <w:r w:rsidRPr="00D751E5">
          <w:rPr>
            <w:rStyle w:val="Hyperlink"/>
            <w:rFonts w:ascii="Mokka" w:hAnsi="Mokka"/>
          </w:rPr>
          <w:t>http://es.scribd.com/fullscreen/73353429?access_key=key-17pgzqunmhi2iuq9t5m6</w:t>
        </w:r>
      </w:hyperlink>
      <w:r>
        <w:rPr>
          <w:rFonts w:ascii="Mokka" w:hAnsi="Mokka"/>
        </w:rPr>
        <w:t>.</w:t>
      </w:r>
    </w:p>
    <w:p w:rsidR="00D751E5" w:rsidRPr="00D751E5" w:rsidRDefault="00D751E5" w:rsidP="00D751E5">
      <w:pPr>
        <w:spacing w:after="0" w:line="240" w:lineRule="auto"/>
        <w:rPr>
          <w:rFonts w:ascii="Mokka" w:hAnsi="Mokka"/>
        </w:rPr>
      </w:pPr>
    </w:p>
    <w:p w:rsidR="00377EB3" w:rsidRDefault="00377EB3" w:rsidP="00D751E5">
      <w:pPr>
        <w:spacing w:after="0" w:line="240" w:lineRule="auto"/>
        <w:rPr>
          <w:rFonts w:ascii="Mokka" w:hAnsi="Mokka"/>
        </w:rPr>
      </w:pPr>
      <w:proofErr w:type="gramStart"/>
      <w:r w:rsidRPr="00D751E5">
        <w:rPr>
          <w:rFonts w:ascii="Mokka" w:hAnsi="Mokka"/>
        </w:rPr>
        <w:t>Varghese, S</w:t>
      </w:r>
      <w:r w:rsidR="008B0311">
        <w:rPr>
          <w:rFonts w:ascii="Mokka" w:hAnsi="Mokka"/>
        </w:rPr>
        <w:t>hiney.</w:t>
      </w:r>
      <w:proofErr w:type="gramEnd"/>
      <w:r w:rsidRPr="00D751E5">
        <w:rPr>
          <w:rFonts w:ascii="Mokka" w:hAnsi="Mokka"/>
        </w:rPr>
        <w:t xml:space="preserve"> </w:t>
      </w:r>
      <w:r w:rsidR="008B0311">
        <w:rPr>
          <w:rFonts w:ascii="Mokka" w:hAnsi="Mokka"/>
        </w:rPr>
        <w:t>“</w:t>
      </w:r>
      <w:r w:rsidRPr="00D751E5">
        <w:rPr>
          <w:rFonts w:ascii="Mokka" w:hAnsi="Mokka"/>
        </w:rPr>
        <w:t xml:space="preserve">Women at the Center of Climate Friendly Approaches to </w:t>
      </w:r>
      <w:r w:rsidR="00E91666" w:rsidRPr="00D751E5">
        <w:rPr>
          <w:rFonts w:ascii="Mokka" w:hAnsi="Mokka"/>
        </w:rPr>
        <w:t>Agriculture</w:t>
      </w:r>
      <w:r w:rsidRPr="00D751E5">
        <w:rPr>
          <w:rFonts w:ascii="Mokka" w:hAnsi="Mokka"/>
        </w:rPr>
        <w:t xml:space="preserve"> and Water Use.</w:t>
      </w:r>
      <w:r w:rsidR="008B0311">
        <w:rPr>
          <w:rFonts w:ascii="Mokka" w:hAnsi="Mokka"/>
        </w:rPr>
        <w:t>”</w:t>
      </w:r>
      <w:r w:rsidRPr="00D751E5">
        <w:rPr>
          <w:rFonts w:ascii="Mokka" w:hAnsi="Mokka"/>
        </w:rPr>
        <w:t xml:space="preserve"> </w:t>
      </w:r>
      <w:r w:rsidR="008B0311">
        <w:rPr>
          <w:rFonts w:ascii="Mokka" w:hAnsi="Mokka"/>
        </w:rPr>
        <w:t xml:space="preserve">Institute for Agriculture and Trade Policy, February 2011. </w:t>
      </w:r>
      <w:proofErr w:type="gramStart"/>
      <w:r w:rsidR="008B0311">
        <w:rPr>
          <w:rFonts w:ascii="Mokka" w:hAnsi="Mokka"/>
        </w:rPr>
        <w:t>Accessed January 23, 2013.</w:t>
      </w:r>
      <w:proofErr w:type="gramEnd"/>
      <w:r w:rsidR="00E91666">
        <w:rPr>
          <w:rFonts w:ascii="Mokka" w:hAnsi="Mokka"/>
        </w:rPr>
        <w:t xml:space="preserve"> </w:t>
      </w:r>
      <w:hyperlink r:id="rId41" w:history="1">
        <w:r w:rsidRPr="00D751E5">
          <w:rPr>
            <w:rStyle w:val="Hyperlink"/>
            <w:rFonts w:ascii="Mokka" w:hAnsi="Mokka"/>
          </w:rPr>
          <w:t>http://www.iatp.org/files/451_2_107914.pdf</w:t>
        </w:r>
      </w:hyperlink>
      <w:r w:rsidR="008B0311">
        <w:rPr>
          <w:rFonts w:ascii="Mokka" w:hAnsi="Mokka"/>
        </w:rPr>
        <w:t>.</w:t>
      </w:r>
    </w:p>
    <w:p w:rsidR="00D751E5" w:rsidRPr="00D751E5" w:rsidRDefault="00D751E5" w:rsidP="00D751E5">
      <w:pPr>
        <w:spacing w:after="0" w:line="240" w:lineRule="auto"/>
        <w:rPr>
          <w:rFonts w:ascii="Mokka" w:hAnsi="Mokka"/>
        </w:rPr>
      </w:pPr>
    </w:p>
    <w:p w:rsidR="00D751E5" w:rsidRPr="00D751E5" w:rsidRDefault="00D751E5" w:rsidP="00D751E5">
      <w:pPr>
        <w:spacing w:after="0" w:line="240" w:lineRule="auto"/>
        <w:rPr>
          <w:rFonts w:ascii="Mokka" w:hAnsi="Mokka"/>
        </w:rPr>
      </w:pPr>
    </w:p>
    <w:p w:rsidR="00377EB3" w:rsidRDefault="00377EB3" w:rsidP="00D751E5">
      <w:pPr>
        <w:spacing w:after="0" w:line="240" w:lineRule="auto"/>
        <w:rPr>
          <w:rFonts w:ascii="Mokka" w:hAnsi="Mokka"/>
        </w:rPr>
      </w:pPr>
      <w:r w:rsidRPr="00D751E5">
        <w:rPr>
          <w:rFonts w:ascii="Mokka" w:hAnsi="Mokka"/>
          <w:b/>
        </w:rPr>
        <w:t>Report on a National Process</w:t>
      </w:r>
      <w:r w:rsidRPr="00D751E5">
        <w:rPr>
          <w:rFonts w:ascii="Mokka" w:hAnsi="Mokka"/>
        </w:rPr>
        <w:t>:</w:t>
      </w:r>
    </w:p>
    <w:p w:rsidR="007E0D8B" w:rsidRPr="00D751E5" w:rsidRDefault="007E0D8B" w:rsidP="00D751E5">
      <w:pPr>
        <w:spacing w:after="0" w:line="240" w:lineRule="auto"/>
        <w:rPr>
          <w:rFonts w:ascii="Mokka" w:hAnsi="Mokka"/>
        </w:rPr>
      </w:pPr>
    </w:p>
    <w:p w:rsidR="005928D3" w:rsidRPr="00D751E5" w:rsidRDefault="00BC21AB" w:rsidP="00BC21AB">
      <w:pPr>
        <w:spacing w:after="0" w:line="240" w:lineRule="auto"/>
        <w:rPr>
          <w:rFonts w:ascii="Mokka" w:hAnsi="Mokka"/>
        </w:rPr>
      </w:pPr>
      <w:proofErr w:type="gramStart"/>
      <w:r>
        <w:rPr>
          <w:rFonts w:ascii="Mokka" w:hAnsi="Mokka"/>
        </w:rPr>
        <w:t xml:space="preserve">USDA National </w:t>
      </w:r>
      <w:r w:rsidRPr="00BC21AB">
        <w:rPr>
          <w:rFonts w:ascii="Mokka" w:hAnsi="Mokka"/>
        </w:rPr>
        <w:t>Commission on Small Farms</w:t>
      </w:r>
      <w:r w:rsidR="00E91666">
        <w:rPr>
          <w:rFonts w:ascii="Mokka" w:hAnsi="Mokka"/>
        </w:rPr>
        <w:t>.</w:t>
      </w:r>
      <w:proofErr w:type="gramEnd"/>
      <w:r w:rsidR="00E91666">
        <w:rPr>
          <w:rFonts w:ascii="Mokka" w:hAnsi="Mokka"/>
        </w:rPr>
        <w:t xml:space="preserve"> </w:t>
      </w:r>
      <w:r w:rsidR="005928D3" w:rsidRPr="00BC21AB">
        <w:rPr>
          <w:rFonts w:ascii="Mokka" w:hAnsi="Mokka"/>
          <w:i/>
        </w:rPr>
        <w:t xml:space="preserve">A Time to Act. </w:t>
      </w:r>
      <w:r>
        <w:rPr>
          <w:rFonts w:ascii="Mokka" w:hAnsi="Mokka"/>
        </w:rPr>
        <w:t xml:space="preserve">Washington, D.C.: United States Department of Agriculture National Commission on Small </w:t>
      </w:r>
      <w:r w:rsidRPr="00BC21AB">
        <w:rPr>
          <w:rFonts w:ascii="Mokka" w:hAnsi="Mokka"/>
        </w:rPr>
        <w:t>Farms</w:t>
      </w:r>
      <w:r>
        <w:rPr>
          <w:rFonts w:ascii="Mokka" w:hAnsi="Mokka"/>
        </w:rPr>
        <w:t xml:space="preserve">, 1998. Accessed January 23, 2013. </w:t>
      </w:r>
      <w:hyperlink r:id="rId42" w:history="1">
        <w:r w:rsidRPr="004712DA">
          <w:rPr>
            <w:rStyle w:val="Hyperlink"/>
            <w:rFonts w:ascii="Mokka" w:hAnsi="Mokka"/>
          </w:rPr>
          <w:t>http://www.csrees.usda.gov/nea/ag_systems/pdfs/time_to_act_1998.pdf</w:t>
        </w:r>
      </w:hyperlink>
      <w:r>
        <w:rPr>
          <w:rFonts w:ascii="Mokka" w:hAnsi="Mokka"/>
        </w:rPr>
        <w:t xml:space="preserve"> .</w:t>
      </w:r>
    </w:p>
    <w:sectPr w:rsidR="005928D3" w:rsidRPr="00D751E5" w:rsidSect="00427CDC">
      <w:footerReference w:type="default" r:id="rId4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C9F" w:rsidRDefault="006A0C9F" w:rsidP="00724966">
      <w:pPr>
        <w:spacing w:after="0" w:line="240" w:lineRule="auto"/>
      </w:pPr>
      <w:r>
        <w:separator/>
      </w:r>
    </w:p>
  </w:endnote>
  <w:endnote w:type="continuationSeparator" w:id="0">
    <w:p w:rsidR="006A0C9F" w:rsidRDefault="006A0C9F" w:rsidP="00724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useo Sans 500">
    <w:altName w:val="Arial"/>
    <w:panose1 w:val="00000000000000000000"/>
    <w:charset w:val="00"/>
    <w:family w:val="modern"/>
    <w:notTrueType/>
    <w:pitch w:val="variable"/>
    <w:sig w:usb0="A00000AF" w:usb1="4000004A" w:usb2="00000000" w:usb3="00000000" w:csb0="00000093" w:csb1="00000000"/>
  </w:font>
  <w:font w:name="Mokka">
    <w:altName w:val="Nyala"/>
    <w:panose1 w:val="020A0503060000020003"/>
    <w:charset w:val="00"/>
    <w:family w:val="roman"/>
    <w:notTrueType/>
    <w:pitch w:val="variable"/>
    <w:sig w:usb0="00000007" w:usb1="00000000" w:usb2="00000000" w:usb3="00000000" w:csb0="00000093" w:csb1="00000000"/>
  </w:font>
  <w:font w:name="Museo Sans 300">
    <w:altName w:val="Arial"/>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943141"/>
      <w:docPartObj>
        <w:docPartGallery w:val="Page Numbers (Bottom of Page)"/>
        <w:docPartUnique/>
      </w:docPartObj>
    </w:sdtPr>
    <w:sdtEndPr>
      <w:rPr>
        <w:noProof/>
      </w:rPr>
    </w:sdtEndPr>
    <w:sdtContent>
      <w:p w:rsidR="00FE051D" w:rsidRDefault="00FE051D">
        <w:pPr>
          <w:pStyle w:val="Footer"/>
          <w:jc w:val="center"/>
        </w:pPr>
        <w:r>
          <w:fldChar w:fldCharType="begin"/>
        </w:r>
        <w:r>
          <w:instrText xml:space="preserve"> PAGE   \* MERGEFORMAT </w:instrText>
        </w:r>
        <w:r>
          <w:fldChar w:fldCharType="separate"/>
        </w:r>
        <w:r w:rsidR="00383473">
          <w:rPr>
            <w:noProof/>
          </w:rPr>
          <w:t>1</w:t>
        </w:r>
        <w:r>
          <w:rPr>
            <w:noProof/>
          </w:rPr>
          <w:fldChar w:fldCharType="end"/>
        </w:r>
      </w:p>
    </w:sdtContent>
  </w:sdt>
  <w:p w:rsidR="00FE051D" w:rsidRDefault="00FE0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C9F" w:rsidRDefault="006A0C9F" w:rsidP="00724966">
      <w:pPr>
        <w:spacing w:after="0" w:line="240" w:lineRule="auto"/>
      </w:pPr>
      <w:r>
        <w:separator/>
      </w:r>
    </w:p>
  </w:footnote>
  <w:footnote w:type="continuationSeparator" w:id="0">
    <w:p w:rsidR="006A0C9F" w:rsidRDefault="006A0C9F" w:rsidP="00724966">
      <w:pPr>
        <w:spacing w:after="0" w:line="240" w:lineRule="auto"/>
      </w:pPr>
      <w:r>
        <w:continuationSeparator/>
      </w:r>
    </w:p>
  </w:footnote>
  <w:footnote w:id="1">
    <w:p w:rsidR="00724966" w:rsidRPr="00427CDC" w:rsidRDefault="00724966">
      <w:pPr>
        <w:pStyle w:val="FootnoteText"/>
        <w:rPr>
          <w:rFonts w:ascii="Mokka" w:hAnsi="Mokka"/>
          <w:sz w:val="18"/>
          <w:szCs w:val="18"/>
        </w:rPr>
      </w:pPr>
      <w:r w:rsidRPr="00427CDC">
        <w:rPr>
          <w:rStyle w:val="FootnoteReference"/>
          <w:rFonts w:ascii="Mokka" w:hAnsi="Mokka"/>
          <w:sz w:val="18"/>
          <w:szCs w:val="18"/>
        </w:rPr>
        <w:footnoteRef/>
      </w:r>
      <w:r w:rsidRPr="00427CDC">
        <w:rPr>
          <w:rFonts w:ascii="Mokka" w:hAnsi="Mokka"/>
          <w:sz w:val="18"/>
          <w:szCs w:val="18"/>
        </w:rPr>
        <w:t xml:space="preserve"> “</w:t>
      </w:r>
      <w:r w:rsidRPr="00427CDC">
        <w:rPr>
          <w:rFonts w:ascii="Mokka" w:hAnsi="Mokka" w:cs="Arial"/>
          <w:sz w:val="18"/>
          <w:szCs w:val="18"/>
        </w:rPr>
        <w:t>right of peoples to healthy and culturally appropriate food produced through ecologically sound and sustainable methods, and their right to define their own food and agriculture systems. It puts the aspirations and needs of those who produce, distribute and consume food at the heart of food systems and policies rather than the demands of markets and corporations…”</w:t>
      </w:r>
      <w:r w:rsidR="00E91666">
        <w:rPr>
          <w:rFonts w:ascii="Mokka" w:hAnsi="Mokka" w:cs="Arial"/>
          <w:sz w:val="18"/>
          <w:szCs w:val="18"/>
        </w:rPr>
        <w:t xml:space="preserve"> </w:t>
      </w:r>
      <w:r w:rsidR="00142220" w:rsidRPr="00427CDC">
        <w:rPr>
          <w:rFonts w:ascii="Mokka" w:hAnsi="Mokka" w:cs="Arial"/>
          <w:sz w:val="18"/>
          <w:szCs w:val="18"/>
        </w:rPr>
        <w:t>For full definition, see:</w:t>
      </w:r>
      <w:r w:rsidR="00E91666">
        <w:rPr>
          <w:rFonts w:ascii="Mokka" w:hAnsi="Mokka" w:cs="Arial"/>
          <w:sz w:val="18"/>
          <w:szCs w:val="18"/>
        </w:rPr>
        <w:t xml:space="preserve"> </w:t>
      </w:r>
      <w:r w:rsidR="00142220" w:rsidRPr="00427CDC">
        <w:rPr>
          <w:rFonts w:ascii="Mokka" w:hAnsi="Mokka" w:cs="Arial"/>
          <w:sz w:val="18"/>
          <w:szCs w:val="18"/>
        </w:rPr>
        <w:t>http://www.foodsovereignty.org/FOOTER/Highlights.aspx</w:t>
      </w:r>
    </w:p>
  </w:footnote>
  <w:footnote w:id="2">
    <w:p w:rsidR="00DE297C" w:rsidRPr="00427CDC" w:rsidRDefault="00DE297C" w:rsidP="00DE297C">
      <w:pPr>
        <w:pStyle w:val="FootnoteText"/>
        <w:rPr>
          <w:rFonts w:ascii="Mokka" w:hAnsi="Mokka"/>
          <w:sz w:val="18"/>
          <w:szCs w:val="18"/>
        </w:rPr>
      </w:pPr>
      <w:r w:rsidRPr="00427CDC">
        <w:rPr>
          <w:rStyle w:val="FootnoteReference"/>
          <w:rFonts w:ascii="Mokka" w:hAnsi="Mokka"/>
          <w:sz w:val="18"/>
          <w:szCs w:val="18"/>
        </w:rPr>
        <w:footnoteRef/>
      </w:r>
      <w:r w:rsidRPr="00427CDC">
        <w:rPr>
          <w:rFonts w:ascii="Mokka" w:hAnsi="Mokka"/>
          <w:sz w:val="18"/>
          <w:szCs w:val="18"/>
        </w:rPr>
        <w:t xml:space="preserve"> Via Campesina 2010. Sustainable Peasant and Family Farm Agriculture Can Feed the World.</w:t>
      </w:r>
      <w:r w:rsidR="00A32F56" w:rsidRPr="00427CDC">
        <w:rPr>
          <w:rFonts w:ascii="Mokka" w:hAnsi="Mokka"/>
          <w:sz w:val="18"/>
          <w:szCs w:val="18"/>
        </w:rPr>
        <w:t xml:space="preserve"> </w:t>
      </w:r>
      <w:r w:rsidRPr="00427CDC">
        <w:rPr>
          <w:rFonts w:ascii="Mokka" w:hAnsi="Mokka"/>
          <w:sz w:val="18"/>
          <w:szCs w:val="18"/>
        </w:rPr>
        <w:t xml:space="preserve">http://viacampesina.org/downloads/pdf/en/paper6-EN-FINAL.pdf; ETC Group 2009.Who will feed us? </w:t>
      </w:r>
      <w:proofErr w:type="gramStart"/>
      <w:r w:rsidRPr="00427CDC">
        <w:rPr>
          <w:rFonts w:ascii="Mokka" w:hAnsi="Mokka"/>
          <w:sz w:val="18"/>
          <w:szCs w:val="18"/>
        </w:rPr>
        <w:t>Questions for the</w:t>
      </w:r>
      <w:r w:rsidR="00E91666">
        <w:rPr>
          <w:rFonts w:ascii="Mokka" w:hAnsi="Mokka"/>
          <w:sz w:val="18"/>
          <w:szCs w:val="18"/>
        </w:rPr>
        <w:t xml:space="preserve"> food and climate</w:t>
      </w:r>
      <w:r w:rsidRPr="00427CDC">
        <w:rPr>
          <w:rFonts w:ascii="Mokka" w:hAnsi="Mokka"/>
          <w:sz w:val="18"/>
          <w:szCs w:val="18"/>
        </w:rPr>
        <w:t xml:space="preserve"> crisis.</w:t>
      </w:r>
      <w:proofErr w:type="gramEnd"/>
      <w:r w:rsidRPr="00427CDC">
        <w:rPr>
          <w:rFonts w:ascii="Mokka" w:hAnsi="Mokka"/>
          <w:sz w:val="18"/>
          <w:szCs w:val="18"/>
        </w:rPr>
        <w:t xml:space="preserve"> ETC</w:t>
      </w:r>
      <w:r w:rsidR="00A32F56" w:rsidRPr="00427CDC">
        <w:rPr>
          <w:rFonts w:ascii="Mokka" w:hAnsi="Mokka"/>
          <w:sz w:val="18"/>
          <w:szCs w:val="18"/>
        </w:rPr>
        <w:t xml:space="preserve"> Group Communiqué</w:t>
      </w:r>
      <w:r w:rsidRPr="00427CDC">
        <w:rPr>
          <w:rFonts w:ascii="Mokka" w:hAnsi="Mokka"/>
          <w:sz w:val="18"/>
          <w:szCs w:val="18"/>
        </w:rPr>
        <w:t>102:1/34.</w:t>
      </w:r>
    </w:p>
  </w:footnote>
  <w:footnote w:id="3">
    <w:p w:rsidR="00D571FD" w:rsidRDefault="00D571FD">
      <w:pPr>
        <w:pStyle w:val="FootnoteText"/>
      </w:pPr>
      <w:r w:rsidRPr="00427CDC">
        <w:rPr>
          <w:rStyle w:val="FootnoteReference"/>
          <w:rFonts w:ascii="Mokka" w:hAnsi="Mokka"/>
          <w:sz w:val="18"/>
          <w:szCs w:val="18"/>
        </w:rPr>
        <w:footnoteRef/>
      </w:r>
      <w:r w:rsidRPr="00427CDC">
        <w:rPr>
          <w:rFonts w:ascii="Mokka" w:hAnsi="Mokka"/>
          <w:sz w:val="18"/>
          <w:szCs w:val="18"/>
        </w:rPr>
        <w:t xml:space="preserve"> World Bank 2008. World Development Report: Agriculture for Development.</w:t>
      </w:r>
      <w:r w:rsidR="00A22BD3" w:rsidRPr="00427CDC">
        <w:rPr>
          <w:rFonts w:ascii="Mokka" w:hAnsi="Mokka"/>
          <w:sz w:val="18"/>
          <w:szCs w:val="18"/>
        </w:rPr>
        <w:t xml:space="preserve"> </w:t>
      </w:r>
      <w:r w:rsidRPr="00427CDC">
        <w:rPr>
          <w:rFonts w:ascii="Mokka" w:hAnsi="Mokka"/>
          <w:sz w:val="18"/>
          <w:szCs w:val="18"/>
        </w:rPr>
        <w:t>Chapter 1, pgs 31-32.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A2B43"/>
    <w:multiLevelType w:val="hybridMultilevel"/>
    <w:tmpl w:val="69DEFEE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
    <w:nsid w:val="4F2F100B"/>
    <w:multiLevelType w:val="hybridMultilevel"/>
    <w:tmpl w:val="51189E2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FDD671B"/>
    <w:multiLevelType w:val="hybridMultilevel"/>
    <w:tmpl w:val="988A8A7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51"/>
    <w:rsid w:val="00004968"/>
    <w:rsid w:val="000B4E82"/>
    <w:rsid w:val="000C6AEF"/>
    <w:rsid w:val="00114DF9"/>
    <w:rsid w:val="00126041"/>
    <w:rsid w:val="00142220"/>
    <w:rsid w:val="00142C9B"/>
    <w:rsid w:val="00163E4A"/>
    <w:rsid w:val="00173504"/>
    <w:rsid w:val="00176EC6"/>
    <w:rsid w:val="00186D5A"/>
    <w:rsid w:val="001A5C58"/>
    <w:rsid w:val="001F0846"/>
    <w:rsid w:val="002073DE"/>
    <w:rsid w:val="00244085"/>
    <w:rsid w:val="00280962"/>
    <w:rsid w:val="00283559"/>
    <w:rsid w:val="002A7747"/>
    <w:rsid w:val="002B0C3D"/>
    <w:rsid w:val="002D12BA"/>
    <w:rsid w:val="002F5A03"/>
    <w:rsid w:val="00340A36"/>
    <w:rsid w:val="0035775B"/>
    <w:rsid w:val="00362E16"/>
    <w:rsid w:val="0036366D"/>
    <w:rsid w:val="003677B2"/>
    <w:rsid w:val="00377EB3"/>
    <w:rsid w:val="00383473"/>
    <w:rsid w:val="0039459B"/>
    <w:rsid w:val="003A31D1"/>
    <w:rsid w:val="003C094D"/>
    <w:rsid w:val="003C714B"/>
    <w:rsid w:val="003D0B4F"/>
    <w:rsid w:val="00426BE8"/>
    <w:rsid w:val="00427CDC"/>
    <w:rsid w:val="004440D1"/>
    <w:rsid w:val="00444DD6"/>
    <w:rsid w:val="00481899"/>
    <w:rsid w:val="004A5B58"/>
    <w:rsid w:val="004B0EF6"/>
    <w:rsid w:val="004B33C9"/>
    <w:rsid w:val="00501B7D"/>
    <w:rsid w:val="005219D3"/>
    <w:rsid w:val="00533201"/>
    <w:rsid w:val="00555C16"/>
    <w:rsid w:val="005928D3"/>
    <w:rsid w:val="005A6777"/>
    <w:rsid w:val="005B3580"/>
    <w:rsid w:val="005C3773"/>
    <w:rsid w:val="005D3107"/>
    <w:rsid w:val="005F330A"/>
    <w:rsid w:val="00603F48"/>
    <w:rsid w:val="006302A8"/>
    <w:rsid w:val="006512A6"/>
    <w:rsid w:val="00672DD6"/>
    <w:rsid w:val="00691051"/>
    <w:rsid w:val="00694C66"/>
    <w:rsid w:val="00697305"/>
    <w:rsid w:val="006A0C9F"/>
    <w:rsid w:val="006D2EF7"/>
    <w:rsid w:val="00703648"/>
    <w:rsid w:val="00713C36"/>
    <w:rsid w:val="00724966"/>
    <w:rsid w:val="007510CE"/>
    <w:rsid w:val="007525ED"/>
    <w:rsid w:val="00772E21"/>
    <w:rsid w:val="00787607"/>
    <w:rsid w:val="0079007A"/>
    <w:rsid w:val="00796698"/>
    <w:rsid w:val="00797450"/>
    <w:rsid w:val="007B0CB6"/>
    <w:rsid w:val="007B154A"/>
    <w:rsid w:val="007C75A8"/>
    <w:rsid w:val="007E0D8B"/>
    <w:rsid w:val="007E4796"/>
    <w:rsid w:val="007F03AF"/>
    <w:rsid w:val="008024F8"/>
    <w:rsid w:val="00812AD0"/>
    <w:rsid w:val="00820778"/>
    <w:rsid w:val="0086514C"/>
    <w:rsid w:val="00874E6C"/>
    <w:rsid w:val="00881E28"/>
    <w:rsid w:val="008A27B0"/>
    <w:rsid w:val="008B0311"/>
    <w:rsid w:val="008D08FB"/>
    <w:rsid w:val="008F171E"/>
    <w:rsid w:val="00925238"/>
    <w:rsid w:val="0095069A"/>
    <w:rsid w:val="00951FAC"/>
    <w:rsid w:val="00957241"/>
    <w:rsid w:val="0096416A"/>
    <w:rsid w:val="009644D7"/>
    <w:rsid w:val="00976626"/>
    <w:rsid w:val="00993AC3"/>
    <w:rsid w:val="009978FA"/>
    <w:rsid w:val="009A6A57"/>
    <w:rsid w:val="009A7085"/>
    <w:rsid w:val="009B5B81"/>
    <w:rsid w:val="009B5CDC"/>
    <w:rsid w:val="009F02C9"/>
    <w:rsid w:val="00A20380"/>
    <w:rsid w:val="00A22BD3"/>
    <w:rsid w:val="00A24C35"/>
    <w:rsid w:val="00A32F56"/>
    <w:rsid w:val="00A33D9C"/>
    <w:rsid w:val="00A45A91"/>
    <w:rsid w:val="00A63D73"/>
    <w:rsid w:val="00A7652C"/>
    <w:rsid w:val="00A81B2A"/>
    <w:rsid w:val="00AA490D"/>
    <w:rsid w:val="00AC6C09"/>
    <w:rsid w:val="00AE3AD2"/>
    <w:rsid w:val="00AF08D2"/>
    <w:rsid w:val="00B1570F"/>
    <w:rsid w:val="00B200DE"/>
    <w:rsid w:val="00B20F49"/>
    <w:rsid w:val="00B25BBA"/>
    <w:rsid w:val="00B419A1"/>
    <w:rsid w:val="00B74F6F"/>
    <w:rsid w:val="00B954F9"/>
    <w:rsid w:val="00BC21AB"/>
    <w:rsid w:val="00BC4676"/>
    <w:rsid w:val="00BD68BD"/>
    <w:rsid w:val="00BE3BDC"/>
    <w:rsid w:val="00C048D5"/>
    <w:rsid w:val="00C4148C"/>
    <w:rsid w:val="00C5673B"/>
    <w:rsid w:val="00C570C0"/>
    <w:rsid w:val="00C579BC"/>
    <w:rsid w:val="00CD16EF"/>
    <w:rsid w:val="00CD6495"/>
    <w:rsid w:val="00D0509E"/>
    <w:rsid w:val="00D16397"/>
    <w:rsid w:val="00D26734"/>
    <w:rsid w:val="00D571FD"/>
    <w:rsid w:val="00D751E5"/>
    <w:rsid w:val="00D8412D"/>
    <w:rsid w:val="00D85F71"/>
    <w:rsid w:val="00D90FEB"/>
    <w:rsid w:val="00DA09EB"/>
    <w:rsid w:val="00DB56B3"/>
    <w:rsid w:val="00DD2DED"/>
    <w:rsid w:val="00DE297C"/>
    <w:rsid w:val="00DF6A4F"/>
    <w:rsid w:val="00E16406"/>
    <w:rsid w:val="00E6679E"/>
    <w:rsid w:val="00E70269"/>
    <w:rsid w:val="00E81477"/>
    <w:rsid w:val="00E91666"/>
    <w:rsid w:val="00ED1972"/>
    <w:rsid w:val="00ED3F85"/>
    <w:rsid w:val="00F36B9D"/>
    <w:rsid w:val="00F97E9C"/>
    <w:rsid w:val="00FC3255"/>
    <w:rsid w:val="00FC41DD"/>
    <w:rsid w:val="00FD5EEF"/>
    <w:rsid w:val="00FE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51"/>
  </w:style>
  <w:style w:type="paragraph" w:styleId="Heading2">
    <w:name w:val="heading 2"/>
    <w:basedOn w:val="Normal"/>
    <w:next w:val="Normal"/>
    <w:link w:val="Heading2Char"/>
    <w:uiPriority w:val="9"/>
    <w:semiHidden/>
    <w:unhideWhenUsed/>
    <w:qFormat/>
    <w:rsid w:val="009A70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90F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0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1051"/>
    <w:pPr>
      <w:ind w:left="720"/>
      <w:contextualSpacing/>
    </w:pPr>
  </w:style>
  <w:style w:type="character" w:customStyle="1" w:styleId="apple-converted-space">
    <w:name w:val="apple-converted-space"/>
    <w:basedOn w:val="DefaultParagraphFont"/>
    <w:rsid w:val="00D90FEB"/>
  </w:style>
  <w:style w:type="character" w:customStyle="1" w:styleId="Heading3Char">
    <w:name w:val="Heading 3 Char"/>
    <w:basedOn w:val="DefaultParagraphFont"/>
    <w:link w:val="Heading3"/>
    <w:uiPriority w:val="9"/>
    <w:semiHidden/>
    <w:rsid w:val="00D90FE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B3580"/>
    <w:rPr>
      <w:color w:val="0000FF"/>
      <w:u w:val="single"/>
    </w:rPr>
  </w:style>
  <w:style w:type="paragraph" w:styleId="PlainText">
    <w:name w:val="Plain Text"/>
    <w:basedOn w:val="Normal"/>
    <w:link w:val="PlainTextChar"/>
    <w:uiPriority w:val="99"/>
    <w:unhideWhenUsed/>
    <w:rsid w:val="00A33D9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A33D9C"/>
    <w:rPr>
      <w:rFonts w:ascii="Calibri" w:hAnsi="Calibri" w:cs="Consolas"/>
      <w:szCs w:val="21"/>
    </w:rPr>
  </w:style>
  <w:style w:type="character" w:styleId="CommentReference">
    <w:name w:val="annotation reference"/>
    <w:basedOn w:val="DefaultParagraphFont"/>
    <w:uiPriority w:val="99"/>
    <w:semiHidden/>
    <w:unhideWhenUsed/>
    <w:rsid w:val="00B200DE"/>
    <w:rPr>
      <w:sz w:val="16"/>
      <w:szCs w:val="16"/>
    </w:rPr>
  </w:style>
  <w:style w:type="paragraph" w:styleId="CommentText">
    <w:name w:val="annotation text"/>
    <w:basedOn w:val="Normal"/>
    <w:link w:val="CommentTextChar"/>
    <w:uiPriority w:val="99"/>
    <w:unhideWhenUsed/>
    <w:rsid w:val="00B200DE"/>
    <w:pPr>
      <w:spacing w:line="240" w:lineRule="auto"/>
    </w:pPr>
    <w:rPr>
      <w:sz w:val="20"/>
      <w:szCs w:val="20"/>
    </w:rPr>
  </w:style>
  <w:style w:type="character" w:customStyle="1" w:styleId="CommentTextChar">
    <w:name w:val="Comment Text Char"/>
    <w:basedOn w:val="DefaultParagraphFont"/>
    <w:link w:val="CommentText"/>
    <w:uiPriority w:val="99"/>
    <w:rsid w:val="00B200DE"/>
    <w:rPr>
      <w:sz w:val="20"/>
      <w:szCs w:val="20"/>
    </w:rPr>
  </w:style>
  <w:style w:type="paragraph" w:styleId="CommentSubject">
    <w:name w:val="annotation subject"/>
    <w:basedOn w:val="CommentText"/>
    <w:next w:val="CommentText"/>
    <w:link w:val="CommentSubjectChar"/>
    <w:uiPriority w:val="99"/>
    <w:semiHidden/>
    <w:unhideWhenUsed/>
    <w:rsid w:val="00B200DE"/>
    <w:rPr>
      <w:b/>
      <w:bCs/>
    </w:rPr>
  </w:style>
  <w:style w:type="character" w:customStyle="1" w:styleId="CommentSubjectChar">
    <w:name w:val="Comment Subject Char"/>
    <w:basedOn w:val="CommentTextChar"/>
    <w:link w:val="CommentSubject"/>
    <w:uiPriority w:val="99"/>
    <w:semiHidden/>
    <w:rsid w:val="00B200DE"/>
    <w:rPr>
      <w:b/>
      <w:bCs/>
      <w:sz w:val="20"/>
      <w:szCs w:val="20"/>
    </w:rPr>
  </w:style>
  <w:style w:type="paragraph" w:styleId="BalloonText">
    <w:name w:val="Balloon Text"/>
    <w:basedOn w:val="Normal"/>
    <w:link w:val="BalloonTextChar"/>
    <w:uiPriority w:val="99"/>
    <w:semiHidden/>
    <w:unhideWhenUsed/>
    <w:rsid w:val="00B20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0DE"/>
    <w:rPr>
      <w:rFonts w:ascii="Tahoma" w:hAnsi="Tahoma" w:cs="Tahoma"/>
      <w:sz w:val="16"/>
      <w:szCs w:val="16"/>
    </w:rPr>
  </w:style>
  <w:style w:type="paragraph" w:styleId="FootnoteText">
    <w:name w:val="footnote text"/>
    <w:basedOn w:val="Normal"/>
    <w:link w:val="FootnoteTextChar"/>
    <w:uiPriority w:val="99"/>
    <w:semiHidden/>
    <w:unhideWhenUsed/>
    <w:rsid w:val="007249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4966"/>
    <w:rPr>
      <w:sz w:val="20"/>
      <w:szCs w:val="20"/>
    </w:rPr>
  </w:style>
  <w:style w:type="character" w:styleId="FootnoteReference">
    <w:name w:val="footnote reference"/>
    <w:basedOn w:val="DefaultParagraphFont"/>
    <w:uiPriority w:val="99"/>
    <w:semiHidden/>
    <w:unhideWhenUsed/>
    <w:rsid w:val="00724966"/>
    <w:rPr>
      <w:vertAlign w:val="superscript"/>
    </w:rPr>
  </w:style>
  <w:style w:type="character" w:styleId="FollowedHyperlink">
    <w:name w:val="FollowedHyperlink"/>
    <w:basedOn w:val="DefaultParagraphFont"/>
    <w:uiPriority w:val="99"/>
    <w:semiHidden/>
    <w:unhideWhenUsed/>
    <w:rsid w:val="00142220"/>
    <w:rPr>
      <w:color w:val="800080" w:themeColor="followedHyperlink"/>
      <w:u w:val="single"/>
    </w:rPr>
  </w:style>
  <w:style w:type="paragraph" w:styleId="NoSpacing">
    <w:name w:val="No Spacing"/>
    <w:uiPriority w:val="1"/>
    <w:qFormat/>
    <w:rsid w:val="00377EB3"/>
    <w:pPr>
      <w:spacing w:after="0" w:line="240" w:lineRule="auto"/>
    </w:pPr>
  </w:style>
  <w:style w:type="character" w:customStyle="1" w:styleId="Heading2Char">
    <w:name w:val="Heading 2 Char"/>
    <w:basedOn w:val="DefaultParagraphFont"/>
    <w:link w:val="Heading2"/>
    <w:uiPriority w:val="9"/>
    <w:semiHidden/>
    <w:rsid w:val="009A7085"/>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142C9B"/>
  </w:style>
  <w:style w:type="paragraph" w:styleId="Header">
    <w:name w:val="header"/>
    <w:basedOn w:val="Normal"/>
    <w:link w:val="HeaderChar"/>
    <w:uiPriority w:val="99"/>
    <w:unhideWhenUsed/>
    <w:rsid w:val="00FE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51D"/>
  </w:style>
  <w:style w:type="paragraph" w:styleId="Footer">
    <w:name w:val="footer"/>
    <w:basedOn w:val="Normal"/>
    <w:link w:val="FooterChar"/>
    <w:uiPriority w:val="99"/>
    <w:unhideWhenUsed/>
    <w:rsid w:val="00FE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5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51"/>
  </w:style>
  <w:style w:type="paragraph" w:styleId="Heading2">
    <w:name w:val="heading 2"/>
    <w:basedOn w:val="Normal"/>
    <w:next w:val="Normal"/>
    <w:link w:val="Heading2Char"/>
    <w:uiPriority w:val="9"/>
    <w:semiHidden/>
    <w:unhideWhenUsed/>
    <w:qFormat/>
    <w:rsid w:val="009A70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90F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0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1051"/>
    <w:pPr>
      <w:ind w:left="720"/>
      <w:contextualSpacing/>
    </w:pPr>
  </w:style>
  <w:style w:type="character" w:customStyle="1" w:styleId="apple-converted-space">
    <w:name w:val="apple-converted-space"/>
    <w:basedOn w:val="DefaultParagraphFont"/>
    <w:rsid w:val="00D90FEB"/>
  </w:style>
  <w:style w:type="character" w:customStyle="1" w:styleId="Heading3Char">
    <w:name w:val="Heading 3 Char"/>
    <w:basedOn w:val="DefaultParagraphFont"/>
    <w:link w:val="Heading3"/>
    <w:uiPriority w:val="9"/>
    <w:semiHidden/>
    <w:rsid w:val="00D90FE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B3580"/>
    <w:rPr>
      <w:color w:val="0000FF"/>
      <w:u w:val="single"/>
    </w:rPr>
  </w:style>
  <w:style w:type="paragraph" w:styleId="PlainText">
    <w:name w:val="Plain Text"/>
    <w:basedOn w:val="Normal"/>
    <w:link w:val="PlainTextChar"/>
    <w:uiPriority w:val="99"/>
    <w:unhideWhenUsed/>
    <w:rsid w:val="00A33D9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A33D9C"/>
    <w:rPr>
      <w:rFonts w:ascii="Calibri" w:hAnsi="Calibri" w:cs="Consolas"/>
      <w:szCs w:val="21"/>
    </w:rPr>
  </w:style>
  <w:style w:type="character" w:styleId="CommentReference">
    <w:name w:val="annotation reference"/>
    <w:basedOn w:val="DefaultParagraphFont"/>
    <w:uiPriority w:val="99"/>
    <w:semiHidden/>
    <w:unhideWhenUsed/>
    <w:rsid w:val="00B200DE"/>
    <w:rPr>
      <w:sz w:val="16"/>
      <w:szCs w:val="16"/>
    </w:rPr>
  </w:style>
  <w:style w:type="paragraph" w:styleId="CommentText">
    <w:name w:val="annotation text"/>
    <w:basedOn w:val="Normal"/>
    <w:link w:val="CommentTextChar"/>
    <w:uiPriority w:val="99"/>
    <w:unhideWhenUsed/>
    <w:rsid w:val="00B200DE"/>
    <w:pPr>
      <w:spacing w:line="240" w:lineRule="auto"/>
    </w:pPr>
    <w:rPr>
      <w:sz w:val="20"/>
      <w:szCs w:val="20"/>
    </w:rPr>
  </w:style>
  <w:style w:type="character" w:customStyle="1" w:styleId="CommentTextChar">
    <w:name w:val="Comment Text Char"/>
    <w:basedOn w:val="DefaultParagraphFont"/>
    <w:link w:val="CommentText"/>
    <w:uiPriority w:val="99"/>
    <w:rsid w:val="00B200DE"/>
    <w:rPr>
      <w:sz w:val="20"/>
      <w:szCs w:val="20"/>
    </w:rPr>
  </w:style>
  <w:style w:type="paragraph" w:styleId="CommentSubject">
    <w:name w:val="annotation subject"/>
    <w:basedOn w:val="CommentText"/>
    <w:next w:val="CommentText"/>
    <w:link w:val="CommentSubjectChar"/>
    <w:uiPriority w:val="99"/>
    <w:semiHidden/>
    <w:unhideWhenUsed/>
    <w:rsid w:val="00B200DE"/>
    <w:rPr>
      <w:b/>
      <w:bCs/>
    </w:rPr>
  </w:style>
  <w:style w:type="character" w:customStyle="1" w:styleId="CommentSubjectChar">
    <w:name w:val="Comment Subject Char"/>
    <w:basedOn w:val="CommentTextChar"/>
    <w:link w:val="CommentSubject"/>
    <w:uiPriority w:val="99"/>
    <w:semiHidden/>
    <w:rsid w:val="00B200DE"/>
    <w:rPr>
      <w:b/>
      <w:bCs/>
      <w:sz w:val="20"/>
      <w:szCs w:val="20"/>
    </w:rPr>
  </w:style>
  <w:style w:type="paragraph" w:styleId="BalloonText">
    <w:name w:val="Balloon Text"/>
    <w:basedOn w:val="Normal"/>
    <w:link w:val="BalloonTextChar"/>
    <w:uiPriority w:val="99"/>
    <w:semiHidden/>
    <w:unhideWhenUsed/>
    <w:rsid w:val="00B20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0DE"/>
    <w:rPr>
      <w:rFonts w:ascii="Tahoma" w:hAnsi="Tahoma" w:cs="Tahoma"/>
      <w:sz w:val="16"/>
      <w:szCs w:val="16"/>
    </w:rPr>
  </w:style>
  <w:style w:type="paragraph" w:styleId="FootnoteText">
    <w:name w:val="footnote text"/>
    <w:basedOn w:val="Normal"/>
    <w:link w:val="FootnoteTextChar"/>
    <w:uiPriority w:val="99"/>
    <w:semiHidden/>
    <w:unhideWhenUsed/>
    <w:rsid w:val="007249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4966"/>
    <w:rPr>
      <w:sz w:val="20"/>
      <w:szCs w:val="20"/>
    </w:rPr>
  </w:style>
  <w:style w:type="character" w:styleId="FootnoteReference">
    <w:name w:val="footnote reference"/>
    <w:basedOn w:val="DefaultParagraphFont"/>
    <w:uiPriority w:val="99"/>
    <w:semiHidden/>
    <w:unhideWhenUsed/>
    <w:rsid w:val="00724966"/>
    <w:rPr>
      <w:vertAlign w:val="superscript"/>
    </w:rPr>
  </w:style>
  <w:style w:type="character" w:styleId="FollowedHyperlink">
    <w:name w:val="FollowedHyperlink"/>
    <w:basedOn w:val="DefaultParagraphFont"/>
    <w:uiPriority w:val="99"/>
    <w:semiHidden/>
    <w:unhideWhenUsed/>
    <w:rsid w:val="00142220"/>
    <w:rPr>
      <w:color w:val="800080" w:themeColor="followedHyperlink"/>
      <w:u w:val="single"/>
    </w:rPr>
  </w:style>
  <w:style w:type="paragraph" w:styleId="NoSpacing">
    <w:name w:val="No Spacing"/>
    <w:uiPriority w:val="1"/>
    <w:qFormat/>
    <w:rsid w:val="00377EB3"/>
    <w:pPr>
      <w:spacing w:after="0" w:line="240" w:lineRule="auto"/>
    </w:pPr>
  </w:style>
  <w:style w:type="character" w:customStyle="1" w:styleId="Heading2Char">
    <w:name w:val="Heading 2 Char"/>
    <w:basedOn w:val="DefaultParagraphFont"/>
    <w:link w:val="Heading2"/>
    <w:uiPriority w:val="9"/>
    <w:semiHidden/>
    <w:rsid w:val="009A7085"/>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142C9B"/>
  </w:style>
  <w:style w:type="paragraph" w:styleId="Header">
    <w:name w:val="header"/>
    <w:basedOn w:val="Normal"/>
    <w:link w:val="HeaderChar"/>
    <w:uiPriority w:val="99"/>
    <w:unhideWhenUsed/>
    <w:rsid w:val="00FE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51D"/>
  </w:style>
  <w:style w:type="paragraph" w:styleId="Footer">
    <w:name w:val="footer"/>
    <w:basedOn w:val="Normal"/>
    <w:link w:val="FooterChar"/>
    <w:uiPriority w:val="99"/>
    <w:unhideWhenUsed/>
    <w:rsid w:val="00FE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3909">
      <w:bodyDiv w:val="1"/>
      <w:marLeft w:val="0"/>
      <w:marRight w:val="0"/>
      <w:marTop w:val="0"/>
      <w:marBottom w:val="0"/>
      <w:divBdr>
        <w:top w:val="none" w:sz="0" w:space="0" w:color="auto"/>
        <w:left w:val="none" w:sz="0" w:space="0" w:color="auto"/>
        <w:bottom w:val="none" w:sz="0" w:space="0" w:color="auto"/>
        <w:right w:val="none" w:sz="0" w:space="0" w:color="auto"/>
      </w:divBdr>
    </w:div>
    <w:div w:id="208959092">
      <w:bodyDiv w:val="1"/>
      <w:marLeft w:val="0"/>
      <w:marRight w:val="0"/>
      <w:marTop w:val="0"/>
      <w:marBottom w:val="0"/>
      <w:divBdr>
        <w:top w:val="none" w:sz="0" w:space="0" w:color="auto"/>
        <w:left w:val="none" w:sz="0" w:space="0" w:color="auto"/>
        <w:bottom w:val="none" w:sz="0" w:space="0" w:color="auto"/>
        <w:right w:val="none" w:sz="0" w:space="0" w:color="auto"/>
      </w:divBdr>
      <w:divsChild>
        <w:div w:id="131560157">
          <w:marLeft w:val="0"/>
          <w:marRight w:val="0"/>
          <w:marTop w:val="0"/>
          <w:marBottom w:val="0"/>
          <w:divBdr>
            <w:top w:val="none" w:sz="0" w:space="0" w:color="auto"/>
            <w:left w:val="none" w:sz="0" w:space="0" w:color="auto"/>
            <w:bottom w:val="none" w:sz="0" w:space="0" w:color="auto"/>
            <w:right w:val="none" w:sz="0" w:space="0" w:color="auto"/>
          </w:divBdr>
        </w:div>
        <w:div w:id="974137719">
          <w:marLeft w:val="0"/>
          <w:marRight w:val="0"/>
          <w:marTop w:val="0"/>
          <w:marBottom w:val="0"/>
          <w:divBdr>
            <w:top w:val="none" w:sz="0" w:space="0" w:color="auto"/>
            <w:left w:val="none" w:sz="0" w:space="0" w:color="auto"/>
            <w:bottom w:val="none" w:sz="0" w:space="0" w:color="auto"/>
            <w:right w:val="none" w:sz="0" w:space="0" w:color="auto"/>
          </w:divBdr>
        </w:div>
        <w:div w:id="1354070325">
          <w:marLeft w:val="0"/>
          <w:marRight w:val="0"/>
          <w:marTop w:val="0"/>
          <w:marBottom w:val="0"/>
          <w:divBdr>
            <w:top w:val="none" w:sz="0" w:space="0" w:color="auto"/>
            <w:left w:val="none" w:sz="0" w:space="0" w:color="auto"/>
            <w:bottom w:val="none" w:sz="0" w:space="0" w:color="auto"/>
            <w:right w:val="none" w:sz="0" w:space="0" w:color="auto"/>
          </w:divBdr>
        </w:div>
      </w:divsChild>
    </w:div>
    <w:div w:id="211426813">
      <w:bodyDiv w:val="1"/>
      <w:marLeft w:val="0"/>
      <w:marRight w:val="0"/>
      <w:marTop w:val="0"/>
      <w:marBottom w:val="0"/>
      <w:divBdr>
        <w:top w:val="none" w:sz="0" w:space="0" w:color="auto"/>
        <w:left w:val="none" w:sz="0" w:space="0" w:color="auto"/>
        <w:bottom w:val="none" w:sz="0" w:space="0" w:color="auto"/>
        <w:right w:val="none" w:sz="0" w:space="0" w:color="auto"/>
      </w:divBdr>
    </w:div>
    <w:div w:id="263806495">
      <w:bodyDiv w:val="1"/>
      <w:marLeft w:val="0"/>
      <w:marRight w:val="0"/>
      <w:marTop w:val="0"/>
      <w:marBottom w:val="0"/>
      <w:divBdr>
        <w:top w:val="none" w:sz="0" w:space="0" w:color="auto"/>
        <w:left w:val="none" w:sz="0" w:space="0" w:color="auto"/>
        <w:bottom w:val="none" w:sz="0" w:space="0" w:color="auto"/>
        <w:right w:val="none" w:sz="0" w:space="0" w:color="auto"/>
      </w:divBdr>
    </w:div>
    <w:div w:id="827478473">
      <w:bodyDiv w:val="1"/>
      <w:marLeft w:val="0"/>
      <w:marRight w:val="0"/>
      <w:marTop w:val="0"/>
      <w:marBottom w:val="0"/>
      <w:divBdr>
        <w:top w:val="none" w:sz="0" w:space="0" w:color="auto"/>
        <w:left w:val="none" w:sz="0" w:space="0" w:color="auto"/>
        <w:bottom w:val="none" w:sz="0" w:space="0" w:color="auto"/>
        <w:right w:val="none" w:sz="0" w:space="0" w:color="auto"/>
      </w:divBdr>
    </w:div>
    <w:div w:id="946424693">
      <w:bodyDiv w:val="1"/>
      <w:marLeft w:val="0"/>
      <w:marRight w:val="0"/>
      <w:marTop w:val="0"/>
      <w:marBottom w:val="0"/>
      <w:divBdr>
        <w:top w:val="none" w:sz="0" w:space="0" w:color="auto"/>
        <w:left w:val="none" w:sz="0" w:space="0" w:color="auto"/>
        <w:bottom w:val="none" w:sz="0" w:space="0" w:color="auto"/>
        <w:right w:val="none" w:sz="0" w:space="0" w:color="auto"/>
      </w:divBdr>
    </w:div>
    <w:div w:id="985818116">
      <w:bodyDiv w:val="1"/>
      <w:marLeft w:val="0"/>
      <w:marRight w:val="0"/>
      <w:marTop w:val="0"/>
      <w:marBottom w:val="0"/>
      <w:divBdr>
        <w:top w:val="none" w:sz="0" w:space="0" w:color="auto"/>
        <w:left w:val="none" w:sz="0" w:space="0" w:color="auto"/>
        <w:bottom w:val="none" w:sz="0" w:space="0" w:color="auto"/>
        <w:right w:val="none" w:sz="0" w:space="0" w:color="auto"/>
      </w:divBdr>
    </w:div>
    <w:div w:id="1158111255">
      <w:bodyDiv w:val="1"/>
      <w:marLeft w:val="0"/>
      <w:marRight w:val="0"/>
      <w:marTop w:val="0"/>
      <w:marBottom w:val="0"/>
      <w:divBdr>
        <w:top w:val="none" w:sz="0" w:space="0" w:color="auto"/>
        <w:left w:val="none" w:sz="0" w:space="0" w:color="auto"/>
        <w:bottom w:val="none" w:sz="0" w:space="0" w:color="auto"/>
        <w:right w:val="none" w:sz="0" w:space="0" w:color="auto"/>
      </w:divBdr>
    </w:div>
    <w:div w:id="1293442015">
      <w:bodyDiv w:val="1"/>
      <w:marLeft w:val="0"/>
      <w:marRight w:val="0"/>
      <w:marTop w:val="0"/>
      <w:marBottom w:val="0"/>
      <w:divBdr>
        <w:top w:val="none" w:sz="0" w:space="0" w:color="auto"/>
        <w:left w:val="none" w:sz="0" w:space="0" w:color="auto"/>
        <w:bottom w:val="none" w:sz="0" w:space="0" w:color="auto"/>
        <w:right w:val="none" w:sz="0" w:space="0" w:color="auto"/>
      </w:divBdr>
    </w:div>
    <w:div w:id="1657420584">
      <w:bodyDiv w:val="1"/>
      <w:marLeft w:val="0"/>
      <w:marRight w:val="0"/>
      <w:marTop w:val="0"/>
      <w:marBottom w:val="0"/>
      <w:divBdr>
        <w:top w:val="none" w:sz="0" w:space="0" w:color="auto"/>
        <w:left w:val="none" w:sz="0" w:space="0" w:color="auto"/>
        <w:bottom w:val="none" w:sz="0" w:space="0" w:color="auto"/>
        <w:right w:val="none" w:sz="0" w:space="0" w:color="auto"/>
      </w:divBdr>
    </w:div>
    <w:div w:id="1958297140">
      <w:bodyDiv w:val="1"/>
      <w:marLeft w:val="0"/>
      <w:marRight w:val="0"/>
      <w:marTop w:val="0"/>
      <w:marBottom w:val="0"/>
      <w:divBdr>
        <w:top w:val="none" w:sz="0" w:space="0" w:color="auto"/>
        <w:left w:val="none" w:sz="0" w:space="0" w:color="auto"/>
        <w:bottom w:val="none" w:sz="0" w:space="0" w:color="auto"/>
        <w:right w:val="none" w:sz="0" w:space="0" w:color="auto"/>
      </w:divBdr>
    </w:div>
    <w:div w:id="212411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o.org/docrep/meeting/009/y9825e/y9825e00.htm" TargetMode="External"/><Relationship Id="rId18" Type="http://schemas.openxmlformats.org/officeDocument/2006/relationships/hyperlink" Target="http://www.iatp.org" TargetMode="External"/><Relationship Id="rId26" Type="http://schemas.openxmlformats.org/officeDocument/2006/relationships/hyperlink" Target="http://www.grassrootsonline.org/news/blog/seeds-help-communities-raise-hope-independence" TargetMode="External"/><Relationship Id="rId39" Type="http://schemas.openxmlformats.org/officeDocument/2006/relationships/hyperlink" Target="http://www.fao.org/docrep/013/i1638e/i1638e.pdf" TargetMode="External"/><Relationship Id="rId21" Type="http://schemas.openxmlformats.org/officeDocument/2006/relationships/hyperlink" Target="mailto:katherinez@idex.org" TargetMode="External"/><Relationship Id="rId34" Type="http://schemas.openxmlformats.org/officeDocument/2006/relationships/hyperlink" Target="http://www.spp.org.za/research-reports/" TargetMode="External"/><Relationship Id="rId42" Type="http://schemas.openxmlformats.org/officeDocument/2006/relationships/hyperlink" Target="http://www.csrees.usda.gov/nea/ag_systems/pdfs/time_to_act_1998.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srees.usda.gov/nea/ag_systems/pdfs/time_to_act_1998.pdf" TargetMode="External"/><Relationship Id="rId29" Type="http://schemas.openxmlformats.org/officeDocument/2006/relationships/hyperlink" Target="http://www.srfood.org/images/stories/pdf/officialreports/20110308_a-hrc-16-49_agroecology_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grassrootsonline.org/news/blog/investing-haiti%E2%80%99s-rural-community" TargetMode="External"/><Relationship Id="rId32" Type="http://schemas.openxmlformats.org/officeDocument/2006/relationships/hyperlink" Target="http://www.spp.org.za/agro-ecological-farming/" TargetMode="External"/><Relationship Id="rId37" Type="http://schemas.openxmlformats.org/officeDocument/2006/relationships/hyperlink" Target="http://www.biowatch.org.za/docs/policy/seed.pdf" TargetMode="External"/><Relationship Id="rId40" Type="http://schemas.openxmlformats.org/officeDocument/2006/relationships/hyperlink" Target="http://es.scribd.com/fullscreen/73353429?access_key=key-17pgzqunmhi2iuq9t5m6"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atp.org/documents/agroecology-and-advocacy-innovations-in-asia" TargetMode="External"/><Relationship Id="rId23" Type="http://schemas.openxmlformats.org/officeDocument/2006/relationships/image" Target="media/image4.jpeg"/><Relationship Id="rId28" Type="http://schemas.openxmlformats.org/officeDocument/2006/relationships/hyperlink" Target="http://www.srfood.org/images/stories/pdf/officialreports/20110308_a-hrc-16-49_agroecology_fr.pdf" TargetMode="External"/><Relationship Id="rId36" Type="http://schemas.openxmlformats.org/officeDocument/2006/relationships/hyperlink" Target="http://viacampesina.org/downloads/pdf/en/paper6-EN-FINAL.pdf" TargetMode="External"/><Relationship Id="rId10" Type="http://schemas.openxmlformats.org/officeDocument/2006/relationships/image" Target="media/image2.jpeg"/><Relationship Id="rId19" Type="http://schemas.openxmlformats.org/officeDocument/2006/relationships/hyperlink" Target="mailto:saraujo@grassrootsonline.org" TargetMode="External"/><Relationship Id="rId31" Type="http://schemas.openxmlformats.org/officeDocument/2006/relationships/hyperlink" Target="http://www.srfood.org/images/stories/pdf/officialreports/20110308_a-hrc-16-49_agroecology_ru.pd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gassessment.org/?fp=Z5%2BPPjsY0bBh5Hb3GZfacBevAwTcNBZ99pTPAnX0gBiZyhD3No2Ef68i4YqV7Xy5JSCGodJ0ki88I0f3NDwOIg%3D%3D&amp;prvtof=lYsn%2FkBWQ2bcJ3%2F%2B1cjsQtMqepQfR2OMSXCXkUWGbUk%3D&amp;poru=dsFtmVnMCRuR8EnfjmRoltfI0Kp%2BbpKOo4qkKwlZYxaDdzVfk13B9TYVVVnDB1RHyr%2FiOr8JEluScQz6%2ByvxquiXLXC4q84%2BGVmGRuPteoGK5%2BiiLzYWs8xFuAvIAoB1ZASc3At8wRk9sGu1UjPGmR5UKak7SNkasYu9MVteWco%3D&amp;" TargetMode="External"/><Relationship Id="rId22" Type="http://schemas.openxmlformats.org/officeDocument/2006/relationships/hyperlink" Target="http://www.idex.org/" TargetMode="External"/><Relationship Id="rId27" Type="http://schemas.openxmlformats.org/officeDocument/2006/relationships/hyperlink" Target="http://www.srfood.org/images/stories/pdf/officialreports/20110308_a-hrc-16-49_agroecology_en.pdf" TargetMode="External"/><Relationship Id="rId30" Type="http://schemas.openxmlformats.org/officeDocument/2006/relationships/hyperlink" Target="http://www.srfood.org/images/stories/pdf/officialreports/20110308_a-hrc-16-49_agroecology_cn.pdf" TargetMode="External"/><Relationship Id="rId35" Type="http://schemas.openxmlformats.org/officeDocument/2006/relationships/hyperlink" Target="http://www.itas.fzk.de/tatup/112/upho11a.htm"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fao.org/nr/tenure/voluntary-guidelines/en/" TargetMode="External"/><Relationship Id="rId17" Type="http://schemas.openxmlformats.org/officeDocument/2006/relationships/hyperlink" Target="mailto:ssharma@iatp.org" TargetMode="External"/><Relationship Id="rId25" Type="http://schemas.openxmlformats.org/officeDocument/2006/relationships/hyperlink" Target="http://www.grassrootsonline.org/news/blog/nut-harvesters-are-changing-local-economy" TargetMode="External"/><Relationship Id="rId33" Type="http://schemas.openxmlformats.org/officeDocument/2006/relationships/hyperlink" Target="http://www.iatp.org/documents/agroecology-and-advocacy-innovations-in-asia" TargetMode="External"/><Relationship Id="rId38" Type="http://schemas.openxmlformats.org/officeDocument/2006/relationships/hyperlink" Target="http://www.fao.org/docrep/013/i2050e/i2050e00.htm" TargetMode="External"/><Relationship Id="rId20" Type="http://schemas.openxmlformats.org/officeDocument/2006/relationships/hyperlink" Target="http://www.GrassrootsOnline.org" TargetMode="External"/><Relationship Id="rId41" Type="http://schemas.openxmlformats.org/officeDocument/2006/relationships/hyperlink" Target="http://www.iatp.org/files/451_2_1079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29151-4D5D-47BC-A33F-26746446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3720</Words>
  <Characters>21209</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ssharma</dc:creator>
  <cp:lastModifiedBy>Eleonore Wesserle</cp:lastModifiedBy>
  <cp:revision>2</cp:revision>
  <cp:lastPrinted>2013-01-30T19:16:00Z</cp:lastPrinted>
  <dcterms:created xsi:type="dcterms:W3CDTF">2013-02-05T17:39:00Z</dcterms:created>
  <dcterms:modified xsi:type="dcterms:W3CDTF">2013-02-05T17:39:00Z</dcterms:modified>
</cp:coreProperties>
</file>