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466E" w14:textId="3EE36D14" w:rsidR="00277DF2" w:rsidRDefault="000B5DCB" w:rsidP="00277DF2">
      <w:pPr>
        <w:rPr>
          <w:rFonts w:cs="Arial"/>
          <w:b/>
          <w:bCs/>
          <w:color w:val="E36C0A" w:themeColor="accent6" w:themeShade="BF"/>
          <w:sz w:val="36"/>
          <w:szCs w:val="36"/>
          <w:lang w:val="es-ES_tradnl"/>
        </w:rPr>
      </w:pPr>
      <w:r w:rsidRPr="000B5DCB">
        <w:rPr>
          <w:rFonts w:cs="Arial"/>
          <w:b/>
          <w:bCs/>
          <w:color w:val="E36C0A" w:themeColor="accent6" w:themeShade="BF"/>
          <w:sz w:val="36"/>
          <w:szCs w:val="36"/>
          <w:lang w:val="es-ES_tradnl"/>
        </w:rPr>
        <w:t>La futura Guía Jurídica sobre contratos de inversión en tierras agrícolas (ALIC) de UNIDROIT, la FAO y el FIDA</w:t>
      </w:r>
    </w:p>
    <w:p w14:paraId="35DC6358" w14:textId="782C1073" w:rsidR="000B5DCB" w:rsidRPr="000B5DCB" w:rsidRDefault="000B5DCB" w:rsidP="00277DF2">
      <w:pPr>
        <w:rPr>
          <w:rFonts w:asciiTheme="majorHAnsi" w:hAnsiTheme="majorHAnsi"/>
          <w:lang w:val="es-ES_tradnl"/>
        </w:rPr>
      </w:pPr>
    </w:p>
    <w:p w14:paraId="27FF2CBF" w14:textId="4D800C5B" w:rsidR="000B5DCB" w:rsidRPr="00E26368" w:rsidRDefault="00A13A85" w:rsidP="000B5DCB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7E21ED5" wp14:editId="36DB5567">
            <wp:simplePos x="0" y="0"/>
            <wp:positionH relativeFrom="margin">
              <wp:posOffset>4598035</wp:posOffset>
            </wp:positionH>
            <wp:positionV relativeFrom="paragraph">
              <wp:posOffset>9525</wp:posOffset>
            </wp:positionV>
            <wp:extent cx="1522730" cy="18573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onAL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CB" w:rsidRPr="000B5DCB">
        <w:rPr>
          <w:rFonts w:asciiTheme="majorHAnsi" w:hAnsiTheme="majorHAnsi"/>
          <w:lang w:val="es-ES"/>
        </w:rPr>
        <w:t xml:space="preserve">El </w:t>
      </w:r>
      <w:r w:rsidR="000B5DCB" w:rsidRPr="00E26368">
        <w:rPr>
          <w:rFonts w:asciiTheme="majorHAnsi" w:hAnsiTheme="majorHAnsi"/>
          <w:lang w:val="es-ES"/>
        </w:rPr>
        <w:t xml:space="preserve">proceso de preparar, negociar e implementar un contrato de inversión en tierras agrícolas de conformidad con los principios y normas establecidos en las </w:t>
      </w:r>
      <w:hyperlink r:id="rId9" w:history="1">
        <w:r w:rsidR="000B5DCB" w:rsidRPr="00E26368">
          <w:rPr>
            <w:rStyle w:val="Hyperlink"/>
            <w:rFonts w:asciiTheme="majorHAnsi" w:hAnsiTheme="majorHAnsi"/>
            <w:i/>
            <w:u w:val="none"/>
            <w:lang w:val="es-ES"/>
          </w:rPr>
          <w:t>Directrices voluntarias sobre la gobernanza responsable de la tenencia de la tierra, la pesca y los bosques en el contexto de la seguridad alimentaria nacional</w:t>
        </w:r>
      </w:hyperlink>
      <w:r w:rsidR="000B5DCB" w:rsidRPr="00E26368">
        <w:rPr>
          <w:rFonts w:asciiTheme="majorHAnsi" w:hAnsiTheme="majorHAnsi"/>
          <w:lang w:val="es-ES"/>
        </w:rPr>
        <w:t xml:space="preserve"> y los </w:t>
      </w:r>
      <w:hyperlink r:id="rId10" w:history="1">
        <w:r w:rsidR="000B5DCB" w:rsidRPr="00E26368">
          <w:rPr>
            <w:rStyle w:val="Hyperlink"/>
            <w:rFonts w:asciiTheme="majorHAnsi" w:hAnsiTheme="majorHAnsi"/>
            <w:i/>
            <w:u w:val="none"/>
            <w:lang w:val="es-ES"/>
          </w:rPr>
          <w:t>Principios del CSA para la inversión responsable en la agricultura y los sistemas alimentarios</w:t>
        </w:r>
        <w:r w:rsidR="000B5DCB" w:rsidRPr="00E26368">
          <w:rPr>
            <w:rStyle w:val="Hyperlink"/>
            <w:rFonts w:asciiTheme="majorHAnsi" w:hAnsiTheme="majorHAnsi"/>
            <w:u w:val="none"/>
            <w:lang w:val="es-ES"/>
          </w:rPr>
          <w:t xml:space="preserve"> </w:t>
        </w:r>
        <w:r w:rsidR="000B5DCB" w:rsidRPr="00E26368">
          <w:rPr>
            <w:rStyle w:val="Hyperlink"/>
            <w:rFonts w:asciiTheme="majorHAnsi" w:hAnsiTheme="majorHAnsi"/>
            <w:i/>
            <w:u w:val="none"/>
            <w:lang w:val="es-ES"/>
          </w:rPr>
          <w:t>(Principios del CSA)</w:t>
        </w:r>
      </w:hyperlink>
      <w:r w:rsidR="000B5DCB" w:rsidRPr="00E26368">
        <w:rPr>
          <w:rFonts w:asciiTheme="majorHAnsi" w:hAnsiTheme="majorHAnsi"/>
          <w:lang w:val="es-ES"/>
        </w:rPr>
        <w:t xml:space="preserve"> puede resultar muy complejo para inversores, gobiernos, titulares legítimos de derechos de tenencia de las tierras y comunidades locales por igual.</w:t>
      </w:r>
    </w:p>
    <w:p w14:paraId="03646FD6" w14:textId="77777777" w:rsidR="000B5DCB" w:rsidRPr="00E26368" w:rsidRDefault="000B5DCB" w:rsidP="000B5DCB">
      <w:pPr>
        <w:rPr>
          <w:rFonts w:asciiTheme="majorHAnsi" w:hAnsiTheme="majorHAnsi"/>
          <w:lang w:val="es-ES"/>
        </w:rPr>
      </w:pPr>
      <w:r w:rsidRPr="00E26368">
        <w:rPr>
          <w:rFonts w:asciiTheme="majorHAnsi" w:hAnsiTheme="majorHAnsi"/>
          <w:lang w:val="es-ES"/>
        </w:rPr>
        <w:t xml:space="preserve">El Instituto Internacional para la Unificación del Derecho Privado (UNIDROIT), en colaboración con la Organización de las Naciones Unidas para la Alimentación y la Agricultura (FAO) y el Fondo Internacional de Desarrollo Agrícola (FIDA), está preparando una futura </w:t>
      </w:r>
      <w:hyperlink r:id="rId11" w:history="1">
        <w:r w:rsidRPr="00E26368">
          <w:rPr>
            <w:rStyle w:val="Hyperlink"/>
            <w:rFonts w:asciiTheme="majorHAnsi" w:hAnsiTheme="majorHAnsi"/>
            <w:u w:val="none"/>
            <w:lang w:val="es-ES"/>
          </w:rPr>
          <w:t>Guía Jurídica sobre los contratos de inversión en tierras agrícolas</w:t>
        </w:r>
      </w:hyperlink>
      <w:r w:rsidRPr="00E26368">
        <w:rPr>
          <w:rFonts w:asciiTheme="majorHAnsi" w:hAnsiTheme="majorHAnsi"/>
          <w:lang w:val="es-ES"/>
        </w:rPr>
        <w:t xml:space="preserve"> (ALIC, por sus siglas en inglés) para atender las necesidades de los asesores legales que trabajan en el arrendamiento de tierras agrícolas de los Estados y las comunidades locales. </w:t>
      </w:r>
    </w:p>
    <w:p w14:paraId="3F230D0E" w14:textId="77777777" w:rsidR="000B5DCB" w:rsidRPr="00E26368" w:rsidRDefault="000B5DCB" w:rsidP="000B5DCB">
      <w:pPr>
        <w:rPr>
          <w:rFonts w:asciiTheme="majorHAnsi" w:hAnsiTheme="majorHAnsi"/>
          <w:lang w:val="es-ES"/>
        </w:rPr>
      </w:pPr>
      <w:r w:rsidRPr="00E26368">
        <w:rPr>
          <w:rFonts w:asciiTheme="majorHAnsi" w:hAnsiTheme="majorHAnsi"/>
          <w:lang w:val="es-ES"/>
        </w:rPr>
        <w:t>El objetivo de la guía ALIC no es promover la adquisición de tierras a gran escala, sino más bien concienciar sobre los modelos de inversión alternativos. Sin embargo, al reconocer que siguen adquiriéndose tierras, el instrumento ayudará a garantizar que los arrendamientos de tierras agrícolas se hagan de manera responsable, con las salvaguardias necesarias para proteger los derechos humanos y medios de subsistencia, la seguridad alimentaria, la nutrición y el medio ambiente, y lograr que los derechos de las partes interesadas -incluidos los de los titulares legítimos de derechos de tenencia- se protejan y respeten a la vez.</w:t>
      </w:r>
    </w:p>
    <w:p w14:paraId="3EB8A149" w14:textId="080BAF8E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E26368">
        <w:rPr>
          <w:rFonts w:asciiTheme="majorHAnsi" w:hAnsiTheme="majorHAnsi"/>
          <w:lang w:val="es-ES"/>
        </w:rPr>
        <w:t xml:space="preserve">El instrumento, basado en el éxito de la </w:t>
      </w:r>
      <w:hyperlink r:id="rId12" w:history="1">
        <w:r w:rsidRPr="00E26368">
          <w:rPr>
            <w:rStyle w:val="Hyperlink"/>
            <w:rFonts w:asciiTheme="majorHAnsi" w:hAnsiTheme="majorHAnsi"/>
            <w:u w:val="none"/>
            <w:lang w:val="es-ES"/>
          </w:rPr>
          <w:t>Guía Jurídica sobre agricultura por contrato UNIDROIT-FAO-FIDA</w:t>
        </w:r>
      </w:hyperlink>
      <w:r w:rsidRPr="00E26368">
        <w:rPr>
          <w:rFonts w:asciiTheme="majorHAnsi" w:hAnsiTheme="majorHAnsi"/>
          <w:lang w:val="es-ES"/>
        </w:rPr>
        <w:t xml:space="preserve"> y los </w:t>
      </w:r>
      <w:r w:rsidR="00091D45">
        <w:rPr>
          <w:rStyle w:val="Hyperlink"/>
          <w:rFonts w:asciiTheme="majorHAnsi" w:hAnsiTheme="majorHAnsi"/>
          <w:u w:val="none"/>
          <w:lang w:val="es-ES"/>
        </w:rPr>
        <w:fldChar w:fldCharType="begin"/>
      </w:r>
      <w:r w:rsidR="00091D45">
        <w:rPr>
          <w:rStyle w:val="Hyperlink"/>
          <w:rFonts w:asciiTheme="majorHAnsi" w:hAnsiTheme="majorHAnsi"/>
          <w:u w:val="none"/>
          <w:lang w:val="es-ES"/>
        </w:rPr>
        <w:instrText>HYPERLINK "https://www.unidroit.org/unidroit-principles-2016/unidroit-principles-2016-overview/spanish-black-letter"</w:instrText>
      </w:r>
      <w:r w:rsidR="00091D45">
        <w:rPr>
          <w:rStyle w:val="Hyperlink"/>
          <w:rFonts w:asciiTheme="majorHAnsi" w:hAnsiTheme="majorHAnsi"/>
          <w:u w:val="none"/>
          <w:lang w:val="es-ES"/>
        </w:rPr>
      </w:r>
      <w:r w:rsidR="00091D45">
        <w:rPr>
          <w:rStyle w:val="Hyperlink"/>
          <w:rFonts w:asciiTheme="majorHAnsi" w:hAnsiTheme="majorHAnsi"/>
          <w:u w:val="none"/>
          <w:lang w:val="es-ES"/>
        </w:rPr>
        <w:fldChar w:fldCharType="separate"/>
      </w:r>
      <w:r w:rsidRPr="00E26368">
        <w:rPr>
          <w:rStyle w:val="Hyperlink"/>
          <w:rFonts w:asciiTheme="majorHAnsi" w:hAnsiTheme="majorHAnsi"/>
          <w:u w:val="none"/>
          <w:lang w:val="es-ES"/>
        </w:rPr>
        <w:t>Principios de UNIDROIT sobre los contratos comerciales internacionales</w:t>
      </w:r>
      <w:r w:rsidR="00091D45">
        <w:rPr>
          <w:rStyle w:val="Hyperlink"/>
          <w:rFonts w:asciiTheme="majorHAnsi" w:hAnsiTheme="majorHAnsi"/>
          <w:u w:val="none"/>
          <w:lang w:val="es-ES"/>
        </w:rPr>
        <w:fldChar w:fldCharType="end"/>
      </w:r>
      <w:r w:rsidRPr="00E26368">
        <w:rPr>
          <w:rFonts w:asciiTheme="majorHAnsi" w:hAnsiTheme="majorHAnsi"/>
          <w:lang w:val="es-ES"/>
        </w:rPr>
        <w:t>, está siendo desarrollado por un grupo de trabajo compuesto por expertos, representantes de organizaciones internacionales y partes interesadas. El borrador cero</w:t>
      </w:r>
      <w:r w:rsidRPr="000B5DCB">
        <w:rPr>
          <w:rFonts w:asciiTheme="majorHAnsi" w:hAnsiTheme="majorHAnsi"/>
          <w:lang w:val="es-ES"/>
        </w:rPr>
        <w:t xml:space="preserve"> resultante se está distribuyendo de la forma más amplia posible para solicitar comentarios y observaciones.</w:t>
      </w:r>
    </w:p>
    <w:p w14:paraId="17682085" w14:textId="77777777" w:rsidR="00A13A85" w:rsidRDefault="00A13A85" w:rsidP="000B5DCB">
      <w:pPr>
        <w:rPr>
          <w:rFonts w:asciiTheme="majorHAnsi" w:hAnsiTheme="majorHAnsi"/>
          <w:u w:val="single"/>
          <w:lang w:val="es-ES"/>
        </w:rPr>
      </w:pPr>
    </w:p>
    <w:p w14:paraId="10B44877" w14:textId="77777777" w:rsidR="00A13A85" w:rsidRDefault="00A13A85" w:rsidP="000B5DCB">
      <w:pPr>
        <w:rPr>
          <w:rFonts w:asciiTheme="majorHAnsi" w:hAnsiTheme="majorHAnsi"/>
          <w:u w:val="single"/>
          <w:lang w:val="es-ES"/>
        </w:rPr>
      </w:pPr>
    </w:p>
    <w:p w14:paraId="6F4CAEE8" w14:textId="77777777" w:rsidR="00A13A85" w:rsidRDefault="00A13A85" w:rsidP="000B5DCB">
      <w:pPr>
        <w:rPr>
          <w:rFonts w:asciiTheme="majorHAnsi" w:hAnsiTheme="majorHAnsi"/>
          <w:u w:val="single"/>
          <w:lang w:val="es-ES"/>
        </w:rPr>
      </w:pPr>
      <w:bookmarkStart w:id="0" w:name="_GoBack"/>
      <w:bookmarkEnd w:id="0"/>
    </w:p>
    <w:p w14:paraId="4C104722" w14:textId="77777777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u w:val="single"/>
          <w:lang w:val="es-ES"/>
        </w:rPr>
        <w:lastRenderedPageBreak/>
        <w:t>Estructura del borrador cero del ALIC</w:t>
      </w:r>
    </w:p>
    <w:p w14:paraId="2785C67C" w14:textId="77777777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t>El instrumento abordará los seis aspectos principales que se exponen a continuación:</w:t>
      </w:r>
    </w:p>
    <w:p w14:paraId="521C426F" w14:textId="77777777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u w:val="single"/>
          <w:lang w:val="es-ES"/>
        </w:rPr>
        <w:t>(1) Marco jurídico</w:t>
      </w:r>
      <w:r w:rsidRPr="000B5DCB">
        <w:rPr>
          <w:rFonts w:asciiTheme="majorHAnsi" w:hAnsiTheme="majorHAnsi"/>
          <w:lang w:val="es-ES"/>
        </w:rPr>
        <w:t xml:space="preserve">: El marco jurídico aplicable está constituido por diversas fuentes de derecho interno (p. ej. legislación, decisiones judiciales, reglamentos y, en algunos casos, normas consuetudinarias) y diversas fuentes internacionales (p. ej. tratados internacionales de derechos humanos, tratados de inversión o instrumentos de derecho indicativo). El marco puede también variar según el tipo de contrato de inversión en tierras agrícolas, que puede ser un acuerdo de inversión, contrato de arrendamiento o acuerdos relacionados. </w:t>
      </w:r>
    </w:p>
    <w:p w14:paraId="212D8FCA" w14:textId="77777777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u w:val="single"/>
          <w:lang w:val="es-ES"/>
        </w:rPr>
        <w:t>(2) Partes, diligencia debida y formación</w:t>
      </w:r>
      <w:r w:rsidRPr="000B5DCB">
        <w:rPr>
          <w:rFonts w:asciiTheme="majorHAnsi" w:hAnsiTheme="majorHAnsi"/>
          <w:lang w:val="es-ES"/>
        </w:rPr>
        <w:t xml:space="preserve">: Hay varias partes posibles en los contratos de inversión en tierras agrícolas, y numerosas partes interesadas que podrían verse afectadas por tales contratos. Las tareas difíciles pueden incluir: (a) identificar tanto a los titulares del título legal de la tierra como a cualquier titular de derechos legítimos de tenencia con respecto a esa tierra; (b) consultar con esos diversos titulares, incluso en entornos consuetudinarios en los que las funciones de las diversas autoridades podrían no estar claramente definidas; y (c) llevar a cabo estudios de viabilidad detallados y evaluaciones de impacto rigurosas, con respecto a los posibles impactos en la tenencia, sociales, ambientales y económicos. </w:t>
      </w:r>
    </w:p>
    <w:p w14:paraId="6BF20EB3" w14:textId="77777777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u w:val="single"/>
          <w:lang w:val="es-ES"/>
        </w:rPr>
        <w:t>(3) Obligaciones y derechos de las partes</w:t>
      </w:r>
      <w:r w:rsidRPr="000B5DCB">
        <w:rPr>
          <w:rFonts w:asciiTheme="majorHAnsi" w:hAnsiTheme="majorHAnsi"/>
          <w:lang w:val="es-ES"/>
        </w:rPr>
        <w:t xml:space="preserve">: El contrato de inversión en tierras agrícolas -que puede ser un acuerdo único o una serie de acuerdos- puede establecer disposiciones que aborden no sólo la tenencia en particular y los derechos asociados que se conceden, sino también las salvaguardias necesarias para colmar las lagunas en la legislación del Estado y los posibles efectos de la inversión. </w:t>
      </w:r>
    </w:p>
    <w:p w14:paraId="402ACC75" w14:textId="77777777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u w:val="single"/>
          <w:lang w:val="es-ES"/>
        </w:rPr>
        <w:t>(4) Incumplimiento contractual y recursos</w:t>
      </w:r>
      <w:r w:rsidRPr="000B5DCB">
        <w:rPr>
          <w:rFonts w:asciiTheme="majorHAnsi" w:hAnsiTheme="majorHAnsi"/>
          <w:lang w:val="es-ES"/>
        </w:rPr>
        <w:t>: Dado que el arrendamiento de tierras agrícolas suele implicar relaciones contractuales a largo plazo, es importante comprender los riesgos inherentes a una inversión determinada y promover la cooperación entre las partes y los interesados.</w:t>
      </w:r>
    </w:p>
    <w:p w14:paraId="44F27FD7" w14:textId="77777777" w:rsidR="000B5DCB" w:rsidRPr="000B5DCB" w:rsidRDefault="000B5DCB" w:rsidP="000B5DCB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u w:val="single"/>
          <w:lang w:val="es-ES"/>
        </w:rPr>
        <w:t>(5) Transferencia y devolución</w:t>
      </w:r>
      <w:r w:rsidRPr="000B5DCB">
        <w:rPr>
          <w:rFonts w:asciiTheme="majorHAnsi" w:hAnsiTheme="majorHAnsi"/>
          <w:lang w:val="es-ES"/>
        </w:rPr>
        <w:t xml:space="preserve">: La transferencia de tierras agrícolas arrendadas de un inversor a otro puede suscitar diversos problemas, entre ellos saber si los derechos de tenencia concedidos son realmente transferibles, si la transferencia cumple con las limitaciones contractuales y si esta transferencia se hace pública. </w:t>
      </w:r>
    </w:p>
    <w:p w14:paraId="261F450E" w14:textId="77777777" w:rsidR="000B5DCB" w:rsidRPr="000B5DCB" w:rsidRDefault="000B5DCB" w:rsidP="000B5DCB">
      <w:pPr>
        <w:rPr>
          <w:rFonts w:asciiTheme="majorHAnsi" w:hAnsiTheme="majorHAnsi"/>
          <w:u w:val="single"/>
          <w:lang w:val="es-ES"/>
        </w:rPr>
      </w:pPr>
      <w:r w:rsidRPr="000B5DCB">
        <w:rPr>
          <w:rFonts w:asciiTheme="majorHAnsi" w:hAnsiTheme="majorHAnsi"/>
          <w:u w:val="single"/>
          <w:lang w:val="es-ES"/>
        </w:rPr>
        <w:t>(6) Mecanismos de reclamación y resolución de conflictos</w:t>
      </w:r>
      <w:r w:rsidRPr="000B5DCB">
        <w:rPr>
          <w:rFonts w:asciiTheme="majorHAnsi" w:hAnsiTheme="majorHAnsi"/>
          <w:lang w:val="es-ES"/>
        </w:rPr>
        <w:t>: Comprender los tipos de reclamaciones y litigios que suelen surgir en los contratos de inversión en tierras agrícolas y de los diversos mecanismos para resolverlos (p.ej. decisiones de expertos, negociación, mediación, arbitraje y litigios) puede conducir igualmente a contratos más equilibrados y sostenibles.</w:t>
      </w:r>
      <w:r w:rsidRPr="000B5DCB">
        <w:rPr>
          <w:rFonts w:asciiTheme="majorHAnsi" w:hAnsiTheme="majorHAnsi"/>
          <w:u w:val="single"/>
          <w:lang w:val="es-ES"/>
        </w:rPr>
        <w:t xml:space="preserve"> </w:t>
      </w:r>
    </w:p>
    <w:p w14:paraId="18A8FDC9" w14:textId="5A71EFB6" w:rsidR="000B5DCB" w:rsidRPr="00242193" w:rsidRDefault="00242193" w:rsidP="00242193">
      <w:pPr>
        <w:rPr>
          <w:rFonts w:asciiTheme="majorHAnsi" w:hAnsiTheme="majorHAnsi"/>
          <w:u w:val="single"/>
          <w:lang w:val="es-ES"/>
        </w:rPr>
      </w:pPr>
      <w:r w:rsidRPr="00242193">
        <w:rPr>
          <w:rFonts w:asciiTheme="majorHAnsi" w:hAnsiTheme="majorHAnsi"/>
          <w:u w:val="single"/>
          <w:lang w:val="es-ES"/>
        </w:rPr>
        <w:t>Sus opiniones</w:t>
      </w:r>
    </w:p>
    <w:p w14:paraId="261CB760" w14:textId="562C716C" w:rsidR="000B5DCB" w:rsidRPr="000B5DCB" w:rsidRDefault="000B5DCB" w:rsidP="00242193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En esta consulta en línea, les</w:t>
      </w:r>
      <w:r w:rsidRPr="000B5DCB">
        <w:rPr>
          <w:rFonts w:asciiTheme="majorHAnsi" w:hAnsiTheme="majorHAnsi"/>
          <w:lang w:val="es-ES"/>
        </w:rPr>
        <w:t xml:space="preserve"> invitamos a compartir con nosotros los pensamientos y aportes que pueda</w:t>
      </w:r>
      <w:r>
        <w:rPr>
          <w:rFonts w:asciiTheme="majorHAnsi" w:hAnsiTheme="majorHAnsi"/>
          <w:lang w:val="es-ES"/>
        </w:rPr>
        <w:t>n</w:t>
      </w:r>
      <w:r w:rsidRPr="000B5DCB">
        <w:rPr>
          <w:rFonts w:asciiTheme="majorHAnsi" w:hAnsiTheme="majorHAnsi"/>
          <w:lang w:val="es-ES"/>
        </w:rPr>
        <w:t xml:space="preserve"> tener sobre el Borrador Cero. </w:t>
      </w:r>
      <w:r w:rsidR="00242193" w:rsidRPr="00242193">
        <w:rPr>
          <w:rFonts w:asciiTheme="majorHAnsi" w:hAnsiTheme="majorHAnsi"/>
          <w:lang w:val="es-ES"/>
        </w:rPr>
        <w:t>Serían bienvenidos los comentarios sobre el enfoque general de la Guía o sobre capítulos, secciones o temas específicos.</w:t>
      </w:r>
      <w:r w:rsidRPr="000B5DCB">
        <w:rPr>
          <w:rFonts w:asciiTheme="majorHAnsi" w:hAnsiTheme="majorHAnsi"/>
          <w:lang w:val="es-ES"/>
        </w:rPr>
        <w:t xml:space="preserve"> En particular, buscamos observaciones sobre lo siguiente: </w:t>
      </w:r>
    </w:p>
    <w:p w14:paraId="36B3AFEC" w14:textId="77777777" w:rsidR="000B5DCB" w:rsidRPr="000B5DCB" w:rsidRDefault="000B5DCB" w:rsidP="00242193">
      <w:pPr>
        <w:pStyle w:val="ListParagraph"/>
        <w:numPr>
          <w:ilvl w:val="0"/>
          <w:numId w:val="23"/>
        </w:numPr>
        <w:contextualSpacing/>
        <w:jc w:val="left"/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t xml:space="preserve">¿Existen secciones del borrador de la Guía que parecen no ser exhaustivas o que presentan lagunas en las cuestiones abordadas? En ese caso, ¿cómo propone resolverlas?  </w:t>
      </w:r>
    </w:p>
    <w:p w14:paraId="2670C69B" w14:textId="77777777" w:rsidR="000B5DCB" w:rsidRPr="000B5DCB" w:rsidRDefault="000B5DCB" w:rsidP="00242193">
      <w:pPr>
        <w:pStyle w:val="ListParagraph"/>
        <w:numPr>
          <w:ilvl w:val="0"/>
          <w:numId w:val="23"/>
        </w:numPr>
        <w:contextualSpacing/>
        <w:jc w:val="left"/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t>¿Hay secciones que carecen de claridad? En caso afirmativo, ¿cómo pueden clarificarse?</w:t>
      </w:r>
    </w:p>
    <w:p w14:paraId="4F7FE1EE" w14:textId="77777777" w:rsidR="000B5DCB" w:rsidRPr="000B5DCB" w:rsidRDefault="000B5DCB" w:rsidP="00242193">
      <w:pPr>
        <w:pStyle w:val="ListParagraph"/>
        <w:numPr>
          <w:ilvl w:val="0"/>
          <w:numId w:val="23"/>
        </w:numPr>
        <w:contextualSpacing/>
        <w:jc w:val="left"/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t>¿Presenta el borrador de la Guía alguna sección cuyo contenido sea redundante (es decir, ¿que ya se haya enunciado en otra parte?)</w:t>
      </w:r>
    </w:p>
    <w:p w14:paraId="780B3515" w14:textId="77777777" w:rsidR="000B5DCB" w:rsidRPr="000B5DCB" w:rsidRDefault="000B5DCB" w:rsidP="00242193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t>Todas las observaciones recibidas se presentarán al Grupo de Trabajo y se tendrán en cuenta, según proceda, para la revisión final del borrador, que se hará entre el 1 de octubre y el 20 de diciembre de 2019.</w:t>
      </w:r>
    </w:p>
    <w:p w14:paraId="61006DB9" w14:textId="77777777" w:rsidR="000B5DCB" w:rsidRPr="000B5DCB" w:rsidRDefault="000B5DCB" w:rsidP="00242193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lastRenderedPageBreak/>
        <w:t xml:space="preserve">Sujeta al proceso de revisión final en coordinación con la FAO y el FIDA, el Consejo de Administración de UNIDROIT aprobará la </w:t>
      </w:r>
      <w:r w:rsidRPr="000B5DCB">
        <w:rPr>
          <w:rFonts w:asciiTheme="majorHAnsi" w:hAnsiTheme="majorHAnsi"/>
          <w:i/>
          <w:lang w:val="es-ES"/>
        </w:rPr>
        <w:t>Guía jurídica sobre los contratos de inversión en tierras agrícolas</w:t>
      </w:r>
      <w:r w:rsidRPr="000B5DCB">
        <w:rPr>
          <w:rFonts w:asciiTheme="majorHAnsi" w:hAnsiTheme="majorHAnsi"/>
          <w:lang w:val="es-ES"/>
        </w:rPr>
        <w:t xml:space="preserve"> en su 99º período de sesiones, a celebrarse en mayo de 2020.</w:t>
      </w:r>
    </w:p>
    <w:p w14:paraId="687E3F3A" w14:textId="77777777" w:rsidR="000B5DCB" w:rsidRPr="000B5DCB" w:rsidRDefault="000B5DCB" w:rsidP="00242193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t>Muchas gracias de antemano por su tiempo y sus valiosas aportaciones.</w:t>
      </w:r>
    </w:p>
    <w:p w14:paraId="4E4C78EC" w14:textId="77777777" w:rsidR="000B5DCB" w:rsidRPr="000B5DCB" w:rsidRDefault="000B5DCB" w:rsidP="00242193">
      <w:pPr>
        <w:rPr>
          <w:rFonts w:asciiTheme="majorHAnsi" w:hAnsiTheme="majorHAnsi"/>
          <w:lang w:val="es-ES"/>
        </w:rPr>
      </w:pPr>
      <w:r w:rsidRPr="000B5DCB">
        <w:rPr>
          <w:rFonts w:asciiTheme="majorHAnsi" w:hAnsiTheme="majorHAnsi"/>
          <w:lang w:val="es-ES"/>
        </w:rPr>
        <w:t>Carlo Di Nicola</w:t>
      </w:r>
    </w:p>
    <w:p w14:paraId="3252BD86" w14:textId="49C3E7F1" w:rsidR="00277DF2" w:rsidRPr="000B5DCB" w:rsidRDefault="000B5DCB" w:rsidP="00CF7893">
      <w:pPr>
        <w:rPr>
          <w:rFonts w:asciiTheme="majorHAnsi" w:hAnsiTheme="majorHAnsi"/>
          <w:color w:val="000000" w:themeColor="text1"/>
          <w:lang w:val="es-ES"/>
        </w:rPr>
      </w:pPr>
      <w:r w:rsidRPr="000B5DCB">
        <w:rPr>
          <w:rFonts w:asciiTheme="majorHAnsi" w:hAnsiTheme="majorHAnsi"/>
          <w:lang w:val="es-ES"/>
        </w:rPr>
        <w:t xml:space="preserve">Oficial jurídico superior, UNIDROIT </w:t>
      </w:r>
    </w:p>
    <w:sectPr w:rsidR="00277DF2" w:rsidRPr="000B5DCB" w:rsidSect="008F2AD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58F3" w14:textId="77777777" w:rsidR="00A978A6" w:rsidRDefault="00A978A6" w:rsidP="00D079C6">
      <w:pPr>
        <w:spacing w:after="0"/>
      </w:pPr>
      <w:r>
        <w:separator/>
      </w:r>
    </w:p>
    <w:p w14:paraId="78152DE0" w14:textId="77777777" w:rsidR="00A978A6" w:rsidRDefault="00A978A6"/>
  </w:endnote>
  <w:endnote w:type="continuationSeparator" w:id="0">
    <w:p w14:paraId="64024F33" w14:textId="77777777" w:rsidR="00A978A6" w:rsidRDefault="00A978A6" w:rsidP="00D079C6">
      <w:pPr>
        <w:spacing w:after="0"/>
      </w:pPr>
      <w:r>
        <w:continuationSeparator/>
      </w:r>
    </w:p>
    <w:p w14:paraId="47A551A9" w14:textId="77777777" w:rsidR="00A978A6" w:rsidRDefault="00A97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01B38905" w14:textId="77777777" w:rsidTr="008F2ADB">
      <w:tc>
        <w:tcPr>
          <w:tcW w:w="9639" w:type="dxa"/>
        </w:tcPr>
        <w:p w14:paraId="0E7D8DBF" w14:textId="77777777" w:rsidR="00B655B5" w:rsidRPr="00351B73" w:rsidRDefault="00B655B5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5F9C33DF" w14:textId="77777777" w:rsidR="00B655B5" w:rsidRDefault="00B655B5" w:rsidP="008E48A2">
    <w:pPr>
      <w:pStyle w:val="Footer"/>
      <w:jc w:val="center"/>
      <w:rPr>
        <w:b/>
        <w:color w:val="C00000"/>
      </w:rPr>
    </w:pPr>
  </w:p>
  <w:p w14:paraId="067ECE8E" w14:textId="77777777" w:rsidR="00B655B5" w:rsidRPr="00A448AD" w:rsidRDefault="00B655B5" w:rsidP="00135B0D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49C6CE37" w14:textId="77777777" w:rsidR="00B655B5" w:rsidRPr="00A448AD" w:rsidRDefault="00B655B5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2F8FFB5A" w14:textId="77777777" w:rsidTr="00E6703B">
      <w:tc>
        <w:tcPr>
          <w:tcW w:w="9639" w:type="dxa"/>
        </w:tcPr>
        <w:p w14:paraId="7517DD41" w14:textId="77777777" w:rsidR="00B655B5" w:rsidRPr="00351B73" w:rsidRDefault="00B655B5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1AA8589" w14:textId="77777777" w:rsidR="00B655B5" w:rsidRDefault="00B655B5" w:rsidP="008F2ADB">
    <w:pPr>
      <w:pStyle w:val="Footer"/>
      <w:jc w:val="center"/>
      <w:rPr>
        <w:b/>
        <w:color w:val="C00000"/>
      </w:rPr>
    </w:pPr>
  </w:p>
  <w:p w14:paraId="45D1AA71" w14:textId="77777777" w:rsidR="00B655B5" w:rsidRPr="00A448AD" w:rsidRDefault="00B655B5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17848A71" w14:textId="77777777" w:rsidR="00B655B5" w:rsidRPr="00A448AD" w:rsidRDefault="00B655B5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7E40" w14:textId="77777777" w:rsidR="00A978A6" w:rsidRDefault="00A978A6" w:rsidP="00D079C6">
      <w:pPr>
        <w:spacing w:after="0"/>
      </w:pPr>
      <w:r>
        <w:separator/>
      </w:r>
    </w:p>
    <w:p w14:paraId="0EF440FC" w14:textId="77777777" w:rsidR="00A978A6" w:rsidRDefault="00A978A6"/>
  </w:footnote>
  <w:footnote w:type="continuationSeparator" w:id="0">
    <w:p w14:paraId="49B76280" w14:textId="77777777" w:rsidR="00A978A6" w:rsidRDefault="00A978A6" w:rsidP="00D079C6">
      <w:pPr>
        <w:spacing w:after="0"/>
      </w:pPr>
      <w:r>
        <w:continuationSeparator/>
      </w:r>
    </w:p>
    <w:p w14:paraId="1B4AA1D1" w14:textId="77777777" w:rsidR="00A978A6" w:rsidRDefault="00A97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80"/>
      <w:gridCol w:w="9152"/>
    </w:tblGrid>
    <w:tr w:rsidR="00B655B5" w:rsidRPr="00091D45" w14:paraId="2BE09B7C" w14:textId="77777777" w:rsidTr="00220FC1">
      <w:tc>
        <w:tcPr>
          <w:tcW w:w="249" w:type="pct"/>
        </w:tcPr>
        <w:p w14:paraId="4690B6D6" w14:textId="77777777" w:rsidR="00B655B5" w:rsidRPr="00B01341" w:rsidRDefault="00B655B5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091D45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38C2FFEB" w14:textId="7682A6F8" w:rsidR="00B655B5" w:rsidRPr="00FF5702" w:rsidRDefault="00242193" w:rsidP="00384748">
          <w:pPr>
            <w:pStyle w:val="top"/>
            <w:rPr>
              <w:lang w:val="es-ES_tradnl"/>
            </w:rPr>
          </w:pPr>
          <w:r w:rsidRPr="00242193">
            <w:rPr>
              <w:lang w:val="es-ES_tradnl"/>
            </w:rPr>
            <w:t>La futura Guía Jurídica sobre contratos de inversión en tierras agrícolas (ALIC) de UNIDROIT, la FAO y el FIDA</w:t>
          </w:r>
        </w:p>
      </w:tc>
    </w:tr>
  </w:tbl>
  <w:p w14:paraId="62B9B7F7" w14:textId="77777777" w:rsidR="00B655B5" w:rsidRPr="00384748" w:rsidRDefault="00B655B5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CA97" w14:textId="77777777" w:rsidR="00906040" w:rsidRDefault="00906040" w:rsidP="0090604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6E6830D6" wp14:editId="2E2662A0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FE949" w14:textId="77777777" w:rsidR="00906040" w:rsidRDefault="00906040" w:rsidP="00906040">
    <w:pPr>
      <w:pStyle w:val="Header"/>
      <w:jc w:val="right"/>
      <w:rPr>
        <w:b/>
        <w:color w:val="FFFFFF"/>
      </w:rPr>
    </w:pPr>
  </w:p>
  <w:p w14:paraId="03EE9C23" w14:textId="53F5ECEA" w:rsidR="00906040" w:rsidRPr="00466D88" w:rsidRDefault="00466D88" w:rsidP="00466D88">
    <w:pPr>
      <w:pStyle w:val="Heading4"/>
    </w:pPr>
    <w:r>
      <w:rPr>
        <w:noProof/>
        <w:lang w:val="en-GB" w:eastAsia="en-GB"/>
      </w:rPr>
      <w:drawing>
        <wp:inline distT="0" distB="0" distL="0" distR="0" wp14:anchorId="0840E30C" wp14:editId="04363AAD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14:paraId="3F5CC036" w14:textId="77777777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3E8A707" w14:textId="77777777" w:rsidR="00906040" w:rsidRPr="0043646E" w:rsidRDefault="00906040" w:rsidP="00906040">
          <w:pPr>
            <w:pStyle w:val="Heading6"/>
          </w:pPr>
          <w:r>
            <w:t>TEMA</w:t>
          </w:r>
        </w:p>
      </w:tc>
    </w:tr>
    <w:tr w:rsidR="00906040" w:rsidRPr="00091D45" w14:paraId="08DE927D" w14:textId="77777777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14:paraId="6446BD71" w14:textId="59E0D831" w:rsidR="00906040" w:rsidRPr="000B5DCB" w:rsidRDefault="00906040" w:rsidP="000B5DCB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lang w:val="es-ES"/>
            </w:rPr>
          </w:pPr>
          <w:r w:rsidRPr="00A448AD">
            <w:rPr>
              <w:rFonts w:asciiTheme="majorHAnsi" w:hAnsiTheme="majorHAnsi"/>
              <w:b/>
              <w:lang w:val="es-ES"/>
            </w:rPr>
            <w:t>Debate número 1</w:t>
          </w:r>
          <w:r w:rsidR="000B5DCB">
            <w:rPr>
              <w:rFonts w:asciiTheme="majorHAnsi" w:hAnsiTheme="majorHAnsi"/>
              <w:b/>
              <w:lang w:val="es-ES"/>
            </w:rPr>
            <w:t>60</w:t>
          </w:r>
          <w:r w:rsidRPr="00A448AD">
            <w:rPr>
              <w:rFonts w:asciiTheme="majorHAnsi" w:hAnsiTheme="majorHAnsi"/>
              <w:b/>
              <w:lang w:val="es-ES"/>
            </w:rPr>
            <w:t xml:space="preserve">  </w:t>
          </w:r>
          <w:r w:rsidRPr="00B655B5">
            <w:rPr>
              <w:rFonts w:ascii="Wingdings" w:hAnsi="Wingdings"/>
              <w:color w:val="31849B" w:themeColor="accent5" w:themeShade="BF"/>
            </w:rPr>
            <w:t></w:t>
          </w:r>
          <w:r w:rsidRPr="00A448AD">
            <w:rPr>
              <w:rFonts w:asciiTheme="majorHAnsi" w:hAnsiTheme="majorHAnsi"/>
              <w:b/>
              <w:lang w:val="es-ES"/>
            </w:rPr>
            <w:t xml:space="preserve">  </w:t>
          </w:r>
          <w:r w:rsidR="000B5DCB" w:rsidRPr="000B5DCB">
            <w:rPr>
              <w:rFonts w:asciiTheme="majorHAnsi" w:hAnsiTheme="majorHAnsi"/>
              <w:b/>
              <w:lang w:val="es-ES"/>
            </w:rPr>
            <w:t>04.09.2019 – 25.09.2019</w:t>
          </w:r>
          <w:r w:rsidRPr="00A448AD">
            <w:rPr>
              <w:rFonts w:asciiTheme="majorHAnsi" w:hAnsiTheme="majorHAnsi"/>
              <w:b/>
              <w:color w:val="31849B" w:themeColor="accent5" w:themeShade="BF"/>
              <w:lang w:val="es-ES"/>
            </w:rPr>
            <w:br/>
          </w:r>
          <w:r>
            <w:rPr>
              <w:noProof/>
              <w:lang w:val="en-GB" w:eastAsia="en-GB"/>
            </w:rPr>
            <w:drawing>
              <wp:inline distT="0" distB="0" distL="0" distR="0" wp14:anchorId="50944A76" wp14:editId="63F96B3B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48AD">
            <w:rPr>
              <w:lang w:val="es-ES"/>
            </w:rPr>
            <w:t xml:space="preserve">   </w:t>
          </w:r>
          <w:hyperlink r:id="rId4" w:history="1">
            <w:r w:rsidR="000B5DCB" w:rsidRPr="000B5DCB">
              <w:rPr>
                <w:rStyle w:val="Hyperlink"/>
                <w:lang w:val="es-ES"/>
              </w:rPr>
              <w:t>www.fao.org/fsnforum/es/activities/discussions/ALIC</w:t>
            </w:r>
          </w:hyperlink>
          <w:r w:rsidR="000B5DCB" w:rsidRPr="000B5DCB">
            <w:rPr>
              <w:lang w:val="es-ES"/>
            </w:rPr>
            <w:t xml:space="preserve">  </w:t>
          </w:r>
        </w:p>
      </w:tc>
    </w:tr>
  </w:tbl>
  <w:p w14:paraId="5DA6713E" w14:textId="77777777" w:rsidR="00906040" w:rsidRPr="00A448AD" w:rsidRDefault="00906040" w:rsidP="00906040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C0140A"/>
    <w:multiLevelType w:val="hybridMultilevel"/>
    <w:tmpl w:val="D2E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64F"/>
    <w:multiLevelType w:val="hybridMultilevel"/>
    <w:tmpl w:val="C0EE0E1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A2B75"/>
    <w:multiLevelType w:val="multilevel"/>
    <w:tmpl w:val="BB8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91ECC"/>
    <w:multiLevelType w:val="hybridMultilevel"/>
    <w:tmpl w:val="606A1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3"/>
  </w:num>
  <w:num w:numId="5">
    <w:abstractNumId w:val="5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18"/>
  </w:num>
  <w:num w:numId="11">
    <w:abstractNumId w:val="12"/>
  </w:num>
  <w:num w:numId="12">
    <w:abstractNumId w:val="18"/>
  </w:num>
  <w:num w:numId="13">
    <w:abstractNumId w:val="20"/>
  </w:num>
  <w:num w:numId="14">
    <w:abstractNumId w:val="2"/>
  </w:num>
  <w:num w:numId="15">
    <w:abstractNumId w:val="21"/>
  </w:num>
  <w:num w:numId="16">
    <w:abstractNumId w:val="7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9"/>
  </w:num>
  <w:num w:numId="22">
    <w:abstractNumId w:val="15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91D45"/>
    <w:rsid w:val="00094770"/>
    <w:rsid w:val="000A1DCA"/>
    <w:rsid w:val="000A647B"/>
    <w:rsid w:val="000B163E"/>
    <w:rsid w:val="000B4BB8"/>
    <w:rsid w:val="000B5DCB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5FD4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21904"/>
    <w:rsid w:val="00235327"/>
    <w:rsid w:val="00242193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77DF2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31BC"/>
    <w:rsid w:val="002D645B"/>
    <w:rsid w:val="002E2407"/>
    <w:rsid w:val="002E3A18"/>
    <w:rsid w:val="002E57CC"/>
    <w:rsid w:val="002F5516"/>
    <w:rsid w:val="003025C0"/>
    <w:rsid w:val="003045C3"/>
    <w:rsid w:val="00306013"/>
    <w:rsid w:val="00323733"/>
    <w:rsid w:val="003318B1"/>
    <w:rsid w:val="00331C9F"/>
    <w:rsid w:val="00332C3C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71FDD"/>
    <w:rsid w:val="00372A2E"/>
    <w:rsid w:val="003759C6"/>
    <w:rsid w:val="00381BF3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66D88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5D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E17"/>
    <w:rsid w:val="004E27D8"/>
    <w:rsid w:val="004E7CE9"/>
    <w:rsid w:val="004F31FF"/>
    <w:rsid w:val="004F3481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C6B4B"/>
    <w:rsid w:val="008D0875"/>
    <w:rsid w:val="008D3773"/>
    <w:rsid w:val="008D452C"/>
    <w:rsid w:val="008D6F52"/>
    <w:rsid w:val="008E48A2"/>
    <w:rsid w:val="008F2ADB"/>
    <w:rsid w:val="008F5848"/>
    <w:rsid w:val="008F7903"/>
    <w:rsid w:val="008F79C2"/>
    <w:rsid w:val="00904EBB"/>
    <w:rsid w:val="00906040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C734B"/>
    <w:rsid w:val="009D172C"/>
    <w:rsid w:val="009D4B26"/>
    <w:rsid w:val="009E1E0A"/>
    <w:rsid w:val="009E3CB3"/>
    <w:rsid w:val="009E5D98"/>
    <w:rsid w:val="009F1C1F"/>
    <w:rsid w:val="009F3520"/>
    <w:rsid w:val="00A105E4"/>
    <w:rsid w:val="00A13A85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978A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318C1"/>
    <w:rsid w:val="00B330F2"/>
    <w:rsid w:val="00B35E4D"/>
    <w:rsid w:val="00B36508"/>
    <w:rsid w:val="00B4371D"/>
    <w:rsid w:val="00B54A9F"/>
    <w:rsid w:val="00B571E7"/>
    <w:rsid w:val="00B61CC2"/>
    <w:rsid w:val="00B655B5"/>
    <w:rsid w:val="00B73EAE"/>
    <w:rsid w:val="00B849BD"/>
    <w:rsid w:val="00B84DF7"/>
    <w:rsid w:val="00B871E0"/>
    <w:rsid w:val="00B91CB0"/>
    <w:rsid w:val="00B91FC0"/>
    <w:rsid w:val="00B97CD0"/>
    <w:rsid w:val="00BA163E"/>
    <w:rsid w:val="00BA1B5F"/>
    <w:rsid w:val="00BA4863"/>
    <w:rsid w:val="00BB6310"/>
    <w:rsid w:val="00BD0002"/>
    <w:rsid w:val="00BD0D6C"/>
    <w:rsid w:val="00BD1673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7292"/>
    <w:rsid w:val="00C554B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B37"/>
    <w:rsid w:val="00CE2C0D"/>
    <w:rsid w:val="00CE3842"/>
    <w:rsid w:val="00CF2B06"/>
    <w:rsid w:val="00CF6A0C"/>
    <w:rsid w:val="00CF7893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1D21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26368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703B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727EEB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73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8D3773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es-ES_tradnl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3773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es-ES_tradnl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C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DDA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AE7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droit.org/spanish/guides/2015contractfarming/cf-guide-2015-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droit.org/work-in-progress/agricultural-land-investm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o.org/cfs/cfs-home/activities/rai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cfs/cfs-home/activities/vggt/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www.fao.org/fsnforum/es/activities/discussions/A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2C533-3816-4257-BEE0-BA22CF4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6819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18</cp:revision>
  <cp:lastPrinted>2015-02-02T14:02:00Z</cp:lastPrinted>
  <dcterms:created xsi:type="dcterms:W3CDTF">2016-05-23T13:32:00Z</dcterms:created>
  <dcterms:modified xsi:type="dcterms:W3CDTF">2019-09-04T11:57:00Z</dcterms:modified>
</cp:coreProperties>
</file>