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A6E76" w14:textId="77777777" w:rsidR="00A349A3" w:rsidRDefault="00A349A3" w:rsidP="00A349A3">
      <w:pPr>
        <w:rPr>
          <w:rFonts w:cs="Arial"/>
          <w:b/>
          <w:bCs/>
          <w:noProof/>
          <w:color w:val="E36C0A" w:themeColor="accent6" w:themeShade="BF"/>
          <w:sz w:val="36"/>
          <w:szCs w:val="36"/>
          <w:lang w:val="en-GB" w:eastAsia="zh-CN"/>
        </w:rPr>
      </w:pPr>
      <w:r w:rsidRPr="00A349A3">
        <w:rPr>
          <w:rFonts w:cs="Arial"/>
          <w:b/>
          <w:bCs/>
          <w:noProof/>
          <w:color w:val="E36C0A" w:themeColor="accent6" w:themeShade="BF"/>
          <w:sz w:val="36"/>
          <w:szCs w:val="36"/>
          <w:lang w:val="en-GB" w:eastAsia="zh-CN"/>
        </w:rPr>
        <w:t>The way forward towards coherent policies for food security and nutrition in Tajikistan</w:t>
      </w:r>
    </w:p>
    <w:p w14:paraId="5114D38C" w14:textId="77777777" w:rsidR="00A349A3" w:rsidRPr="00A349A3" w:rsidRDefault="00A349A3" w:rsidP="00A349A3">
      <w:pPr>
        <w:rPr>
          <w:lang w:val="en-GB" w:eastAsia="zh-CN"/>
        </w:rPr>
      </w:pPr>
    </w:p>
    <w:p w14:paraId="045CFD3F" w14:textId="48DC9389" w:rsidR="00A349A3" w:rsidRPr="00A349A3" w:rsidRDefault="00A349A3" w:rsidP="00A349A3">
      <w:pPr>
        <w:rPr>
          <w:lang w:val="en-GB" w:eastAsia="zh-CN"/>
        </w:rPr>
      </w:pPr>
      <w:r w:rsidRPr="00A349A3">
        <w:rPr>
          <w:lang w:val="en-GB" w:eastAsia="zh-CN"/>
        </w:rPr>
        <w:t>The launch of the Programme for reforming the Agriculture Sector of the Republic of Tajikistan for 2012-2020 has been an important step for addressing Tajikistan’s low agricultural production and productivity. The Government of the Republic of Tajikistan identified one of the Country Framework Programme’s priority areas as “enhancing national food and nutritional security and safety”.</w:t>
      </w:r>
    </w:p>
    <w:p w14:paraId="1149A5F8" w14:textId="77777777" w:rsidR="00A349A3" w:rsidRPr="00A349A3" w:rsidRDefault="00A349A3" w:rsidP="00A349A3">
      <w:pPr>
        <w:rPr>
          <w:lang w:val="en-GB" w:eastAsia="zh-CN"/>
        </w:rPr>
      </w:pPr>
      <w:r w:rsidRPr="00A349A3">
        <w:rPr>
          <w:lang w:val="en-GB" w:eastAsia="zh-CN"/>
        </w:rPr>
        <w:t>The multidimensional nature of food security, nutrition and the diversity of stakeholders involved clearly shows that policies need to be coherent with those of other sectors and converge toward the country’s goals.</w:t>
      </w:r>
    </w:p>
    <w:p w14:paraId="72DC243D" w14:textId="77777777" w:rsidR="00A349A3" w:rsidRPr="00A349A3" w:rsidRDefault="00A349A3" w:rsidP="00A349A3">
      <w:pPr>
        <w:rPr>
          <w:lang w:val="en-GB" w:eastAsia="zh-CN"/>
        </w:rPr>
      </w:pPr>
      <w:r w:rsidRPr="00A349A3">
        <w:rPr>
          <w:lang w:val="en-GB" w:eastAsia="zh-CN"/>
        </w:rPr>
        <w:t>While important progress has been made, several bottlenecks still risk jeopardizing the overall successful implementation of the Programme and the realization of food security and improved nutrition for the entire population.</w:t>
      </w:r>
    </w:p>
    <w:p w14:paraId="4B29ADB5" w14:textId="77777777" w:rsidR="00A349A3" w:rsidRPr="00A349A3" w:rsidRDefault="00A349A3" w:rsidP="00A349A3">
      <w:pPr>
        <w:rPr>
          <w:lang w:val="en-GB" w:eastAsia="zh-CN"/>
        </w:rPr>
      </w:pPr>
      <w:r w:rsidRPr="00A349A3">
        <w:rPr>
          <w:lang w:val="en-GB" w:eastAsia="zh-CN"/>
        </w:rPr>
        <w:t>Initiatives aimed at promoting agricultural commercialisation and diversification can be hampered by market and trade inefficiencies and problems at farm or post-harvest level.</w:t>
      </w:r>
    </w:p>
    <w:p w14:paraId="42A69EAE" w14:textId="77777777" w:rsidR="00A349A3" w:rsidRPr="00A349A3" w:rsidRDefault="00A349A3" w:rsidP="00A349A3">
      <w:pPr>
        <w:rPr>
          <w:lang w:val="en-GB" w:eastAsia="zh-CN"/>
        </w:rPr>
      </w:pPr>
      <w:r w:rsidRPr="00A349A3">
        <w:rPr>
          <w:lang w:val="en-GB" w:eastAsia="zh-CN"/>
        </w:rPr>
        <w:t>Measures, aimed at improving nutritional status such as school food programmes are dependent on funding and the integration of schools with local supply chains.</w:t>
      </w:r>
    </w:p>
    <w:p w14:paraId="77467D7F" w14:textId="77777777" w:rsidR="00A349A3" w:rsidRPr="00A349A3" w:rsidRDefault="00A349A3" w:rsidP="00A349A3">
      <w:pPr>
        <w:rPr>
          <w:lang w:val="en-GB" w:eastAsia="zh-CN"/>
        </w:rPr>
      </w:pPr>
      <w:r w:rsidRPr="00A349A3">
        <w:rPr>
          <w:lang w:val="en-GB" w:eastAsia="zh-CN"/>
        </w:rPr>
        <w:t>With migration being a prominent feature of Tajikistan’s society it is crucial to also leverage both the human and financial capitals it generates to ensure that they contribute to and benefit from rural and agricultural development and household food security.</w:t>
      </w:r>
    </w:p>
    <w:p w14:paraId="2AB6268B" w14:textId="1E9442BB" w:rsidR="00A349A3" w:rsidRPr="00A349A3" w:rsidRDefault="00A349A3" w:rsidP="009B3F05">
      <w:pPr>
        <w:rPr>
          <w:lang w:val="en-GB" w:eastAsia="zh-CN"/>
        </w:rPr>
      </w:pPr>
      <w:r w:rsidRPr="00A349A3">
        <w:rPr>
          <w:lang w:val="en-GB" w:eastAsia="zh-CN"/>
        </w:rPr>
        <w:t xml:space="preserve">In this open online </w:t>
      </w:r>
      <w:r w:rsidR="009B3F05">
        <w:rPr>
          <w:lang w:val="en-GB" w:eastAsia="zh-CN"/>
        </w:rPr>
        <w:t>consultation</w:t>
      </w:r>
      <w:r w:rsidRPr="00A349A3">
        <w:rPr>
          <w:lang w:val="en-GB" w:eastAsia="zh-CN"/>
        </w:rPr>
        <w:t>, we would like to give you a space to share your views on what is most needed to design and implement coherent policies that mutually reinforce each other.</w:t>
      </w:r>
    </w:p>
    <w:p w14:paraId="51503707" w14:textId="77777777" w:rsidR="00A349A3" w:rsidRPr="00A349A3" w:rsidRDefault="00A349A3" w:rsidP="00A349A3">
      <w:pPr>
        <w:rPr>
          <w:lang w:val="en-GB" w:eastAsia="zh-CN"/>
        </w:rPr>
      </w:pPr>
      <w:r w:rsidRPr="00A349A3">
        <w:rPr>
          <w:lang w:val="en-GB" w:eastAsia="zh-CN"/>
        </w:rPr>
        <w:t>To keep the exchange focussed please provide your inputs along the following guiding questions:</w:t>
      </w:r>
    </w:p>
    <w:p w14:paraId="1AF0469C" w14:textId="77777777" w:rsidR="00A349A3" w:rsidRPr="00A349A3" w:rsidRDefault="00A349A3" w:rsidP="00A349A3">
      <w:pPr>
        <w:pStyle w:val="ListParagraph"/>
        <w:numPr>
          <w:ilvl w:val="0"/>
          <w:numId w:val="24"/>
        </w:numPr>
        <w:rPr>
          <w:lang w:val="en-GB" w:eastAsia="zh-CN"/>
        </w:rPr>
      </w:pPr>
      <w:r w:rsidRPr="00A349A3">
        <w:rPr>
          <w:lang w:val="en-GB" w:eastAsia="zh-CN"/>
        </w:rPr>
        <w:t>Which sectors and players need to be involved in the development of coherent food security and nutrition polices and how?</w:t>
      </w:r>
    </w:p>
    <w:p w14:paraId="186087A0" w14:textId="77777777" w:rsidR="00A349A3" w:rsidRPr="00A349A3" w:rsidRDefault="00A349A3" w:rsidP="00A349A3">
      <w:pPr>
        <w:pStyle w:val="ListParagraph"/>
        <w:numPr>
          <w:ilvl w:val="0"/>
          <w:numId w:val="24"/>
        </w:numPr>
        <w:rPr>
          <w:lang w:val="en-GB" w:eastAsia="zh-CN"/>
        </w:rPr>
      </w:pPr>
      <w:r w:rsidRPr="00A349A3">
        <w:rPr>
          <w:lang w:val="en-GB" w:eastAsia="zh-CN"/>
        </w:rPr>
        <w:t>Which analytical and technical capacities are most needed in order to allow national experts to develop and design comprehensive and mutually reinforcing policies?</w:t>
      </w:r>
    </w:p>
    <w:p w14:paraId="08A5689D" w14:textId="77777777" w:rsidR="00A349A3" w:rsidRPr="00A349A3" w:rsidRDefault="00A349A3" w:rsidP="00A349A3">
      <w:pPr>
        <w:pStyle w:val="ListParagraph"/>
        <w:numPr>
          <w:ilvl w:val="0"/>
          <w:numId w:val="24"/>
        </w:numPr>
        <w:rPr>
          <w:lang w:val="en-GB" w:eastAsia="zh-CN"/>
        </w:rPr>
      </w:pPr>
      <w:r w:rsidRPr="00A349A3">
        <w:rPr>
          <w:lang w:val="en-GB" w:eastAsia="zh-CN"/>
        </w:rPr>
        <w:lastRenderedPageBreak/>
        <w:t>What technical support do actors such as farmers, food processors, distributors and government officials need to effective contribute to the development of as sustainable and healthy national food systems?</w:t>
      </w:r>
    </w:p>
    <w:p w14:paraId="583B855F" w14:textId="77777777" w:rsidR="00A349A3" w:rsidRPr="00A349A3" w:rsidRDefault="00A349A3" w:rsidP="00A349A3">
      <w:pPr>
        <w:pStyle w:val="ListParagraph"/>
        <w:numPr>
          <w:ilvl w:val="0"/>
          <w:numId w:val="24"/>
        </w:numPr>
        <w:rPr>
          <w:lang w:val="en-GB" w:eastAsia="zh-CN"/>
        </w:rPr>
      </w:pPr>
      <w:r w:rsidRPr="00A349A3">
        <w:rPr>
          <w:lang w:val="en-GB" w:eastAsia="zh-CN"/>
        </w:rPr>
        <w:t>What, how and where should nutritional components be included in the value chain of agricultural products (nutrition-sensitive agriculture)?</w:t>
      </w:r>
    </w:p>
    <w:p w14:paraId="6EA2BC86" w14:textId="007FF55C" w:rsidR="00A349A3" w:rsidRPr="00A349A3" w:rsidRDefault="00A349A3" w:rsidP="00A349A3">
      <w:pPr>
        <w:rPr>
          <w:lang w:val="en-GB" w:eastAsia="zh-CN"/>
        </w:rPr>
      </w:pPr>
      <w:r w:rsidRPr="00A349A3">
        <w:rPr>
          <w:lang w:val="en-GB" w:eastAsia="zh-CN"/>
        </w:rPr>
        <w:t>Results from this online discussion will contribute to the overall recommendations to the Government of the Republic of Tajikistan and the donors under the FAO project “</w:t>
      </w:r>
      <w:hyperlink r:id="rId8" w:history="1">
        <w:r w:rsidRPr="00A349A3">
          <w:rPr>
            <w:rStyle w:val="Hyperlink"/>
            <w:lang w:val="en-GB" w:eastAsia="zh-CN"/>
          </w:rPr>
          <w:t>Developing Capacity for Strengthening Food Security and Nutrition in Selected Countries of the Caucasus and Central Asia</w:t>
        </w:r>
      </w:hyperlink>
      <w:r w:rsidRPr="00A349A3">
        <w:rPr>
          <w:lang w:val="en-GB" w:eastAsia="zh-CN"/>
        </w:rPr>
        <w:t xml:space="preserve">”, funded by the Russian Federation. </w:t>
      </w:r>
    </w:p>
    <w:p w14:paraId="25F04D86" w14:textId="77777777" w:rsidR="00A349A3" w:rsidRPr="00A349A3" w:rsidRDefault="00A349A3" w:rsidP="00A349A3">
      <w:pPr>
        <w:rPr>
          <w:lang w:val="en-GB" w:eastAsia="zh-CN"/>
        </w:rPr>
      </w:pPr>
      <w:r w:rsidRPr="00A349A3">
        <w:rPr>
          <w:lang w:val="en-GB" w:eastAsia="zh-CN"/>
        </w:rPr>
        <w:t>In addition, this online dialogue will allow you to contribute your knowledge to inform implementation plans and to learn from the experiences of other experts.</w:t>
      </w:r>
    </w:p>
    <w:p w14:paraId="74978188" w14:textId="7A8F9D6C" w:rsidR="001A2FF5" w:rsidRDefault="00A349A3" w:rsidP="00A349A3">
      <w:pPr>
        <w:rPr>
          <w:lang w:val="en-GB" w:eastAsia="zh-CN"/>
        </w:rPr>
      </w:pPr>
      <w:r w:rsidRPr="00A349A3">
        <w:rPr>
          <w:lang w:val="en-GB" w:eastAsia="zh-CN"/>
        </w:rPr>
        <w:t>We look forward to fruitful exchange of views and experience!</w:t>
      </w:r>
    </w:p>
    <w:tbl>
      <w:tblPr>
        <w:tblW w:w="5000" w:type="pct"/>
        <w:shd w:val="clear" w:color="auto" w:fill="FFFFFF" w:themeFill="background1"/>
        <w:tblCellMar>
          <w:left w:w="0" w:type="dxa"/>
          <w:right w:w="0" w:type="dxa"/>
        </w:tblCellMar>
        <w:tblLook w:val="04A0" w:firstRow="1" w:lastRow="0" w:firstColumn="1" w:lastColumn="0" w:noHBand="0" w:noVBand="1"/>
      </w:tblPr>
      <w:tblGrid>
        <w:gridCol w:w="2409"/>
        <w:gridCol w:w="2410"/>
        <w:gridCol w:w="2410"/>
        <w:gridCol w:w="2410"/>
      </w:tblGrid>
      <w:tr w:rsidR="00A349A3" w:rsidRPr="00A349A3" w14:paraId="5867FDCC" w14:textId="77777777" w:rsidTr="00A349A3">
        <w:tc>
          <w:tcPr>
            <w:tcW w:w="1250" w:type="pct"/>
            <w:shd w:val="clear" w:color="auto" w:fill="FFFFFF" w:themeFill="background1"/>
            <w:tcMar>
              <w:top w:w="150" w:type="dxa"/>
              <w:left w:w="150" w:type="dxa"/>
              <w:bottom w:w="150" w:type="dxa"/>
              <w:right w:w="150" w:type="dxa"/>
            </w:tcMar>
            <w:hideMark/>
          </w:tcPr>
          <w:p w14:paraId="2150125B" w14:textId="2A0FD327" w:rsidR="00A349A3" w:rsidRPr="00A349A3" w:rsidRDefault="009B3F05" w:rsidP="009B3F05">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Viorel Gutu</w:t>
            </w:r>
            <w:r w:rsidRPr="00A349A3">
              <w:rPr>
                <w:rFonts w:asciiTheme="majorHAnsi" w:hAnsiTheme="majorHAnsi" w:cs="Arial"/>
                <w:b/>
                <w:bCs/>
                <w:color w:val="000000" w:themeColor="text1"/>
                <w:sz w:val="20"/>
                <w:szCs w:val="20"/>
                <w:bdr w:val="none" w:sz="0" w:space="0" w:color="auto" w:frame="1"/>
                <w:lang w:val="en-GB" w:eastAsia="zh-CN"/>
              </w:rPr>
              <w:t xml:space="preserve"> </w:t>
            </w:r>
          </w:p>
        </w:tc>
        <w:tc>
          <w:tcPr>
            <w:tcW w:w="1250" w:type="pct"/>
            <w:shd w:val="clear" w:color="auto" w:fill="FFFFFF" w:themeFill="background1"/>
            <w:tcMar>
              <w:top w:w="150" w:type="dxa"/>
              <w:left w:w="150" w:type="dxa"/>
              <w:bottom w:w="150" w:type="dxa"/>
              <w:right w:w="150" w:type="dxa"/>
            </w:tcMar>
            <w:hideMark/>
          </w:tcPr>
          <w:p w14:paraId="17DCE93B" w14:textId="77777777" w:rsidR="00A349A3" w:rsidRPr="00A349A3" w:rsidRDefault="00A349A3" w:rsidP="00A349A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Sajamol</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Saidzoda</w:t>
            </w:r>
            <w:proofErr w:type="spellEnd"/>
          </w:p>
        </w:tc>
        <w:tc>
          <w:tcPr>
            <w:tcW w:w="1250" w:type="pct"/>
            <w:shd w:val="clear" w:color="auto" w:fill="FFFFFF" w:themeFill="background1"/>
            <w:tcMar>
              <w:top w:w="150" w:type="dxa"/>
              <w:left w:w="150" w:type="dxa"/>
              <w:bottom w:w="150" w:type="dxa"/>
              <w:right w:w="150" w:type="dxa"/>
            </w:tcMar>
            <w:hideMark/>
          </w:tcPr>
          <w:p w14:paraId="10EC2A71" w14:textId="77777777" w:rsidR="00A349A3" w:rsidRPr="00A349A3" w:rsidRDefault="00A349A3" w:rsidP="00A349A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w:t>
            </w:r>
            <w:proofErr w:type="spellStart"/>
            <w:r w:rsidRPr="00A349A3">
              <w:rPr>
                <w:rFonts w:asciiTheme="majorHAnsi" w:hAnsiTheme="majorHAnsi" w:cs="Arial"/>
                <w:b/>
                <w:bCs/>
                <w:color w:val="000000" w:themeColor="text1"/>
                <w:sz w:val="20"/>
                <w:szCs w:val="20"/>
                <w:bdr w:val="none" w:sz="0" w:space="0" w:color="auto" w:frame="1"/>
                <w:lang w:val="en-GB" w:eastAsia="zh-CN"/>
              </w:rPr>
              <w:t>Rahmatulloev</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Sherali</w:t>
            </w:r>
            <w:proofErr w:type="spellEnd"/>
          </w:p>
        </w:tc>
        <w:tc>
          <w:tcPr>
            <w:tcW w:w="1250" w:type="pct"/>
            <w:shd w:val="clear" w:color="auto" w:fill="FFFFFF" w:themeFill="background1"/>
            <w:tcMar>
              <w:top w:w="150" w:type="dxa"/>
              <w:left w:w="150" w:type="dxa"/>
              <w:bottom w:w="150" w:type="dxa"/>
              <w:right w:w="150" w:type="dxa"/>
            </w:tcMar>
            <w:hideMark/>
          </w:tcPr>
          <w:p w14:paraId="4F24F8C2" w14:textId="7DED2017" w:rsidR="00A349A3" w:rsidRPr="00A349A3" w:rsidRDefault="009B3F05" w:rsidP="00A349A3">
            <w:pPr>
              <w:spacing w:after="0"/>
              <w:jc w:val="left"/>
              <w:rPr>
                <w:rFonts w:asciiTheme="majorHAnsi" w:hAnsiTheme="majorHAnsi" w:cs="Arial"/>
                <w:color w:val="000000" w:themeColor="text1"/>
                <w:sz w:val="20"/>
                <w:szCs w:val="20"/>
                <w:lang w:val="en-GB" w:eastAsia="zh-CN"/>
              </w:rPr>
            </w:pPr>
            <w:proofErr w:type="spellStart"/>
            <w:r w:rsidRPr="00A349A3">
              <w:rPr>
                <w:rFonts w:asciiTheme="majorHAnsi" w:hAnsiTheme="majorHAnsi" w:cs="Arial"/>
                <w:b/>
                <w:bCs/>
                <w:color w:val="000000" w:themeColor="text1"/>
                <w:sz w:val="20"/>
                <w:szCs w:val="20"/>
                <w:bdr w:val="none" w:sz="0" w:space="0" w:color="auto" w:frame="1"/>
                <w:lang w:val="en-GB" w:eastAsia="zh-CN"/>
              </w:rPr>
              <w:t>Dr.</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w:t>
            </w:r>
            <w:proofErr w:type="spellStart"/>
            <w:r w:rsidRPr="00A349A3">
              <w:rPr>
                <w:rFonts w:asciiTheme="majorHAnsi" w:hAnsiTheme="majorHAnsi" w:cs="Arial"/>
                <w:b/>
                <w:bCs/>
                <w:color w:val="000000" w:themeColor="text1"/>
                <w:sz w:val="20"/>
                <w:szCs w:val="20"/>
                <w:bdr w:val="none" w:sz="0" w:space="0" w:color="auto" w:frame="1"/>
                <w:lang w:val="en-GB" w:eastAsia="zh-CN"/>
              </w:rPr>
              <w:t>Mavzuna</w:t>
            </w:r>
            <w:proofErr w:type="spellEnd"/>
            <w:r w:rsidRPr="00A349A3">
              <w:rPr>
                <w:rFonts w:asciiTheme="majorHAnsi" w:hAnsiTheme="majorHAnsi" w:cs="Arial"/>
                <w:b/>
                <w:bCs/>
                <w:color w:val="000000" w:themeColor="text1"/>
                <w:sz w:val="20"/>
                <w:szCs w:val="20"/>
                <w:bdr w:val="none" w:sz="0" w:space="0" w:color="auto" w:frame="1"/>
                <w:lang w:val="en-GB" w:eastAsia="zh-CN"/>
              </w:rPr>
              <w:t xml:space="preserve"> Karim</w:t>
            </w:r>
            <w:r>
              <w:rPr>
                <w:rFonts w:asciiTheme="majorHAnsi" w:hAnsiTheme="majorHAnsi" w:cs="Arial"/>
                <w:b/>
                <w:bCs/>
                <w:color w:val="000000" w:themeColor="text1"/>
                <w:sz w:val="20"/>
                <w:szCs w:val="20"/>
                <w:bdr w:val="none" w:sz="0" w:space="0" w:color="auto" w:frame="1"/>
                <w:lang w:val="en-GB" w:eastAsia="zh-CN"/>
              </w:rPr>
              <w:t>ova</w:t>
            </w:r>
          </w:p>
        </w:tc>
      </w:tr>
      <w:tr w:rsidR="00A349A3" w:rsidRPr="00A349A3" w14:paraId="7E20B321" w14:textId="77777777" w:rsidTr="00A349A3">
        <w:trPr>
          <w:trHeight w:val="674"/>
        </w:trPr>
        <w:tc>
          <w:tcPr>
            <w:tcW w:w="0" w:type="auto"/>
            <w:shd w:val="clear" w:color="auto" w:fill="FFFFFF" w:themeFill="background1"/>
            <w:tcMar>
              <w:top w:w="150" w:type="dxa"/>
              <w:left w:w="150" w:type="dxa"/>
              <w:bottom w:w="150" w:type="dxa"/>
              <w:right w:w="150" w:type="dxa"/>
            </w:tcMar>
            <w:hideMark/>
          </w:tcPr>
          <w:p w14:paraId="2880545A" w14:textId="5CB3CA9D" w:rsidR="009B3F05" w:rsidRPr="00A349A3" w:rsidRDefault="009B3F05" w:rsidP="00A349A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Sub-Regional Coordinator for Central Asia and</w:t>
            </w:r>
            <w:r w:rsidRPr="00A349A3">
              <w:rPr>
                <w:rFonts w:asciiTheme="majorHAnsi" w:hAnsiTheme="majorHAnsi" w:cs="Arial"/>
                <w:color w:val="000000" w:themeColor="text1"/>
                <w:sz w:val="20"/>
                <w:szCs w:val="20"/>
                <w:lang w:val="en-GB" w:eastAsia="zh-CN"/>
              </w:rPr>
              <w:br/>
              <w:t>FAO Representative in Turkey, Food and Agriculture Organization of the United Nations (FAO), Turkey</w:t>
            </w:r>
          </w:p>
        </w:tc>
        <w:tc>
          <w:tcPr>
            <w:tcW w:w="0" w:type="auto"/>
            <w:shd w:val="clear" w:color="auto" w:fill="FFFFFF" w:themeFill="background1"/>
            <w:tcMar>
              <w:top w:w="150" w:type="dxa"/>
              <w:left w:w="150" w:type="dxa"/>
              <w:bottom w:w="150" w:type="dxa"/>
              <w:right w:w="150" w:type="dxa"/>
            </w:tcMar>
            <w:hideMark/>
          </w:tcPr>
          <w:p w14:paraId="5E30C0FB" w14:textId="77777777" w:rsidR="00A349A3" w:rsidRPr="00A349A3" w:rsidRDefault="00A349A3" w:rsidP="00A349A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Vice-President, Tajik Academy of Agricultural Sciences</w:t>
            </w:r>
          </w:p>
        </w:tc>
        <w:tc>
          <w:tcPr>
            <w:tcW w:w="0" w:type="auto"/>
            <w:shd w:val="clear" w:color="auto" w:fill="FFFFFF" w:themeFill="background1"/>
            <w:tcMar>
              <w:top w:w="150" w:type="dxa"/>
              <w:left w:w="150" w:type="dxa"/>
              <w:bottom w:w="150" w:type="dxa"/>
              <w:right w:w="150" w:type="dxa"/>
            </w:tcMar>
            <w:hideMark/>
          </w:tcPr>
          <w:p w14:paraId="0F68578B" w14:textId="77777777" w:rsidR="00A349A3" w:rsidRPr="00A349A3" w:rsidRDefault="00A349A3" w:rsidP="00A349A3">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Sectoral Chief Specialist on childhood diseases/Coordinator for nutrition, Ministry of health and social protection of population of the Republic of the Tajikistan</w:t>
            </w:r>
          </w:p>
        </w:tc>
        <w:tc>
          <w:tcPr>
            <w:tcW w:w="0" w:type="auto"/>
            <w:shd w:val="clear" w:color="auto" w:fill="FFFFFF" w:themeFill="background1"/>
            <w:tcMar>
              <w:top w:w="150" w:type="dxa"/>
              <w:left w:w="150" w:type="dxa"/>
              <w:bottom w:w="150" w:type="dxa"/>
              <w:right w:w="150" w:type="dxa"/>
            </w:tcMar>
            <w:hideMark/>
          </w:tcPr>
          <w:p w14:paraId="436D96FD" w14:textId="77777777" w:rsidR="009B3F05" w:rsidRDefault="009B3F05" w:rsidP="009B3F05">
            <w:pPr>
              <w:spacing w:after="0"/>
              <w:jc w:val="left"/>
              <w:rPr>
                <w:rFonts w:asciiTheme="majorHAnsi" w:hAnsiTheme="majorHAnsi" w:cs="Arial"/>
                <w:color w:val="000000" w:themeColor="text1"/>
                <w:sz w:val="20"/>
                <w:szCs w:val="20"/>
                <w:lang w:val="en-GB" w:eastAsia="zh-CN"/>
              </w:rPr>
            </w:pPr>
            <w:r w:rsidRPr="00A349A3">
              <w:rPr>
                <w:rFonts w:asciiTheme="majorHAnsi" w:hAnsiTheme="majorHAnsi" w:cs="Arial"/>
                <w:color w:val="000000" w:themeColor="text1"/>
                <w:sz w:val="20"/>
                <w:szCs w:val="20"/>
                <w:lang w:val="en-GB" w:eastAsia="zh-CN"/>
              </w:rPr>
              <w:t>Head of the Department of Foreign Economic Relations and Integration Processes, Institute of Economics and Demography of the Academy of Sciences of Tajikistan</w:t>
            </w:r>
          </w:p>
          <w:p w14:paraId="30F33ABA" w14:textId="0C6CC27B" w:rsidR="00A349A3" w:rsidRPr="00A349A3" w:rsidRDefault="00A349A3" w:rsidP="00A349A3">
            <w:pPr>
              <w:spacing w:after="0"/>
              <w:jc w:val="left"/>
              <w:rPr>
                <w:rFonts w:asciiTheme="majorHAnsi" w:hAnsiTheme="majorHAnsi" w:cs="Arial"/>
                <w:color w:val="000000" w:themeColor="text1"/>
                <w:sz w:val="20"/>
                <w:szCs w:val="20"/>
                <w:lang w:val="en-GB" w:eastAsia="zh-CN"/>
              </w:rPr>
            </w:pPr>
          </w:p>
        </w:tc>
      </w:tr>
    </w:tbl>
    <w:p w14:paraId="492080F7" w14:textId="0F8ED617" w:rsidR="00A349A3" w:rsidRDefault="00A349A3" w:rsidP="00A349A3">
      <w:pPr>
        <w:pBdr>
          <w:bottom w:val="single" w:sz="6" w:space="1" w:color="auto"/>
        </w:pBdr>
        <w:rPr>
          <w:lang w:val="en-GB" w:eastAsia="zh-CN"/>
        </w:rPr>
      </w:pPr>
    </w:p>
    <w:p w14:paraId="53C12DB1" w14:textId="0D6CCC00" w:rsidR="00A349A3" w:rsidRPr="00A349A3" w:rsidRDefault="00A349A3" w:rsidP="00A349A3">
      <w:pPr>
        <w:rPr>
          <w:lang w:val="en-GB" w:eastAsia="zh-CN"/>
        </w:rPr>
      </w:pPr>
      <w:r w:rsidRPr="00A349A3">
        <w:rPr>
          <w:lang w:val="en-GB" w:eastAsia="zh-CN"/>
        </w:rPr>
        <w:t>This consultation is supported by the Project "</w:t>
      </w:r>
      <w:hyperlink r:id="rId9" w:history="1">
        <w:r w:rsidRPr="00A349A3">
          <w:rPr>
            <w:rStyle w:val="Hyperlink"/>
            <w:lang w:val="en-GB" w:eastAsia="zh-CN"/>
          </w:rPr>
          <w:t>Developing capacity for strengthening food security and nutrition in selected countries in the Caucasus and Central Asia</w:t>
        </w:r>
      </w:hyperlink>
      <w:r w:rsidRPr="00A349A3">
        <w:rPr>
          <w:lang w:val="en-GB" w:eastAsia="zh-CN"/>
        </w:rPr>
        <w:t>” funded by the Russian Federation.</w:t>
      </w:r>
    </w:p>
    <w:sectPr w:rsidR="00A349A3" w:rsidRPr="00A349A3" w:rsidSect="008F2ADB">
      <w:headerReference w:type="even" r:id="rId10"/>
      <w:headerReference w:type="default" r:id="rId11"/>
      <w:footerReference w:type="even"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9023C" w14:textId="77777777" w:rsidR="00E4362F" w:rsidRDefault="00E4362F" w:rsidP="00D079C6">
      <w:pPr>
        <w:spacing w:after="0"/>
      </w:pPr>
      <w:r>
        <w:separator/>
      </w:r>
    </w:p>
    <w:p w14:paraId="61478652" w14:textId="77777777" w:rsidR="00E4362F" w:rsidRDefault="00E4362F"/>
  </w:endnote>
  <w:endnote w:type="continuationSeparator" w:id="0">
    <w:p w14:paraId="599FC75D" w14:textId="77777777" w:rsidR="00E4362F" w:rsidRDefault="00E4362F" w:rsidP="00D079C6">
      <w:pPr>
        <w:spacing w:after="0"/>
      </w:pPr>
      <w:r>
        <w:continuationSeparator/>
      </w:r>
    </w:p>
    <w:p w14:paraId="61B01D2A" w14:textId="77777777" w:rsidR="00E4362F" w:rsidRDefault="00E43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F030" w14:textId="77777777" w:rsidR="002F7593" w:rsidRDefault="002F7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311D58FB" w14:textId="77777777" w:rsidTr="001204AE">
      <w:tc>
        <w:tcPr>
          <w:tcW w:w="9639" w:type="dxa"/>
        </w:tcPr>
        <w:p w14:paraId="47736603" w14:textId="77777777" w:rsidR="008273D8" w:rsidRPr="00351B73" w:rsidRDefault="008273D8" w:rsidP="008273D8">
          <w:pPr>
            <w:pStyle w:val="Footer"/>
            <w:jc w:val="center"/>
            <w:rPr>
              <w:b/>
              <w:color w:val="C00000"/>
            </w:rPr>
          </w:pPr>
        </w:p>
      </w:tc>
    </w:tr>
  </w:tbl>
  <w:p w14:paraId="4DEB717F" w14:textId="77777777" w:rsidR="008273D8" w:rsidRDefault="008273D8" w:rsidP="008273D8">
    <w:pPr>
      <w:pStyle w:val="Footer"/>
      <w:jc w:val="center"/>
      <w:rPr>
        <w:b/>
        <w:color w:val="C00000"/>
      </w:rPr>
    </w:pPr>
  </w:p>
  <w:p w14:paraId="33D9031D" w14:textId="7C2A8AC0" w:rsidR="008273D8" w:rsidRPr="0096746F" w:rsidRDefault="005C1CFC" w:rsidP="002F7593">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Pr="0096746F">
      <w:rPr>
        <w:color w:val="31849B" w:themeColor="accent5" w:themeShade="BF"/>
      </w:rPr>
      <w:tab/>
    </w:r>
    <w:bookmarkStart w:id="0" w:name="_GoBack"/>
    <w:bookmarkEnd w:id="0"/>
    <w:r w:rsidR="002F7593">
      <w:rPr>
        <w:rStyle w:val="Hyperlink"/>
      </w:rPr>
      <w:fldChar w:fldCharType="begin"/>
    </w:r>
    <w:r w:rsidR="002F7593">
      <w:rPr>
        <w:rStyle w:val="Hyperlink"/>
      </w:rPr>
      <w:instrText xml:space="preserve"> HYPERLINK "http://www.fao.org/fsnforum/eca" </w:instrText>
    </w:r>
    <w:r w:rsidR="002F7593">
      <w:rPr>
        <w:rStyle w:val="Hyperlink"/>
      </w:rPr>
      <w:fldChar w:fldCharType="separate"/>
    </w:r>
    <w:r w:rsidR="001B1E68" w:rsidRPr="00F75535">
      <w:rPr>
        <w:rStyle w:val="Hyperlink"/>
      </w:rPr>
      <w:t>www.fao.org/fsnforum/eca</w:t>
    </w:r>
    <w:r w:rsidR="002F7593">
      <w:rPr>
        <w:rStyle w:val="Hyperlink"/>
      </w:rPr>
      <w:fldChar w:fldCharType="end"/>
    </w:r>
    <w:r w:rsidRPr="0096746F">
      <w:rPr>
        <w:b/>
        <w:color w:val="31849B" w:themeColor="accent5" w:themeShade="BF"/>
      </w:rPr>
      <w:tab/>
    </w:r>
    <w:r w:rsidRPr="0096746F">
      <w:rPr>
        <w:b/>
        <w:color w:val="C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Borders>
        <w:bottom w:val="single" w:sz="12" w:space="0" w:color="31849B"/>
      </w:tblBorders>
      <w:tblLook w:val="04A0" w:firstRow="1" w:lastRow="0" w:firstColumn="1" w:lastColumn="0" w:noHBand="0" w:noVBand="1"/>
    </w:tblPr>
    <w:tblGrid>
      <w:gridCol w:w="9639"/>
    </w:tblGrid>
    <w:tr w:rsidR="008273D8" w14:paraId="0D3B50EE" w14:textId="77777777" w:rsidTr="001204AE">
      <w:tc>
        <w:tcPr>
          <w:tcW w:w="9639" w:type="dxa"/>
        </w:tcPr>
        <w:p w14:paraId="6634A8C4" w14:textId="77777777" w:rsidR="008273D8" w:rsidRPr="00351B73" w:rsidRDefault="008273D8" w:rsidP="000929E7">
          <w:pPr>
            <w:pStyle w:val="Footer"/>
            <w:jc w:val="center"/>
            <w:rPr>
              <w:b/>
              <w:color w:val="C00000"/>
            </w:rPr>
          </w:pPr>
        </w:p>
      </w:tc>
    </w:tr>
  </w:tbl>
  <w:p w14:paraId="379C7940" w14:textId="77777777" w:rsidR="008273D8" w:rsidRDefault="008273D8" w:rsidP="008F2ADB">
    <w:pPr>
      <w:pStyle w:val="Footer"/>
      <w:jc w:val="center"/>
      <w:rPr>
        <w:b/>
        <w:color w:val="C00000"/>
      </w:rPr>
    </w:pPr>
  </w:p>
  <w:p w14:paraId="59223CEE" w14:textId="423E7E75" w:rsidR="008273D8" w:rsidRPr="0096746F" w:rsidRDefault="005C1CFC" w:rsidP="00C659D0">
    <w:pPr>
      <w:pStyle w:val="Footer"/>
      <w:tabs>
        <w:tab w:val="clear" w:pos="4680"/>
        <w:tab w:val="clear" w:pos="9360"/>
        <w:tab w:val="center" w:pos="9498"/>
        <w:tab w:val="right" w:pos="9639"/>
      </w:tabs>
      <w:jc w:val="left"/>
      <w:rPr>
        <w:b/>
        <w:color w:val="31849B" w:themeColor="accent5" w:themeShade="BF"/>
        <w:u w:val="single"/>
      </w:rPr>
    </w:pPr>
    <w:r w:rsidRPr="0096746F">
      <w:rPr>
        <w:color w:val="5F433C"/>
      </w:rPr>
      <w:t>FSN Forum in Europe and Central Asia</w:t>
    </w:r>
    <w:r w:rsidR="00C659D0">
      <w:rPr>
        <w:color w:val="31849B" w:themeColor="accent5" w:themeShade="BF"/>
      </w:rPr>
      <w:t xml:space="preserve">     </w:t>
    </w:r>
    <w:r w:rsidR="00C659D0">
      <w:rPr>
        <w:color w:val="31849B" w:themeColor="accent5" w:themeShade="BF"/>
      </w:rPr>
      <w:tab/>
    </w:r>
    <w:hyperlink r:id="rId1" w:history="1">
      <w:r w:rsidR="001B4F7C" w:rsidRPr="0096746F">
        <w:rPr>
          <w:rStyle w:val="Hyperlink"/>
        </w:rPr>
        <w:t>www.fao.org/fsnforum/eca</w:t>
      </w:r>
    </w:hyperlink>
    <w:r w:rsidR="008273D8" w:rsidRPr="0096746F">
      <w:rPr>
        <w:b/>
        <w:color w:val="31849B" w:themeColor="accent5" w:themeShade="BF"/>
      </w:rPr>
      <w:tab/>
    </w:r>
    <w:r w:rsidR="008273D8" w:rsidRPr="0096746F">
      <w:rPr>
        <w:b/>
        <w:color w:val="C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B6DD9" w14:textId="77777777" w:rsidR="00E4362F" w:rsidRDefault="00E4362F" w:rsidP="00D079C6">
      <w:pPr>
        <w:spacing w:after="0"/>
      </w:pPr>
      <w:r>
        <w:separator/>
      </w:r>
    </w:p>
    <w:p w14:paraId="3E020DED" w14:textId="77777777" w:rsidR="00E4362F" w:rsidRDefault="00E4362F"/>
  </w:footnote>
  <w:footnote w:type="continuationSeparator" w:id="0">
    <w:p w14:paraId="0E3ED873" w14:textId="77777777" w:rsidR="00E4362F" w:rsidRDefault="00E4362F" w:rsidP="00D079C6">
      <w:pPr>
        <w:spacing w:after="0"/>
      </w:pPr>
      <w:r>
        <w:continuationSeparator/>
      </w:r>
    </w:p>
    <w:p w14:paraId="1C027E55" w14:textId="77777777" w:rsidR="00E4362F" w:rsidRDefault="00E436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A479" w14:textId="77777777" w:rsidR="002F7593" w:rsidRDefault="002F7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8273D8" w:rsidRPr="00B54A9F" w14:paraId="7DBC5ECB" w14:textId="77777777" w:rsidTr="00220FC1">
      <w:tc>
        <w:tcPr>
          <w:tcW w:w="249" w:type="pct"/>
        </w:tcPr>
        <w:p w14:paraId="02C8A6C8" w14:textId="77777777" w:rsidR="008273D8" w:rsidRPr="00B01341" w:rsidRDefault="008273D8">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F7593">
            <w:rPr>
              <w:noProof/>
              <w:color w:val="31849B"/>
              <w:sz w:val="20"/>
              <w:szCs w:val="20"/>
            </w:rPr>
            <w:t>2</w:t>
          </w:r>
          <w:r w:rsidRPr="00B01341">
            <w:rPr>
              <w:color w:val="31849B"/>
              <w:sz w:val="20"/>
              <w:szCs w:val="20"/>
            </w:rPr>
            <w:fldChar w:fldCharType="end"/>
          </w:r>
        </w:p>
      </w:tc>
      <w:tc>
        <w:tcPr>
          <w:tcW w:w="4751" w:type="pct"/>
        </w:tcPr>
        <w:p w14:paraId="66B30B10" w14:textId="58C412F5" w:rsidR="008273D8" w:rsidRPr="008F2ADB" w:rsidRDefault="0005528C" w:rsidP="007432B4">
          <w:pPr>
            <w:pStyle w:val="top"/>
          </w:pPr>
          <w:r w:rsidRPr="0005528C">
            <w:t>The way forward towards coherent policies for food security and nutrition in Tajikistan</w:t>
          </w:r>
        </w:p>
      </w:tc>
    </w:tr>
  </w:tbl>
  <w:p w14:paraId="59EDF489" w14:textId="77777777" w:rsidR="008273D8" w:rsidRPr="00B54A9F" w:rsidRDefault="008273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740"/>
      <w:gridCol w:w="4893"/>
      <w:gridCol w:w="6"/>
    </w:tblGrid>
    <w:tr w:rsidR="008273D8" w14:paraId="1B5AD23A" w14:textId="77777777" w:rsidTr="00AD5BAF">
      <w:tc>
        <w:tcPr>
          <w:tcW w:w="4740" w:type="dxa"/>
          <w:tcBorders>
            <w:top w:val="nil"/>
            <w:left w:val="nil"/>
            <w:bottom w:val="single" w:sz="4" w:space="0" w:color="31849B" w:themeColor="accent5" w:themeShade="BF"/>
            <w:right w:val="nil"/>
          </w:tcBorders>
        </w:tcPr>
        <w:p w14:paraId="17C33B2B" w14:textId="2B02A71E" w:rsidR="008273D8" w:rsidRDefault="008273D8" w:rsidP="00D40F2F">
          <w:pPr>
            <w:pStyle w:val="Header"/>
            <w:tabs>
              <w:tab w:val="clear" w:pos="4680"/>
              <w:tab w:val="clear" w:pos="9360"/>
              <w:tab w:val="right" w:pos="9923"/>
            </w:tabs>
            <w:jc w:val="left"/>
            <w:rPr>
              <w:b/>
              <w:color w:val="FFFFFF"/>
            </w:rPr>
          </w:pPr>
          <w:r>
            <w:rPr>
              <w:noProof/>
              <w:lang w:val="en-GB" w:eastAsia="zh-CN"/>
            </w:rPr>
            <w:drawing>
              <wp:inline distT="0" distB="0" distL="0" distR="0" wp14:anchorId="1FD1FCD9" wp14:editId="55DDC73B">
                <wp:extent cx="2526418" cy="71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Black_3lines_en.jpg"/>
                        <pic:cNvPicPr/>
                      </pic:nvPicPr>
                      <pic:blipFill rotWithShape="1">
                        <a:blip r:embed="rId1">
                          <a:extLst>
                            <a:ext uri="{28A0092B-C50C-407E-A947-70E740481C1C}">
                              <a14:useLocalDpi xmlns:a14="http://schemas.microsoft.com/office/drawing/2010/main" val="0"/>
                            </a:ext>
                          </a:extLst>
                        </a:blip>
                        <a:srcRect l="7646" t="18947" r="8657" b="22098"/>
                        <a:stretch/>
                      </pic:blipFill>
                      <pic:spPr bwMode="auto">
                        <a:xfrm>
                          <a:off x="0" y="0"/>
                          <a:ext cx="2526418" cy="718625"/>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4899" w:type="dxa"/>
          <w:gridSpan w:val="2"/>
          <w:tcBorders>
            <w:top w:val="nil"/>
            <w:left w:val="nil"/>
            <w:bottom w:val="single" w:sz="4" w:space="0" w:color="31849B" w:themeColor="accent5" w:themeShade="BF"/>
            <w:right w:val="nil"/>
          </w:tcBorders>
        </w:tcPr>
        <w:p w14:paraId="37C1A81A" w14:textId="0EFD80A7" w:rsidR="008273D8" w:rsidRDefault="001B4F7C" w:rsidP="00D40F2F">
          <w:pPr>
            <w:pStyle w:val="Header"/>
            <w:tabs>
              <w:tab w:val="clear" w:pos="4680"/>
              <w:tab w:val="clear" w:pos="9360"/>
              <w:tab w:val="right" w:pos="9923"/>
            </w:tabs>
            <w:ind w:right="-142"/>
            <w:jc w:val="right"/>
            <w:rPr>
              <w:b/>
              <w:color w:val="FFFFFF"/>
            </w:rPr>
          </w:pPr>
          <w:r>
            <w:rPr>
              <w:b/>
              <w:noProof/>
              <w:color w:val="FFFFFF"/>
              <w:lang w:val="en-GB" w:eastAsia="zh-CN"/>
            </w:rPr>
            <w:drawing>
              <wp:inline distT="0" distB="0" distL="0" distR="0" wp14:anchorId="2E3D50A0" wp14:editId="014AC852">
                <wp:extent cx="2609260" cy="1188000"/>
                <wp:effectExtent l="0" t="0" r="6985" b="6350"/>
                <wp:docPr id="6" name="Picture 6" descr="img/ECA-map-no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ECA-map-noborde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260" cy="1188000"/>
                        </a:xfrm>
                        <a:prstGeom prst="rect">
                          <a:avLst/>
                        </a:prstGeom>
                        <a:noFill/>
                        <a:ln>
                          <a:noFill/>
                        </a:ln>
                      </pic:spPr>
                    </pic:pic>
                  </a:graphicData>
                </a:graphic>
              </wp:inline>
            </w:drawing>
          </w:r>
        </w:p>
      </w:tc>
    </w:tr>
    <w:tr w:rsidR="008273D8" w14:paraId="468B7BB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227" w:type="dxa"/>
          <w:bottom w:w="198" w:type="dxa"/>
        </w:tblCellMar>
      </w:tblPrEx>
      <w:trPr>
        <w:gridAfter w:val="1"/>
        <w:wAfter w:w="6" w:type="dxa"/>
      </w:trPr>
      <w:tc>
        <w:tcPr>
          <w:tcW w:w="9633" w:type="dxa"/>
          <w:gridSpan w:val="2"/>
          <w:tcBorders>
            <w:bottom w:val="single" w:sz="4" w:space="0" w:color="31849B" w:themeColor="accent5" w:themeShade="BF"/>
          </w:tcBorders>
        </w:tcPr>
        <w:p w14:paraId="3929523D" w14:textId="05CA31F4" w:rsidR="008273D8" w:rsidRDefault="00AD5BAF" w:rsidP="00AD5BAF">
          <w:pPr>
            <w:pStyle w:val="Header"/>
            <w:tabs>
              <w:tab w:val="clear" w:pos="9360"/>
              <w:tab w:val="right" w:pos="9673"/>
            </w:tabs>
            <w:ind w:left="-72"/>
            <w:jc w:val="center"/>
          </w:pPr>
          <w:r>
            <w:rPr>
              <w:noProof/>
              <w:lang w:val="en-GB" w:eastAsia="zh-CN"/>
            </w:rPr>
            <w:drawing>
              <wp:inline distT="0" distB="0" distL="0" distR="0" wp14:anchorId="38EB0F05" wp14:editId="42AF9C1C">
                <wp:extent cx="6040478" cy="4267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3"/>
                        <a:stretch>
                          <a:fillRect/>
                        </a:stretch>
                      </pic:blipFill>
                      <pic:spPr>
                        <a:xfrm>
                          <a:off x="0" y="0"/>
                          <a:ext cx="6044739" cy="427064"/>
                        </a:xfrm>
                        <a:prstGeom prst="rect">
                          <a:avLst/>
                        </a:prstGeom>
                      </pic:spPr>
                    </pic:pic>
                  </a:graphicData>
                </a:graphic>
              </wp:inline>
            </w:drawing>
          </w:r>
        </w:p>
        <w:p w14:paraId="0144C6CE" w14:textId="48823ECF" w:rsidR="008273D8" w:rsidRDefault="00F45FD4" w:rsidP="008273D8">
          <w:pPr>
            <w:pStyle w:val="Header"/>
            <w:tabs>
              <w:tab w:val="clear" w:pos="9360"/>
              <w:tab w:val="right" w:pos="9673"/>
            </w:tabs>
            <w:jc w:val="center"/>
          </w:pPr>
          <w:r>
            <w:rPr>
              <w:noProof/>
              <w:lang w:val="en-GB" w:eastAsia="zh-CN"/>
            </w:rPr>
            <w:drawing>
              <wp:inline distT="0" distB="0" distL="0" distR="0" wp14:anchorId="47B05D78" wp14:editId="53FEAF5E">
                <wp:extent cx="2524200" cy="252000"/>
                <wp:effectExtent l="0" t="0" r="0" b="2540"/>
                <wp:docPr id="3" name="Picture 3" descr="ESA:FSN Forum:Regional Forums:ECA:TEMPLATE:DOC template:img:title_ECA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Regional Forums:ECA:TEMPLATE:DOC template:img:title_ECA_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200" cy="252000"/>
                        </a:xfrm>
                        <a:prstGeom prst="rect">
                          <a:avLst/>
                        </a:prstGeom>
                        <a:noFill/>
                        <a:ln>
                          <a:noFill/>
                        </a:ln>
                      </pic:spPr>
                    </pic:pic>
                  </a:graphicData>
                </a:graphic>
              </wp:inline>
            </w:drawing>
          </w:r>
        </w:p>
      </w:tc>
    </w:tr>
    <w:tr w:rsidR="008273D8" w:rsidRPr="00EB3574" w14:paraId="5D41B0EE"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0484952A" w14:textId="77777777" w:rsidR="008273D8" w:rsidRPr="000929E7" w:rsidRDefault="008273D8" w:rsidP="008273D8">
          <w:pPr>
            <w:pStyle w:val="Header"/>
            <w:tabs>
              <w:tab w:val="clear" w:pos="9360"/>
              <w:tab w:val="right" w:pos="9390"/>
            </w:tabs>
            <w:spacing w:before="40" w:after="40" w:line="276" w:lineRule="auto"/>
            <w:jc w:val="center"/>
            <w:rPr>
              <w:b/>
              <w:noProof/>
              <w:color w:val="000000" w:themeColor="text1"/>
              <w:sz w:val="28"/>
              <w:szCs w:val="28"/>
            </w:rPr>
          </w:pPr>
          <w:r w:rsidRPr="000929E7">
            <w:rPr>
              <w:b/>
              <w:noProof/>
              <w:color w:val="000000" w:themeColor="text1"/>
              <w:sz w:val="28"/>
              <w:szCs w:val="28"/>
            </w:rPr>
            <w:t>TOPIC NOTE</w:t>
          </w:r>
        </w:p>
        <w:p w14:paraId="6D5B2906" w14:textId="5EF0F0DE" w:rsidR="008273D8" w:rsidRPr="00FC24D8" w:rsidRDefault="00A349A3" w:rsidP="00A349A3">
          <w:pPr>
            <w:spacing w:before="40" w:after="40" w:line="276" w:lineRule="auto"/>
            <w:jc w:val="center"/>
            <w:rPr>
              <w:rFonts w:asciiTheme="majorHAnsi" w:hAnsiTheme="majorHAnsi"/>
              <w:b/>
              <w:color w:val="31849B" w:themeColor="accent5" w:themeShade="BF"/>
            </w:rPr>
          </w:pPr>
          <w:r>
            <w:rPr>
              <w:rFonts w:asciiTheme="majorHAnsi" w:hAnsiTheme="majorHAnsi"/>
              <w:b/>
              <w:color w:val="31849B" w:themeColor="accent5" w:themeShade="BF"/>
            </w:rPr>
            <w:t>03.04</w:t>
          </w:r>
          <w:r w:rsidR="00C60753">
            <w:rPr>
              <w:rFonts w:asciiTheme="majorHAnsi" w:hAnsiTheme="majorHAnsi"/>
              <w:b/>
              <w:color w:val="31849B" w:themeColor="accent5" w:themeShade="BF"/>
            </w:rPr>
            <w:t>.201</w:t>
          </w:r>
          <w:r>
            <w:rPr>
              <w:rFonts w:asciiTheme="majorHAnsi" w:hAnsiTheme="majorHAnsi"/>
              <w:b/>
              <w:color w:val="31849B" w:themeColor="accent5" w:themeShade="BF"/>
            </w:rPr>
            <w:t>9 – 15.05</w:t>
          </w:r>
          <w:r w:rsidR="00C60753">
            <w:rPr>
              <w:rFonts w:asciiTheme="majorHAnsi" w:hAnsiTheme="majorHAnsi"/>
              <w:b/>
              <w:color w:val="31849B" w:themeColor="accent5" w:themeShade="BF"/>
            </w:rPr>
            <w:t>.</w:t>
          </w:r>
          <w:r w:rsidR="008273D8" w:rsidRPr="00EB3574">
            <w:rPr>
              <w:rFonts w:asciiTheme="majorHAnsi" w:hAnsiTheme="majorHAnsi"/>
              <w:b/>
              <w:color w:val="31849B" w:themeColor="accent5" w:themeShade="BF"/>
            </w:rPr>
            <w:t>201</w:t>
          </w:r>
          <w:r>
            <w:rPr>
              <w:rFonts w:asciiTheme="majorHAnsi" w:hAnsiTheme="majorHAnsi"/>
              <w:b/>
              <w:color w:val="31849B" w:themeColor="accent5" w:themeShade="BF"/>
            </w:rPr>
            <w:t>9</w:t>
          </w:r>
        </w:p>
      </w:tc>
    </w:tr>
    <w:tr w:rsidR="008273D8" w:rsidRPr="00EB3574" w14:paraId="22A7FB82" w14:textId="77777777" w:rsidTr="00AD5BAF">
      <w:tblPrEx>
        <w:tblBorders>
          <w:top w:val="single" w:sz="4" w:space="0" w:color="31849B" w:themeColor="accent5" w:themeShade="BF"/>
          <w:left w:val="none" w:sz="0" w:space="0" w:color="auto"/>
          <w:bottom w:val="single" w:sz="4" w:space="0" w:color="31849B" w:themeColor="accent5" w:themeShade="BF"/>
          <w:right w:val="none" w:sz="0" w:space="0" w:color="auto"/>
          <w:insideH w:val="none" w:sz="0" w:space="0" w:color="auto"/>
          <w:insideV w:val="none" w:sz="0" w:space="0" w:color="auto"/>
        </w:tblBorders>
        <w:tblCellMar>
          <w:top w:w="113" w:type="dxa"/>
          <w:bottom w:w="85" w:type="dxa"/>
        </w:tblCellMar>
      </w:tblPrEx>
      <w:trPr>
        <w:gridAfter w:val="1"/>
        <w:wAfter w:w="6" w:type="dxa"/>
      </w:trPr>
      <w:tc>
        <w:tcPr>
          <w:tcW w:w="9633" w:type="dxa"/>
          <w:gridSpan w:val="2"/>
          <w:tcBorders>
            <w:top w:val="single" w:sz="4" w:space="0" w:color="31849B" w:themeColor="accent5" w:themeShade="BF"/>
            <w:bottom w:val="single" w:sz="4" w:space="0" w:color="31849B" w:themeColor="accent5" w:themeShade="BF"/>
          </w:tcBorders>
          <w:shd w:val="clear" w:color="auto" w:fill="DAEEF3" w:themeFill="accent5" w:themeFillTint="33"/>
        </w:tcPr>
        <w:p w14:paraId="1765422A" w14:textId="39A9DFCE" w:rsidR="008273D8" w:rsidRPr="000929E7" w:rsidRDefault="008273D8" w:rsidP="00A349A3">
          <w:pPr>
            <w:pStyle w:val="Header"/>
            <w:tabs>
              <w:tab w:val="clear" w:pos="9360"/>
              <w:tab w:val="right" w:pos="9390"/>
            </w:tabs>
            <w:spacing w:before="40" w:after="40" w:line="276" w:lineRule="auto"/>
            <w:jc w:val="center"/>
            <w:rPr>
              <w:b/>
              <w:noProof/>
              <w:color w:val="000000" w:themeColor="text1"/>
              <w:sz w:val="28"/>
              <w:szCs w:val="28"/>
            </w:rPr>
          </w:pPr>
          <w:r>
            <w:rPr>
              <w:noProof/>
              <w:lang w:val="en-GB" w:eastAsia="zh-CN"/>
            </w:rPr>
            <w:drawing>
              <wp:inline distT="0" distB="0" distL="0" distR="0" wp14:anchorId="21687130" wp14:editId="3ECAF270">
                <wp:extent cx="111760" cy="111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6" w:history="1">
            <w:r w:rsidR="00A349A3" w:rsidRPr="000A089A">
              <w:rPr>
                <w:rStyle w:val="Hyperlink"/>
              </w:rPr>
              <w:t>www.fao.org/fsnforum/eca/activities/discussions/tajikistan</w:t>
            </w:r>
          </w:hyperlink>
          <w:r w:rsidR="00C60753">
            <w:rPr>
              <w:rStyle w:val="Hyperlink"/>
              <w:color w:val="auto"/>
              <w:u w:val="none"/>
            </w:rPr>
            <w:t xml:space="preserve"> </w:t>
          </w:r>
        </w:p>
      </w:tc>
    </w:tr>
  </w:tbl>
  <w:p w14:paraId="234566BC" w14:textId="77777777" w:rsidR="008273D8" w:rsidRDefault="008273D8" w:rsidP="008E48A2">
    <w:pPr>
      <w:pStyle w:val="Header"/>
      <w:jc w:val="right"/>
      <w:rPr>
        <w:b/>
        <w:color w:val="FFFFFF"/>
      </w:rPr>
    </w:pPr>
  </w:p>
  <w:p w14:paraId="130CAC32" w14:textId="77777777" w:rsidR="008273D8" w:rsidRDefault="008273D8" w:rsidP="008E48A2">
    <w:pPr>
      <w:pStyle w:val="Header"/>
      <w:jc w:val="right"/>
      <w:rPr>
        <w:b/>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3B5B86"/>
    <w:multiLevelType w:val="hybridMultilevel"/>
    <w:tmpl w:val="EA1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56146"/>
    <w:multiLevelType w:val="hybridMultilevel"/>
    <w:tmpl w:val="FD68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B507D"/>
    <w:multiLevelType w:val="hybridMultilevel"/>
    <w:tmpl w:val="3DBCEA4E"/>
    <w:lvl w:ilvl="0" w:tplc="0409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91F6A"/>
    <w:multiLevelType w:val="multilevel"/>
    <w:tmpl w:val="B45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9366BF6"/>
    <w:multiLevelType w:val="hybridMultilevel"/>
    <w:tmpl w:val="131E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4D1741"/>
    <w:multiLevelType w:val="hybridMultilevel"/>
    <w:tmpl w:val="9DC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962DB0"/>
    <w:multiLevelType w:val="hybridMultilevel"/>
    <w:tmpl w:val="CC964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A2BAB"/>
    <w:multiLevelType w:val="hybridMultilevel"/>
    <w:tmpl w:val="B674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3"/>
  </w:num>
  <w:num w:numId="4">
    <w:abstractNumId w:val="10"/>
  </w:num>
  <w:num w:numId="5">
    <w:abstractNumId w:val="4"/>
  </w:num>
  <w:num w:numId="6">
    <w:abstractNumId w:val="16"/>
  </w:num>
  <w:num w:numId="7">
    <w:abstractNumId w:val="5"/>
  </w:num>
  <w:num w:numId="8">
    <w:abstractNumId w:val="7"/>
  </w:num>
  <w:num w:numId="9">
    <w:abstractNumId w:val="13"/>
  </w:num>
  <w:num w:numId="10">
    <w:abstractNumId w:val="17"/>
  </w:num>
  <w:num w:numId="11">
    <w:abstractNumId w:val="9"/>
  </w:num>
  <w:num w:numId="12">
    <w:abstractNumId w:val="17"/>
  </w:num>
  <w:num w:numId="13">
    <w:abstractNumId w:val="19"/>
  </w:num>
  <w:num w:numId="14">
    <w:abstractNumId w:val="1"/>
  </w:num>
  <w:num w:numId="15">
    <w:abstractNumId w:val="20"/>
  </w:num>
  <w:num w:numId="16">
    <w:abstractNumId w:val="6"/>
  </w:num>
  <w:num w:numId="17">
    <w:abstractNumId w:val="12"/>
  </w:num>
  <w:num w:numId="18">
    <w:abstractNumId w:val="3"/>
  </w:num>
  <w:num w:numId="19">
    <w:abstractNumId w:val="14"/>
  </w:num>
  <w:num w:numId="20">
    <w:abstractNumId w:val="15"/>
  </w:num>
  <w:num w:numId="21">
    <w:abstractNumId w:val="11"/>
  </w:num>
  <w:num w:numId="22">
    <w:abstractNumId w:val="22"/>
  </w:num>
  <w:num w:numId="23">
    <w:abstractNumId w:val="2"/>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07A3D"/>
    <w:rsid w:val="00013288"/>
    <w:rsid w:val="00016690"/>
    <w:rsid w:val="00024193"/>
    <w:rsid w:val="00024380"/>
    <w:rsid w:val="00025F78"/>
    <w:rsid w:val="00037863"/>
    <w:rsid w:val="000411F2"/>
    <w:rsid w:val="000421C7"/>
    <w:rsid w:val="0005149B"/>
    <w:rsid w:val="0005528C"/>
    <w:rsid w:val="00056074"/>
    <w:rsid w:val="00056289"/>
    <w:rsid w:val="000572BF"/>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4AE"/>
    <w:rsid w:val="00124651"/>
    <w:rsid w:val="001306A8"/>
    <w:rsid w:val="00131932"/>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5DDD"/>
    <w:rsid w:val="001A2FF5"/>
    <w:rsid w:val="001B1DC2"/>
    <w:rsid w:val="001B1E68"/>
    <w:rsid w:val="001B290B"/>
    <w:rsid w:val="001B4926"/>
    <w:rsid w:val="001B4F7C"/>
    <w:rsid w:val="001B7B9C"/>
    <w:rsid w:val="001C0DE7"/>
    <w:rsid w:val="001C3E4C"/>
    <w:rsid w:val="001C6784"/>
    <w:rsid w:val="001C71F0"/>
    <w:rsid w:val="001D01E2"/>
    <w:rsid w:val="001D2D05"/>
    <w:rsid w:val="001D3BF0"/>
    <w:rsid w:val="001D7FD7"/>
    <w:rsid w:val="001E1B60"/>
    <w:rsid w:val="001E3DDD"/>
    <w:rsid w:val="001E6A5A"/>
    <w:rsid w:val="001E741B"/>
    <w:rsid w:val="001F5080"/>
    <w:rsid w:val="001F6273"/>
    <w:rsid w:val="00201499"/>
    <w:rsid w:val="00207B16"/>
    <w:rsid w:val="0021356E"/>
    <w:rsid w:val="00215654"/>
    <w:rsid w:val="00220776"/>
    <w:rsid w:val="00220FC1"/>
    <w:rsid w:val="00235327"/>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2F7593"/>
    <w:rsid w:val="003025C0"/>
    <w:rsid w:val="003045C3"/>
    <w:rsid w:val="00323733"/>
    <w:rsid w:val="003318B1"/>
    <w:rsid w:val="00331C9F"/>
    <w:rsid w:val="00342EE0"/>
    <w:rsid w:val="0034511D"/>
    <w:rsid w:val="003462AA"/>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6FC2"/>
    <w:rsid w:val="003E1E02"/>
    <w:rsid w:val="003E7A41"/>
    <w:rsid w:val="003F1596"/>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37265"/>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1CFC"/>
    <w:rsid w:val="005C4E8D"/>
    <w:rsid w:val="005D08CC"/>
    <w:rsid w:val="005D55B7"/>
    <w:rsid w:val="005E3DFC"/>
    <w:rsid w:val="005F5A29"/>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7008BB"/>
    <w:rsid w:val="00701070"/>
    <w:rsid w:val="00701231"/>
    <w:rsid w:val="0070221C"/>
    <w:rsid w:val="00702D28"/>
    <w:rsid w:val="00712152"/>
    <w:rsid w:val="00713320"/>
    <w:rsid w:val="00714749"/>
    <w:rsid w:val="00721603"/>
    <w:rsid w:val="00724726"/>
    <w:rsid w:val="00732662"/>
    <w:rsid w:val="00735512"/>
    <w:rsid w:val="00736BFE"/>
    <w:rsid w:val="00741A1E"/>
    <w:rsid w:val="007432B4"/>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3CEF"/>
    <w:rsid w:val="0079660C"/>
    <w:rsid w:val="0079766A"/>
    <w:rsid w:val="007A78E2"/>
    <w:rsid w:val="007B25AE"/>
    <w:rsid w:val="007B2927"/>
    <w:rsid w:val="007B6F1D"/>
    <w:rsid w:val="007C2B06"/>
    <w:rsid w:val="007C4A2C"/>
    <w:rsid w:val="007C5427"/>
    <w:rsid w:val="007C6583"/>
    <w:rsid w:val="007D14A3"/>
    <w:rsid w:val="007D2482"/>
    <w:rsid w:val="007D299C"/>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273D8"/>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0355"/>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48A2"/>
    <w:rsid w:val="008F2ADB"/>
    <w:rsid w:val="008F5848"/>
    <w:rsid w:val="008F79C2"/>
    <w:rsid w:val="00901571"/>
    <w:rsid w:val="00904EBB"/>
    <w:rsid w:val="00914AB0"/>
    <w:rsid w:val="009158E9"/>
    <w:rsid w:val="00921FDE"/>
    <w:rsid w:val="009240DB"/>
    <w:rsid w:val="009241E4"/>
    <w:rsid w:val="00926B22"/>
    <w:rsid w:val="009308C5"/>
    <w:rsid w:val="00930E21"/>
    <w:rsid w:val="0093685E"/>
    <w:rsid w:val="00937745"/>
    <w:rsid w:val="0094537E"/>
    <w:rsid w:val="0095135F"/>
    <w:rsid w:val="00952BBA"/>
    <w:rsid w:val="009559E9"/>
    <w:rsid w:val="009566E5"/>
    <w:rsid w:val="00966B10"/>
    <w:rsid w:val="0096746F"/>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F05"/>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49A3"/>
    <w:rsid w:val="00A4253D"/>
    <w:rsid w:val="00A45E8D"/>
    <w:rsid w:val="00A462C5"/>
    <w:rsid w:val="00A50B57"/>
    <w:rsid w:val="00A526FE"/>
    <w:rsid w:val="00A600FB"/>
    <w:rsid w:val="00A643E5"/>
    <w:rsid w:val="00A6607D"/>
    <w:rsid w:val="00A675E8"/>
    <w:rsid w:val="00A72480"/>
    <w:rsid w:val="00A73368"/>
    <w:rsid w:val="00A83C07"/>
    <w:rsid w:val="00A83DBE"/>
    <w:rsid w:val="00A86FB2"/>
    <w:rsid w:val="00A92376"/>
    <w:rsid w:val="00AB53A9"/>
    <w:rsid w:val="00AC62AD"/>
    <w:rsid w:val="00AC6AF7"/>
    <w:rsid w:val="00AD262B"/>
    <w:rsid w:val="00AD4881"/>
    <w:rsid w:val="00AD5BAF"/>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5E4D"/>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753"/>
    <w:rsid w:val="00C659D0"/>
    <w:rsid w:val="00C6707F"/>
    <w:rsid w:val="00C70BAF"/>
    <w:rsid w:val="00C75B22"/>
    <w:rsid w:val="00C80904"/>
    <w:rsid w:val="00C82EC2"/>
    <w:rsid w:val="00C851E8"/>
    <w:rsid w:val="00C8594E"/>
    <w:rsid w:val="00C86C52"/>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1CFE"/>
    <w:rsid w:val="00CF2B06"/>
    <w:rsid w:val="00CF6A0C"/>
    <w:rsid w:val="00D0493C"/>
    <w:rsid w:val="00D06095"/>
    <w:rsid w:val="00D079C6"/>
    <w:rsid w:val="00D15D3B"/>
    <w:rsid w:val="00D24866"/>
    <w:rsid w:val="00D25B49"/>
    <w:rsid w:val="00D268CB"/>
    <w:rsid w:val="00D33BDD"/>
    <w:rsid w:val="00D40F2F"/>
    <w:rsid w:val="00D41348"/>
    <w:rsid w:val="00D55377"/>
    <w:rsid w:val="00D57587"/>
    <w:rsid w:val="00D5774A"/>
    <w:rsid w:val="00D6159F"/>
    <w:rsid w:val="00D63C7B"/>
    <w:rsid w:val="00D679F3"/>
    <w:rsid w:val="00D734AF"/>
    <w:rsid w:val="00D804F4"/>
    <w:rsid w:val="00D80B4D"/>
    <w:rsid w:val="00D80CF1"/>
    <w:rsid w:val="00D81E04"/>
    <w:rsid w:val="00D828DB"/>
    <w:rsid w:val="00D8370B"/>
    <w:rsid w:val="00D8573F"/>
    <w:rsid w:val="00D91953"/>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4362F"/>
    <w:rsid w:val="00E524F1"/>
    <w:rsid w:val="00E54CE8"/>
    <w:rsid w:val="00E5655F"/>
    <w:rsid w:val="00E56B43"/>
    <w:rsid w:val="00E571CD"/>
    <w:rsid w:val="00E60482"/>
    <w:rsid w:val="00E63F7A"/>
    <w:rsid w:val="00E72303"/>
    <w:rsid w:val="00E75843"/>
    <w:rsid w:val="00E81AB1"/>
    <w:rsid w:val="00E82AAF"/>
    <w:rsid w:val="00E85D32"/>
    <w:rsid w:val="00E861F5"/>
    <w:rsid w:val="00E879BE"/>
    <w:rsid w:val="00E93E43"/>
    <w:rsid w:val="00E9508F"/>
    <w:rsid w:val="00EA0D1D"/>
    <w:rsid w:val="00EB1C4B"/>
    <w:rsid w:val="00EB2ADE"/>
    <w:rsid w:val="00EB3574"/>
    <w:rsid w:val="00EB51B4"/>
    <w:rsid w:val="00EB5EE6"/>
    <w:rsid w:val="00EB6BA5"/>
    <w:rsid w:val="00EC0D0A"/>
    <w:rsid w:val="00EC5825"/>
    <w:rsid w:val="00ED481D"/>
    <w:rsid w:val="00EF2A44"/>
    <w:rsid w:val="00EF404C"/>
    <w:rsid w:val="00F0262F"/>
    <w:rsid w:val="00F10080"/>
    <w:rsid w:val="00F13551"/>
    <w:rsid w:val="00F13E43"/>
    <w:rsid w:val="00F2254B"/>
    <w:rsid w:val="00F25226"/>
    <w:rsid w:val="00F25E6E"/>
    <w:rsid w:val="00F31846"/>
    <w:rsid w:val="00F34653"/>
    <w:rsid w:val="00F374FF"/>
    <w:rsid w:val="00F45BE8"/>
    <w:rsid w:val="00F45FD4"/>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0C54"/>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FB3C41F"/>
  <w15:docId w15:val="{C8744D29-F2F2-47E8-9252-D7F6923C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226"/>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AD5BAF"/>
    <w:pPr>
      <w:spacing w:before="120" w:after="480" w:line="276" w:lineRule="auto"/>
      <w:outlineLvl w:val="1"/>
    </w:pPr>
    <w:rPr>
      <w:rFonts w:ascii="Cambria" w:hAnsi="Cambria"/>
      <w:b/>
      <w:bCs/>
      <w:noProof/>
      <w:color w:val="E36C0A" w:themeColor="accent6" w:themeShade="BF"/>
      <w:sz w:val="36"/>
      <w:szCs w:val="36"/>
      <w:lang w:val="en-GB" w:eastAsia="zh-CN"/>
    </w:rPr>
  </w:style>
  <w:style w:type="paragraph" w:styleId="Heading3">
    <w:name w:val="heading 3"/>
    <w:basedOn w:val="Heading5"/>
    <w:next w:val="Normal"/>
    <w:link w:val="Heading3Char"/>
    <w:qFormat/>
    <w:rsid w:val="008273D8"/>
    <w:pPr>
      <w:spacing w:before="240" w:after="80"/>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D5BAF"/>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8273D8"/>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paragraph" w:customStyle="1" w:styleId="references">
    <w:name w:val="references"/>
    <w:basedOn w:val="Normal"/>
    <w:qFormat/>
    <w:rsid w:val="00E524F1"/>
    <w:pPr>
      <w:jc w:val="left"/>
    </w:pPr>
    <w:rPr>
      <w:rFonts w:asciiTheme="majorHAnsi" w:hAnsiTheme="majorHAnsi"/>
      <w:sz w:val="21"/>
      <w:szCs w:val="21"/>
    </w:rPr>
  </w:style>
  <w:style w:type="character" w:customStyle="1" w:styleId="UnresolvedMention">
    <w:name w:val="Unresolved Mention"/>
    <w:basedOn w:val="DefaultParagraphFont"/>
    <w:uiPriority w:val="99"/>
    <w:semiHidden/>
    <w:unhideWhenUsed/>
    <w:rsid w:val="001B1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19501881">
      <w:bodyDiv w:val="1"/>
      <w:marLeft w:val="0"/>
      <w:marRight w:val="0"/>
      <w:marTop w:val="0"/>
      <w:marBottom w:val="0"/>
      <w:divBdr>
        <w:top w:val="none" w:sz="0" w:space="0" w:color="auto"/>
        <w:left w:val="none" w:sz="0" w:space="0" w:color="auto"/>
        <w:bottom w:val="none" w:sz="0" w:space="0" w:color="auto"/>
        <w:right w:val="none" w:sz="0" w:space="0" w:color="auto"/>
      </w:divBdr>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1340">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5694009">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08674919">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5251927">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in-action/fsn-caucasus-asia/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in-action/fsn-caucasus-asia/en/"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ec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hyperlink" Target="http://www.fao.org/fsnforum/eca/activities/discussions/tajikistan" TargetMode="External"/><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3F4B7-431D-42DE-BA56-9E2A26AD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3382</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Women in Agriculture and Food Security:</vt:lpstr>
      <vt:lpstr>Women in Agriculture and Food Security:</vt:lpstr>
      <vt:lpstr>Women in Agriculture and Food Security:</vt:lpstr>
    </vt:vector>
  </TitlesOfParts>
  <Company>FAO of the UN</Company>
  <LinksUpToDate>false</LinksUpToDate>
  <CharactersWithSpaces>3929</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Agriculture and Food Security:</dc:title>
  <dc:creator>Verona</dc:creator>
  <cp:lastModifiedBy>Blanck, Max (ESA)</cp:lastModifiedBy>
  <cp:revision>8</cp:revision>
  <cp:lastPrinted>2015-02-02T14:02:00Z</cp:lastPrinted>
  <dcterms:created xsi:type="dcterms:W3CDTF">2019-04-02T12:45:00Z</dcterms:created>
  <dcterms:modified xsi:type="dcterms:W3CDTF">2019-04-03T13:45:00Z</dcterms:modified>
</cp:coreProperties>
</file>