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66" w:rsidRPr="00427429" w:rsidRDefault="00E85466" w:rsidP="00E85466">
      <w:pPr>
        <w:jc w:val="center"/>
        <w:rPr>
          <w:rFonts w:ascii="Times New Roman" w:hAnsi="Times New Roman" w:cs="Times New Roman"/>
          <w:b/>
          <w:sz w:val="32"/>
          <w:szCs w:val="24"/>
          <w:u w:val="single"/>
          <w:lang w:val="en-US"/>
        </w:rPr>
      </w:pPr>
      <w:bookmarkStart w:id="0" w:name="_GoBack"/>
      <w:bookmarkEnd w:id="0"/>
      <w:r w:rsidRPr="00427429">
        <w:rPr>
          <w:rFonts w:ascii="Times New Roman" w:hAnsi="Times New Roman" w:cs="Times New Roman"/>
          <w:b/>
          <w:sz w:val="32"/>
          <w:szCs w:val="24"/>
          <w:u w:val="single"/>
          <w:lang w:val="en-GB"/>
        </w:rPr>
        <w:t>Macro-economic Food Situation Analysis: Kyrgyzstan</w:t>
      </w:r>
      <w:r w:rsidRPr="00427429">
        <w:rPr>
          <w:rFonts w:ascii="Times New Roman" w:hAnsi="Times New Roman" w:cs="Times New Roman"/>
          <w:b/>
          <w:sz w:val="32"/>
          <w:szCs w:val="24"/>
          <w:u w:val="single"/>
          <w:lang w:val="en-US"/>
        </w:rPr>
        <w:t xml:space="preserve"> </w:t>
      </w:r>
    </w:p>
    <w:p w:rsidR="00427429" w:rsidRDefault="00427429" w:rsidP="00E85466">
      <w:pPr>
        <w:jc w:val="both"/>
        <w:rPr>
          <w:rFonts w:ascii="Times New Roman" w:hAnsi="Times New Roman" w:cs="Times New Roman"/>
          <w:sz w:val="24"/>
          <w:szCs w:val="24"/>
          <w:lang w:val="en-US"/>
        </w:rPr>
      </w:pPr>
    </w:p>
    <w:p w:rsidR="00E85466" w:rsidRPr="00100FBF" w:rsidRDefault="00E85466" w:rsidP="00E85466">
      <w:pPr>
        <w:jc w:val="both"/>
        <w:rPr>
          <w:rFonts w:ascii="Times New Roman" w:hAnsi="Times New Roman" w:cs="Times New Roman"/>
          <w:sz w:val="24"/>
          <w:szCs w:val="24"/>
          <w:lang w:val="en-US"/>
        </w:rPr>
      </w:pPr>
      <w:r w:rsidRPr="00427429">
        <w:rPr>
          <w:rFonts w:ascii="Times New Roman" w:hAnsi="Times New Roman" w:cs="Times New Roman"/>
          <w:sz w:val="24"/>
          <w:szCs w:val="24"/>
          <w:lang w:val="ky-KG"/>
        </w:rPr>
        <w:t>The food security issue</w:t>
      </w:r>
      <w:r w:rsidRPr="00427429">
        <w:rPr>
          <w:rFonts w:ascii="Times New Roman" w:hAnsi="Times New Roman" w:cs="Times New Roman"/>
          <w:sz w:val="24"/>
          <w:szCs w:val="24"/>
          <w:lang w:val="en-US"/>
        </w:rPr>
        <w:t>s</w:t>
      </w:r>
      <w:r w:rsidRPr="00427429">
        <w:rPr>
          <w:rFonts w:ascii="Times New Roman" w:hAnsi="Times New Roman" w:cs="Times New Roman"/>
          <w:sz w:val="24"/>
          <w:szCs w:val="24"/>
          <w:lang w:val="ky-KG"/>
        </w:rPr>
        <w:t xml:space="preserve"> </w:t>
      </w:r>
      <w:r w:rsidRPr="00427429">
        <w:rPr>
          <w:rFonts w:ascii="Times New Roman" w:hAnsi="Times New Roman" w:cs="Times New Roman"/>
          <w:noProof/>
          <w:sz w:val="24"/>
          <w:szCs w:val="24"/>
          <w:lang w:val="ky-KG"/>
        </w:rPr>
        <w:t>were</w:t>
      </w:r>
      <w:r w:rsidRPr="00427429">
        <w:rPr>
          <w:rFonts w:ascii="Times New Roman" w:hAnsi="Times New Roman" w:cs="Times New Roman"/>
          <w:sz w:val="24"/>
          <w:szCs w:val="24"/>
          <w:lang w:val="ky-KG"/>
        </w:rPr>
        <w:t xml:space="preserve"> important </w:t>
      </w:r>
      <w:r w:rsidRPr="00427429">
        <w:rPr>
          <w:rFonts w:ascii="Times New Roman" w:hAnsi="Times New Roman" w:cs="Times New Roman"/>
          <w:sz w:val="24"/>
          <w:szCs w:val="24"/>
          <w:lang w:val="en-US"/>
        </w:rPr>
        <w:t xml:space="preserve">in </w:t>
      </w:r>
      <w:r w:rsidRPr="00427429">
        <w:rPr>
          <w:rFonts w:ascii="Times New Roman" w:hAnsi="Times New Roman" w:cs="Times New Roman"/>
          <w:sz w:val="24"/>
          <w:szCs w:val="24"/>
          <w:lang w:val="ky-KG"/>
        </w:rPr>
        <w:t xml:space="preserve">Kyrgyzstan during the Soviet </w:t>
      </w:r>
      <w:r w:rsidRPr="00427429">
        <w:rPr>
          <w:rFonts w:ascii="Times New Roman" w:hAnsi="Times New Roman" w:cs="Times New Roman"/>
          <w:noProof/>
          <w:sz w:val="24"/>
          <w:szCs w:val="24"/>
          <w:lang w:val="ky-KG"/>
        </w:rPr>
        <w:t>period</w:t>
      </w:r>
      <w:r w:rsidRPr="00427429">
        <w:rPr>
          <w:rFonts w:ascii="Times New Roman" w:hAnsi="Times New Roman" w:cs="Times New Roman"/>
          <w:sz w:val="24"/>
          <w:szCs w:val="24"/>
          <w:lang w:val="ky-KG"/>
        </w:rPr>
        <w:t xml:space="preserve"> </w:t>
      </w:r>
      <w:r w:rsidRPr="00427429">
        <w:rPr>
          <w:rFonts w:ascii="Times New Roman" w:hAnsi="Times New Roman" w:cs="Times New Roman"/>
          <w:sz w:val="24"/>
          <w:szCs w:val="24"/>
          <w:lang w:val="en-US"/>
        </w:rPr>
        <w:t xml:space="preserve">but became a critical issue </w:t>
      </w:r>
      <w:r w:rsidRPr="00427429">
        <w:rPr>
          <w:rFonts w:ascii="Times New Roman" w:hAnsi="Times New Roman" w:cs="Times New Roman"/>
          <w:sz w:val="24"/>
          <w:szCs w:val="24"/>
          <w:lang w:val="ky-KG"/>
        </w:rPr>
        <w:t xml:space="preserve">since its independence. </w:t>
      </w:r>
      <w:r w:rsidRPr="00427429">
        <w:rPr>
          <w:rFonts w:ascii="Times New Roman" w:hAnsi="Times New Roman" w:cs="Times New Roman"/>
          <w:sz w:val="24"/>
          <w:szCs w:val="24"/>
          <w:lang w:val="en-US"/>
        </w:rPr>
        <w:t xml:space="preserve"> The reform of a </w:t>
      </w:r>
      <w:r w:rsidRPr="00100FBF">
        <w:rPr>
          <w:rFonts w:ascii="Times New Roman" w:hAnsi="Times New Roman" w:cs="Times New Roman"/>
          <w:sz w:val="24"/>
          <w:szCs w:val="24"/>
          <w:lang w:val="en-US"/>
        </w:rPr>
        <w:t xml:space="preserve">centralized control system </w:t>
      </w:r>
      <w:r w:rsidRPr="00427429">
        <w:rPr>
          <w:rFonts w:ascii="Times New Roman" w:hAnsi="Times New Roman" w:cs="Times New Roman"/>
          <w:sz w:val="24"/>
          <w:szCs w:val="24"/>
          <w:lang w:val="en-US"/>
        </w:rPr>
        <w:t>in</w:t>
      </w:r>
      <w:r w:rsidRPr="00100FBF">
        <w:rPr>
          <w:rFonts w:ascii="Times New Roman" w:hAnsi="Times New Roman" w:cs="Times New Roman"/>
          <w:sz w:val="24"/>
          <w:szCs w:val="24"/>
          <w:lang w:val="en-US"/>
        </w:rPr>
        <w:t>to a market economy</w:t>
      </w:r>
      <w:r w:rsidRPr="00427429">
        <w:rPr>
          <w:rFonts w:ascii="Times New Roman" w:hAnsi="Times New Roman" w:cs="Times New Roman"/>
          <w:sz w:val="24"/>
          <w:szCs w:val="24"/>
          <w:lang w:val="en-US"/>
        </w:rPr>
        <w:t xml:space="preserve"> implied</w:t>
      </w:r>
      <w:r w:rsidRPr="00100FBF">
        <w:rPr>
          <w:rFonts w:ascii="Times New Roman" w:hAnsi="Times New Roman" w:cs="Times New Roman"/>
          <w:sz w:val="24"/>
          <w:szCs w:val="24"/>
          <w:lang w:val="en-US"/>
        </w:rPr>
        <w:t xml:space="preserve"> sharp reduction </w:t>
      </w:r>
      <w:r w:rsidRPr="00427429">
        <w:rPr>
          <w:rFonts w:ascii="Times New Roman" w:hAnsi="Times New Roman" w:cs="Times New Roman"/>
          <w:sz w:val="24"/>
          <w:szCs w:val="24"/>
          <w:lang w:val="en-US"/>
        </w:rPr>
        <w:t xml:space="preserve">in subsidies </w:t>
      </w:r>
      <w:r w:rsidRPr="00100FBF">
        <w:rPr>
          <w:rFonts w:ascii="Times New Roman" w:hAnsi="Times New Roman" w:cs="Times New Roman"/>
          <w:sz w:val="24"/>
          <w:szCs w:val="24"/>
          <w:lang w:val="en-US"/>
        </w:rPr>
        <w:t>in the mid-90s in the overall economy</w:t>
      </w:r>
      <w:r w:rsidRPr="00427429">
        <w:rPr>
          <w:rFonts w:ascii="Times New Roman" w:hAnsi="Times New Roman" w:cs="Times New Roman"/>
          <w:sz w:val="24"/>
          <w:szCs w:val="24"/>
          <w:lang w:val="en-US"/>
        </w:rPr>
        <w:t>,</w:t>
      </w:r>
      <w:r w:rsidRPr="00100FBF">
        <w:rPr>
          <w:rFonts w:ascii="Times New Roman" w:hAnsi="Times New Roman" w:cs="Times New Roman"/>
          <w:sz w:val="24"/>
          <w:szCs w:val="24"/>
          <w:lang w:val="en-US"/>
        </w:rPr>
        <w:t xml:space="preserve"> </w:t>
      </w:r>
      <w:r w:rsidRPr="00100FBF">
        <w:rPr>
          <w:rFonts w:ascii="Times New Roman" w:hAnsi="Times New Roman" w:cs="Times New Roman"/>
          <w:noProof/>
          <w:sz w:val="24"/>
          <w:szCs w:val="24"/>
          <w:lang w:val="en-US"/>
        </w:rPr>
        <w:t>and</w:t>
      </w:r>
      <w:r w:rsidRPr="00100FBF">
        <w:rPr>
          <w:rFonts w:ascii="Times New Roman" w:hAnsi="Times New Roman" w:cs="Times New Roman"/>
          <w:sz w:val="24"/>
          <w:szCs w:val="24"/>
          <w:lang w:val="en-US"/>
        </w:rPr>
        <w:t xml:space="preserve"> </w:t>
      </w:r>
      <w:r w:rsidRPr="00427429">
        <w:rPr>
          <w:rFonts w:ascii="Times New Roman" w:hAnsi="Times New Roman" w:cs="Times New Roman"/>
          <w:sz w:val="24"/>
          <w:szCs w:val="24"/>
          <w:lang w:val="en-US"/>
        </w:rPr>
        <w:t xml:space="preserve">in </w:t>
      </w:r>
      <w:r w:rsidRPr="00100FBF">
        <w:rPr>
          <w:rFonts w:ascii="Times New Roman" w:hAnsi="Times New Roman" w:cs="Times New Roman"/>
          <w:sz w:val="24"/>
          <w:szCs w:val="24"/>
          <w:lang w:val="en-US"/>
        </w:rPr>
        <w:t xml:space="preserve">agriculture particularly. Between 1990 and 1995, the GDP collapsed by 40 per cent from USD 2.67 </w:t>
      </w:r>
      <w:proofErr w:type="spellStart"/>
      <w:r w:rsidRPr="00100FBF">
        <w:rPr>
          <w:rFonts w:ascii="Times New Roman" w:hAnsi="Times New Roman" w:cs="Times New Roman"/>
          <w:sz w:val="24"/>
          <w:szCs w:val="24"/>
          <w:lang w:val="en-US"/>
        </w:rPr>
        <w:t>bn</w:t>
      </w:r>
      <w:proofErr w:type="spellEnd"/>
      <w:r w:rsidRPr="00100FBF">
        <w:rPr>
          <w:rFonts w:ascii="Times New Roman" w:hAnsi="Times New Roman" w:cs="Times New Roman"/>
          <w:sz w:val="24"/>
          <w:szCs w:val="24"/>
          <w:lang w:val="en-US"/>
        </w:rPr>
        <w:t xml:space="preserve"> in 1990 to USD 1.66 </w:t>
      </w:r>
      <w:proofErr w:type="spellStart"/>
      <w:r w:rsidRPr="00100FBF">
        <w:rPr>
          <w:rFonts w:ascii="Times New Roman" w:hAnsi="Times New Roman" w:cs="Times New Roman"/>
          <w:sz w:val="24"/>
          <w:szCs w:val="24"/>
          <w:lang w:val="en-US"/>
        </w:rPr>
        <w:t>bn</w:t>
      </w:r>
      <w:proofErr w:type="spellEnd"/>
      <w:r w:rsidRPr="00100FBF">
        <w:rPr>
          <w:rFonts w:ascii="Times New Roman" w:hAnsi="Times New Roman" w:cs="Times New Roman"/>
          <w:sz w:val="24"/>
          <w:szCs w:val="24"/>
          <w:lang w:val="en-US"/>
        </w:rPr>
        <w:t xml:space="preserve"> in 1995</w:t>
      </w:r>
      <w:r w:rsidRPr="00427429">
        <w:rPr>
          <w:rFonts w:ascii="Times New Roman" w:hAnsi="Times New Roman" w:cs="Times New Roman"/>
          <w:sz w:val="24"/>
          <w:szCs w:val="24"/>
          <w:lang w:val="en-US"/>
        </w:rPr>
        <w:t xml:space="preserve"> (World Bank database)</w:t>
      </w:r>
      <w:r w:rsidRPr="00100FBF">
        <w:rPr>
          <w:rFonts w:ascii="Times New Roman" w:hAnsi="Times New Roman" w:cs="Times New Roman"/>
          <w:sz w:val="24"/>
          <w:szCs w:val="24"/>
          <w:lang w:val="en-US"/>
        </w:rPr>
        <w:t xml:space="preserve">. This was followed by a further declining trend till 2000. </w:t>
      </w:r>
      <w:r w:rsidR="002E173D" w:rsidRPr="00100FBF">
        <w:rPr>
          <w:rFonts w:ascii="Times New Roman" w:hAnsi="Times New Roman" w:cs="Times New Roman"/>
          <w:sz w:val="24"/>
          <w:szCs w:val="24"/>
          <w:lang w:val="en-US"/>
        </w:rPr>
        <w:t>Such a deflationary income situation has</w:t>
      </w:r>
      <w:r w:rsidRPr="00100FBF">
        <w:rPr>
          <w:rFonts w:ascii="Times New Roman" w:hAnsi="Times New Roman" w:cs="Times New Roman"/>
          <w:sz w:val="24"/>
          <w:szCs w:val="24"/>
          <w:lang w:val="en-US"/>
        </w:rPr>
        <w:t xml:space="preserve"> severe implications for food security in Kyrgyzstan.</w:t>
      </w:r>
    </w:p>
    <w:p w:rsidR="00E85466" w:rsidRPr="00100FBF" w:rsidRDefault="00E85466" w:rsidP="00E85466">
      <w:pPr>
        <w:jc w:val="both"/>
        <w:rPr>
          <w:rFonts w:ascii="Times New Roman" w:hAnsi="Times New Roman" w:cs="Times New Roman"/>
          <w:sz w:val="24"/>
          <w:szCs w:val="24"/>
          <w:lang w:val="en-US"/>
        </w:rPr>
      </w:pPr>
      <w:r w:rsidRPr="00100FBF">
        <w:rPr>
          <w:rFonts w:ascii="Times New Roman" w:hAnsi="Times New Roman" w:cs="Times New Roman"/>
          <w:sz w:val="24"/>
          <w:szCs w:val="24"/>
          <w:lang w:val="en-US"/>
        </w:rPr>
        <w:t xml:space="preserve">There was a massive decline in the consumption of food-grains in the early half of the nineties. This is exhibited by Figure 1. The annual per-capita grain consumption in the economy, taking both direct (human consumption) and indirect (consumption by livestock and other industries) rapidly declined from 583 </w:t>
      </w:r>
      <w:proofErr w:type="spellStart"/>
      <w:r w:rsidRPr="00100FBF">
        <w:rPr>
          <w:rFonts w:ascii="Times New Roman" w:hAnsi="Times New Roman" w:cs="Times New Roman"/>
          <w:sz w:val="24"/>
          <w:szCs w:val="24"/>
          <w:lang w:val="en-US"/>
        </w:rPr>
        <w:t>kgs</w:t>
      </w:r>
      <w:proofErr w:type="spellEnd"/>
      <w:r w:rsidRPr="00100FBF">
        <w:rPr>
          <w:rFonts w:ascii="Times New Roman" w:hAnsi="Times New Roman" w:cs="Times New Roman"/>
          <w:sz w:val="24"/>
          <w:szCs w:val="24"/>
          <w:lang w:val="en-US"/>
        </w:rPr>
        <w:t xml:space="preserve"> in 1990 to 259 </w:t>
      </w:r>
      <w:proofErr w:type="spellStart"/>
      <w:r w:rsidRPr="00100FBF">
        <w:rPr>
          <w:rFonts w:ascii="Times New Roman" w:hAnsi="Times New Roman" w:cs="Times New Roman"/>
          <w:sz w:val="24"/>
          <w:szCs w:val="24"/>
          <w:lang w:val="en-US"/>
        </w:rPr>
        <w:t>kgs</w:t>
      </w:r>
      <w:proofErr w:type="spellEnd"/>
      <w:r w:rsidRPr="00100FBF">
        <w:rPr>
          <w:rFonts w:ascii="Times New Roman" w:hAnsi="Times New Roman" w:cs="Times New Roman"/>
          <w:sz w:val="24"/>
          <w:szCs w:val="24"/>
          <w:lang w:val="en-US"/>
        </w:rPr>
        <w:t xml:space="preserve"> in 1995. This decline was mainly on account of a fall in food-grain imports, though there was also a </w:t>
      </w:r>
      <w:r w:rsidRPr="00427429">
        <w:rPr>
          <w:rFonts w:ascii="Times New Roman" w:hAnsi="Times New Roman" w:cs="Times New Roman"/>
          <w:sz w:val="24"/>
          <w:szCs w:val="24"/>
          <w:lang w:val="en-US"/>
        </w:rPr>
        <w:t xml:space="preserve">lesser </w:t>
      </w:r>
      <w:r w:rsidRPr="00100FBF">
        <w:rPr>
          <w:rFonts w:ascii="Times New Roman" w:hAnsi="Times New Roman" w:cs="Times New Roman"/>
          <w:sz w:val="24"/>
          <w:szCs w:val="24"/>
          <w:lang w:val="en-US"/>
        </w:rPr>
        <w:t xml:space="preserve">fall in </w:t>
      </w:r>
      <w:r w:rsidRPr="00427429">
        <w:rPr>
          <w:rFonts w:ascii="Times New Roman" w:hAnsi="Times New Roman" w:cs="Times New Roman"/>
          <w:sz w:val="24"/>
          <w:szCs w:val="24"/>
          <w:lang w:val="en-US"/>
        </w:rPr>
        <w:t xml:space="preserve">the </w:t>
      </w:r>
      <w:r w:rsidRPr="00100FBF">
        <w:rPr>
          <w:rFonts w:ascii="Times New Roman" w:hAnsi="Times New Roman" w:cs="Times New Roman"/>
          <w:sz w:val="24"/>
          <w:szCs w:val="24"/>
          <w:lang w:val="en-US"/>
        </w:rPr>
        <w:t xml:space="preserve">per-capita </w:t>
      </w:r>
      <w:r w:rsidRPr="00427429">
        <w:rPr>
          <w:rFonts w:ascii="Times New Roman" w:hAnsi="Times New Roman" w:cs="Times New Roman"/>
          <w:sz w:val="24"/>
          <w:szCs w:val="24"/>
          <w:lang w:val="en-US"/>
        </w:rPr>
        <w:t xml:space="preserve">domestic </w:t>
      </w:r>
      <w:r w:rsidRPr="00100FBF">
        <w:rPr>
          <w:rFonts w:ascii="Times New Roman" w:hAnsi="Times New Roman" w:cs="Times New Roman"/>
          <w:sz w:val="24"/>
          <w:szCs w:val="24"/>
          <w:lang w:val="en-US"/>
        </w:rPr>
        <w:t>food-grain production from 332 Kg in 1990 to 199 kg in 1995 (based on USDA, Foreign Agricultural Service (FAS) database).</w:t>
      </w:r>
    </w:p>
    <w:p w:rsidR="00D55663" w:rsidRPr="00427429" w:rsidRDefault="00E85466" w:rsidP="00E85466">
      <w:pPr>
        <w:jc w:val="center"/>
        <w:rPr>
          <w:rFonts w:ascii="Times New Roman" w:hAnsi="Times New Roman" w:cs="Times New Roman"/>
          <w:b/>
          <w:sz w:val="24"/>
          <w:szCs w:val="24"/>
          <w:lang w:val="en-US"/>
        </w:rPr>
      </w:pPr>
      <w:r w:rsidRPr="00100FBF">
        <w:rPr>
          <w:rFonts w:ascii="Times New Roman" w:hAnsi="Times New Roman" w:cs="Times New Roman"/>
          <w:b/>
          <w:sz w:val="24"/>
          <w:szCs w:val="24"/>
          <w:lang w:val="en-US"/>
        </w:rPr>
        <w:t xml:space="preserve">Figure 1: </w:t>
      </w:r>
    </w:p>
    <w:p w:rsidR="00D55663" w:rsidRPr="00427429" w:rsidRDefault="00E85466" w:rsidP="00D55663">
      <w:pPr>
        <w:spacing w:after="0"/>
        <w:jc w:val="center"/>
        <w:rPr>
          <w:rFonts w:ascii="Times New Roman" w:hAnsi="Times New Roman" w:cs="Times New Roman"/>
          <w:b/>
          <w:sz w:val="24"/>
          <w:szCs w:val="24"/>
          <w:lang w:val="en-US"/>
        </w:rPr>
      </w:pPr>
      <w:r w:rsidRPr="00100FBF">
        <w:rPr>
          <w:rFonts w:ascii="Times New Roman" w:hAnsi="Times New Roman" w:cs="Times New Roman"/>
          <w:b/>
          <w:sz w:val="24"/>
          <w:szCs w:val="24"/>
          <w:lang w:val="en-US"/>
        </w:rPr>
        <w:t xml:space="preserve">Annual Per Capita Production and Consumption </w:t>
      </w:r>
      <w:r w:rsidRPr="00427429">
        <w:rPr>
          <w:rFonts w:ascii="Times New Roman" w:hAnsi="Times New Roman" w:cs="Times New Roman"/>
          <w:b/>
          <w:sz w:val="24"/>
          <w:szCs w:val="24"/>
          <w:lang w:val="en-US"/>
        </w:rPr>
        <w:t xml:space="preserve">of </w:t>
      </w:r>
      <w:r w:rsidRPr="00100FBF">
        <w:rPr>
          <w:rFonts w:ascii="Times New Roman" w:hAnsi="Times New Roman" w:cs="Times New Roman"/>
          <w:b/>
          <w:sz w:val="24"/>
          <w:szCs w:val="24"/>
          <w:lang w:val="en-US"/>
        </w:rPr>
        <w:t>Food Grains</w:t>
      </w:r>
      <w:r w:rsidRPr="00427429">
        <w:rPr>
          <w:rFonts w:ascii="Times New Roman" w:hAnsi="Times New Roman" w:cs="Times New Roman"/>
          <w:b/>
          <w:sz w:val="24"/>
          <w:szCs w:val="24"/>
          <w:lang w:val="en-US"/>
        </w:rPr>
        <w:t xml:space="preserve"> in Kyrgyzstan: </w:t>
      </w:r>
    </w:p>
    <w:p w:rsidR="00E85466" w:rsidRPr="00427429" w:rsidRDefault="00E85466" w:rsidP="00D55663">
      <w:pPr>
        <w:spacing w:after="0"/>
        <w:jc w:val="center"/>
        <w:rPr>
          <w:rFonts w:ascii="Times New Roman" w:hAnsi="Times New Roman" w:cs="Times New Roman"/>
          <w:b/>
          <w:sz w:val="24"/>
          <w:szCs w:val="24"/>
          <w:lang w:val="en-US"/>
        </w:rPr>
      </w:pPr>
      <w:r w:rsidRPr="00427429">
        <w:rPr>
          <w:rFonts w:ascii="Times New Roman" w:hAnsi="Times New Roman" w:cs="Times New Roman"/>
          <w:b/>
          <w:sz w:val="24"/>
          <w:szCs w:val="24"/>
          <w:lang w:val="en-US"/>
        </w:rPr>
        <w:t>1990-2015</w:t>
      </w:r>
    </w:p>
    <w:p w:rsidR="00E85466" w:rsidRPr="00427429" w:rsidRDefault="00E85466" w:rsidP="00D55663">
      <w:pPr>
        <w:spacing w:after="0"/>
        <w:jc w:val="center"/>
        <w:rPr>
          <w:rFonts w:ascii="Times New Roman" w:hAnsi="Times New Roman" w:cs="Times New Roman"/>
          <w:sz w:val="24"/>
          <w:szCs w:val="24"/>
        </w:rPr>
      </w:pPr>
      <w:r w:rsidRPr="00427429">
        <w:rPr>
          <w:rFonts w:ascii="Times New Roman" w:hAnsi="Times New Roman" w:cs="Times New Roman"/>
          <w:noProof/>
          <w:sz w:val="24"/>
          <w:szCs w:val="24"/>
          <w:lang w:eastAsia="ru-RU"/>
        </w:rPr>
        <w:drawing>
          <wp:inline distT="0" distB="0" distL="0" distR="0">
            <wp:extent cx="4489340" cy="2767054"/>
            <wp:effectExtent l="19050" t="0" r="255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85466" w:rsidRPr="00100FBF" w:rsidRDefault="00E85466" w:rsidP="00E85466">
      <w:pPr>
        <w:jc w:val="center"/>
        <w:rPr>
          <w:rFonts w:ascii="Times New Roman" w:hAnsi="Times New Roman" w:cs="Times New Roman"/>
          <w:sz w:val="24"/>
          <w:szCs w:val="24"/>
          <w:lang w:val="en-US"/>
        </w:rPr>
      </w:pPr>
      <w:r w:rsidRPr="00100FBF">
        <w:rPr>
          <w:rFonts w:ascii="Times New Roman" w:hAnsi="Times New Roman" w:cs="Times New Roman"/>
          <w:sz w:val="24"/>
          <w:szCs w:val="24"/>
          <w:lang w:val="en-US"/>
        </w:rPr>
        <w:t>Source: Estimated from country data, Foreign Agriculture Service, USDA</w:t>
      </w:r>
    </w:p>
    <w:p w:rsidR="00E85466" w:rsidRPr="00100FBF" w:rsidRDefault="00E85466" w:rsidP="00E85466">
      <w:pPr>
        <w:jc w:val="both"/>
        <w:rPr>
          <w:rFonts w:ascii="Times New Roman" w:hAnsi="Times New Roman" w:cs="Times New Roman"/>
          <w:sz w:val="24"/>
          <w:szCs w:val="24"/>
          <w:lang w:val="en-US"/>
        </w:rPr>
      </w:pPr>
      <w:r w:rsidRPr="00100FBF">
        <w:rPr>
          <w:rFonts w:ascii="Times New Roman" w:hAnsi="Times New Roman" w:cs="Times New Roman"/>
          <w:sz w:val="24"/>
          <w:szCs w:val="24"/>
          <w:lang w:val="en-US"/>
        </w:rPr>
        <w:t>The GDP collapse also led to decline in grain imports by 80 per cent during this period. As Figure 1, depicts, there was some partial recovery in the grain consumption after 1995. By 2001-02, this reaches around 370 kg and has stabilized at that level till the current times. This recovery was driven by the expansion of domestic grain production, particularly of wheat, after 1995 and up to 2002. The import dependence of domestic consumption came down from roughly 40 per cent in 1990 to only around 6 per cent in 2002-03 (USDA, FAS).</w:t>
      </w:r>
    </w:p>
    <w:p w:rsidR="00E85466" w:rsidRPr="00100FBF" w:rsidRDefault="008456B6" w:rsidP="00E85466">
      <w:pPr>
        <w:jc w:val="both"/>
        <w:rPr>
          <w:rFonts w:ascii="Times New Roman" w:hAnsi="Times New Roman" w:cs="Times New Roman"/>
          <w:sz w:val="24"/>
          <w:szCs w:val="24"/>
          <w:lang w:val="en-US"/>
        </w:rPr>
      </w:pPr>
      <w:r w:rsidRPr="00427429">
        <w:rPr>
          <w:rFonts w:ascii="Times New Roman" w:hAnsi="Times New Roman" w:cs="Times New Roman"/>
          <w:sz w:val="24"/>
          <w:szCs w:val="24"/>
          <w:lang w:val="en-US"/>
        </w:rPr>
        <w:lastRenderedPageBreak/>
        <w:t>W</w:t>
      </w:r>
      <w:r w:rsidR="00E85466" w:rsidRPr="00100FBF">
        <w:rPr>
          <w:rFonts w:ascii="Times New Roman" w:hAnsi="Times New Roman" w:cs="Times New Roman"/>
          <w:sz w:val="24"/>
          <w:szCs w:val="24"/>
          <w:lang w:val="en-US"/>
        </w:rPr>
        <w:t>ithin the grain consumption in Kyrgyzstan, the per-capita feed component used for livestock production declined significantly from nearly 400 kg in 1990 to 87 kg in 1995 implying sharp cutbacks in domestic production and consumption of animal products</w:t>
      </w:r>
      <w:r w:rsidRPr="00427429">
        <w:rPr>
          <w:rFonts w:ascii="Times New Roman" w:hAnsi="Times New Roman" w:cs="Times New Roman"/>
          <w:sz w:val="24"/>
          <w:szCs w:val="24"/>
          <w:lang w:val="en-US"/>
        </w:rPr>
        <w:t xml:space="preserve"> (USDA, FAS)</w:t>
      </w:r>
      <w:r w:rsidR="00E85466" w:rsidRPr="00100FBF">
        <w:rPr>
          <w:rFonts w:ascii="Times New Roman" w:hAnsi="Times New Roman" w:cs="Times New Roman"/>
          <w:sz w:val="24"/>
          <w:szCs w:val="24"/>
          <w:lang w:val="en-US"/>
        </w:rPr>
        <w:t xml:space="preserve">. The recovery in this regard has been slow and over the last two decades, there has only been a partial reversal of this </w:t>
      </w:r>
      <w:r w:rsidR="002E173D" w:rsidRPr="00100FBF">
        <w:rPr>
          <w:rFonts w:ascii="Times New Roman" w:hAnsi="Times New Roman" w:cs="Times New Roman"/>
          <w:sz w:val="24"/>
          <w:szCs w:val="24"/>
          <w:lang w:val="en-US"/>
        </w:rPr>
        <w:t>decline</w:t>
      </w:r>
      <w:r w:rsidR="00E85466" w:rsidRPr="00100FBF">
        <w:rPr>
          <w:rFonts w:ascii="Times New Roman" w:hAnsi="Times New Roman" w:cs="Times New Roman"/>
          <w:sz w:val="24"/>
          <w:szCs w:val="24"/>
          <w:lang w:val="en-US"/>
        </w:rPr>
        <w:t>. In 2015, the per-capita feed consumption stood at 168 kg, a fraction of what it was in 1990 and this continues to remain a major challenge for food security in the country (USDA, FAS).</w:t>
      </w:r>
    </w:p>
    <w:p w:rsidR="00E85466" w:rsidRPr="00100FBF" w:rsidRDefault="00E85466" w:rsidP="00E85466">
      <w:pPr>
        <w:jc w:val="both"/>
        <w:rPr>
          <w:rFonts w:ascii="Times New Roman" w:hAnsi="Times New Roman" w:cs="Times New Roman"/>
          <w:sz w:val="24"/>
          <w:szCs w:val="24"/>
          <w:lang w:val="en-US"/>
        </w:rPr>
      </w:pPr>
      <w:r w:rsidRPr="00100FBF">
        <w:rPr>
          <w:rFonts w:ascii="Times New Roman" w:hAnsi="Times New Roman" w:cs="Times New Roman"/>
          <w:sz w:val="24"/>
          <w:szCs w:val="24"/>
          <w:lang w:val="en-US"/>
        </w:rPr>
        <w:t>The decline in the consumption of meat and other animal products in Kyrgyzstan have been compensated to a small extent by consumption of potato and potato products, which ensured the maintenance of a minimum energy security though having no positive impact on protein intakes. The annual per-capita intake of potato and potato products increased from 68 Kg in 1992 to 101 kg in 2011 (FAO Food Balanc</w:t>
      </w:r>
      <w:r w:rsidR="00100FBF">
        <w:rPr>
          <w:rFonts w:ascii="Times New Roman" w:hAnsi="Times New Roman" w:cs="Times New Roman"/>
          <w:sz w:val="24"/>
          <w:szCs w:val="24"/>
          <w:lang w:val="en-US"/>
        </w:rPr>
        <w:t>e Sheet, 1992 and 2011). Such a</w:t>
      </w:r>
      <w:r w:rsidRPr="00100FBF">
        <w:rPr>
          <w:rFonts w:ascii="Times New Roman" w:hAnsi="Times New Roman" w:cs="Times New Roman"/>
          <w:sz w:val="24"/>
          <w:szCs w:val="24"/>
          <w:lang w:val="en-US"/>
        </w:rPr>
        <w:t xml:space="preserve"> macro-economic situation in food security has important implications for poverty and well-being.</w:t>
      </w:r>
    </w:p>
    <w:p w:rsidR="00E85466" w:rsidRPr="00427429" w:rsidRDefault="00E85466" w:rsidP="00E85466">
      <w:pPr>
        <w:jc w:val="both"/>
        <w:rPr>
          <w:rFonts w:ascii="Times New Roman" w:hAnsi="Times New Roman" w:cs="Times New Roman"/>
          <w:sz w:val="24"/>
          <w:szCs w:val="24"/>
          <w:lang w:val="ky-KG"/>
        </w:rPr>
      </w:pPr>
      <w:r w:rsidRPr="00100FBF">
        <w:rPr>
          <w:rFonts w:ascii="Times New Roman" w:hAnsi="Times New Roman" w:cs="Times New Roman"/>
          <w:sz w:val="24"/>
          <w:szCs w:val="24"/>
          <w:lang w:val="en-US"/>
        </w:rPr>
        <w:t xml:space="preserve">The poverty in Kyrgyzstan increased from 35% in 1993 to </w:t>
      </w:r>
      <w:r w:rsidRPr="00100FBF">
        <w:rPr>
          <w:rFonts w:ascii="Times New Roman" w:hAnsi="Times New Roman" w:cs="Times New Roman"/>
          <w:noProof/>
          <w:sz w:val="24"/>
          <w:szCs w:val="24"/>
          <w:lang w:val="en-US"/>
        </w:rPr>
        <w:t>a</w:t>
      </w:r>
      <w:r w:rsidRPr="00100FBF">
        <w:rPr>
          <w:rFonts w:ascii="Times New Roman" w:hAnsi="Times New Roman" w:cs="Times New Roman"/>
          <w:sz w:val="24"/>
          <w:szCs w:val="24"/>
          <w:lang w:val="en-US"/>
        </w:rPr>
        <w:t xml:space="preserve"> maximum of 64% in 1999. High poverty incidence drove a significant part of the population close to hunger - in 2000, 32.9% of the population were below extreme poverty </w:t>
      </w:r>
      <w:r w:rsidRPr="00100FBF">
        <w:rPr>
          <w:rFonts w:ascii="Times New Roman" w:hAnsi="Times New Roman" w:cs="Times New Roman"/>
          <w:noProof/>
          <w:sz w:val="24"/>
          <w:szCs w:val="24"/>
          <w:lang w:val="en-US"/>
        </w:rPr>
        <w:t>line</w:t>
      </w:r>
      <w:r w:rsidRPr="00100FBF">
        <w:rPr>
          <w:rFonts w:ascii="Times New Roman" w:hAnsi="Times New Roman" w:cs="Times New Roman"/>
          <w:sz w:val="24"/>
          <w:szCs w:val="24"/>
          <w:lang w:val="en-US"/>
        </w:rPr>
        <w:t xml:space="preserve"> (undernourishment or hunger line). Such changes in the food access have led to a sharp rise in wheat production in Kyrgyzstan in the late nineties: the share of wheat in total cultivated area increased from 15% in 1990 to 46% in 1997.</w:t>
      </w:r>
    </w:p>
    <w:p w:rsidR="00E85466" w:rsidRPr="00100FBF" w:rsidRDefault="008456B6" w:rsidP="00E85466">
      <w:pPr>
        <w:jc w:val="both"/>
        <w:rPr>
          <w:rFonts w:ascii="Times New Roman" w:hAnsi="Times New Roman" w:cs="Times New Roman"/>
          <w:sz w:val="24"/>
          <w:szCs w:val="24"/>
          <w:lang w:val="en-US"/>
        </w:rPr>
      </w:pPr>
      <w:r w:rsidRPr="00427429">
        <w:rPr>
          <w:rFonts w:ascii="Times New Roman" w:hAnsi="Times New Roman" w:cs="Times New Roman"/>
          <w:sz w:val="24"/>
          <w:szCs w:val="24"/>
          <w:lang w:val="en-US"/>
        </w:rPr>
        <w:t>The</w:t>
      </w:r>
      <w:r w:rsidR="00E85466" w:rsidRPr="00100FBF">
        <w:rPr>
          <w:rFonts w:ascii="Times New Roman" w:hAnsi="Times New Roman" w:cs="Times New Roman"/>
          <w:sz w:val="24"/>
          <w:szCs w:val="24"/>
          <w:lang w:val="en-US"/>
        </w:rPr>
        <w:t xml:space="preserve"> national policy of the Kyrgyz Republic Food Security (Resolution # 585 </w:t>
      </w:r>
      <w:r w:rsidR="00E85466" w:rsidRPr="00100FBF">
        <w:rPr>
          <w:rFonts w:ascii="Times New Roman" w:hAnsi="Times New Roman" w:cs="Times New Roman"/>
          <w:noProof/>
          <w:sz w:val="24"/>
          <w:szCs w:val="24"/>
          <w:lang w:val="en-US"/>
        </w:rPr>
        <w:t>on</w:t>
      </w:r>
      <w:r w:rsidR="00E85466" w:rsidRPr="00100FBF">
        <w:rPr>
          <w:rFonts w:ascii="Times New Roman" w:hAnsi="Times New Roman" w:cs="Times New Roman"/>
          <w:sz w:val="24"/>
          <w:szCs w:val="24"/>
          <w:lang w:val="en-US"/>
        </w:rPr>
        <w:t xml:space="preserve"> October 26, 1999)</w:t>
      </w:r>
      <w:r w:rsidR="00E85466" w:rsidRPr="00100FBF">
        <w:rPr>
          <w:rFonts w:ascii="Times New Roman" w:hAnsi="Times New Roman" w:cs="Times New Roman"/>
          <w:noProof/>
          <w:sz w:val="24"/>
          <w:szCs w:val="24"/>
          <w:lang w:val="en-US"/>
        </w:rPr>
        <w:t xml:space="preserve"> identified </w:t>
      </w:r>
      <w:r w:rsidRPr="00427429">
        <w:rPr>
          <w:rFonts w:ascii="Times New Roman" w:hAnsi="Times New Roman" w:cs="Times New Roman"/>
          <w:noProof/>
          <w:sz w:val="24"/>
          <w:szCs w:val="24"/>
          <w:lang w:val="en-US"/>
        </w:rPr>
        <w:t xml:space="preserve">strategic priorities like </w:t>
      </w:r>
      <w:r w:rsidR="00E85466" w:rsidRPr="00100FBF">
        <w:rPr>
          <w:rFonts w:ascii="Times New Roman" w:hAnsi="Times New Roman" w:cs="Times New Roman"/>
          <w:noProof/>
          <w:sz w:val="24"/>
          <w:szCs w:val="24"/>
          <w:lang w:val="en-US"/>
        </w:rPr>
        <w:t xml:space="preserve">agrarian and land reform, marketing reform, access to credit, processing of agriproducts institutional strengthening, natural resource management, development of extension services and improved seed production. </w:t>
      </w:r>
      <w:r w:rsidRPr="00427429">
        <w:rPr>
          <w:rFonts w:ascii="Times New Roman" w:hAnsi="Times New Roman" w:cs="Times New Roman"/>
          <w:noProof/>
          <w:sz w:val="24"/>
          <w:szCs w:val="24"/>
          <w:lang w:val="en-US"/>
        </w:rPr>
        <w:t>The policy also emphasized on</w:t>
      </w:r>
      <w:r w:rsidR="00E85466" w:rsidRPr="00100FBF">
        <w:rPr>
          <w:rFonts w:ascii="Times New Roman" w:hAnsi="Times New Roman" w:cs="Times New Roman"/>
          <w:noProof/>
          <w:sz w:val="24"/>
          <w:szCs w:val="24"/>
          <w:lang w:val="en-US"/>
        </w:rPr>
        <w:t xml:space="preserve"> social security and health care, emergency situation readiness, macroeconomic stability, and public finance.</w:t>
      </w:r>
    </w:p>
    <w:p w:rsidR="008456B6" w:rsidRPr="00427429" w:rsidRDefault="00E85466" w:rsidP="00E85466">
      <w:pPr>
        <w:jc w:val="both"/>
        <w:rPr>
          <w:rFonts w:ascii="Times New Roman" w:hAnsi="Times New Roman" w:cs="Times New Roman"/>
          <w:sz w:val="24"/>
          <w:szCs w:val="24"/>
          <w:lang w:val="en-US"/>
        </w:rPr>
      </w:pPr>
      <w:r w:rsidRPr="00100FBF">
        <w:rPr>
          <w:rFonts w:ascii="Times New Roman" w:hAnsi="Times New Roman" w:cs="Times New Roman"/>
          <w:noProof/>
          <w:sz w:val="24"/>
          <w:szCs w:val="24"/>
          <w:lang w:val="en-US"/>
        </w:rPr>
        <w:t>With land distribution to individual rural families as private property,</w:t>
      </w:r>
      <w:r w:rsidR="00100FBF" w:rsidRPr="00100FBF">
        <w:rPr>
          <w:rFonts w:ascii="Times New Roman" w:hAnsi="Times New Roman" w:cs="Times New Roman"/>
          <w:noProof/>
          <w:sz w:val="24"/>
          <w:szCs w:val="24"/>
          <w:lang w:val="en-US"/>
        </w:rPr>
        <w:t xml:space="preserve"> </w:t>
      </w:r>
      <w:r w:rsidRPr="00100FBF">
        <w:rPr>
          <w:rFonts w:ascii="Times New Roman" w:hAnsi="Times New Roman" w:cs="Times New Roman"/>
          <w:noProof/>
          <w:sz w:val="24"/>
          <w:szCs w:val="24"/>
          <w:lang w:val="en-US"/>
        </w:rPr>
        <w:t xml:space="preserve">agricultural productivity </w:t>
      </w:r>
      <w:r w:rsidR="008456B6" w:rsidRPr="00100FBF">
        <w:rPr>
          <w:rFonts w:ascii="Times New Roman" w:hAnsi="Times New Roman" w:cs="Times New Roman"/>
          <w:noProof/>
          <w:sz w:val="24"/>
          <w:szCs w:val="24"/>
          <w:lang w:val="en-US"/>
        </w:rPr>
        <w:t>start</w:t>
      </w:r>
      <w:r w:rsidR="008456B6" w:rsidRPr="00427429">
        <w:rPr>
          <w:rFonts w:ascii="Times New Roman" w:hAnsi="Times New Roman" w:cs="Times New Roman"/>
          <w:noProof/>
          <w:sz w:val="24"/>
          <w:szCs w:val="24"/>
          <w:lang w:val="en-US"/>
        </w:rPr>
        <w:t>ed</w:t>
      </w:r>
      <w:r w:rsidRPr="00100FBF">
        <w:rPr>
          <w:rFonts w:ascii="Times New Roman" w:hAnsi="Times New Roman" w:cs="Times New Roman"/>
          <w:noProof/>
          <w:sz w:val="24"/>
          <w:szCs w:val="24"/>
          <w:lang w:val="en-US"/>
        </w:rPr>
        <w:t xml:space="preserve"> </w:t>
      </w:r>
      <w:r w:rsidR="008456B6" w:rsidRPr="00427429">
        <w:rPr>
          <w:rFonts w:ascii="Times New Roman" w:hAnsi="Times New Roman" w:cs="Times New Roman"/>
          <w:noProof/>
          <w:sz w:val="24"/>
          <w:szCs w:val="24"/>
          <w:lang w:val="en-US"/>
        </w:rPr>
        <w:t>increasing</w:t>
      </w:r>
      <w:r w:rsidRPr="00100FBF">
        <w:rPr>
          <w:rFonts w:ascii="Times New Roman" w:hAnsi="Times New Roman" w:cs="Times New Roman"/>
          <w:noProof/>
          <w:sz w:val="24"/>
          <w:szCs w:val="24"/>
          <w:lang w:val="en-US"/>
        </w:rPr>
        <w:t>. Agricultural output recover</w:t>
      </w:r>
      <w:r w:rsidR="008456B6" w:rsidRPr="00427429">
        <w:rPr>
          <w:rFonts w:ascii="Times New Roman" w:hAnsi="Times New Roman" w:cs="Times New Roman"/>
          <w:noProof/>
          <w:sz w:val="24"/>
          <w:szCs w:val="24"/>
          <w:lang w:val="en-US"/>
        </w:rPr>
        <w:t>ed</w:t>
      </w:r>
      <w:r w:rsidRPr="00100FBF">
        <w:rPr>
          <w:rFonts w:ascii="Times New Roman" w:hAnsi="Times New Roman" w:cs="Times New Roman"/>
          <w:noProof/>
          <w:sz w:val="24"/>
          <w:szCs w:val="24"/>
          <w:lang w:val="en-US"/>
        </w:rPr>
        <w:t xml:space="preserve"> to the 1990 level by 2002. </w:t>
      </w:r>
      <w:r w:rsidRPr="00100FBF">
        <w:rPr>
          <w:rFonts w:ascii="Times New Roman" w:hAnsi="Times New Roman" w:cs="Times New Roman"/>
          <w:sz w:val="24"/>
          <w:szCs w:val="24"/>
          <w:lang w:val="en-US"/>
        </w:rPr>
        <w:t xml:space="preserve">Also in 1999, Kyrgyzstan joined the WTO and </w:t>
      </w:r>
      <w:r w:rsidRPr="00100FBF">
        <w:rPr>
          <w:rFonts w:ascii="Times New Roman" w:hAnsi="Times New Roman" w:cs="Times New Roman"/>
          <w:noProof/>
          <w:sz w:val="24"/>
          <w:szCs w:val="24"/>
          <w:lang w:val="en-US"/>
        </w:rPr>
        <w:t>started</w:t>
      </w:r>
      <w:r w:rsidRPr="00100FBF">
        <w:rPr>
          <w:rFonts w:ascii="Times New Roman" w:hAnsi="Times New Roman" w:cs="Times New Roman"/>
          <w:sz w:val="24"/>
          <w:szCs w:val="24"/>
          <w:lang w:val="en-US"/>
        </w:rPr>
        <w:t xml:space="preserve"> actively develop foreign </w:t>
      </w:r>
      <w:r w:rsidRPr="00100FBF">
        <w:rPr>
          <w:rFonts w:ascii="Times New Roman" w:hAnsi="Times New Roman" w:cs="Times New Roman"/>
          <w:noProof/>
          <w:sz w:val="24"/>
          <w:szCs w:val="24"/>
          <w:lang w:val="en-US"/>
        </w:rPr>
        <w:t>trade through lowering import tariff policy</w:t>
      </w:r>
      <w:r w:rsidR="008456B6" w:rsidRPr="00427429">
        <w:rPr>
          <w:rFonts w:ascii="Times New Roman" w:hAnsi="Times New Roman" w:cs="Times New Roman"/>
          <w:noProof/>
          <w:sz w:val="24"/>
          <w:szCs w:val="24"/>
          <w:lang w:val="en-US"/>
        </w:rPr>
        <w:t>, which led t</w:t>
      </w:r>
      <w:r w:rsidR="002E173D">
        <w:rPr>
          <w:rFonts w:ascii="Times New Roman" w:hAnsi="Times New Roman" w:cs="Times New Roman"/>
          <w:noProof/>
          <w:sz w:val="24"/>
          <w:szCs w:val="24"/>
          <w:lang w:val="en-US"/>
        </w:rPr>
        <w:t>o an increase in cheap food imp</w:t>
      </w:r>
      <w:r w:rsidR="008456B6" w:rsidRPr="00427429">
        <w:rPr>
          <w:rFonts w:ascii="Times New Roman" w:hAnsi="Times New Roman" w:cs="Times New Roman"/>
          <w:noProof/>
          <w:sz w:val="24"/>
          <w:szCs w:val="24"/>
          <w:lang w:val="en-US"/>
        </w:rPr>
        <w:t>orts</w:t>
      </w:r>
      <w:r w:rsidRPr="00100FBF">
        <w:rPr>
          <w:rFonts w:ascii="Times New Roman" w:hAnsi="Times New Roman" w:cs="Times New Roman"/>
          <w:noProof/>
          <w:sz w:val="24"/>
          <w:szCs w:val="24"/>
          <w:lang w:val="en-US"/>
        </w:rPr>
        <w:t>.</w:t>
      </w:r>
      <w:r w:rsidRPr="00100FBF">
        <w:rPr>
          <w:rFonts w:ascii="Times New Roman" w:hAnsi="Times New Roman" w:cs="Times New Roman"/>
          <w:sz w:val="24"/>
          <w:szCs w:val="24"/>
          <w:lang w:val="en-US"/>
        </w:rPr>
        <w:t xml:space="preserve"> Moreover, following the oil-led economic recovery in Russia and Kazakhstan since 2001, there has been rapidly growing labor migration from Kyrgyzstan into these countries</w:t>
      </w:r>
      <w:r w:rsidR="008456B6" w:rsidRPr="00427429">
        <w:rPr>
          <w:rFonts w:ascii="Times New Roman" w:hAnsi="Times New Roman" w:cs="Times New Roman"/>
          <w:sz w:val="24"/>
          <w:szCs w:val="24"/>
          <w:lang w:val="en-US"/>
        </w:rPr>
        <w:t>, thereby increasing incoming remittances</w:t>
      </w:r>
      <w:r w:rsidRPr="00100FBF">
        <w:rPr>
          <w:rFonts w:ascii="Times New Roman" w:hAnsi="Times New Roman" w:cs="Times New Roman"/>
          <w:sz w:val="24"/>
          <w:szCs w:val="24"/>
          <w:lang w:val="en-US"/>
        </w:rPr>
        <w:t xml:space="preserve">. As a result, </w:t>
      </w:r>
      <w:r w:rsidR="008456B6" w:rsidRPr="00427429">
        <w:rPr>
          <w:rFonts w:ascii="Times New Roman" w:hAnsi="Times New Roman" w:cs="Times New Roman"/>
          <w:sz w:val="24"/>
          <w:szCs w:val="24"/>
          <w:lang w:val="en-US"/>
        </w:rPr>
        <w:t>b</w:t>
      </w:r>
      <w:r w:rsidRPr="00100FBF">
        <w:rPr>
          <w:rFonts w:ascii="Times New Roman" w:hAnsi="Times New Roman" w:cs="Times New Roman"/>
          <w:sz w:val="24"/>
          <w:szCs w:val="24"/>
          <w:lang w:val="en-US"/>
        </w:rPr>
        <w:t xml:space="preserve">etween 2001 and 2008, poverty consistently declined and halved to a level of 32%. </w:t>
      </w:r>
    </w:p>
    <w:p w:rsidR="00E85466" w:rsidRPr="00100FBF" w:rsidRDefault="00E85466" w:rsidP="00E85466">
      <w:pPr>
        <w:jc w:val="both"/>
        <w:rPr>
          <w:rFonts w:ascii="Times New Roman" w:hAnsi="Times New Roman" w:cs="Times New Roman"/>
          <w:sz w:val="24"/>
          <w:szCs w:val="24"/>
          <w:lang w:val="en-US"/>
        </w:rPr>
      </w:pPr>
      <w:r w:rsidRPr="00100FBF">
        <w:rPr>
          <w:rFonts w:ascii="Times New Roman" w:hAnsi="Times New Roman" w:cs="Times New Roman"/>
          <w:sz w:val="24"/>
          <w:szCs w:val="24"/>
          <w:lang w:val="en-US"/>
        </w:rPr>
        <w:t xml:space="preserve">Food security improved in the country, but the </w:t>
      </w:r>
      <w:r w:rsidRPr="00100FBF">
        <w:rPr>
          <w:rFonts w:ascii="Times New Roman" w:hAnsi="Times New Roman" w:cs="Times New Roman"/>
          <w:noProof/>
          <w:sz w:val="24"/>
          <w:szCs w:val="24"/>
          <w:lang w:val="en-US"/>
        </w:rPr>
        <w:t>observable</w:t>
      </w:r>
      <w:r w:rsidRPr="00100FBF">
        <w:rPr>
          <w:rFonts w:ascii="Times New Roman" w:hAnsi="Times New Roman" w:cs="Times New Roman"/>
          <w:sz w:val="24"/>
          <w:szCs w:val="24"/>
          <w:lang w:val="en-US"/>
        </w:rPr>
        <w:t xml:space="preserve"> </w:t>
      </w:r>
      <w:r w:rsidRPr="00100FBF">
        <w:rPr>
          <w:rFonts w:ascii="Times New Roman" w:hAnsi="Times New Roman" w:cs="Times New Roman"/>
          <w:noProof/>
          <w:sz w:val="24"/>
          <w:szCs w:val="24"/>
          <w:lang w:val="en-US"/>
        </w:rPr>
        <w:t>improvement</w:t>
      </w:r>
      <w:r w:rsidRPr="00100FBF">
        <w:rPr>
          <w:rFonts w:ascii="Times New Roman" w:hAnsi="Times New Roman" w:cs="Times New Roman"/>
          <w:sz w:val="24"/>
          <w:szCs w:val="24"/>
          <w:lang w:val="en-US"/>
        </w:rPr>
        <w:t xml:space="preserve"> </w:t>
      </w:r>
      <w:r w:rsidRPr="00100FBF">
        <w:rPr>
          <w:rFonts w:ascii="Times New Roman" w:hAnsi="Times New Roman" w:cs="Times New Roman"/>
          <w:noProof/>
          <w:sz w:val="24"/>
          <w:szCs w:val="24"/>
          <w:lang w:val="en-US"/>
        </w:rPr>
        <w:t>was not</w:t>
      </w:r>
      <w:r w:rsidR="008456B6" w:rsidRPr="00100FBF">
        <w:rPr>
          <w:rFonts w:ascii="Times New Roman" w:hAnsi="Times New Roman" w:cs="Times New Roman"/>
          <w:sz w:val="24"/>
          <w:szCs w:val="24"/>
          <w:lang w:val="en-US"/>
        </w:rPr>
        <w:t xml:space="preserve"> sustainable</w:t>
      </w:r>
      <w:r w:rsidR="008456B6" w:rsidRPr="00427429">
        <w:rPr>
          <w:rFonts w:ascii="Times New Roman" w:hAnsi="Times New Roman" w:cs="Times New Roman"/>
          <w:sz w:val="24"/>
          <w:szCs w:val="24"/>
          <w:lang w:val="en-US"/>
        </w:rPr>
        <w:t xml:space="preserve"> primarily due to the emergent Global Food Crisis</w:t>
      </w:r>
      <w:r w:rsidRPr="00100FBF">
        <w:rPr>
          <w:rFonts w:ascii="Times New Roman" w:hAnsi="Times New Roman" w:cs="Times New Roman"/>
          <w:sz w:val="24"/>
          <w:szCs w:val="24"/>
          <w:lang w:val="en-US"/>
        </w:rPr>
        <w:t xml:space="preserve"> </w:t>
      </w:r>
      <w:r w:rsidR="008456B6" w:rsidRPr="00427429">
        <w:rPr>
          <w:rFonts w:ascii="Times New Roman" w:hAnsi="Times New Roman" w:cs="Times New Roman"/>
          <w:sz w:val="24"/>
          <w:szCs w:val="24"/>
          <w:lang w:val="en-US"/>
        </w:rPr>
        <w:t xml:space="preserve">after 2008. The high food prices in the world markets and associated volatility subjected the </w:t>
      </w:r>
      <w:r w:rsidR="00903DF4" w:rsidRPr="00427429">
        <w:rPr>
          <w:rFonts w:ascii="Times New Roman" w:hAnsi="Times New Roman" w:cs="Times New Roman"/>
          <w:sz w:val="24"/>
          <w:szCs w:val="24"/>
          <w:lang w:val="en-US"/>
        </w:rPr>
        <w:t>population</w:t>
      </w:r>
      <w:r w:rsidR="008456B6" w:rsidRPr="00427429">
        <w:rPr>
          <w:rFonts w:ascii="Times New Roman" w:hAnsi="Times New Roman" w:cs="Times New Roman"/>
          <w:sz w:val="24"/>
          <w:szCs w:val="24"/>
          <w:lang w:val="en-US"/>
        </w:rPr>
        <w:t xml:space="preserve"> to </w:t>
      </w:r>
      <w:r w:rsidR="00903DF4" w:rsidRPr="00427429">
        <w:rPr>
          <w:rFonts w:ascii="Times New Roman" w:hAnsi="Times New Roman" w:cs="Times New Roman"/>
          <w:sz w:val="24"/>
          <w:szCs w:val="24"/>
          <w:lang w:val="en-US"/>
        </w:rPr>
        <w:t xml:space="preserve">economic shocks as well as macro-economic problems related to the balance of payments. The decline of poverty was also arrested after 2008. This new environment, where cheaper imports are not available reflects a new range of challenges which required fresh policy interventions. </w:t>
      </w:r>
    </w:p>
    <w:p w:rsidR="00E85466" w:rsidRPr="00427429" w:rsidRDefault="00903DF4" w:rsidP="00903DF4">
      <w:pPr>
        <w:jc w:val="both"/>
        <w:rPr>
          <w:rFonts w:ascii="Times New Roman" w:hAnsi="Times New Roman" w:cs="Times New Roman"/>
          <w:noProof/>
          <w:sz w:val="24"/>
          <w:szCs w:val="24"/>
          <w:lang w:val="en-US"/>
        </w:rPr>
      </w:pPr>
      <w:r w:rsidRPr="00427429">
        <w:rPr>
          <w:rFonts w:ascii="Times New Roman" w:hAnsi="Times New Roman" w:cs="Times New Roman"/>
          <w:noProof/>
          <w:sz w:val="24"/>
          <w:szCs w:val="24"/>
          <w:lang w:val="en-US"/>
        </w:rPr>
        <w:t>T</w:t>
      </w:r>
      <w:r w:rsidR="00E85466" w:rsidRPr="00100FBF">
        <w:rPr>
          <w:rFonts w:ascii="Times New Roman" w:hAnsi="Times New Roman" w:cs="Times New Roman"/>
          <w:sz w:val="24"/>
          <w:szCs w:val="24"/>
          <w:lang w:val="en-US"/>
        </w:rPr>
        <w:t>he Food Safety Law (# 183 on August 4, 2008)</w:t>
      </w:r>
      <w:r w:rsidRPr="00427429">
        <w:rPr>
          <w:rFonts w:ascii="Times New Roman" w:hAnsi="Times New Roman" w:cs="Times New Roman"/>
          <w:sz w:val="24"/>
          <w:szCs w:val="24"/>
          <w:lang w:val="en-US"/>
        </w:rPr>
        <w:t xml:space="preserve"> adopted by the government undertook varied measures like d</w:t>
      </w:r>
      <w:r w:rsidR="00E85466" w:rsidRPr="00100FBF">
        <w:rPr>
          <w:rFonts w:ascii="Times New Roman" w:hAnsi="Times New Roman" w:cs="Times New Roman"/>
          <w:noProof/>
          <w:sz w:val="24"/>
          <w:szCs w:val="24"/>
          <w:lang w:val="en-US"/>
        </w:rPr>
        <w:t xml:space="preserve">istribution of food to vulnerable people, </w:t>
      </w:r>
      <w:r w:rsidR="00996B89">
        <w:rPr>
          <w:rFonts w:ascii="Times New Roman" w:hAnsi="Times New Roman" w:cs="Times New Roman"/>
          <w:noProof/>
          <w:sz w:val="24"/>
          <w:szCs w:val="24"/>
          <w:lang w:val="en-US"/>
        </w:rPr>
        <w:t>do</w:t>
      </w:r>
      <w:r w:rsidRPr="00427429">
        <w:rPr>
          <w:rFonts w:ascii="Times New Roman" w:hAnsi="Times New Roman" w:cs="Times New Roman"/>
          <w:noProof/>
          <w:sz w:val="24"/>
          <w:szCs w:val="24"/>
          <w:lang w:val="en-US"/>
        </w:rPr>
        <w:t>m</w:t>
      </w:r>
      <w:r w:rsidR="00996B89">
        <w:rPr>
          <w:rFonts w:ascii="Times New Roman" w:hAnsi="Times New Roman" w:cs="Times New Roman"/>
          <w:noProof/>
          <w:sz w:val="24"/>
          <w:szCs w:val="24"/>
          <w:lang w:val="en-US"/>
        </w:rPr>
        <w:t>e</w:t>
      </w:r>
      <w:r w:rsidRPr="00427429">
        <w:rPr>
          <w:rFonts w:ascii="Times New Roman" w:hAnsi="Times New Roman" w:cs="Times New Roman"/>
          <w:noProof/>
          <w:sz w:val="24"/>
          <w:szCs w:val="24"/>
          <w:lang w:val="en-US"/>
        </w:rPr>
        <w:t>stic wheat procurement, building of reserve</w:t>
      </w:r>
      <w:r w:rsidR="002C65F5" w:rsidRPr="00427429">
        <w:rPr>
          <w:rFonts w:ascii="Times New Roman" w:hAnsi="Times New Roman" w:cs="Times New Roman"/>
          <w:noProof/>
          <w:sz w:val="24"/>
          <w:szCs w:val="24"/>
          <w:lang w:val="en-US"/>
        </w:rPr>
        <w:t xml:space="preserve"> food stocks, etc. This also led to the deliberative and coordinated development of the Food Security and Nutrition Programme (FSNP)</w:t>
      </w:r>
      <w:r w:rsidR="00D55663" w:rsidRPr="00427429">
        <w:rPr>
          <w:rFonts w:ascii="Times New Roman" w:hAnsi="Times New Roman" w:cs="Times New Roman"/>
          <w:noProof/>
          <w:sz w:val="24"/>
          <w:szCs w:val="24"/>
          <w:lang w:val="en-US"/>
        </w:rPr>
        <w:t xml:space="preserve"> for 2015-17, notified in September, 2015</w:t>
      </w:r>
      <w:r w:rsidR="002C65F5" w:rsidRPr="00427429">
        <w:rPr>
          <w:rFonts w:ascii="Times New Roman" w:hAnsi="Times New Roman" w:cs="Times New Roman"/>
          <w:noProof/>
          <w:sz w:val="24"/>
          <w:szCs w:val="24"/>
          <w:lang w:val="en-US"/>
        </w:rPr>
        <w:t>.</w:t>
      </w:r>
    </w:p>
    <w:sectPr w:rsidR="00E85466" w:rsidRPr="00427429" w:rsidSect="00427429">
      <w:pgSz w:w="11906" w:h="16838"/>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D8A" w:rsidRDefault="00A65D8A" w:rsidP="00E85466">
      <w:pPr>
        <w:spacing w:after="0" w:line="240" w:lineRule="auto"/>
      </w:pPr>
      <w:r>
        <w:separator/>
      </w:r>
    </w:p>
  </w:endnote>
  <w:endnote w:type="continuationSeparator" w:id="0">
    <w:p w:rsidR="00A65D8A" w:rsidRDefault="00A65D8A" w:rsidP="00E85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D8A" w:rsidRDefault="00A65D8A" w:rsidP="00E85466">
      <w:pPr>
        <w:spacing w:after="0" w:line="240" w:lineRule="auto"/>
      </w:pPr>
      <w:r>
        <w:separator/>
      </w:r>
    </w:p>
  </w:footnote>
  <w:footnote w:type="continuationSeparator" w:id="0">
    <w:p w:rsidR="00A65D8A" w:rsidRDefault="00A65D8A" w:rsidP="00E85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37A65"/>
    <w:multiLevelType w:val="hybridMultilevel"/>
    <w:tmpl w:val="B20AD2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FAF0A2C"/>
    <w:multiLevelType w:val="hybridMultilevel"/>
    <w:tmpl w:val="21483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D6250A"/>
    <w:multiLevelType w:val="hybridMultilevel"/>
    <w:tmpl w:val="6C543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5E7D6B"/>
    <w:multiLevelType w:val="hybridMultilevel"/>
    <w:tmpl w:val="BE7658E8"/>
    <w:lvl w:ilvl="0" w:tplc="48E614E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C02334"/>
    <w:multiLevelType w:val="hybridMultilevel"/>
    <w:tmpl w:val="713C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45716A"/>
    <w:multiLevelType w:val="hybridMultilevel"/>
    <w:tmpl w:val="64E2A302"/>
    <w:lvl w:ilvl="0" w:tplc="48E614E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5466"/>
    <w:rsid w:val="00100FBF"/>
    <w:rsid w:val="002C65F5"/>
    <w:rsid w:val="002E173D"/>
    <w:rsid w:val="00427429"/>
    <w:rsid w:val="00526EAD"/>
    <w:rsid w:val="008456B6"/>
    <w:rsid w:val="00903DF4"/>
    <w:rsid w:val="00996B89"/>
    <w:rsid w:val="00A65D8A"/>
    <w:rsid w:val="00A94253"/>
    <w:rsid w:val="00B178D2"/>
    <w:rsid w:val="00B70B4D"/>
    <w:rsid w:val="00C44040"/>
    <w:rsid w:val="00D55663"/>
    <w:rsid w:val="00D7004C"/>
    <w:rsid w:val="00D94107"/>
    <w:rsid w:val="00E85466"/>
    <w:rsid w:val="00EA1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66"/>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466"/>
    <w:pPr>
      <w:ind w:left="720"/>
      <w:contextualSpacing/>
    </w:pPr>
  </w:style>
  <w:style w:type="paragraph" w:styleId="a4">
    <w:name w:val="footnote text"/>
    <w:basedOn w:val="a"/>
    <w:link w:val="a5"/>
    <w:uiPriority w:val="99"/>
    <w:semiHidden/>
    <w:unhideWhenUsed/>
    <w:rsid w:val="00E85466"/>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semiHidden/>
    <w:rsid w:val="00E85466"/>
    <w:rPr>
      <w:rFonts w:ascii="Times New Roman" w:hAnsi="Times New Roman"/>
      <w:sz w:val="20"/>
      <w:szCs w:val="20"/>
      <w:lang w:val="ru-RU"/>
    </w:rPr>
  </w:style>
  <w:style w:type="character" w:styleId="a6">
    <w:name w:val="footnote reference"/>
    <w:basedOn w:val="a0"/>
    <w:uiPriority w:val="99"/>
    <w:semiHidden/>
    <w:unhideWhenUsed/>
    <w:rsid w:val="00E85466"/>
    <w:rPr>
      <w:vertAlign w:val="superscript"/>
    </w:rPr>
  </w:style>
  <w:style w:type="paragraph" w:styleId="a7">
    <w:name w:val="Balloon Text"/>
    <w:basedOn w:val="a"/>
    <w:link w:val="a8"/>
    <w:uiPriority w:val="99"/>
    <w:semiHidden/>
    <w:unhideWhenUsed/>
    <w:rsid w:val="00E854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5466"/>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rindam\Dropbox\FAO%20Kyrgyzstan\Kyrgyzstan%20PS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pc Production</c:v>
          </c:tx>
          <c:marker>
            <c:symbol val="none"/>
          </c:marker>
          <c:cat>
            <c:strRef>
              <c:f>Sheet1!$D$62:$AC$62</c:f>
              <c:strCache>
                <c:ptCount val="26"/>
                <c:pt idx="0">
                  <c:v>1990/1991</c:v>
                </c:pt>
                <c:pt idx="1">
                  <c:v>1991/1992</c:v>
                </c:pt>
                <c:pt idx="2">
                  <c:v>1992/1993</c:v>
                </c:pt>
                <c:pt idx="3">
                  <c:v>1993/1994</c:v>
                </c:pt>
                <c:pt idx="4">
                  <c:v>1994/1995</c:v>
                </c:pt>
                <c:pt idx="5">
                  <c:v>1995/1996</c:v>
                </c:pt>
                <c:pt idx="6">
                  <c:v>1996/1997</c:v>
                </c:pt>
                <c:pt idx="7">
                  <c:v>1997/1998</c:v>
                </c:pt>
                <c:pt idx="8">
                  <c:v>1998/1999</c:v>
                </c:pt>
                <c:pt idx="9">
                  <c:v>1999/2000</c:v>
                </c:pt>
                <c:pt idx="10">
                  <c:v>2000/2001</c:v>
                </c:pt>
                <c:pt idx="11">
                  <c:v>2001/2002</c:v>
                </c:pt>
                <c:pt idx="12">
                  <c:v>2002/2003</c:v>
                </c:pt>
                <c:pt idx="13">
                  <c:v>2003/2004</c:v>
                </c:pt>
                <c:pt idx="14">
                  <c:v>2004/2005</c:v>
                </c:pt>
                <c:pt idx="15">
                  <c:v>2005/2006</c:v>
                </c:pt>
                <c:pt idx="16">
                  <c:v>2006/2007</c:v>
                </c:pt>
                <c:pt idx="17">
                  <c:v>2007/2008</c:v>
                </c:pt>
                <c:pt idx="18">
                  <c:v>2008/2009</c:v>
                </c:pt>
                <c:pt idx="19">
                  <c:v>2009/2010</c:v>
                </c:pt>
                <c:pt idx="20">
                  <c:v>2010/2011</c:v>
                </c:pt>
                <c:pt idx="21">
                  <c:v>2011/2012</c:v>
                </c:pt>
                <c:pt idx="22">
                  <c:v>2012/2013</c:v>
                </c:pt>
                <c:pt idx="23">
                  <c:v>2013/2014</c:v>
                </c:pt>
                <c:pt idx="24">
                  <c:v>2014/2015</c:v>
                </c:pt>
                <c:pt idx="25">
                  <c:v>2015/2016</c:v>
                </c:pt>
              </c:strCache>
            </c:strRef>
          </c:cat>
          <c:val>
            <c:numRef>
              <c:f>Sheet1!$D$73:$AC$73</c:f>
              <c:numCache>
                <c:formatCode>0.0</c:formatCode>
                <c:ptCount val="26"/>
                <c:pt idx="0">
                  <c:v>332.71087629805061</c:v>
                </c:pt>
                <c:pt idx="1">
                  <c:v>306.92714400931965</c:v>
                </c:pt>
                <c:pt idx="2">
                  <c:v>334.63259068963998</c:v>
                </c:pt>
                <c:pt idx="3">
                  <c:v>332.54367126441872</c:v>
                </c:pt>
                <c:pt idx="4">
                  <c:v>219.92868375008328</c:v>
                </c:pt>
                <c:pt idx="5">
                  <c:v>199.10534163669854</c:v>
                </c:pt>
                <c:pt idx="6">
                  <c:v>285.62786276034967</c:v>
                </c:pt>
                <c:pt idx="7">
                  <c:v>343.4545609402939</c:v>
                </c:pt>
                <c:pt idx="8">
                  <c:v>337.38729293352901</c:v>
                </c:pt>
                <c:pt idx="9">
                  <c:v>333.23692256838189</c:v>
                </c:pt>
                <c:pt idx="10">
                  <c:v>315.81740976645426</c:v>
                </c:pt>
                <c:pt idx="11">
                  <c:v>362.58114092738197</c:v>
                </c:pt>
                <c:pt idx="12">
                  <c:v>385.116316348407</c:v>
                </c:pt>
                <c:pt idx="13">
                  <c:v>348.38300319235418</c:v>
                </c:pt>
                <c:pt idx="14">
                  <c:v>333.41822242247264</c:v>
                </c:pt>
                <c:pt idx="15">
                  <c:v>310.11505830395538</c:v>
                </c:pt>
                <c:pt idx="16">
                  <c:v>297.02590832439068</c:v>
                </c:pt>
                <c:pt idx="17">
                  <c:v>267.63343709665173</c:v>
                </c:pt>
                <c:pt idx="18">
                  <c:v>269.42673961682323</c:v>
                </c:pt>
                <c:pt idx="19">
                  <c:v>343.46961900692884</c:v>
                </c:pt>
                <c:pt idx="20">
                  <c:v>275.7025642908277</c:v>
                </c:pt>
                <c:pt idx="21">
                  <c:v>271.09853842526985</c:v>
                </c:pt>
                <c:pt idx="22">
                  <c:v>222.39263803680981</c:v>
                </c:pt>
                <c:pt idx="23">
                  <c:v>291.45394782851929</c:v>
                </c:pt>
                <c:pt idx="24">
                  <c:v>231.856738925542</c:v>
                </c:pt>
                <c:pt idx="25">
                  <c:v>277.4886687930167</c:v>
                </c:pt>
              </c:numCache>
            </c:numRef>
          </c:val>
        </c:ser>
        <c:ser>
          <c:idx val="1"/>
          <c:order val="1"/>
          <c:tx>
            <c:v>pc Consumption</c:v>
          </c:tx>
          <c:marker>
            <c:symbol val="none"/>
          </c:marker>
          <c:cat>
            <c:strRef>
              <c:f>Sheet1!$D$62:$AC$62</c:f>
              <c:strCache>
                <c:ptCount val="26"/>
                <c:pt idx="0">
                  <c:v>1990/1991</c:v>
                </c:pt>
                <c:pt idx="1">
                  <c:v>1991/1992</c:v>
                </c:pt>
                <c:pt idx="2">
                  <c:v>1992/1993</c:v>
                </c:pt>
                <c:pt idx="3">
                  <c:v>1993/1994</c:v>
                </c:pt>
                <c:pt idx="4">
                  <c:v>1994/1995</c:v>
                </c:pt>
                <c:pt idx="5">
                  <c:v>1995/1996</c:v>
                </c:pt>
                <c:pt idx="6">
                  <c:v>1996/1997</c:v>
                </c:pt>
                <c:pt idx="7">
                  <c:v>1997/1998</c:v>
                </c:pt>
                <c:pt idx="8">
                  <c:v>1998/1999</c:v>
                </c:pt>
                <c:pt idx="9">
                  <c:v>1999/2000</c:v>
                </c:pt>
                <c:pt idx="10">
                  <c:v>2000/2001</c:v>
                </c:pt>
                <c:pt idx="11">
                  <c:v>2001/2002</c:v>
                </c:pt>
                <c:pt idx="12">
                  <c:v>2002/2003</c:v>
                </c:pt>
                <c:pt idx="13">
                  <c:v>2003/2004</c:v>
                </c:pt>
                <c:pt idx="14">
                  <c:v>2004/2005</c:v>
                </c:pt>
                <c:pt idx="15">
                  <c:v>2005/2006</c:v>
                </c:pt>
                <c:pt idx="16">
                  <c:v>2006/2007</c:v>
                </c:pt>
                <c:pt idx="17">
                  <c:v>2007/2008</c:v>
                </c:pt>
                <c:pt idx="18">
                  <c:v>2008/2009</c:v>
                </c:pt>
                <c:pt idx="19">
                  <c:v>2009/2010</c:v>
                </c:pt>
                <c:pt idx="20">
                  <c:v>2010/2011</c:v>
                </c:pt>
                <c:pt idx="21">
                  <c:v>2011/2012</c:v>
                </c:pt>
                <c:pt idx="22">
                  <c:v>2012/2013</c:v>
                </c:pt>
                <c:pt idx="23">
                  <c:v>2013/2014</c:v>
                </c:pt>
                <c:pt idx="24">
                  <c:v>2014/2015</c:v>
                </c:pt>
                <c:pt idx="25">
                  <c:v>2015/2016</c:v>
                </c:pt>
              </c:strCache>
            </c:strRef>
          </c:cat>
          <c:val>
            <c:numRef>
              <c:f>Sheet1!$D$74:$AC$74</c:f>
              <c:numCache>
                <c:formatCode>0.0</c:formatCode>
                <c:ptCount val="26"/>
                <c:pt idx="0">
                  <c:v>582.75642193477847</c:v>
                </c:pt>
                <c:pt idx="1">
                  <c:v>496.460256295367</c:v>
                </c:pt>
                <c:pt idx="2">
                  <c:v>421.66806927403996</c:v>
                </c:pt>
                <c:pt idx="3">
                  <c:v>387.45101512165911</c:v>
                </c:pt>
                <c:pt idx="4">
                  <c:v>271.3118203362053</c:v>
                </c:pt>
                <c:pt idx="5">
                  <c:v>259.18779054468899</c:v>
                </c:pt>
                <c:pt idx="6">
                  <c:v>276.12133782732695</c:v>
                </c:pt>
                <c:pt idx="7">
                  <c:v>320.6711523720291</c:v>
                </c:pt>
                <c:pt idx="8">
                  <c:v>331.09666596770813</c:v>
                </c:pt>
                <c:pt idx="9">
                  <c:v>354.10296669696805</c:v>
                </c:pt>
                <c:pt idx="10">
                  <c:v>339.29446349828447</c:v>
                </c:pt>
                <c:pt idx="11">
                  <c:v>373.29882105518539</c:v>
                </c:pt>
                <c:pt idx="12">
                  <c:v>378.70439016570867</c:v>
                </c:pt>
                <c:pt idx="13">
                  <c:v>368.21129022663729</c:v>
                </c:pt>
                <c:pt idx="14">
                  <c:v>366.72086508511762</c:v>
                </c:pt>
                <c:pt idx="15">
                  <c:v>367.83791113005071</c:v>
                </c:pt>
                <c:pt idx="16">
                  <c:v>356.23946037099495</c:v>
                </c:pt>
                <c:pt idx="17">
                  <c:v>361.58985650292311</c:v>
                </c:pt>
                <c:pt idx="18">
                  <c:v>363.05864214939771</c:v>
                </c:pt>
                <c:pt idx="19">
                  <c:v>381.73610982111251</c:v>
                </c:pt>
                <c:pt idx="20">
                  <c:v>377.57668092292425</c:v>
                </c:pt>
                <c:pt idx="21">
                  <c:v>379.35661698037899</c:v>
                </c:pt>
                <c:pt idx="22">
                  <c:v>363.46126408902842</c:v>
                </c:pt>
                <c:pt idx="23">
                  <c:v>370.13077837611024</c:v>
                </c:pt>
                <c:pt idx="24">
                  <c:v>343.24393796589823</c:v>
                </c:pt>
                <c:pt idx="25">
                  <c:v>369.81702199093502</c:v>
                </c:pt>
              </c:numCache>
            </c:numRef>
          </c:val>
        </c:ser>
        <c:marker val="1"/>
        <c:axId val="87998848"/>
        <c:axId val="88241664"/>
      </c:lineChart>
      <c:catAx>
        <c:axId val="87998848"/>
        <c:scaling>
          <c:orientation val="minMax"/>
        </c:scaling>
        <c:axPos val="b"/>
        <c:numFmt formatCode="General" sourceLinked="0"/>
        <c:tickLblPos val="nextTo"/>
        <c:spPr>
          <a:ln w="6350"/>
        </c:spPr>
        <c:txPr>
          <a:bodyPr rot="-5400000" vert="horz"/>
          <a:lstStyle/>
          <a:p>
            <a:pPr>
              <a:defRPr sz="700"/>
            </a:pPr>
            <a:endParaRPr lang="ru-RU"/>
          </a:p>
        </c:txPr>
        <c:crossAx val="88241664"/>
        <c:crosses val="autoZero"/>
        <c:auto val="1"/>
        <c:lblAlgn val="ctr"/>
        <c:lblOffset val="100"/>
      </c:catAx>
      <c:valAx>
        <c:axId val="88241664"/>
        <c:scaling>
          <c:orientation val="minMax"/>
          <c:max val="600"/>
          <c:min val="100"/>
        </c:scaling>
        <c:axPos val="l"/>
        <c:majorGridlines/>
        <c:numFmt formatCode="0.0" sourceLinked="1"/>
        <c:tickLblPos val="nextTo"/>
        <c:txPr>
          <a:bodyPr/>
          <a:lstStyle/>
          <a:p>
            <a:pPr>
              <a:defRPr sz="800"/>
            </a:pPr>
            <a:endParaRPr lang="ru-RU"/>
          </a:p>
        </c:txPr>
        <c:crossAx val="87998848"/>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4721</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arindam</dc:creator>
  <cp:lastModifiedBy>Kanat Tilekeyev</cp:lastModifiedBy>
  <cp:revision>4</cp:revision>
  <dcterms:created xsi:type="dcterms:W3CDTF">2016-10-03T08:42:00Z</dcterms:created>
  <dcterms:modified xsi:type="dcterms:W3CDTF">2016-10-11T00:14:00Z</dcterms:modified>
</cp:coreProperties>
</file>