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98EF1" w14:textId="1CA1FBCF" w:rsidR="000B705F" w:rsidRPr="00EE5251" w:rsidRDefault="00543279" w:rsidP="004A0C4A">
      <w:pPr>
        <w:ind w:left="1440"/>
        <w:rPr>
          <w:noProof/>
          <w:lang w:val="en-CA" w:eastAsia="en-US"/>
        </w:rPr>
      </w:pPr>
      <w:r>
        <w:rPr>
          <w:noProof/>
          <w:shd w:val="clear" w:color="auto" w:fill="auto"/>
          <w:lang w:val="en-CA" w:eastAsia="en-US"/>
        </w:rPr>
        <mc:AlternateContent>
          <mc:Choice Requires="wps">
            <w:drawing>
              <wp:anchor distT="0" distB="0" distL="114300" distR="114300" simplePos="0" relativeHeight="251658241" behindDoc="0" locked="0" layoutInCell="1" allowOverlap="1" wp14:anchorId="399A7CAF" wp14:editId="1010D2DF">
                <wp:simplePos x="0" y="0"/>
                <wp:positionH relativeFrom="column">
                  <wp:posOffset>-430530</wp:posOffset>
                </wp:positionH>
                <wp:positionV relativeFrom="paragraph">
                  <wp:posOffset>10160</wp:posOffset>
                </wp:positionV>
                <wp:extent cx="5648325" cy="2438400"/>
                <wp:effectExtent l="0" t="0" r="9525" b="0"/>
                <wp:wrapNone/>
                <wp:docPr id="1391288910" name="Rectangle 1"/>
                <wp:cNvGraphicFramePr/>
                <a:graphic xmlns:a="http://schemas.openxmlformats.org/drawingml/2006/main">
                  <a:graphicData uri="http://schemas.microsoft.com/office/word/2010/wordprocessingShape">
                    <wps:wsp>
                      <wps:cNvSpPr/>
                      <wps:spPr>
                        <a:xfrm>
                          <a:off x="0" y="0"/>
                          <a:ext cx="5648325" cy="2438400"/>
                        </a:xfrm>
                        <a:prstGeom prst="rect">
                          <a:avLst/>
                        </a:prstGeom>
                        <a:solidFill>
                          <a:schemeClr val="accent2">
                            <a:lumMod val="50000"/>
                            <a:alpha val="59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017F7" id="Rectangle 1" o:spid="_x0000_s1026" style="position:absolute;margin-left:-33.9pt;margin-top:.8pt;width:444.75pt;height:19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" fillcolor="#066283 [1605]" stroked="f" strokeweight="2pt">
                <v:fill opacity="38550f"/>
              </v:rect>
            </w:pict>
          </mc:Fallback>
        </mc:AlternateContent>
      </w:r>
      <w:r w:rsidR="00BE49A6" w:rsidRPr="00EE5251">
        <w:rPr>
          <w:noProof/>
          <w:lang w:val="en-CA" w:eastAsia="en-US"/>
        </w:rPr>
        <mc:AlternateContent>
          <mc:Choice Requires="wps">
            <w:drawing>
              <wp:anchor distT="0" distB="0" distL="114300" distR="114300" simplePos="0" relativeHeight="251658250" behindDoc="0" locked="0" layoutInCell="1" allowOverlap="1" wp14:anchorId="035F7CD2" wp14:editId="35690127">
                <wp:simplePos x="0" y="0"/>
                <wp:positionH relativeFrom="column">
                  <wp:posOffset>-192405</wp:posOffset>
                </wp:positionH>
                <wp:positionV relativeFrom="paragraph">
                  <wp:posOffset>10160</wp:posOffset>
                </wp:positionV>
                <wp:extent cx="5581650" cy="27622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581650" cy="2762250"/>
                        </a:xfrm>
                        <a:prstGeom prst="rect">
                          <a:avLst/>
                        </a:prstGeom>
                        <a:noFill/>
                        <a:ln w="6350">
                          <a:noFill/>
                        </a:ln>
                      </wps:spPr>
                      <wps:txbx>
                        <w:txbxContent>
                          <w:p w14:paraId="54A0E5D9" w14:textId="2FDA2F02" w:rsidR="0060651B" w:rsidRPr="00BE49A6" w:rsidRDefault="00BE49A6" w:rsidP="003C088A">
                            <w:pPr>
                              <w:spacing w:after="0" w:line="240" w:lineRule="auto"/>
                              <w:jc w:val="left"/>
                              <w:rPr>
                                <w:b/>
                                <w:color w:val="FFFFFF" w:themeColor="background1"/>
                                <w:sz w:val="72"/>
                                <w:szCs w:val="72"/>
                                <w:lang w:val="en-GB"/>
                              </w:rPr>
                            </w:pPr>
                            <w:r w:rsidRPr="00BE49A6">
                              <w:rPr>
                                <w:rFonts w:ascii="DIN Next LT Pro Medium Cond" w:eastAsiaTheme="majorEastAsia" w:hAnsi="DIN Next LT Pro Medium Cond" w:cstheme="majorBidi"/>
                                <w:b/>
                                <w:color w:val="FFFFFF" w:themeColor="background1"/>
                                <w:sz w:val="72"/>
                                <w:szCs w:val="72"/>
                                <w:shd w:val="clear" w:color="auto" w:fill="auto"/>
                                <w:lang w:val="en-CA" w:eastAsia="en-US"/>
                              </w:rPr>
                              <w:t>Harnessing Artificial Intelligence, digitalization and data governance for food security and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F7CD2" id="_x0000_t202" coordsize="21600,21600" o:spt="202" path="m,l,21600r21600,l21600,xe">
                <v:stroke joinstyle="miter"/>
                <v:path gradientshapeok="t" o:connecttype="rect"/>
              </v:shapetype>
              <v:shape id="Text Box 12" o:spid="_x0000_s1026" type="#_x0000_t202" style="position:absolute;left:0;text-align:left;margin-left:-15.15pt;margin-top:.8pt;width:439.5pt;height:21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" filled="f" stroked="f" strokeweight=".5pt">
                <v:textbox>
                  <w:txbxContent>
                    <w:p w14:paraId="54A0E5D9" w14:textId="2FDA2F02" w:rsidR="0060651B" w:rsidRPr="00BE49A6" w:rsidRDefault="00BE49A6" w:rsidP="003C088A">
                      <w:pPr>
                        <w:spacing w:after="0" w:line="240" w:lineRule="auto"/>
                        <w:jc w:val="left"/>
                        <w:rPr>
                          <w:b/>
                          <w:color w:val="FFFFFF" w:themeColor="background1"/>
                          <w:sz w:val="72"/>
                          <w:szCs w:val="72"/>
                          <w:lang w:val="en-GB"/>
                        </w:rPr>
                      </w:pPr>
                      <w:r w:rsidRPr="00BE49A6">
                        <w:rPr>
                          <w:rFonts w:ascii="DIN Next LT Pro Medium Cond" w:eastAsiaTheme="majorEastAsia" w:hAnsi="DIN Next LT Pro Medium Cond" w:cstheme="majorBidi"/>
                          <w:b/>
                          <w:color w:val="FFFFFF" w:themeColor="background1"/>
                          <w:sz w:val="72"/>
                          <w:szCs w:val="72"/>
                          <w:shd w:val="clear" w:color="auto" w:fill="auto"/>
                          <w:lang w:val="en-CA" w:eastAsia="en-US"/>
                        </w:rPr>
                        <w:t>Harnessing Artificial Intelligence, digitalization and data governance for food security and nutrition</w:t>
                      </w:r>
                    </w:p>
                  </w:txbxContent>
                </v:textbox>
              </v:shape>
            </w:pict>
          </mc:Fallback>
        </mc:AlternateContent>
      </w:r>
      <w:r w:rsidR="00E54282" w:rsidRPr="00EE5251">
        <w:rPr>
          <w:noProof/>
          <w:lang w:val="en-CA" w:eastAsia="en-US"/>
        </w:rPr>
        <w:drawing>
          <wp:anchor distT="0" distB="0" distL="114300" distR="114300" simplePos="0" relativeHeight="251658240" behindDoc="0" locked="0" layoutInCell="1" allowOverlap="1" wp14:anchorId="7F91A474" wp14:editId="0D45E6C7">
            <wp:simplePos x="0" y="0"/>
            <wp:positionH relativeFrom="margin">
              <wp:posOffset>-430530</wp:posOffset>
            </wp:positionH>
            <wp:positionV relativeFrom="paragraph">
              <wp:posOffset>-418465</wp:posOffset>
            </wp:positionV>
            <wp:extent cx="6059328" cy="3512247"/>
            <wp:effectExtent l="0" t="0" r="0" b="0"/>
            <wp:wrapNone/>
            <wp:docPr id="9" name="Picture 9" descr="Abstract digital blue prints and dots 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bstract digital blue prints and dots on sheet"/>
                    <pic:cNvPicPr>
                      <a:picLocks noChangeAspect="1" noChangeArrowheads="1"/>
                    </pic:cNvPicPr>
                  </pic:nvPicPr>
                  <pic:blipFill>
                    <a:blip r:embed="rId12">
                      <a:extLst>
                        <a:ext uri="{BEBA8EAE-BF5A-486C-A8C5-ECC9F3942E4B}">
                          <a14:imgProps xmlns:a14="http://schemas.microsoft.com/office/drawing/2010/main">
                            <a14:imgLayer r:embed="rId13">
                              <a14:imgEffect>
                                <a14:colorTemperature colorTemp="4700"/>
                              </a14:imgEffect>
                              <a14:imgEffect>
                                <a14:brightnessContrast bright="5000"/>
                              </a14:imgEffect>
                            </a14:imgLayer>
                          </a14:imgProps>
                        </a:ext>
                      </a:extLst>
                    </a:blip>
                    <a:srcRect l="1479" r="1479"/>
                    <a:stretch>
                      <a:fillRect/>
                    </a:stretch>
                  </pic:blipFill>
                  <pic:spPr bwMode="auto">
                    <a:xfrm>
                      <a:off x="0" y="0"/>
                      <a:ext cx="6059328" cy="35122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282" w:rsidRPr="00EE5251">
        <w:rPr>
          <w:noProof/>
          <w:lang w:val="en-CA" w:eastAsia="en-US"/>
        </w:rPr>
        <mc:AlternateContent>
          <mc:Choice Requires="wps">
            <w:drawing>
              <wp:anchor distT="0" distB="0" distL="114300" distR="114300" simplePos="0" relativeHeight="251658248" behindDoc="1" locked="0" layoutInCell="1" allowOverlap="1" wp14:anchorId="3977DDA3" wp14:editId="3AD06AFE">
                <wp:simplePos x="0" y="0"/>
                <wp:positionH relativeFrom="page">
                  <wp:posOffset>2540</wp:posOffset>
                </wp:positionH>
                <wp:positionV relativeFrom="margin">
                  <wp:posOffset>-581025</wp:posOffset>
                </wp:positionV>
                <wp:extent cx="5769610" cy="3515360"/>
                <wp:effectExtent l="0" t="0" r="21590" b="27940"/>
                <wp:wrapNone/>
                <wp:docPr id="2" name="Rectangle 2" descr="colored rectangle"/>
                <wp:cNvGraphicFramePr/>
                <a:graphic xmlns:a="http://schemas.openxmlformats.org/drawingml/2006/main">
                  <a:graphicData uri="http://schemas.microsoft.com/office/word/2010/wordprocessingShape">
                    <wps:wsp>
                      <wps:cNvSpPr/>
                      <wps:spPr>
                        <a:xfrm>
                          <a:off x="0" y="0"/>
                          <a:ext cx="5769610" cy="3515360"/>
                        </a:xfrm>
                        <a:prstGeom prst="rect">
                          <a:avLst/>
                        </a:prstGeom>
                        <a:solidFill>
                          <a:srgbClr val="1FB47C"/>
                        </a:solidFill>
                        <a:ln>
                          <a:solidFill>
                            <a:srgbClr val="1FB47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0D7A39DD" id="Rectangle 2" o:spid="_x0000_s1026" alt="colored rectangle" style="position:absolute;margin-left:.2pt;margin-top:-45.75pt;width:454.3pt;height:276.8pt;z-index:-251658234;visibility:visible;mso-wrap-style:square;mso-height-percent:0;mso-wrap-distance-left:9pt;mso-wrap-distance-top:0;mso-wrap-distance-right:9pt;mso-wrap-distance-bottom:0;mso-position-horizontal:absolute;mso-position-horizontal-relative:page;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" fillcolor="#1fb47c" strokecolor="#1fb47c" strokeweight="2pt">
                <w10:wrap anchorx="page" anchory="margin"/>
              </v:rect>
            </w:pict>
          </mc:Fallback>
        </mc:AlternateContent>
      </w:r>
      <w:r w:rsidR="00802954" w:rsidRPr="00EE5251">
        <w:rPr>
          <w:noProof/>
          <w:lang w:val="en-CA" w:eastAsia="en-US"/>
        </w:rPr>
        <w:drawing>
          <wp:anchor distT="0" distB="0" distL="114300" distR="114300" simplePos="0" relativeHeight="251658242" behindDoc="1" locked="0" layoutInCell="1" allowOverlap="1" wp14:anchorId="0E8F251F" wp14:editId="0C94CB46">
            <wp:simplePos x="0" y="0"/>
            <wp:positionH relativeFrom="column">
              <wp:posOffset>-255905</wp:posOffset>
            </wp:positionH>
            <wp:positionV relativeFrom="paragraph">
              <wp:posOffset>-1149985</wp:posOffset>
            </wp:positionV>
            <wp:extent cx="894931" cy="314325"/>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33823"/>
                    <a:stretch/>
                  </pic:blipFill>
                  <pic:spPr bwMode="auto">
                    <a:xfrm>
                      <a:off x="0" y="0"/>
                      <a:ext cx="894931" cy="31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1D6168" w14:textId="3ED17DA3" w:rsidR="00C701DA" w:rsidRPr="00EE5251" w:rsidRDefault="00C701DA" w:rsidP="004A0C4A">
      <w:pPr>
        <w:ind w:left="1440"/>
        <w:rPr>
          <w:noProof/>
          <w:lang w:val="en-CA" w:eastAsia="en-US"/>
        </w:rPr>
      </w:pPr>
    </w:p>
    <w:p w14:paraId="042EB2EB" w14:textId="07DB12D1" w:rsidR="00C701DA" w:rsidRPr="00EE5251" w:rsidRDefault="00C701DA" w:rsidP="004A0C4A">
      <w:pPr>
        <w:ind w:left="2160" w:hanging="720"/>
        <w:rPr>
          <w:noProof/>
          <w:lang w:val="en-CA" w:eastAsia="en-US"/>
        </w:rPr>
      </w:pPr>
    </w:p>
    <w:p w14:paraId="0E929693" w14:textId="39BA157D" w:rsidR="00C701DA" w:rsidRPr="00EE5251" w:rsidRDefault="00C701DA" w:rsidP="004A0C4A">
      <w:pPr>
        <w:ind w:left="1440"/>
        <w:rPr>
          <w:noProof/>
          <w:lang w:val="en-CA" w:eastAsia="en-US"/>
        </w:rPr>
      </w:pPr>
    </w:p>
    <w:p w14:paraId="28A73788" w14:textId="1F987A2D" w:rsidR="00C701DA" w:rsidRPr="00EE5251" w:rsidRDefault="00C701DA" w:rsidP="004A0C4A">
      <w:pPr>
        <w:ind w:left="1440"/>
        <w:rPr>
          <w:noProof/>
          <w:lang w:val="en-CA" w:eastAsia="en-US"/>
        </w:rPr>
      </w:pPr>
    </w:p>
    <w:p w14:paraId="320A23BD" w14:textId="216CA844" w:rsidR="00676E2D" w:rsidRPr="00EE5251" w:rsidRDefault="00676E2D" w:rsidP="004A0C4A">
      <w:pPr>
        <w:ind w:left="1440"/>
        <w:rPr>
          <w:noProof/>
          <w:lang w:val="en-CA" w:eastAsia="en-US"/>
        </w:rPr>
      </w:pPr>
    </w:p>
    <w:p w14:paraId="4A09E080" w14:textId="225080F2" w:rsidR="00C701DA" w:rsidRPr="00EE5251" w:rsidRDefault="00C701DA" w:rsidP="004A0C4A">
      <w:pPr>
        <w:ind w:left="1440"/>
        <w:rPr>
          <w:noProof/>
          <w:lang w:val="en-CA" w:eastAsia="en-US"/>
        </w:rPr>
      </w:pPr>
    </w:p>
    <w:p w14:paraId="4C8A1226" w14:textId="22FA55FA" w:rsidR="002A722C" w:rsidRPr="00EE5251" w:rsidRDefault="002A722C" w:rsidP="004A0C4A">
      <w:pPr>
        <w:pStyle w:val="NormalWeb"/>
        <w:ind w:left="1440"/>
        <w:rPr>
          <w:lang w:val="en-CA"/>
        </w:rPr>
      </w:pPr>
      <w:r w:rsidRPr="00EE5251">
        <w:rPr>
          <w:noProof/>
          <w:lang w:val="en-CA"/>
        </w:rPr>
        <mc:AlternateContent>
          <mc:Choice Requires="wps">
            <w:drawing>
              <wp:inline distT="0" distB="0" distL="0" distR="0" wp14:anchorId="23248EE1" wp14:editId="468957DA">
                <wp:extent cx="307975" cy="307975"/>
                <wp:effectExtent l="0" t="0" r="0" b="0"/>
                <wp:docPr id="1841828398" name="Rectángulo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71E97FEB" id="Rectángulo 11"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p>
    <w:p w14:paraId="77F67C57" w14:textId="4E4EE219" w:rsidR="00C701DA" w:rsidRPr="00EE5251" w:rsidRDefault="00EC7B64" w:rsidP="004A0C4A">
      <w:pPr>
        <w:ind w:left="1440"/>
        <w:rPr>
          <w:noProof/>
          <w:lang w:val="en-CA" w:eastAsia="en-US"/>
        </w:rPr>
      </w:pPr>
      <w:r w:rsidRPr="00EE5251">
        <w:rPr>
          <w:noProof/>
          <w:lang w:val="en-CA" w:eastAsia="en-US"/>
        </w:rPr>
        <mc:AlternateContent>
          <mc:Choice Requires="wps">
            <w:drawing>
              <wp:anchor distT="0" distB="0" distL="114300" distR="114300" simplePos="0" relativeHeight="251658253" behindDoc="0" locked="0" layoutInCell="1" allowOverlap="1" wp14:anchorId="7EFF9C10" wp14:editId="3BB3AEE0">
                <wp:simplePos x="0" y="0"/>
                <wp:positionH relativeFrom="column">
                  <wp:posOffset>-554354</wp:posOffset>
                </wp:positionH>
                <wp:positionV relativeFrom="paragraph">
                  <wp:posOffset>256540</wp:posOffset>
                </wp:positionV>
                <wp:extent cx="5943600" cy="790575"/>
                <wp:effectExtent l="0" t="0" r="0" b="0"/>
                <wp:wrapNone/>
                <wp:docPr id="735413346" name="Text Box 735413346"/>
                <wp:cNvGraphicFramePr/>
                <a:graphic xmlns:a="http://schemas.openxmlformats.org/drawingml/2006/main">
                  <a:graphicData uri="http://schemas.microsoft.com/office/word/2010/wordprocessingShape">
                    <wps:wsp>
                      <wps:cNvSpPr txBox="1"/>
                      <wps:spPr>
                        <a:xfrm>
                          <a:off x="0" y="0"/>
                          <a:ext cx="5943600" cy="7905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7A2EF01A" w14:textId="56CC674F" w:rsidR="00431B76" w:rsidRPr="000F226C" w:rsidRDefault="00EA2AB0" w:rsidP="000F226C">
                            <w:pPr>
                              <w:pStyle w:val="Subttulo"/>
                              <w:spacing w:after="0" w:line="240" w:lineRule="auto"/>
                              <w:ind w:right="576"/>
                              <w:rPr>
                                <w:color w:val="0D0D0D" w:themeColor="text1" w:themeTint="F2"/>
                                <w:lang w:val="en-GB"/>
                              </w:rPr>
                            </w:pPr>
                            <w:r w:rsidRPr="003F5636">
                              <w:rPr>
                                <w:rFonts w:ascii="DINPro-Light" w:hAnsi="DINPro-Light"/>
                                <w:b w:val="0"/>
                                <w:i/>
                                <w:iCs/>
                                <w:noProof/>
                                <w:color w:val="0D0D0D" w:themeColor="text1" w:themeTint="F2"/>
                                <w:sz w:val="34"/>
                                <w:szCs w:val="34"/>
                                <w:highlight w:val="lightGray"/>
                                <w:lang w:val="en-CA" w:eastAsia="en-US"/>
                              </w:rPr>
                              <w:t xml:space="preserve">Background note for the Committee on World Food Security’s  High-Level Forum in </w:t>
                            </w:r>
                            <w:r w:rsidR="00EC7B64" w:rsidRPr="003F5636">
                              <w:rPr>
                                <w:rFonts w:ascii="DINPro-Light" w:hAnsi="DINPro-Light"/>
                                <w:b w:val="0"/>
                                <w:i/>
                                <w:iCs/>
                                <w:noProof/>
                                <w:color w:val="0D0D0D" w:themeColor="text1" w:themeTint="F2"/>
                                <w:sz w:val="34"/>
                                <w:szCs w:val="34"/>
                                <w:highlight w:val="lightGray"/>
                                <w:lang w:val="en-CA" w:eastAsia="en-US"/>
                              </w:rPr>
                              <w:t>June</w:t>
                            </w:r>
                            <w:r w:rsidRPr="003F5636">
                              <w:rPr>
                                <w:rFonts w:ascii="DINPro-Light" w:hAnsi="DINPro-Light"/>
                                <w:b w:val="0"/>
                                <w:i/>
                                <w:iCs/>
                                <w:noProof/>
                                <w:color w:val="0D0D0D" w:themeColor="text1" w:themeTint="F2"/>
                                <w:sz w:val="34"/>
                                <w:szCs w:val="34"/>
                                <w:highlight w:val="lightGray"/>
                                <w:lang w:val="en-CA" w:eastAsia="en-US"/>
                              </w:rPr>
                              <w:t xml:space="preserve"> 202</w:t>
                            </w:r>
                            <w:r w:rsidR="00EC7B64" w:rsidRPr="003F5636">
                              <w:rPr>
                                <w:rFonts w:ascii="DINPro-Light" w:hAnsi="DINPro-Light"/>
                                <w:b w:val="0"/>
                                <w:i/>
                                <w:iCs/>
                                <w:noProof/>
                                <w:color w:val="0D0D0D" w:themeColor="text1" w:themeTint="F2"/>
                                <w:sz w:val="34"/>
                                <w:szCs w:val="34"/>
                                <w:highlight w:val="lightGray"/>
                                <w:lang w:val="en-CA" w:eastAsia="en-US"/>
                              </w:rPr>
                              <w:t>6</w:t>
                            </w:r>
                            <w:r w:rsidRPr="003F5636">
                              <w:rPr>
                                <w:rFonts w:ascii="DINPro-Light" w:hAnsi="DINPro-Light"/>
                                <w:b w:val="0"/>
                                <w:i/>
                                <w:iCs/>
                                <w:noProof/>
                                <w:color w:val="0D0D0D" w:themeColor="text1" w:themeTint="F2"/>
                                <w:sz w:val="34"/>
                                <w:szCs w:val="34"/>
                                <w:highlight w:val="lightGray"/>
                                <w:lang w:val="en-CA" w:eastAsia="en-US"/>
                              </w:rPr>
                              <w:t xml:space="preserve"> in Rome, Italy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F9C10" id="Text Box 735413346" o:spid="_x0000_s1027" type="#_x0000_t202" style="position:absolute;left:0;text-align:left;margin-left:-43.65pt;margin-top:20.2pt;width:468pt;height:62.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" filled="f" stroked="f" strokeweight="2pt">
                <v:textbox>
                  <w:txbxContent>
                    <w:p w14:paraId="7A2EF01A" w14:textId="56CC674F" w:rsidR="00431B76" w:rsidRPr="000F226C" w:rsidRDefault="00EA2AB0" w:rsidP="000F226C">
                      <w:pPr>
                        <w:pStyle w:val="Subttulo"/>
                        <w:spacing w:after="0" w:line="240" w:lineRule="auto"/>
                        <w:ind w:right="576"/>
                        <w:rPr>
                          <w:color w:val="0D0D0D" w:themeColor="text1" w:themeTint="F2"/>
                          <w:lang w:val="en-GB"/>
                        </w:rPr>
                      </w:pPr>
                      <w:r w:rsidRPr="003F5636">
                        <w:rPr>
                          <w:rFonts w:ascii="DINPro-Light" w:hAnsi="DINPro-Light"/>
                          <w:b w:val="0"/>
                          <w:i/>
                          <w:iCs/>
                          <w:noProof/>
                          <w:color w:val="0D0D0D" w:themeColor="text1" w:themeTint="F2"/>
                          <w:sz w:val="34"/>
                          <w:szCs w:val="34"/>
                          <w:highlight w:val="lightGray"/>
                          <w:lang w:val="en-CA" w:eastAsia="en-US"/>
                        </w:rPr>
                        <w:t xml:space="preserve">Background note for the Committee on World Food Security’s  High-Level Forum in </w:t>
                      </w:r>
                      <w:r w:rsidR="00EC7B64" w:rsidRPr="003F5636">
                        <w:rPr>
                          <w:rFonts w:ascii="DINPro-Light" w:hAnsi="DINPro-Light"/>
                          <w:b w:val="0"/>
                          <w:i/>
                          <w:iCs/>
                          <w:noProof/>
                          <w:color w:val="0D0D0D" w:themeColor="text1" w:themeTint="F2"/>
                          <w:sz w:val="34"/>
                          <w:szCs w:val="34"/>
                          <w:highlight w:val="lightGray"/>
                          <w:lang w:val="en-CA" w:eastAsia="en-US"/>
                        </w:rPr>
                        <w:t>June</w:t>
                      </w:r>
                      <w:r w:rsidRPr="003F5636">
                        <w:rPr>
                          <w:rFonts w:ascii="DINPro-Light" w:hAnsi="DINPro-Light"/>
                          <w:b w:val="0"/>
                          <w:i/>
                          <w:iCs/>
                          <w:noProof/>
                          <w:color w:val="0D0D0D" w:themeColor="text1" w:themeTint="F2"/>
                          <w:sz w:val="34"/>
                          <w:szCs w:val="34"/>
                          <w:highlight w:val="lightGray"/>
                          <w:lang w:val="en-CA" w:eastAsia="en-US"/>
                        </w:rPr>
                        <w:t xml:space="preserve"> 202</w:t>
                      </w:r>
                      <w:r w:rsidR="00EC7B64" w:rsidRPr="003F5636">
                        <w:rPr>
                          <w:rFonts w:ascii="DINPro-Light" w:hAnsi="DINPro-Light"/>
                          <w:b w:val="0"/>
                          <w:i/>
                          <w:iCs/>
                          <w:noProof/>
                          <w:color w:val="0D0D0D" w:themeColor="text1" w:themeTint="F2"/>
                          <w:sz w:val="34"/>
                          <w:szCs w:val="34"/>
                          <w:highlight w:val="lightGray"/>
                          <w:lang w:val="en-CA" w:eastAsia="en-US"/>
                        </w:rPr>
                        <w:t>6</w:t>
                      </w:r>
                      <w:r w:rsidRPr="003F5636">
                        <w:rPr>
                          <w:rFonts w:ascii="DINPro-Light" w:hAnsi="DINPro-Light"/>
                          <w:b w:val="0"/>
                          <w:i/>
                          <w:iCs/>
                          <w:noProof/>
                          <w:color w:val="0D0D0D" w:themeColor="text1" w:themeTint="F2"/>
                          <w:sz w:val="34"/>
                          <w:szCs w:val="34"/>
                          <w:highlight w:val="lightGray"/>
                          <w:lang w:val="en-CA" w:eastAsia="en-US"/>
                        </w:rPr>
                        <w:t xml:space="preserve"> in Rome, Italy</w:t>
                      </w:r>
                    </w:p>
                  </w:txbxContent>
                </v:textbox>
              </v:shape>
            </w:pict>
          </mc:Fallback>
        </mc:AlternateContent>
      </w:r>
      <w:r w:rsidR="00A35812" w:rsidRPr="00EE5251">
        <w:rPr>
          <w:noProof/>
          <w:color w:val="0088B4"/>
          <w:lang w:val="en-CA" w:eastAsia="en-US"/>
        </w:rPr>
        <mc:AlternateContent>
          <mc:Choice Requires="wps">
            <w:drawing>
              <wp:anchor distT="0" distB="0" distL="114300" distR="114300" simplePos="0" relativeHeight="251658252" behindDoc="0" locked="0" layoutInCell="1" allowOverlap="1" wp14:anchorId="18B8D9F0" wp14:editId="7191CAA7">
                <wp:simplePos x="0" y="0"/>
                <wp:positionH relativeFrom="margin">
                  <wp:posOffset>-1144905</wp:posOffset>
                </wp:positionH>
                <wp:positionV relativeFrom="page">
                  <wp:posOffset>4610100</wp:posOffset>
                </wp:positionV>
                <wp:extent cx="6776085" cy="876300"/>
                <wp:effectExtent l="38100" t="57150" r="43815" b="5715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6776085" cy="876300"/>
                        </a:xfrm>
                        <a:prstGeom prst="snip1Rect">
                          <a:avLst>
                            <a:gd name="adj" fmla="val 47819"/>
                          </a:avLst>
                        </a:prstGeom>
                        <a:solidFill>
                          <a:schemeClr val="bg1">
                            <a:lumMod val="75000"/>
                          </a:schemeClr>
                        </a:solidFill>
                        <a:ln>
                          <a:noFill/>
                        </a:ln>
                        <a:scene3d>
                          <a:camera prst="orthographicFront">
                            <a:rot lat="0" lon="0" rev="0"/>
                          </a:camera>
                          <a:lightRig rig="threePt" dir="t"/>
                        </a:scene3d>
                      </wps:spPr>
                      <wps:style>
                        <a:lnRef idx="0">
                          <a:scrgbClr r="0" g="0" b="0"/>
                        </a:lnRef>
                        <a:fillRef idx="0">
                          <a:scrgbClr r="0" g="0" b="0"/>
                        </a:fillRef>
                        <a:effectRef idx="0">
                          <a:scrgbClr r="0" g="0" b="0"/>
                        </a:effectRef>
                        <a:fontRef idx="minor">
                          <a:schemeClr val="lt1"/>
                        </a:fontRef>
                      </wps:style>
                      <wps:txbx>
                        <w:txbxContent>
                          <w:p w14:paraId="0CDB64BD" w14:textId="77777777" w:rsidR="00431B76" w:rsidRPr="00063084" w:rsidRDefault="00431B76" w:rsidP="00431B76">
                            <w:pPr>
                              <w:pStyle w:val="Ttulo1"/>
                              <w:rPr>
                                <w14:textFill>
                                  <w14:solidFill>
                                    <w14:schemeClr w14:val="tx2">
                                      <w14:alpha w14:val="37000"/>
                                    </w14:schemeClr>
                                  </w14:solidFill>
                                </w14:textFill>
                              </w:rPr>
                            </w:pPr>
                          </w:p>
                          <w:p w14:paraId="57B47136" w14:textId="77777777" w:rsidR="00431B76" w:rsidRPr="00063084" w:rsidRDefault="00431B76" w:rsidP="00431B76">
                            <w:pPr>
                              <w:rPr>
                                <w:color w:val="536374" w:themeColor="text2"/>
                                <w14:textFill>
                                  <w14:solidFill>
                                    <w14:schemeClr w14:val="tx2">
                                      <w14:alpha w14:val="37000"/>
                                    </w14:schemeClr>
                                  </w14:solidFill>
                                </w14:textFill>
                              </w:rPr>
                            </w:pPr>
                          </w:p>
                          <w:p w14:paraId="40681A8E" w14:textId="77777777" w:rsidR="00431B76" w:rsidRPr="00063084" w:rsidRDefault="00431B76" w:rsidP="00431B76">
                            <w:pPr>
                              <w:pStyle w:val="Ttulo1"/>
                              <w:rPr>
                                <w14:textFill>
                                  <w14:solidFill>
                                    <w14:schemeClr w14:val="tx2">
                                      <w14:alpha w14:val="37000"/>
                                    </w14:schemeClr>
                                  </w14:solidFill>
                                </w14:textFill>
                              </w:rPr>
                            </w:pPr>
                          </w:p>
                          <w:p w14:paraId="74CF8FAD" w14:textId="77777777" w:rsidR="00431B76" w:rsidRPr="00063084" w:rsidRDefault="00431B76" w:rsidP="00431B76">
                            <w:pPr>
                              <w:rPr>
                                <w:color w:val="536374" w:themeColor="text2"/>
                                <w14:textFill>
                                  <w14:solidFill>
                                    <w14:schemeClr w14:val="tx2">
                                      <w14:alpha w14:val="37000"/>
                                    </w14:schemeClr>
                                  </w14:solidFill>
                                </w14:textFill>
                              </w:rPr>
                            </w:pPr>
                          </w:p>
                          <w:p w14:paraId="59C7D4BC" w14:textId="77777777" w:rsidR="00431B76" w:rsidRPr="00063084" w:rsidRDefault="00431B76" w:rsidP="00431B76">
                            <w:pPr>
                              <w:pStyle w:val="Ttulo1"/>
                              <w:rPr>
                                <w14:textFill>
                                  <w14:solidFill>
                                    <w14:schemeClr w14:val="tx2">
                                      <w14:alpha w14:val="37000"/>
                                    </w14:schemeClr>
                                  </w14:solidFill>
                                </w14:textFill>
                              </w:rPr>
                            </w:pPr>
                          </w:p>
                          <w:p w14:paraId="623917EC" w14:textId="77777777" w:rsidR="00431B76" w:rsidRPr="00063084" w:rsidRDefault="00431B76" w:rsidP="00431B76">
                            <w:pPr>
                              <w:rPr>
                                <w:color w:val="536374" w:themeColor="text2"/>
                                <w14:textFill>
                                  <w14:solidFill>
                                    <w14:schemeClr w14:val="tx2">
                                      <w14:alpha w14:val="37000"/>
                                    </w14:schemeClr>
                                  </w14:solidFill>
                                </w14:textFill>
                              </w:rPr>
                            </w:pPr>
                          </w:p>
                          <w:p w14:paraId="43579A97" w14:textId="77777777" w:rsidR="00431B76" w:rsidRPr="00063084" w:rsidRDefault="00431B76" w:rsidP="00431B76">
                            <w:pPr>
                              <w:pStyle w:val="Ttulo1"/>
                              <w:rPr>
                                <w14:textFill>
                                  <w14:solidFill>
                                    <w14:schemeClr w14:val="tx2">
                                      <w14:alpha w14:val="37000"/>
                                    </w14:schemeClr>
                                  </w14:solidFill>
                                </w14:textFill>
                              </w:rPr>
                            </w:pPr>
                          </w:p>
                          <w:p w14:paraId="12D2753D" w14:textId="77777777" w:rsidR="00431B76" w:rsidRPr="00063084" w:rsidRDefault="00431B76" w:rsidP="00431B76">
                            <w:pPr>
                              <w:rPr>
                                <w:color w:val="536374" w:themeColor="text2"/>
                                <w14:textFill>
                                  <w14:solidFill>
                                    <w14:schemeClr w14:val="tx2">
                                      <w14:alpha w14:val="37000"/>
                                    </w14:schemeClr>
                                  </w14:solidFill>
                                </w14:textFill>
                              </w:rPr>
                            </w:pPr>
                          </w:p>
                          <w:p w14:paraId="2EE86B98" w14:textId="77777777" w:rsidR="00431B76" w:rsidRPr="00063084" w:rsidRDefault="00431B76" w:rsidP="00431B76">
                            <w:pPr>
                              <w:pStyle w:val="Ttulo1"/>
                              <w:rPr>
                                <w14:textFill>
                                  <w14:solidFill>
                                    <w14:schemeClr w14:val="tx2">
                                      <w14:alpha w14:val="37000"/>
                                    </w14:schemeClr>
                                  </w14:solidFill>
                                </w14:textFill>
                              </w:rPr>
                            </w:pPr>
                          </w:p>
                          <w:p w14:paraId="2574762B" w14:textId="77777777" w:rsidR="00431B76" w:rsidRPr="00063084" w:rsidRDefault="00431B76" w:rsidP="00431B76">
                            <w:pPr>
                              <w:rPr>
                                <w:color w:val="536374" w:themeColor="text2"/>
                                <w14:textFill>
                                  <w14:solidFill>
                                    <w14:schemeClr w14:val="tx2">
                                      <w14:alpha w14:val="37000"/>
                                    </w14:schemeClr>
                                  </w14:solidFill>
                                </w14:textFill>
                              </w:rPr>
                            </w:pPr>
                          </w:p>
                          <w:p w14:paraId="7FE62230" w14:textId="77777777" w:rsidR="00431B76" w:rsidRPr="00063084" w:rsidRDefault="00431B76" w:rsidP="00431B76">
                            <w:pPr>
                              <w:pStyle w:val="Ttulo1"/>
                              <w:rPr>
                                <w14:textFill>
                                  <w14:solidFill>
                                    <w14:schemeClr w14:val="tx2">
                                      <w14:alpha w14:val="37000"/>
                                    </w14:schemeClr>
                                  </w14:solidFill>
                                </w14:textFill>
                              </w:rPr>
                            </w:pPr>
                          </w:p>
                          <w:p w14:paraId="3ABA9216" w14:textId="77777777" w:rsidR="00431B76" w:rsidRPr="00063084" w:rsidRDefault="00431B76" w:rsidP="00431B76">
                            <w:pPr>
                              <w:rPr>
                                <w:color w:val="536374" w:themeColor="text2"/>
                                <w14:textFill>
                                  <w14:solidFill>
                                    <w14:schemeClr w14:val="tx2">
                                      <w14:alpha w14:val="37000"/>
                                    </w14:schemeClr>
                                  </w14:solidFill>
                                </w14:textFill>
                              </w:rPr>
                            </w:pPr>
                          </w:p>
                          <w:p w14:paraId="22831934" w14:textId="77777777" w:rsidR="00431B76" w:rsidRPr="00063084" w:rsidRDefault="00431B76" w:rsidP="00431B76">
                            <w:pPr>
                              <w:pStyle w:val="Ttulo1"/>
                              <w:rPr>
                                <w14:textFill>
                                  <w14:solidFill>
                                    <w14:schemeClr w14:val="tx2">
                                      <w14:alpha w14:val="37000"/>
                                    </w14:schemeClr>
                                  </w14:solidFill>
                                </w14:textFill>
                              </w:rPr>
                            </w:pPr>
                          </w:p>
                          <w:p w14:paraId="1A6AB71C" w14:textId="77777777" w:rsidR="00431B76" w:rsidRPr="00063084" w:rsidRDefault="00431B76" w:rsidP="00431B76">
                            <w:pPr>
                              <w:rPr>
                                <w:color w:val="536374" w:themeColor="text2"/>
                                <w14:textFill>
                                  <w14:solidFill>
                                    <w14:schemeClr w14:val="tx2">
                                      <w14:alpha w14:val="37000"/>
                                    </w14:schemeClr>
                                  </w14:solidFill>
                                </w14:textFill>
                              </w:rPr>
                            </w:pPr>
                          </w:p>
                          <w:p w14:paraId="0AFF7123" w14:textId="77777777" w:rsidR="00431B76" w:rsidRPr="00063084" w:rsidRDefault="00431B76" w:rsidP="00431B76">
                            <w:pPr>
                              <w:pStyle w:val="Ttulo1"/>
                              <w:rPr>
                                <w14:textFill>
                                  <w14:solidFill>
                                    <w14:schemeClr w14:val="tx2">
                                      <w14:alpha w14:val="37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8D9F0" id="Rectangle: Single Corner Snipped 4" o:spid="_x0000_s1028" alt="colored rectangle" style="position:absolute;left:0;text-align:left;margin-left:-90.15pt;margin-top:363pt;width:533.55pt;height:69pt;flip:y;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776085,876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" adj="-11796480,,5400" path="m,l6357047,r419038,419038l6776085,876300,,876300,,xe" fillcolor="#bfbfbf [2412]" stroked="f">
                <v:stroke joinstyle="miter"/>
                <v:formulas/>
                <v:path arrowok="t" o:connecttype="custom" o:connectlocs="0,0;6357047,0;6776085,419038;6776085,876300;0,876300;0,0" o:connectangles="0,0,0,0,0,0" textboxrect="0,0,6776085,876300"/>
                <v:textbox>
                  <w:txbxContent>
                    <w:p w14:paraId="0CDB64BD" w14:textId="77777777" w:rsidR="00431B76" w:rsidRPr="00063084" w:rsidRDefault="00431B76" w:rsidP="00431B76">
                      <w:pPr>
                        <w:pStyle w:val="Ttulo1"/>
                        <w:rPr>
                          <w14:textFill>
                            <w14:solidFill>
                              <w14:schemeClr w14:val="tx2">
                                <w14:alpha w14:val="37000"/>
                              </w14:schemeClr>
                            </w14:solidFill>
                          </w14:textFill>
                        </w:rPr>
                      </w:pPr>
                    </w:p>
                    <w:p w14:paraId="57B47136" w14:textId="77777777" w:rsidR="00431B76" w:rsidRPr="00063084" w:rsidRDefault="00431B76" w:rsidP="00431B76">
                      <w:pPr>
                        <w:rPr>
                          <w:color w:val="536374" w:themeColor="text2"/>
                          <w14:textFill>
                            <w14:solidFill>
                              <w14:schemeClr w14:val="tx2">
                                <w14:alpha w14:val="37000"/>
                              </w14:schemeClr>
                            </w14:solidFill>
                          </w14:textFill>
                        </w:rPr>
                      </w:pPr>
                    </w:p>
                    <w:p w14:paraId="40681A8E" w14:textId="77777777" w:rsidR="00431B76" w:rsidRPr="00063084" w:rsidRDefault="00431B76" w:rsidP="00431B76">
                      <w:pPr>
                        <w:pStyle w:val="Ttulo1"/>
                        <w:rPr>
                          <w14:textFill>
                            <w14:solidFill>
                              <w14:schemeClr w14:val="tx2">
                                <w14:alpha w14:val="37000"/>
                              </w14:schemeClr>
                            </w14:solidFill>
                          </w14:textFill>
                        </w:rPr>
                      </w:pPr>
                    </w:p>
                    <w:p w14:paraId="74CF8FAD" w14:textId="77777777" w:rsidR="00431B76" w:rsidRPr="00063084" w:rsidRDefault="00431B76" w:rsidP="00431B76">
                      <w:pPr>
                        <w:rPr>
                          <w:color w:val="536374" w:themeColor="text2"/>
                          <w14:textFill>
                            <w14:solidFill>
                              <w14:schemeClr w14:val="tx2">
                                <w14:alpha w14:val="37000"/>
                              </w14:schemeClr>
                            </w14:solidFill>
                          </w14:textFill>
                        </w:rPr>
                      </w:pPr>
                    </w:p>
                    <w:p w14:paraId="59C7D4BC" w14:textId="77777777" w:rsidR="00431B76" w:rsidRPr="00063084" w:rsidRDefault="00431B76" w:rsidP="00431B76">
                      <w:pPr>
                        <w:pStyle w:val="Ttulo1"/>
                        <w:rPr>
                          <w14:textFill>
                            <w14:solidFill>
                              <w14:schemeClr w14:val="tx2">
                                <w14:alpha w14:val="37000"/>
                              </w14:schemeClr>
                            </w14:solidFill>
                          </w14:textFill>
                        </w:rPr>
                      </w:pPr>
                    </w:p>
                    <w:p w14:paraId="623917EC" w14:textId="77777777" w:rsidR="00431B76" w:rsidRPr="00063084" w:rsidRDefault="00431B76" w:rsidP="00431B76">
                      <w:pPr>
                        <w:rPr>
                          <w:color w:val="536374" w:themeColor="text2"/>
                          <w14:textFill>
                            <w14:solidFill>
                              <w14:schemeClr w14:val="tx2">
                                <w14:alpha w14:val="37000"/>
                              </w14:schemeClr>
                            </w14:solidFill>
                          </w14:textFill>
                        </w:rPr>
                      </w:pPr>
                    </w:p>
                    <w:p w14:paraId="43579A97" w14:textId="77777777" w:rsidR="00431B76" w:rsidRPr="00063084" w:rsidRDefault="00431B76" w:rsidP="00431B76">
                      <w:pPr>
                        <w:pStyle w:val="Ttulo1"/>
                        <w:rPr>
                          <w14:textFill>
                            <w14:solidFill>
                              <w14:schemeClr w14:val="tx2">
                                <w14:alpha w14:val="37000"/>
                              </w14:schemeClr>
                            </w14:solidFill>
                          </w14:textFill>
                        </w:rPr>
                      </w:pPr>
                    </w:p>
                    <w:p w14:paraId="12D2753D" w14:textId="77777777" w:rsidR="00431B76" w:rsidRPr="00063084" w:rsidRDefault="00431B76" w:rsidP="00431B76">
                      <w:pPr>
                        <w:rPr>
                          <w:color w:val="536374" w:themeColor="text2"/>
                          <w14:textFill>
                            <w14:solidFill>
                              <w14:schemeClr w14:val="tx2">
                                <w14:alpha w14:val="37000"/>
                              </w14:schemeClr>
                            </w14:solidFill>
                          </w14:textFill>
                        </w:rPr>
                      </w:pPr>
                    </w:p>
                    <w:p w14:paraId="2EE86B98" w14:textId="77777777" w:rsidR="00431B76" w:rsidRPr="00063084" w:rsidRDefault="00431B76" w:rsidP="00431B76">
                      <w:pPr>
                        <w:pStyle w:val="Ttulo1"/>
                        <w:rPr>
                          <w14:textFill>
                            <w14:solidFill>
                              <w14:schemeClr w14:val="tx2">
                                <w14:alpha w14:val="37000"/>
                              </w14:schemeClr>
                            </w14:solidFill>
                          </w14:textFill>
                        </w:rPr>
                      </w:pPr>
                    </w:p>
                    <w:p w14:paraId="2574762B" w14:textId="77777777" w:rsidR="00431B76" w:rsidRPr="00063084" w:rsidRDefault="00431B76" w:rsidP="00431B76">
                      <w:pPr>
                        <w:rPr>
                          <w:color w:val="536374" w:themeColor="text2"/>
                          <w14:textFill>
                            <w14:solidFill>
                              <w14:schemeClr w14:val="tx2">
                                <w14:alpha w14:val="37000"/>
                              </w14:schemeClr>
                            </w14:solidFill>
                          </w14:textFill>
                        </w:rPr>
                      </w:pPr>
                    </w:p>
                    <w:p w14:paraId="7FE62230" w14:textId="77777777" w:rsidR="00431B76" w:rsidRPr="00063084" w:rsidRDefault="00431B76" w:rsidP="00431B76">
                      <w:pPr>
                        <w:pStyle w:val="Ttulo1"/>
                        <w:rPr>
                          <w14:textFill>
                            <w14:solidFill>
                              <w14:schemeClr w14:val="tx2">
                                <w14:alpha w14:val="37000"/>
                              </w14:schemeClr>
                            </w14:solidFill>
                          </w14:textFill>
                        </w:rPr>
                      </w:pPr>
                    </w:p>
                    <w:p w14:paraId="3ABA9216" w14:textId="77777777" w:rsidR="00431B76" w:rsidRPr="00063084" w:rsidRDefault="00431B76" w:rsidP="00431B76">
                      <w:pPr>
                        <w:rPr>
                          <w:color w:val="536374" w:themeColor="text2"/>
                          <w14:textFill>
                            <w14:solidFill>
                              <w14:schemeClr w14:val="tx2">
                                <w14:alpha w14:val="37000"/>
                              </w14:schemeClr>
                            </w14:solidFill>
                          </w14:textFill>
                        </w:rPr>
                      </w:pPr>
                    </w:p>
                    <w:p w14:paraId="22831934" w14:textId="77777777" w:rsidR="00431B76" w:rsidRPr="00063084" w:rsidRDefault="00431B76" w:rsidP="00431B76">
                      <w:pPr>
                        <w:pStyle w:val="Ttulo1"/>
                        <w:rPr>
                          <w14:textFill>
                            <w14:solidFill>
                              <w14:schemeClr w14:val="tx2">
                                <w14:alpha w14:val="37000"/>
                              </w14:schemeClr>
                            </w14:solidFill>
                          </w14:textFill>
                        </w:rPr>
                      </w:pPr>
                    </w:p>
                    <w:p w14:paraId="1A6AB71C" w14:textId="77777777" w:rsidR="00431B76" w:rsidRPr="00063084" w:rsidRDefault="00431B76" w:rsidP="00431B76">
                      <w:pPr>
                        <w:rPr>
                          <w:color w:val="536374" w:themeColor="text2"/>
                          <w14:textFill>
                            <w14:solidFill>
                              <w14:schemeClr w14:val="tx2">
                                <w14:alpha w14:val="37000"/>
                              </w14:schemeClr>
                            </w14:solidFill>
                          </w14:textFill>
                        </w:rPr>
                      </w:pPr>
                    </w:p>
                    <w:p w14:paraId="0AFF7123" w14:textId="77777777" w:rsidR="00431B76" w:rsidRPr="00063084" w:rsidRDefault="00431B76" w:rsidP="00431B76">
                      <w:pPr>
                        <w:pStyle w:val="Ttulo1"/>
                        <w:rPr>
                          <w14:textFill>
                            <w14:solidFill>
                              <w14:schemeClr w14:val="tx2">
                                <w14:alpha w14:val="37000"/>
                              </w14:schemeClr>
                            </w14:solidFill>
                          </w14:textFill>
                        </w:rPr>
                      </w:pPr>
                    </w:p>
                  </w:txbxContent>
                </v:textbox>
                <w10:wrap anchorx="margin" anchory="page"/>
              </v:shape>
            </w:pict>
          </mc:Fallback>
        </mc:AlternateContent>
      </w:r>
    </w:p>
    <w:p w14:paraId="460D20BF" w14:textId="050B1057" w:rsidR="00C701DA" w:rsidRPr="00EE5251" w:rsidRDefault="00C701DA" w:rsidP="004A0C4A">
      <w:pPr>
        <w:ind w:left="1440"/>
        <w:rPr>
          <w:noProof/>
          <w:lang w:val="en-CA" w:eastAsia="en-US"/>
        </w:rPr>
      </w:pPr>
    </w:p>
    <w:p w14:paraId="75BE1858" w14:textId="76E6FF71" w:rsidR="00431B76" w:rsidRPr="00EE5251" w:rsidRDefault="00431B76" w:rsidP="00431B76">
      <w:pPr>
        <w:rPr>
          <w:noProof/>
          <w:lang w:val="en-CA" w:eastAsia="en-US"/>
        </w:rPr>
      </w:pPr>
    </w:p>
    <w:p w14:paraId="33D0C34F" w14:textId="605D7472" w:rsidR="00C701DA" w:rsidRPr="00EE5251" w:rsidRDefault="00C701DA" w:rsidP="00211316">
      <w:pPr>
        <w:rPr>
          <w:noProof/>
          <w:lang w:val="en-CA" w:eastAsia="en-US"/>
        </w:rPr>
      </w:pPr>
    </w:p>
    <w:p w14:paraId="641C0427" w14:textId="45A12EFA" w:rsidR="00897F52" w:rsidRPr="00FA7043" w:rsidRDefault="006B3012" w:rsidP="0022056E">
      <w:pPr>
        <w:pStyle w:val="Subttulo"/>
        <w:spacing w:after="0"/>
        <w:rPr>
          <w:snapToGrid w:val="0"/>
          <w:w w:val="0"/>
          <w:sz w:val="28"/>
          <w:szCs w:val="28"/>
          <w:u w:color="000000"/>
          <w:bdr w:val="none" w:sz="0" w:space="0" w:color="000000"/>
          <w:shd w:val="clear" w:color="000000" w:fill="000000"/>
          <w:lang w:val="en-CA"/>
        </w:rPr>
      </w:pPr>
      <w:r>
        <w:rPr>
          <w:noProof/>
          <w:shd w:val="clear" w:color="auto" w:fill="auto"/>
          <w:lang w:val="en-CA" w:eastAsia="en-US"/>
        </w:rPr>
        <mc:AlternateContent>
          <mc:Choice Requires="wps">
            <w:drawing>
              <wp:anchor distT="0" distB="0" distL="114300" distR="114300" simplePos="0" relativeHeight="251658254" behindDoc="0" locked="0" layoutInCell="1" allowOverlap="1" wp14:anchorId="57B387F3" wp14:editId="743DA9DF">
                <wp:simplePos x="0" y="0"/>
                <wp:positionH relativeFrom="margin">
                  <wp:posOffset>-355771</wp:posOffset>
                </wp:positionH>
                <wp:positionV relativeFrom="paragraph">
                  <wp:posOffset>310750</wp:posOffset>
                </wp:positionV>
                <wp:extent cx="6877210" cy="2933700"/>
                <wp:effectExtent l="0" t="0" r="19050" b="19050"/>
                <wp:wrapNone/>
                <wp:docPr id="95656205" name="Rectangle 2"/>
                <wp:cNvGraphicFramePr/>
                <a:graphic xmlns:a="http://schemas.openxmlformats.org/drawingml/2006/main">
                  <a:graphicData uri="http://schemas.microsoft.com/office/word/2010/wordprocessingShape">
                    <wps:wsp>
                      <wps:cNvSpPr/>
                      <wps:spPr>
                        <a:xfrm>
                          <a:off x="0" y="0"/>
                          <a:ext cx="6877210" cy="2933700"/>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EF561B" w14:textId="4C6F240B" w:rsidR="006B3012" w:rsidRDefault="006B3012" w:rsidP="00F96C02">
                            <w:pPr>
                              <w:spacing w:after="120"/>
                              <w:rPr>
                                <w:sz w:val="20"/>
                              </w:rPr>
                            </w:pPr>
                            <w:r w:rsidRPr="002D039B">
                              <w:rPr>
                                <w:b/>
                                <w:bCs/>
                                <w:color w:val="FF0000"/>
                                <w:sz w:val="20"/>
                              </w:rPr>
                              <w:t>DISCLAIMER</w:t>
                            </w:r>
                            <w:r w:rsidR="008044BA">
                              <w:rPr>
                                <w:sz w:val="20"/>
                              </w:rPr>
                              <w:t xml:space="preserve">: </w:t>
                            </w:r>
                            <w:r w:rsidR="002E7D9A" w:rsidRPr="00F04677">
                              <w:rPr>
                                <w:sz w:val="20"/>
                              </w:rPr>
                              <w:t xml:space="preserve">HLPE-FSN drafts are deliberately presented early enough in the process – as a work-in progress, with their range of imperfections – to allow sufficient time to </w:t>
                            </w:r>
                            <w:proofErr w:type="gramStart"/>
                            <w:r w:rsidR="002E7D9A" w:rsidRPr="00F04677">
                              <w:rPr>
                                <w:sz w:val="20"/>
                              </w:rPr>
                              <w:t>give proper consideration to</w:t>
                            </w:r>
                            <w:proofErr w:type="gramEnd"/>
                            <w:r w:rsidR="002E7D9A" w:rsidRPr="00F04677">
                              <w:rPr>
                                <w:sz w:val="20"/>
                              </w:rPr>
                              <w:t xml:space="preserve"> the feedback received so that it can play a </w:t>
                            </w:r>
                            <w:proofErr w:type="gramStart"/>
                            <w:r w:rsidR="002E7D9A" w:rsidRPr="00F04677">
                              <w:rPr>
                                <w:sz w:val="20"/>
                              </w:rPr>
                              <w:t>really useful</w:t>
                            </w:r>
                            <w:proofErr w:type="gramEnd"/>
                            <w:r w:rsidR="002E7D9A" w:rsidRPr="00F04677">
                              <w:rPr>
                                <w:sz w:val="20"/>
                              </w:rPr>
                              <w:t xml:space="preserve"> role in the elaboration of the report. It is a key part of the scientific dialogue between the HLPE-FSN Steering Committee and the rest of the knowledge community. </w:t>
                            </w:r>
                          </w:p>
                          <w:p w14:paraId="24234874" w14:textId="6337FE12" w:rsidR="00522D20" w:rsidRDefault="002E7D9A" w:rsidP="00F96C02">
                            <w:pPr>
                              <w:spacing w:after="120"/>
                              <w:rPr>
                                <w:sz w:val="20"/>
                              </w:rPr>
                            </w:pPr>
                            <w:r w:rsidRPr="00F04677">
                              <w:rPr>
                                <w:sz w:val="20"/>
                              </w:rPr>
                              <w:t xml:space="preserve">This draft may be thoroughly corrected, modified, expanded and revised after the present consultation. </w:t>
                            </w:r>
                            <w:proofErr w:type="gramStart"/>
                            <w:r w:rsidRPr="00F04677">
                              <w:rPr>
                                <w:sz w:val="20"/>
                              </w:rPr>
                              <w:t>In order to</w:t>
                            </w:r>
                            <w:proofErr w:type="gramEnd"/>
                            <w:r w:rsidRPr="00F04677">
                              <w:rPr>
                                <w:sz w:val="20"/>
                              </w:rPr>
                              <w:t xml:space="preserve"> strengthen this draft, the HLPE-FSN would welcome submission of material, evidence</w:t>
                            </w:r>
                            <w:r w:rsidR="00522D20">
                              <w:rPr>
                                <w:sz w:val="20"/>
                              </w:rPr>
                              <w:t>-</w:t>
                            </w:r>
                            <w:r w:rsidRPr="00F04677">
                              <w:rPr>
                                <w:sz w:val="20"/>
                              </w:rPr>
                              <w:t xml:space="preserve">based suggestions and references </w:t>
                            </w:r>
                            <w:proofErr w:type="gramStart"/>
                            <w:r w:rsidRPr="00F04677">
                              <w:rPr>
                                <w:sz w:val="20"/>
                              </w:rPr>
                              <w:t>in particular addressing</w:t>
                            </w:r>
                            <w:proofErr w:type="gramEnd"/>
                            <w:r w:rsidRPr="00F04677">
                              <w:rPr>
                                <w:sz w:val="20"/>
                              </w:rPr>
                              <w:t xml:space="preserve"> the specific questions of the e</w:t>
                            </w:r>
                            <w:r w:rsidR="00522D20">
                              <w:rPr>
                                <w:sz w:val="20"/>
                              </w:rPr>
                              <w:t>-</w:t>
                            </w:r>
                            <w:r w:rsidRPr="00F04677">
                              <w:rPr>
                                <w:sz w:val="20"/>
                              </w:rPr>
                              <w:t xml:space="preserve">consultation. </w:t>
                            </w:r>
                          </w:p>
                          <w:p w14:paraId="55FF355E" w14:textId="77777777" w:rsidR="00F96C02" w:rsidRDefault="002E7D9A" w:rsidP="00F96C02">
                            <w:pPr>
                              <w:spacing w:after="120"/>
                              <w:rPr>
                                <w:sz w:val="20"/>
                              </w:rPr>
                            </w:pPr>
                            <w:r w:rsidRPr="00F04677">
                              <w:rPr>
                                <w:sz w:val="20"/>
                              </w:rPr>
                              <w:t xml:space="preserve">Please refer only to the final publication for quotations. Do not copy, cite or quote. </w:t>
                            </w:r>
                          </w:p>
                          <w:p w14:paraId="3869F2B0" w14:textId="528F1400" w:rsidR="00211316" w:rsidRPr="00F04677" w:rsidRDefault="002E7D9A" w:rsidP="00F96C02">
                            <w:pPr>
                              <w:spacing w:after="120"/>
                              <w:rPr>
                                <w:sz w:val="20"/>
                              </w:rPr>
                            </w:pPr>
                            <w:r w:rsidRPr="00F04677">
                              <w:rPr>
                                <w:sz w:val="20"/>
                              </w:rPr>
                              <w:t xml:space="preserve">The views expressed do not necessarily reflect the official views of the Committee on World Food Security, of its members, participants, or of the Secretariat. The mention of specific companies or products of manufacturers, </w:t>
                            </w:r>
                            <w:proofErr w:type="gramStart"/>
                            <w:r w:rsidRPr="00F04677">
                              <w:rPr>
                                <w:sz w:val="20"/>
                              </w:rPr>
                              <w:t>whether or not</w:t>
                            </w:r>
                            <w:proofErr w:type="gramEnd"/>
                            <w:r w:rsidRPr="00F04677">
                              <w:rPr>
                                <w:sz w:val="20"/>
                              </w:rPr>
                              <w:t xml:space="preserve"> these have been patented, does not imply that these have been endorsed or recommended by the HLPE-FSN in preference to others of a similar nature that are not mentioned.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387F3" id="Rectangle 2" o:spid="_x0000_s1029" style="position:absolute;left:0;text-align:left;margin-left:-28pt;margin-top:24.45pt;width:541.5pt;height:231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" fillcolor="#d2f1fc [661]" strokecolor="#09151d [484]" strokeweight="2pt">
                <v:textbox>
                  <w:txbxContent>
                    <w:p w14:paraId="2FEF561B" w14:textId="4C6F240B" w:rsidR="006B3012" w:rsidRDefault="006B3012" w:rsidP="00F96C02">
                      <w:pPr>
                        <w:spacing w:after="120"/>
                        <w:rPr>
                          <w:sz w:val="20"/>
                        </w:rPr>
                      </w:pPr>
                      <w:r w:rsidRPr="002D039B">
                        <w:rPr>
                          <w:b/>
                          <w:bCs/>
                          <w:color w:val="FF0000"/>
                          <w:sz w:val="20"/>
                        </w:rPr>
                        <w:t>DISCLAIMER</w:t>
                      </w:r>
                      <w:r w:rsidR="008044BA">
                        <w:rPr>
                          <w:sz w:val="20"/>
                        </w:rPr>
                        <w:t xml:space="preserve">: </w:t>
                      </w:r>
                      <w:r w:rsidR="002E7D9A" w:rsidRPr="00F04677">
                        <w:rPr>
                          <w:sz w:val="20"/>
                        </w:rPr>
                        <w:t xml:space="preserve">HLPE-FSN drafts are deliberately presented early enough in the process – as a work-in progress, with their range of imperfections – to allow sufficient time to </w:t>
                      </w:r>
                      <w:proofErr w:type="gramStart"/>
                      <w:r w:rsidR="002E7D9A" w:rsidRPr="00F04677">
                        <w:rPr>
                          <w:sz w:val="20"/>
                        </w:rPr>
                        <w:t>give proper consideration to</w:t>
                      </w:r>
                      <w:proofErr w:type="gramEnd"/>
                      <w:r w:rsidR="002E7D9A" w:rsidRPr="00F04677">
                        <w:rPr>
                          <w:sz w:val="20"/>
                        </w:rPr>
                        <w:t xml:space="preserve"> the feedback received so that it can play a </w:t>
                      </w:r>
                      <w:proofErr w:type="gramStart"/>
                      <w:r w:rsidR="002E7D9A" w:rsidRPr="00F04677">
                        <w:rPr>
                          <w:sz w:val="20"/>
                        </w:rPr>
                        <w:t>really useful</w:t>
                      </w:r>
                      <w:proofErr w:type="gramEnd"/>
                      <w:r w:rsidR="002E7D9A" w:rsidRPr="00F04677">
                        <w:rPr>
                          <w:sz w:val="20"/>
                        </w:rPr>
                        <w:t xml:space="preserve"> role in the elaboration of the report. It is a key part of the scientific dialogue between the HLPE-FSN Steering Committee and the rest of the knowledge community. </w:t>
                      </w:r>
                    </w:p>
                    <w:p w14:paraId="24234874" w14:textId="6337FE12" w:rsidR="00522D20" w:rsidRDefault="002E7D9A" w:rsidP="00F96C02">
                      <w:pPr>
                        <w:spacing w:after="120"/>
                        <w:rPr>
                          <w:sz w:val="20"/>
                        </w:rPr>
                      </w:pPr>
                      <w:r w:rsidRPr="00F04677">
                        <w:rPr>
                          <w:sz w:val="20"/>
                        </w:rPr>
                        <w:t xml:space="preserve">This draft may be thoroughly corrected, modified, expanded and revised after the present consultation. </w:t>
                      </w:r>
                      <w:proofErr w:type="gramStart"/>
                      <w:r w:rsidRPr="00F04677">
                        <w:rPr>
                          <w:sz w:val="20"/>
                        </w:rPr>
                        <w:t>In order to</w:t>
                      </w:r>
                      <w:proofErr w:type="gramEnd"/>
                      <w:r w:rsidRPr="00F04677">
                        <w:rPr>
                          <w:sz w:val="20"/>
                        </w:rPr>
                        <w:t xml:space="preserve"> strengthen this draft, the HLPE-FSN would welcome submission of material, evidence</w:t>
                      </w:r>
                      <w:r w:rsidR="00522D20">
                        <w:rPr>
                          <w:sz w:val="20"/>
                        </w:rPr>
                        <w:t>-</w:t>
                      </w:r>
                      <w:r w:rsidRPr="00F04677">
                        <w:rPr>
                          <w:sz w:val="20"/>
                        </w:rPr>
                        <w:t xml:space="preserve">based suggestions and references </w:t>
                      </w:r>
                      <w:proofErr w:type="gramStart"/>
                      <w:r w:rsidRPr="00F04677">
                        <w:rPr>
                          <w:sz w:val="20"/>
                        </w:rPr>
                        <w:t>in particular addressing</w:t>
                      </w:r>
                      <w:proofErr w:type="gramEnd"/>
                      <w:r w:rsidRPr="00F04677">
                        <w:rPr>
                          <w:sz w:val="20"/>
                        </w:rPr>
                        <w:t xml:space="preserve"> the specific questions of the e</w:t>
                      </w:r>
                      <w:r w:rsidR="00522D20">
                        <w:rPr>
                          <w:sz w:val="20"/>
                        </w:rPr>
                        <w:t>-</w:t>
                      </w:r>
                      <w:r w:rsidRPr="00F04677">
                        <w:rPr>
                          <w:sz w:val="20"/>
                        </w:rPr>
                        <w:t xml:space="preserve">consultation. </w:t>
                      </w:r>
                    </w:p>
                    <w:p w14:paraId="55FF355E" w14:textId="77777777" w:rsidR="00F96C02" w:rsidRDefault="002E7D9A" w:rsidP="00F96C02">
                      <w:pPr>
                        <w:spacing w:after="120"/>
                        <w:rPr>
                          <w:sz w:val="20"/>
                        </w:rPr>
                      </w:pPr>
                      <w:r w:rsidRPr="00F04677">
                        <w:rPr>
                          <w:sz w:val="20"/>
                        </w:rPr>
                        <w:t xml:space="preserve">Please refer only to the final publication for quotations. Do not copy, cite or quote. </w:t>
                      </w:r>
                    </w:p>
                    <w:p w14:paraId="3869F2B0" w14:textId="528F1400" w:rsidR="00211316" w:rsidRPr="00F04677" w:rsidRDefault="002E7D9A" w:rsidP="00F96C02">
                      <w:pPr>
                        <w:spacing w:after="120"/>
                        <w:rPr>
                          <w:sz w:val="20"/>
                        </w:rPr>
                      </w:pPr>
                      <w:r w:rsidRPr="00F04677">
                        <w:rPr>
                          <w:sz w:val="20"/>
                        </w:rPr>
                        <w:t xml:space="preserve">The views expressed do not necessarily reflect the official views of the Committee on World Food Security, of its members, participants, or of the Secretariat. The mention of specific companies or products of manufacturers, </w:t>
                      </w:r>
                      <w:proofErr w:type="gramStart"/>
                      <w:r w:rsidRPr="00F04677">
                        <w:rPr>
                          <w:sz w:val="20"/>
                        </w:rPr>
                        <w:t>whether or not</w:t>
                      </w:r>
                      <w:proofErr w:type="gramEnd"/>
                      <w:r w:rsidRPr="00F04677">
                        <w:rPr>
                          <w:sz w:val="20"/>
                        </w:rPr>
                        <w:t xml:space="preserve"> these have been patented, does not imply that these have been endorsed or recommended by the HLPE-FSN in preference to others of a similar nature that are not mentioned.</w:t>
                      </w:r>
                    </w:p>
                  </w:txbxContent>
                </v:textbox>
                <w10:wrap anchorx="margin"/>
              </v:rect>
            </w:pict>
          </mc:Fallback>
        </mc:AlternateContent>
      </w:r>
      <w:r w:rsidR="00C257C5" w:rsidRPr="00FA7043">
        <w:rPr>
          <w:rStyle w:val="SubttuloCar"/>
          <w:b/>
          <w:sz w:val="28"/>
          <w:szCs w:val="28"/>
          <w:lang w:val="en-CA"/>
        </w:rPr>
        <w:t xml:space="preserve">By the </w:t>
      </w:r>
      <w:proofErr w:type="gramStart"/>
      <w:r w:rsidR="00C701DA" w:rsidRPr="00FA7043">
        <w:rPr>
          <w:rStyle w:val="SubttuloCar"/>
          <w:b/>
          <w:sz w:val="28"/>
          <w:szCs w:val="28"/>
          <w:lang w:val="en-CA"/>
        </w:rPr>
        <w:t>High</w:t>
      </w:r>
      <w:r w:rsidR="00C701DA" w:rsidRPr="00FA7043">
        <w:rPr>
          <w:sz w:val="28"/>
          <w:szCs w:val="28"/>
          <w:lang w:val="en-CA"/>
        </w:rPr>
        <w:t xml:space="preserve"> </w:t>
      </w:r>
      <w:r w:rsidR="00C701DA" w:rsidRPr="00FA7043">
        <w:rPr>
          <w:rStyle w:val="SubttuloCar"/>
          <w:b/>
          <w:sz w:val="28"/>
          <w:szCs w:val="28"/>
          <w:lang w:val="en-CA"/>
        </w:rPr>
        <w:t>Level</w:t>
      </w:r>
      <w:proofErr w:type="gramEnd"/>
      <w:r w:rsidR="00C701DA" w:rsidRPr="00FA7043">
        <w:rPr>
          <w:rStyle w:val="SubttuloCar"/>
          <w:b/>
          <w:sz w:val="28"/>
          <w:szCs w:val="28"/>
          <w:lang w:val="en-CA"/>
        </w:rPr>
        <w:t xml:space="preserve"> Panel of Experts on Food Security and Nutrition</w:t>
      </w:r>
      <w:r w:rsidR="00350D28" w:rsidRPr="00FA7043">
        <w:rPr>
          <w:rStyle w:val="SubttuloCar"/>
          <w:b/>
          <w:sz w:val="28"/>
          <w:szCs w:val="28"/>
          <w:lang w:val="en-CA"/>
        </w:rPr>
        <w:t xml:space="preserve"> (HLPE-FSN)</w:t>
      </w:r>
    </w:p>
    <w:p w14:paraId="096D8562" w14:textId="731F4143" w:rsidR="00484F30" w:rsidRPr="0022056E" w:rsidRDefault="00225BB2" w:rsidP="004A0C4A">
      <w:pPr>
        <w:ind w:left="1440"/>
        <w:rPr>
          <w:snapToGrid w:val="0"/>
          <w:w w:val="0"/>
          <w:u w:color="000000"/>
          <w:bdr w:val="none" w:sz="0" w:space="0" w:color="000000"/>
          <w:shd w:val="clear" w:color="000000" w:fill="000000"/>
        </w:rPr>
      </w:pPr>
      <w:r w:rsidRPr="00EE5251">
        <w:rPr>
          <w:noProof/>
          <w:lang w:val="en-CA" w:eastAsia="en-US"/>
        </w:rPr>
        <mc:AlternateContent>
          <mc:Choice Requires="wps">
            <w:drawing>
              <wp:anchor distT="0" distB="0" distL="114300" distR="114300" simplePos="0" relativeHeight="251658249" behindDoc="1" locked="0" layoutInCell="1" allowOverlap="1" wp14:anchorId="109E3470" wp14:editId="05D07CBB">
                <wp:simplePos x="0" y="0"/>
                <wp:positionH relativeFrom="margin">
                  <wp:align>left</wp:align>
                </wp:positionH>
                <wp:positionV relativeFrom="paragraph">
                  <wp:posOffset>3104276</wp:posOffset>
                </wp:positionV>
                <wp:extent cx="3657600" cy="735001"/>
                <wp:effectExtent l="0" t="0" r="0" b="0"/>
                <wp:wrapTight wrapText="bothSides">
                  <wp:wrapPolygon edited="0">
                    <wp:start x="338" y="0"/>
                    <wp:lineTo x="338" y="20723"/>
                    <wp:lineTo x="21263" y="20723"/>
                    <wp:lineTo x="21263" y="0"/>
                    <wp:lineTo x="338" y="0"/>
                  </wp:wrapPolygon>
                </wp:wrapTight>
                <wp:docPr id="7" name="Text Box 7"/>
                <wp:cNvGraphicFramePr/>
                <a:graphic xmlns:a="http://schemas.openxmlformats.org/drawingml/2006/main">
                  <a:graphicData uri="http://schemas.microsoft.com/office/word/2010/wordprocessingShape">
                    <wps:wsp>
                      <wps:cNvSpPr txBox="1"/>
                      <wps:spPr>
                        <a:xfrm>
                          <a:off x="0" y="0"/>
                          <a:ext cx="3657600" cy="735001"/>
                        </a:xfrm>
                        <a:prstGeom prst="rect">
                          <a:avLst/>
                        </a:prstGeom>
                        <a:noFill/>
                        <a:ln w="6350">
                          <a:noFill/>
                        </a:ln>
                      </wps:spPr>
                      <wps:txbx>
                        <w:txbxContent>
                          <w:p w14:paraId="74E02544" w14:textId="77777777" w:rsidR="0089353D" w:rsidRDefault="003C1055" w:rsidP="00C257C5">
                            <w:pPr>
                              <w:rPr>
                                <w:b/>
                                <w:sz w:val="28"/>
                                <w:szCs w:val="28"/>
                                <w:lang w:val="en-GB"/>
                              </w:rPr>
                            </w:pPr>
                            <w:r>
                              <w:rPr>
                                <w:b/>
                                <w:sz w:val="28"/>
                                <w:szCs w:val="28"/>
                                <w:highlight w:val="yellow"/>
                                <w:lang w:val="en-GB"/>
                              </w:rPr>
                              <w:t>9</w:t>
                            </w:r>
                            <w:r w:rsidR="00BE466C">
                              <w:rPr>
                                <w:b/>
                                <w:sz w:val="28"/>
                                <w:szCs w:val="28"/>
                                <w:highlight w:val="yellow"/>
                                <w:lang w:val="en-GB"/>
                              </w:rPr>
                              <w:t xml:space="preserve"> </w:t>
                            </w:r>
                            <w:r w:rsidR="005B04DF" w:rsidRPr="005B04DF">
                              <w:rPr>
                                <w:b/>
                                <w:sz w:val="28"/>
                                <w:szCs w:val="28"/>
                                <w:highlight w:val="yellow"/>
                                <w:lang w:val="en-GB"/>
                              </w:rPr>
                              <w:t>April</w:t>
                            </w:r>
                            <w:r w:rsidR="00C257C5" w:rsidRPr="00151EFA">
                              <w:rPr>
                                <w:b/>
                                <w:sz w:val="28"/>
                                <w:szCs w:val="28"/>
                                <w:lang w:val="en-GB"/>
                              </w:rPr>
                              <w:t xml:space="preserve"> 202</w:t>
                            </w:r>
                            <w:r w:rsidR="00431B76">
                              <w:rPr>
                                <w:b/>
                                <w:sz w:val="28"/>
                                <w:szCs w:val="28"/>
                                <w:lang w:val="en-GB"/>
                              </w:rPr>
                              <w:t>6</w:t>
                            </w:r>
                          </w:p>
                          <w:p w14:paraId="2FD48647" w14:textId="38FD9F97" w:rsidR="00C257C5" w:rsidRPr="00151EFA" w:rsidRDefault="00225BB2" w:rsidP="00C257C5">
                            <w:pPr>
                              <w:rPr>
                                <w:b/>
                                <w:sz w:val="28"/>
                                <w:szCs w:val="28"/>
                                <w:lang w:val="en-GB"/>
                              </w:rPr>
                            </w:pPr>
                            <w:r>
                              <w:rPr>
                                <w:b/>
                                <w:sz w:val="28"/>
                                <w:szCs w:val="28"/>
                                <w:lang w:val="en-GB"/>
                              </w:rPr>
                              <w:t xml:space="preserve">Version for </w:t>
                            </w:r>
                            <w:r w:rsidR="00BE466C">
                              <w:rPr>
                                <w:b/>
                                <w:sz w:val="28"/>
                                <w:szCs w:val="28"/>
                                <w:lang w:val="en-GB"/>
                              </w:rPr>
                              <w:t>the</w:t>
                            </w:r>
                            <w:r w:rsidR="0089353D">
                              <w:rPr>
                                <w:b/>
                                <w:sz w:val="28"/>
                                <w:szCs w:val="28"/>
                                <w:lang w:val="en-GB"/>
                              </w:rPr>
                              <w:t xml:space="preserve"> HLPE-FSN</w:t>
                            </w:r>
                            <w:r w:rsidR="00BE466C">
                              <w:rPr>
                                <w:b/>
                                <w:sz w:val="28"/>
                                <w:szCs w:val="28"/>
                                <w:lang w:val="en-GB"/>
                              </w:rPr>
                              <w:t xml:space="preserve"> Steering </w:t>
                            </w:r>
                            <w:r w:rsidR="0089353D">
                              <w:rPr>
                                <w:b/>
                                <w:sz w:val="28"/>
                                <w:szCs w:val="28"/>
                                <w:lang w:val="en-GB"/>
                              </w:rPr>
                              <w:t>Committee</w:t>
                            </w:r>
                          </w:p>
                          <w:p w14:paraId="0730299D" w14:textId="77777777" w:rsidR="00C257C5" w:rsidRDefault="00C257C5" w:rsidP="00C257C5"/>
                          <w:p w14:paraId="5DB91B04" w14:textId="77777777" w:rsidR="00C257C5" w:rsidRPr="00151EFA" w:rsidRDefault="00C257C5" w:rsidP="00C257C5">
                            <w:pPr>
                              <w:rPr>
                                <w:b/>
                                <w:lang w:val="en-GB"/>
                              </w:rPr>
                            </w:pPr>
                            <w:r w:rsidRPr="00151EFA">
                              <w:rPr>
                                <w:b/>
                                <w:lang w:val="en-GB"/>
                              </w:rPr>
                              <w:t>July 2024</w:t>
                            </w:r>
                          </w:p>
                          <w:p w14:paraId="214E3E06" w14:textId="77777777" w:rsidR="00C257C5" w:rsidRDefault="00C257C5"/>
                          <w:p w14:paraId="51AE304A" w14:textId="10CFC5B8" w:rsidR="00C257C5" w:rsidRPr="00151EFA" w:rsidRDefault="00363A2E" w:rsidP="00C257C5">
                            <w:pPr>
                              <w:rPr>
                                <w:b/>
                                <w:sz w:val="28"/>
                                <w:szCs w:val="28"/>
                                <w:lang w:val="en-GB"/>
                              </w:rPr>
                            </w:pPr>
                            <w:r>
                              <w:t xml:space="preserve">Figure </w:t>
                            </w:r>
                            <w:r>
                              <w:fldChar w:fldCharType="begin"/>
                            </w:r>
                            <w:r>
                              <w:instrText xml:space="preserve"> SEQ Figure \* ARABIC </w:instrText>
                            </w:r>
                            <w:r>
                              <w:fldChar w:fldCharType="separate"/>
                            </w:r>
                            <w:r w:rsidR="003E7904">
                              <w:rPr>
                                <w:noProof/>
                              </w:rPr>
                              <w:t>1</w:t>
                            </w:r>
                            <w:r>
                              <w:fldChar w:fldCharType="end"/>
                            </w:r>
                            <w:r w:rsidR="00E97CBE" w:rsidRPr="00151EFA">
                              <w:rPr>
                                <w:b/>
                                <w:sz w:val="28"/>
                                <w:szCs w:val="28"/>
                                <w:lang w:val="en-GB"/>
                              </w:rPr>
                              <w:t xml:space="preserve">27 </w:t>
                            </w:r>
                            <w:r w:rsidR="00567D0D" w:rsidRPr="00151EFA">
                              <w:rPr>
                                <w:b/>
                                <w:sz w:val="28"/>
                                <w:szCs w:val="28"/>
                                <w:lang w:val="en-GB"/>
                              </w:rPr>
                              <w:t>June</w:t>
                            </w:r>
                            <w:r w:rsidR="00C257C5" w:rsidRPr="00151EFA">
                              <w:rPr>
                                <w:b/>
                                <w:sz w:val="28"/>
                                <w:szCs w:val="28"/>
                                <w:lang w:val="en-GB"/>
                              </w:rPr>
                              <w:t xml:space="preserve"> 2025</w:t>
                            </w:r>
                          </w:p>
                          <w:p w14:paraId="227F64FF" w14:textId="77777777" w:rsidR="00C257C5" w:rsidRDefault="00C257C5" w:rsidP="00C257C5"/>
                          <w:p w14:paraId="0C524383" w14:textId="77777777" w:rsidR="00C257C5" w:rsidRPr="00151EFA" w:rsidRDefault="00C257C5" w:rsidP="00C257C5">
                            <w:pPr>
                              <w:rPr>
                                <w:b/>
                                <w:lang w:val="en-GB"/>
                              </w:rPr>
                            </w:pPr>
                            <w:r w:rsidRPr="00151EFA">
                              <w:rPr>
                                <w:b/>
                                <w:lang w:val="en-GB"/>
                              </w:rPr>
                              <w:t>July 2024</w:t>
                            </w:r>
                          </w:p>
                          <w:p w14:paraId="4AF4A6E5" w14:textId="77777777" w:rsidR="00C257C5" w:rsidRDefault="00C257C5"/>
                          <w:p w14:paraId="140B8EE6" w14:textId="1C38906D" w:rsidR="00C257C5" w:rsidRPr="00151EFA" w:rsidRDefault="00363A2E" w:rsidP="00C257C5">
                            <w:pPr>
                              <w:rPr>
                                <w:b/>
                                <w:sz w:val="28"/>
                                <w:szCs w:val="28"/>
                                <w:lang w:val="en-GB"/>
                              </w:rPr>
                            </w:pPr>
                            <w:r>
                              <w:t xml:space="preserve">Figure </w:t>
                            </w:r>
                            <w:r>
                              <w:fldChar w:fldCharType="begin"/>
                            </w:r>
                            <w:r>
                              <w:instrText xml:space="preserve"> SEQ Figure \* ARABIC </w:instrText>
                            </w:r>
                            <w:r>
                              <w:fldChar w:fldCharType="separate"/>
                            </w:r>
                            <w:r w:rsidR="003E7904">
                              <w:rPr>
                                <w:noProof/>
                              </w:rPr>
                              <w:t>2</w:t>
                            </w:r>
                            <w:r>
                              <w:fldChar w:fldCharType="end"/>
                            </w:r>
                            <w:r w:rsidR="00E97CBE" w:rsidRPr="00151EFA">
                              <w:rPr>
                                <w:b/>
                                <w:sz w:val="28"/>
                                <w:szCs w:val="28"/>
                                <w:lang w:val="en-GB"/>
                              </w:rPr>
                              <w:t xml:space="preserve">27 </w:t>
                            </w:r>
                            <w:r w:rsidR="00567D0D" w:rsidRPr="00151EFA">
                              <w:rPr>
                                <w:b/>
                                <w:sz w:val="28"/>
                                <w:szCs w:val="28"/>
                                <w:lang w:val="en-GB"/>
                              </w:rPr>
                              <w:t>June</w:t>
                            </w:r>
                            <w:r w:rsidR="00C257C5" w:rsidRPr="00151EFA">
                              <w:rPr>
                                <w:b/>
                                <w:sz w:val="28"/>
                                <w:szCs w:val="28"/>
                                <w:lang w:val="en-GB"/>
                              </w:rPr>
                              <w:t xml:space="preserve"> 2025</w:t>
                            </w:r>
                          </w:p>
                          <w:p w14:paraId="1A75C6A7" w14:textId="77777777" w:rsidR="00C257C5" w:rsidRDefault="00C257C5" w:rsidP="00C257C5"/>
                          <w:p w14:paraId="3352B7E1" w14:textId="77777777" w:rsidR="00C257C5" w:rsidRPr="00151EFA" w:rsidRDefault="00C257C5" w:rsidP="00C257C5">
                            <w:pPr>
                              <w:rPr>
                                <w:b/>
                                <w:lang w:val="en-GB"/>
                              </w:rPr>
                            </w:pPr>
                            <w:r w:rsidRPr="00151EFA">
                              <w:rPr>
                                <w:b/>
                                <w:lang w:val="en-GB"/>
                              </w:rPr>
                              <w:t>July 2024</w:t>
                            </w:r>
                          </w:p>
                          <w:p w14:paraId="076509F5" w14:textId="77777777" w:rsidR="00C257C5" w:rsidRDefault="00C257C5"/>
                          <w:p w14:paraId="069F3C4E" w14:textId="1FBA2EFC" w:rsidR="00C257C5" w:rsidRPr="00151EFA" w:rsidRDefault="00363A2E" w:rsidP="00C257C5">
                            <w:pPr>
                              <w:rPr>
                                <w:b/>
                                <w:sz w:val="28"/>
                                <w:szCs w:val="28"/>
                                <w:lang w:val="en-GB"/>
                              </w:rPr>
                            </w:pPr>
                            <w:r>
                              <w:t xml:space="preserve">Figure </w:t>
                            </w:r>
                            <w:r>
                              <w:fldChar w:fldCharType="begin"/>
                            </w:r>
                            <w:r>
                              <w:instrText xml:space="preserve"> SEQ Figure \* ARABIC </w:instrText>
                            </w:r>
                            <w:r>
                              <w:fldChar w:fldCharType="separate"/>
                            </w:r>
                            <w:r w:rsidR="003E7904">
                              <w:rPr>
                                <w:noProof/>
                              </w:rPr>
                              <w:t>3</w:t>
                            </w:r>
                            <w:r>
                              <w:fldChar w:fldCharType="end"/>
                            </w:r>
                            <w:r w:rsidR="00E97CBE" w:rsidRPr="00151EFA">
                              <w:rPr>
                                <w:b/>
                                <w:sz w:val="28"/>
                                <w:szCs w:val="28"/>
                                <w:lang w:val="en-GB"/>
                              </w:rPr>
                              <w:t xml:space="preserve">27 </w:t>
                            </w:r>
                            <w:r w:rsidR="00567D0D" w:rsidRPr="00151EFA">
                              <w:rPr>
                                <w:b/>
                                <w:sz w:val="28"/>
                                <w:szCs w:val="28"/>
                                <w:lang w:val="en-GB"/>
                              </w:rPr>
                              <w:t>June</w:t>
                            </w:r>
                            <w:r w:rsidR="00C257C5" w:rsidRPr="00151EFA">
                              <w:rPr>
                                <w:b/>
                                <w:sz w:val="28"/>
                                <w:szCs w:val="28"/>
                                <w:lang w:val="en-GB"/>
                              </w:rPr>
                              <w:t xml:space="preserve"> 2025</w:t>
                            </w:r>
                          </w:p>
                          <w:p w14:paraId="25D93F40" w14:textId="77777777" w:rsidR="00C257C5" w:rsidRDefault="00C257C5" w:rsidP="00C257C5"/>
                          <w:p w14:paraId="1A5C3599" w14:textId="77777777" w:rsidR="00C257C5" w:rsidRPr="00151EFA" w:rsidRDefault="00C257C5" w:rsidP="00C257C5">
                            <w:pPr>
                              <w:rPr>
                                <w:b/>
                                <w:lang w:val="en-GB"/>
                              </w:rPr>
                            </w:pPr>
                            <w:r w:rsidRPr="00151EFA">
                              <w:rPr>
                                <w:b/>
                                <w:lang w:val="en-GB"/>
                              </w:rPr>
                              <w:t>July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9E3470" id="Text Box 7" o:spid="_x0000_s1030" type="#_x0000_t202" style="position:absolute;left:0;text-align:left;margin-left:0;margin-top:244.45pt;width:4in;height:57.85pt;z-index:-25165823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G3GgIAADMEAAAOAAAAZHJzL2Uyb0RvYy54bWysU9uO2yAQfa/Uf0C8N3ayub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" filled="f" stroked="f" strokeweight=".5pt">
                <v:textbox>
                  <w:txbxContent>
                    <w:p w14:paraId="74E02544" w14:textId="77777777" w:rsidR="0089353D" w:rsidRDefault="003C1055" w:rsidP="00C257C5">
                      <w:pPr>
                        <w:rPr>
                          <w:b/>
                          <w:sz w:val="28"/>
                          <w:szCs w:val="28"/>
                          <w:lang w:val="en-GB"/>
                        </w:rPr>
                      </w:pPr>
                      <w:r>
                        <w:rPr>
                          <w:b/>
                          <w:sz w:val="28"/>
                          <w:szCs w:val="28"/>
                          <w:highlight w:val="yellow"/>
                          <w:lang w:val="en-GB"/>
                        </w:rPr>
                        <w:t>9</w:t>
                      </w:r>
                      <w:r w:rsidR="00BE466C">
                        <w:rPr>
                          <w:b/>
                          <w:sz w:val="28"/>
                          <w:szCs w:val="28"/>
                          <w:highlight w:val="yellow"/>
                          <w:lang w:val="en-GB"/>
                        </w:rPr>
                        <w:t xml:space="preserve"> </w:t>
                      </w:r>
                      <w:r w:rsidR="005B04DF" w:rsidRPr="005B04DF">
                        <w:rPr>
                          <w:b/>
                          <w:sz w:val="28"/>
                          <w:szCs w:val="28"/>
                          <w:highlight w:val="yellow"/>
                          <w:lang w:val="en-GB"/>
                        </w:rPr>
                        <w:t>April</w:t>
                      </w:r>
                      <w:r w:rsidR="00C257C5" w:rsidRPr="00151EFA">
                        <w:rPr>
                          <w:b/>
                          <w:sz w:val="28"/>
                          <w:szCs w:val="28"/>
                          <w:lang w:val="en-GB"/>
                        </w:rPr>
                        <w:t xml:space="preserve"> 202</w:t>
                      </w:r>
                      <w:r w:rsidR="00431B76">
                        <w:rPr>
                          <w:b/>
                          <w:sz w:val="28"/>
                          <w:szCs w:val="28"/>
                          <w:lang w:val="en-GB"/>
                        </w:rPr>
                        <w:t>6</w:t>
                      </w:r>
                    </w:p>
                    <w:p w14:paraId="2FD48647" w14:textId="38FD9F97" w:rsidR="00C257C5" w:rsidRPr="00151EFA" w:rsidRDefault="00225BB2" w:rsidP="00C257C5">
                      <w:pPr>
                        <w:rPr>
                          <w:b/>
                          <w:sz w:val="28"/>
                          <w:szCs w:val="28"/>
                          <w:lang w:val="en-GB"/>
                        </w:rPr>
                      </w:pPr>
                      <w:r>
                        <w:rPr>
                          <w:b/>
                          <w:sz w:val="28"/>
                          <w:szCs w:val="28"/>
                          <w:lang w:val="en-GB"/>
                        </w:rPr>
                        <w:t xml:space="preserve">Version for </w:t>
                      </w:r>
                      <w:r w:rsidR="00BE466C">
                        <w:rPr>
                          <w:b/>
                          <w:sz w:val="28"/>
                          <w:szCs w:val="28"/>
                          <w:lang w:val="en-GB"/>
                        </w:rPr>
                        <w:t>the</w:t>
                      </w:r>
                      <w:r w:rsidR="0089353D">
                        <w:rPr>
                          <w:b/>
                          <w:sz w:val="28"/>
                          <w:szCs w:val="28"/>
                          <w:lang w:val="en-GB"/>
                        </w:rPr>
                        <w:t xml:space="preserve"> HLPE-FSN</w:t>
                      </w:r>
                      <w:r w:rsidR="00BE466C">
                        <w:rPr>
                          <w:b/>
                          <w:sz w:val="28"/>
                          <w:szCs w:val="28"/>
                          <w:lang w:val="en-GB"/>
                        </w:rPr>
                        <w:t xml:space="preserve"> Steering </w:t>
                      </w:r>
                      <w:r w:rsidR="0089353D">
                        <w:rPr>
                          <w:b/>
                          <w:sz w:val="28"/>
                          <w:szCs w:val="28"/>
                          <w:lang w:val="en-GB"/>
                        </w:rPr>
                        <w:t>Committee</w:t>
                      </w:r>
                    </w:p>
                    <w:p w14:paraId="0730299D" w14:textId="77777777" w:rsidR="00C257C5" w:rsidRDefault="00C257C5" w:rsidP="00C257C5"/>
                    <w:p w14:paraId="5DB91B04" w14:textId="77777777" w:rsidR="00C257C5" w:rsidRPr="00151EFA" w:rsidRDefault="00C257C5" w:rsidP="00C257C5">
                      <w:pPr>
                        <w:rPr>
                          <w:b/>
                          <w:lang w:val="en-GB"/>
                        </w:rPr>
                      </w:pPr>
                      <w:r w:rsidRPr="00151EFA">
                        <w:rPr>
                          <w:b/>
                          <w:lang w:val="en-GB"/>
                        </w:rPr>
                        <w:t>July 2024</w:t>
                      </w:r>
                    </w:p>
                    <w:p w14:paraId="214E3E06" w14:textId="77777777" w:rsidR="00C257C5" w:rsidRDefault="00C257C5"/>
                    <w:p w14:paraId="51AE304A" w14:textId="10CFC5B8" w:rsidR="00C257C5" w:rsidRPr="00151EFA" w:rsidRDefault="00363A2E" w:rsidP="00C257C5">
                      <w:pPr>
                        <w:rPr>
                          <w:b/>
                          <w:sz w:val="28"/>
                          <w:szCs w:val="28"/>
                          <w:lang w:val="en-GB"/>
                        </w:rPr>
                      </w:pPr>
                      <w:r>
                        <w:t xml:space="preserve">Figure </w:t>
                      </w:r>
                      <w:r>
                        <w:fldChar w:fldCharType="begin"/>
                      </w:r>
                      <w:r>
                        <w:instrText xml:space="preserve"> SEQ Figure \* ARABIC </w:instrText>
                      </w:r>
                      <w:r>
                        <w:fldChar w:fldCharType="separate"/>
                      </w:r>
                      <w:r w:rsidR="003E7904">
                        <w:rPr>
                          <w:noProof/>
                        </w:rPr>
                        <w:t>1</w:t>
                      </w:r>
                      <w:r>
                        <w:fldChar w:fldCharType="end"/>
                      </w:r>
                      <w:r w:rsidR="00E97CBE" w:rsidRPr="00151EFA">
                        <w:rPr>
                          <w:b/>
                          <w:sz w:val="28"/>
                          <w:szCs w:val="28"/>
                          <w:lang w:val="en-GB"/>
                        </w:rPr>
                        <w:t xml:space="preserve">27 </w:t>
                      </w:r>
                      <w:r w:rsidR="00567D0D" w:rsidRPr="00151EFA">
                        <w:rPr>
                          <w:b/>
                          <w:sz w:val="28"/>
                          <w:szCs w:val="28"/>
                          <w:lang w:val="en-GB"/>
                        </w:rPr>
                        <w:t>June</w:t>
                      </w:r>
                      <w:r w:rsidR="00C257C5" w:rsidRPr="00151EFA">
                        <w:rPr>
                          <w:b/>
                          <w:sz w:val="28"/>
                          <w:szCs w:val="28"/>
                          <w:lang w:val="en-GB"/>
                        </w:rPr>
                        <w:t xml:space="preserve"> 2025</w:t>
                      </w:r>
                    </w:p>
                    <w:p w14:paraId="227F64FF" w14:textId="77777777" w:rsidR="00C257C5" w:rsidRDefault="00C257C5" w:rsidP="00C257C5"/>
                    <w:p w14:paraId="0C524383" w14:textId="77777777" w:rsidR="00C257C5" w:rsidRPr="00151EFA" w:rsidRDefault="00C257C5" w:rsidP="00C257C5">
                      <w:pPr>
                        <w:rPr>
                          <w:b/>
                          <w:lang w:val="en-GB"/>
                        </w:rPr>
                      </w:pPr>
                      <w:r w:rsidRPr="00151EFA">
                        <w:rPr>
                          <w:b/>
                          <w:lang w:val="en-GB"/>
                        </w:rPr>
                        <w:t>July 2024</w:t>
                      </w:r>
                    </w:p>
                    <w:p w14:paraId="4AF4A6E5" w14:textId="77777777" w:rsidR="00C257C5" w:rsidRDefault="00C257C5"/>
                    <w:p w14:paraId="140B8EE6" w14:textId="1C38906D" w:rsidR="00C257C5" w:rsidRPr="00151EFA" w:rsidRDefault="00363A2E" w:rsidP="00C257C5">
                      <w:pPr>
                        <w:rPr>
                          <w:b/>
                          <w:sz w:val="28"/>
                          <w:szCs w:val="28"/>
                          <w:lang w:val="en-GB"/>
                        </w:rPr>
                      </w:pPr>
                      <w:r>
                        <w:t xml:space="preserve">Figure </w:t>
                      </w:r>
                      <w:r>
                        <w:fldChar w:fldCharType="begin"/>
                      </w:r>
                      <w:r>
                        <w:instrText xml:space="preserve"> SEQ Figure \* ARABIC </w:instrText>
                      </w:r>
                      <w:r>
                        <w:fldChar w:fldCharType="separate"/>
                      </w:r>
                      <w:r w:rsidR="003E7904">
                        <w:rPr>
                          <w:noProof/>
                        </w:rPr>
                        <w:t>2</w:t>
                      </w:r>
                      <w:r>
                        <w:fldChar w:fldCharType="end"/>
                      </w:r>
                      <w:r w:rsidR="00E97CBE" w:rsidRPr="00151EFA">
                        <w:rPr>
                          <w:b/>
                          <w:sz w:val="28"/>
                          <w:szCs w:val="28"/>
                          <w:lang w:val="en-GB"/>
                        </w:rPr>
                        <w:t xml:space="preserve">27 </w:t>
                      </w:r>
                      <w:r w:rsidR="00567D0D" w:rsidRPr="00151EFA">
                        <w:rPr>
                          <w:b/>
                          <w:sz w:val="28"/>
                          <w:szCs w:val="28"/>
                          <w:lang w:val="en-GB"/>
                        </w:rPr>
                        <w:t>June</w:t>
                      </w:r>
                      <w:r w:rsidR="00C257C5" w:rsidRPr="00151EFA">
                        <w:rPr>
                          <w:b/>
                          <w:sz w:val="28"/>
                          <w:szCs w:val="28"/>
                          <w:lang w:val="en-GB"/>
                        </w:rPr>
                        <w:t xml:space="preserve"> 2025</w:t>
                      </w:r>
                    </w:p>
                    <w:p w14:paraId="1A75C6A7" w14:textId="77777777" w:rsidR="00C257C5" w:rsidRDefault="00C257C5" w:rsidP="00C257C5"/>
                    <w:p w14:paraId="3352B7E1" w14:textId="77777777" w:rsidR="00C257C5" w:rsidRPr="00151EFA" w:rsidRDefault="00C257C5" w:rsidP="00C257C5">
                      <w:pPr>
                        <w:rPr>
                          <w:b/>
                          <w:lang w:val="en-GB"/>
                        </w:rPr>
                      </w:pPr>
                      <w:r w:rsidRPr="00151EFA">
                        <w:rPr>
                          <w:b/>
                          <w:lang w:val="en-GB"/>
                        </w:rPr>
                        <w:t>July 2024</w:t>
                      </w:r>
                    </w:p>
                    <w:p w14:paraId="076509F5" w14:textId="77777777" w:rsidR="00C257C5" w:rsidRDefault="00C257C5"/>
                    <w:p w14:paraId="069F3C4E" w14:textId="1FBA2EFC" w:rsidR="00C257C5" w:rsidRPr="00151EFA" w:rsidRDefault="00363A2E" w:rsidP="00C257C5">
                      <w:pPr>
                        <w:rPr>
                          <w:b/>
                          <w:sz w:val="28"/>
                          <w:szCs w:val="28"/>
                          <w:lang w:val="en-GB"/>
                        </w:rPr>
                      </w:pPr>
                      <w:r>
                        <w:t xml:space="preserve">Figure </w:t>
                      </w:r>
                      <w:r>
                        <w:fldChar w:fldCharType="begin"/>
                      </w:r>
                      <w:r>
                        <w:instrText xml:space="preserve"> SEQ Figure \* ARABIC </w:instrText>
                      </w:r>
                      <w:r>
                        <w:fldChar w:fldCharType="separate"/>
                      </w:r>
                      <w:r w:rsidR="003E7904">
                        <w:rPr>
                          <w:noProof/>
                        </w:rPr>
                        <w:t>3</w:t>
                      </w:r>
                      <w:r>
                        <w:fldChar w:fldCharType="end"/>
                      </w:r>
                      <w:r w:rsidR="00E97CBE" w:rsidRPr="00151EFA">
                        <w:rPr>
                          <w:b/>
                          <w:sz w:val="28"/>
                          <w:szCs w:val="28"/>
                          <w:lang w:val="en-GB"/>
                        </w:rPr>
                        <w:t xml:space="preserve">27 </w:t>
                      </w:r>
                      <w:r w:rsidR="00567D0D" w:rsidRPr="00151EFA">
                        <w:rPr>
                          <w:b/>
                          <w:sz w:val="28"/>
                          <w:szCs w:val="28"/>
                          <w:lang w:val="en-GB"/>
                        </w:rPr>
                        <w:t>June</w:t>
                      </w:r>
                      <w:r w:rsidR="00C257C5" w:rsidRPr="00151EFA">
                        <w:rPr>
                          <w:b/>
                          <w:sz w:val="28"/>
                          <w:szCs w:val="28"/>
                          <w:lang w:val="en-GB"/>
                        </w:rPr>
                        <w:t xml:space="preserve"> 2025</w:t>
                      </w:r>
                    </w:p>
                    <w:p w14:paraId="25D93F40" w14:textId="77777777" w:rsidR="00C257C5" w:rsidRDefault="00C257C5" w:rsidP="00C257C5"/>
                    <w:p w14:paraId="1A5C3599" w14:textId="77777777" w:rsidR="00C257C5" w:rsidRPr="00151EFA" w:rsidRDefault="00C257C5" w:rsidP="00C257C5">
                      <w:pPr>
                        <w:rPr>
                          <w:b/>
                          <w:lang w:val="en-GB"/>
                        </w:rPr>
                      </w:pPr>
                      <w:r w:rsidRPr="00151EFA">
                        <w:rPr>
                          <w:b/>
                          <w:lang w:val="en-GB"/>
                        </w:rPr>
                        <w:t>July 2024</w:t>
                      </w:r>
                    </w:p>
                  </w:txbxContent>
                </v:textbox>
                <w10:wrap type="tight" anchorx="margin"/>
              </v:shape>
            </w:pict>
          </mc:Fallback>
        </mc:AlternateContent>
      </w:r>
      <w:r w:rsidR="00F96C02" w:rsidRPr="00EE5251">
        <w:rPr>
          <w:noProof/>
          <w:lang w:val="en-CA" w:eastAsia="en-US"/>
        </w:rPr>
        <w:drawing>
          <wp:anchor distT="0" distB="0" distL="114300" distR="114300" simplePos="0" relativeHeight="251658244" behindDoc="0" locked="0" layoutInCell="1" allowOverlap="1" wp14:anchorId="2C8B8252" wp14:editId="1726A9E7">
            <wp:simplePos x="0" y="0"/>
            <wp:positionH relativeFrom="margin">
              <wp:posOffset>4331335</wp:posOffset>
            </wp:positionH>
            <wp:positionV relativeFrom="paragraph">
              <wp:posOffset>3088640</wp:posOffset>
            </wp:positionV>
            <wp:extent cx="2139487" cy="913759"/>
            <wp:effectExtent l="0" t="0" r="0" b="1270"/>
            <wp:wrapNone/>
            <wp:docPr id="21" name="Picture 21" descr="E:\HLPE\MATERIALES\LOGO\CFS_HLPE_logo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LPE\MATERIALES\LOGO\CFS_HLPE_logo 201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9487" cy="913759"/>
                    </a:xfrm>
                    <a:prstGeom prst="rect">
                      <a:avLst/>
                    </a:prstGeom>
                    <a:noFill/>
                    <a:ln>
                      <a:noFill/>
                    </a:ln>
                  </pic:spPr>
                </pic:pic>
              </a:graphicData>
            </a:graphic>
            <wp14:sizeRelH relativeFrom="page">
              <wp14:pctWidth>0</wp14:pctWidth>
            </wp14:sizeRelH>
            <wp14:sizeRelV relativeFrom="page">
              <wp14:pctHeight>0</wp14:pctHeight>
            </wp14:sizeRelV>
          </wp:anchor>
        </w:drawing>
      </w:r>
      <w:r w:rsidR="00897F52" w:rsidRPr="00EE5251">
        <w:rPr>
          <w:snapToGrid w:val="0"/>
          <w:w w:val="0"/>
          <w:u w:color="000000"/>
          <w:bdr w:val="none" w:sz="0" w:space="0" w:color="000000"/>
          <w:shd w:val="clear" w:color="000000" w:fill="000000"/>
          <w:lang w:val="en-CA"/>
        </w:rPr>
        <w:br w:type="page"/>
      </w:r>
    </w:p>
    <w:p w14:paraId="21D82EB3" w14:textId="549333FD" w:rsidR="00897F52" w:rsidRPr="00EE5251" w:rsidRDefault="00897F52" w:rsidP="005B1B42">
      <w:pPr>
        <w:rPr>
          <w:snapToGrid w:val="0"/>
          <w:w w:val="0"/>
          <w:u w:color="000000"/>
          <w:bdr w:val="none" w:sz="0" w:space="0" w:color="000000"/>
          <w:shd w:val="clear" w:color="000000" w:fill="000000"/>
          <w:lang w:val="en-CA"/>
        </w:rPr>
      </w:pPr>
    </w:p>
    <w:p w14:paraId="59E9E701" w14:textId="7C395F3C" w:rsidR="00B676C1" w:rsidRPr="00ED7D78" w:rsidRDefault="00897F52" w:rsidP="00552D9C">
      <w:pPr>
        <w:rPr>
          <w:lang w:val="en-GB"/>
        </w:rPr>
      </w:pPr>
      <w:r w:rsidRPr="00ED7D78">
        <w:rPr>
          <w:b/>
          <w:lang w:val="en-CA"/>
        </w:rPr>
        <w:t>Cover photograph</w:t>
      </w:r>
      <w:r w:rsidR="000F4666" w:rsidRPr="000F4666">
        <w:t xml:space="preserve"> </w:t>
      </w:r>
      <w:r w:rsidR="000F4666" w:rsidRPr="000F4666">
        <w:rPr>
          <w:lang w:val="en-CA"/>
        </w:rPr>
        <w:t>Image credit: Microsoft 365 Stock Image</w:t>
      </w:r>
      <w:r w:rsidR="00B676C1" w:rsidRPr="00ED7D78">
        <w:rPr>
          <w:lang w:val="en-GB"/>
        </w:rPr>
        <w:t>.</w:t>
      </w:r>
    </w:p>
    <w:p w14:paraId="4751E13C" w14:textId="3FB617BA" w:rsidR="00831E8F" w:rsidRPr="00ED7D78" w:rsidRDefault="00897F52" w:rsidP="00552D9C">
      <w:pPr>
        <w:pStyle w:val="Rubriquegnrale"/>
        <w:spacing w:after="120"/>
        <w:rPr>
          <w:lang w:val="en-CA"/>
        </w:rPr>
      </w:pPr>
      <w:r w:rsidRPr="00ED7D78">
        <w:rPr>
          <w:lang w:val="en-CA"/>
        </w:rPr>
        <w:t>HLPE</w:t>
      </w:r>
      <w:r w:rsidR="00184F8A" w:rsidRPr="00ED7D78">
        <w:rPr>
          <w:lang w:val="en-CA"/>
        </w:rPr>
        <w:t>-FSN</w:t>
      </w:r>
      <w:r w:rsidRPr="00ED7D78">
        <w:rPr>
          <w:lang w:val="en-CA"/>
        </w:rPr>
        <w:t xml:space="preserve"> Steering Committee</w:t>
      </w:r>
    </w:p>
    <w:p w14:paraId="2B3A9B02" w14:textId="1D92AF72" w:rsidR="00897F52" w:rsidRPr="00ED7D78" w:rsidRDefault="00897F52" w:rsidP="00552D9C">
      <w:pPr>
        <w:rPr>
          <w:lang w:val="en-CA"/>
        </w:rPr>
      </w:pPr>
      <w:r w:rsidRPr="00ED7D78">
        <w:rPr>
          <w:b/>
          <w:lang w:val="en-CA"/>
        </w:rPr>
        <w:t>Chairperson</w:t>
      </w:r>
      <w:r w:rsidRPr="00ED7D78">
        <w:rPr>
          <w:lang w:val="en-CA"/>
        </w:rPr>
        <w:t xml:space="preserve">: </w:t>
      </w:r>
      <w:r w:rsidR="00915FC8" w:rsidRPr="00ED7D78">
        <w:rPr>
          <w:lang w:val="en-CA"/>
        </w:rPr>
        <w:t xml:space="preserve">Sayed Azam-Ali  </w:t>
      </w:r>
    </w:p>
    <w:p w14:paraId="025957E6" w14:textId="4C407979" w:rsidR="00897F52" w:rsidRPr="00ED7D78" w:rsidRDefault="00897F52" w:rsidP="00552D9C">
      <w:pPr>
        <w:rPr>
          <w:lang w:val="en-CA"/>
        </w:rPr>
      </w:pPr>
      <w:r w:rsidRPr="00ED7D78">
        <w:rPr>
          <w:b/>
          <w:lang w:val="en-CA"/>
        </w:rPr>
        <w:t>Vice-Chairperson</w:t>
      </w:r>
      <w:r w:rsidRPr="00ED7D78">
        <w:rPr>
          <w:lang w:val="en-CA"/>
        </w:rPr>
        <w:t xml:space="preserve">: </w:t>
      </w:r>
      <w:r w:rsidR="007E50B0" w:rsidRPr="00ED7D78">
        <w:rPr>
          <w:lang w:val="en-CA"/>
        </w:rPr>
        <w:t>Madhura Swaminathan</w:t>
      </w:r>
    </w:p>
    <w:p w14:paraId="5669E6E1" w14:textId="77777777" w:rsidR="00C8553D" w:rsidRDefault="009670AB" w:rsidP="00C8553D">
      <w:pPr>
        <w:tabs>
          <w:tab w:val="left" w:pos="709"/>
        </w:tabs>
        <w:spacing w:after="0"/>
        <w:rPr>
          <w:lang w:val="en-CA"/>
        </w:rPr>
      </w:pPr>
      <w:r w:rsidRPr="00ED7D78">
        <w:rPr>
          <w:b/>
          <w:bCs/>
          <w:lang w:val="en-CA"/>
        </w:rPr>
        <w:t>Steering Committee m</w:t>
      </w:r>
      <w:r w:rsidR="00897F52" w:rsidRPr="00ED7D78">
        <w:rPr>
          <w:b/>
          <w:bCs/>
          <w:lang w:val="en-CA"/>
        </w:rPr>
        <w:t>embers</w:t>
      </w:r>
      <w:r w:rsidR="00831E8F" w:rsidRPr="00ED7D78">
        <w:rPr>
          <w:lang w:val="en-CA"/>
        </w:rPr>
        <w:t>:</w:t>
      </w:r>
      <w:r w:rsidR="006F15DA" w:rsidRPr="00ED7D78">
        <w:rPr>
          <w:lang w:val="en-CA"/>
        </w:rPr>
        <w:t xml:space="preserve"> </w:t>
      </w:r>
      <w:r w:rsidR="5CCCA236" w:rsidRPr="00ED7D78">
        <w:rPr>
          <w:lang w:val="en-CA"/>
        </w:rPr>
        <w:t xml:space="preserve"> </w:t>
      </w:r>
      <w:r w:rsidRPr="00ED7D78">
        <w:rPr>
          <w:lang w:val="en-CA"/>
        </w:rPr>
        <w:t xml:space="preserve">Marie-Josèphe Amiot-Carlin, Malek Batal, Tilman Brück, José Luis </w:t>
      </w:r>
      <w:proofErr w:type="spellStart"/>
      <w:r w:rsidRPr="00ED7D78">
        <w:rPr>
          <w:lang w:val="en-CA"/>
        </w:rPr>
        <w:t>Chicoma</w:t>
      </w:r>
      <w:proofErr w:type="spellEnd"/>
      <w:r w:rsidRPr="00ED7D78">
        <w:rPr>
          <w:lang w:val="en-CA"/>
        </w:rPr>
        <w:t>,</w:t>
      </w:r>
    </w:p>
    <w:p w14:paraId="06ACA0C3" w14:textId="77777777" w:rsidR="00C8553D" w:rsidRDefault="009670AB" w:rsidP="00C8553D">
      <w:pPr>
        <w:tabs>
          <w:tab w:val="left" w:pos="709"/>
        </w:tabs>
        <w:spacing w:after="0"/>
        <w:rPr>
          <w:lang w:val="en-CA"/>
        </w:rPr>
      </w:pPr>
      <w:r w:rsidRPr="00ED7D78">
        <w:rPr>
          <w:lang w:val="en-CA"/>
        </w:rPr>
        <w:t xml:space="preserve"> Eve Crowley, Cecilia Elizondo, Mohammad</w:t>
      </w:r>
      <w:r w:rsidRPr="009670AB">
        <w:rPr>
          <w:lang w:val="en-CA"/>
        </w:rPr>
        <w:t xml:space="preserve"> Hossein Emadi, Evan Fraser, Mei Xu Rong, Sonny Ramaswamy, </w:t>
      </w:r>
    </w:p>
    <w:p w14:paraId="1C58BAD7" w14:textId="37CB208D" w:rsidR="00A43909" w:rsidRPr="006E7F1E" w:rsidRDefault="009670AB" w:rsidP="00C8553D">
      <w:pPr>
        <w:tabs>
          <w:tab w:val="left" w:pos="709"/>
        </w:tabs>
        <w:rPr>
          <w:highlight w:val="yellow"/>
          <w:lang w:val="en-CA"/>
        </w:rPr>
      </w:pPr>
      <w:r w:rsidRPr="009670AB">
        <w:rPr>
          <w:lang w:val="en-CA"/>
        </w:rPr>
        <w:t xml:space="preserve">Hettie Schönfeldt, Rachid Serraj, </w:t>
      </w:r>
      <w:proofErr w:type="spellStart"/>
      <w:r w:rsidRPr="009670AB">
        <w:rPr>
          <w:lang w:val="en-CA"/>
        </w:rPr>
        <w:t>Valmaine</w:t>
      </w:r>
      <w:proofErr w:type="spellEnd"/>
      <w:r w:rsidRPr="009670AB">
        <w:rPr>
          <w:lang w:val="en-CA"/>
        </w:rPr>
        <w:t xml:space="preserve"> Toki  </w:t>
      </w:r>
    </w:p>
    <w:p w14:paraId="31211C06" w14:textId="0698C78B" w:rsidR="00DF6F82" w:rsidRPr="00786071" w:rsidRDefault="00897F52" w:rsidP="00552D9C">
      <w:pPr>
        <w:rPr>
          <w:lang w:val="en-CA"/>
        </w:rPr>
      </w:pPr>
      <w:r w:rsidRPr="00211316">
        <w:rPr>
          <w:lang w:val="en-CA"/>
        </w:rPr>
        <w:t>Experts participate in the work of the HLPE</w:t>
      </w:r>
      <w:r w:rsidR="00CD4AC4" w:rsidRPr="00211316">
        <w:rPr>
          <w:lang w:val="en-CA"/>
        </w:rPr>
        <w:t>-FSN</w:t>
      </w:r>
      <w:r w:rsidRPr="00211316">
        <w:rPr>
          <w:lang w:val="en-CA"/>
        </w:rPr>
        <w:t xml:space="preserve"> in their individual capacities, not as representatives of their</w:t>
      </w:r>
      <w:r w:rsidR="00CD4AC4" w:rsidRPr="00211316">
        <w:rPr>
          <w:lang w:val="en-CA"/>
        </w:rPr>
        <w:t xml:space="preserve"> </w:t>
      </w:r>
      <w:r w:rsidRPr="00211316">
        <w:rPr>
          <w:lang w:val="en-CA"/>
        </w:rPr>
        <w:t>respective governments, institutions or organizations.</w:t>
      </w:r>
    </w:p>
    <w:p w14:paraId="5E3CD623" w14:textId="45665383" w:rsidR="0071522E" w:rsidRPr="00786071" w:rsidRDefault="0071522E" w:rsidP="00552D9C">
      <w:pPr>
        <w:pStyle w:val="Rubriquegnrale"/>
        <w:spacing w:after="120"/>
        <w:rPr>
          <w:color w:val="0088B4"/>
          <w:lang w:val="en-CA"/>
        </w:rPr>
      </w:pPr>
      <w:r w:rsidRPr="00786071">
        <w:rPr>
          <w:lang w:val="en-CA"/>
        </w:rPr>
        <w:t>HLPE</w:t>
      </w:r>
      <w:r w:rsidR="00184F8A" w:rsidRPr="00786071">
        <w:rPr>
          <w:lang w:val="en-CA"/>
        </w:rPr>
        <w:t>-FSN</w:t>
      </w:r>
      <w:r w:rsidRPr="00786071">
        <w:rPr>
          <w:lang w:val="en-CA"/>
        </w:rPr>
        <w:t xml:space="preserve"> Secretariat</w:t>
      </w:r>
    </w:p>
    <w:p w14:paraId="65188C6A" w14:textId="1F05E18D" w:rsidR="00FD6276" w:rsidRPr="00786071" w:rsidRDefault="00A364E0" w:rsidP="00552D9C">
      <w:pPr>
        <w:spacing w:after="0"/>
        <w:rPr>
          <w:b/>
          <w:lang w:val="en-CA"/>
        </w:rPr>
      </w:pPr>
      <w:r w:rsidRPr="00786071">
        <w:rPr>
          <w:b/>
          <w:lang w:val="en-CA"/>
        </w:rPr>
        <w:t>Coordinator</w:t>
      </w:r>
      <w:r w:rsidR="001E623B" w:rsidRPr="00786071">
        <w:rPr>
          <w:b/>
          <w:lang w:val="en-CA"/>
        </w:rPr>
        <w:t xml:space="preserve">: </w:t>
      </w:r>
      <w:r w:rsidR="001E623B" w:rsidRPr="00786071">
        <w:rPr>
          <w:bCs/>
          <w:lang w:val="en-CA"/>
        </w:rPr>
        <w:t>Alexandre Meybeck</w:t>
      </w:r>
    </w:p>
    <w:p w14:paraId="3653C5BA" w14:textId="4A6B4300" w:rsidR="00897F52" w:rsidRPr="00735FD1" w:rsidRDefault="004D1848" w:rsidP="00552D9C">
      <w:pPr>
        <w:spacing w:after="0"/>
        <w:rPr>
          <w:lang w:val="it-IT"/>
        </w:rPr>
      </w:pPr>
      <w:r w:rsidRPr="00735FD1">
        <w:rPr>
          <w:b/>
          <w:lang w:val="it-IT"/>
        </w:rPr>
        <w:t>Pr</w:t>
      </w:r>
      <w:r w:rsidR="00E04921" w:rsidRPr="00735FD1">
        <w:rPr>
          <w:b/>
          <w:lang w:val="it-IT"/>
        </w:rPr>
        <w:t>ogramme</w:t>
      </w:r>
      <w:r w:rsidRPr="00735FD1">
        <w:rPr>
          <w:b/>
          <w:lang w:val="it-IT"/>
        </w:rPr>
        <w:t xml:space="preserve"> Officer</w:t>
      </w:r>
      <w:r w:rsidR="00897F52" w:rsidRPr="00735FD1">
        <w:rPr>
          <w:lang w:val="it-IT"/>
        </w:rPr>
        <w:t>: Paola Termine</w:t>
      </w:r>
    </w:p>
    <w:p w14:paraId="46D5447D" w14:textId="611387C6" w:rsidR="00897F52" w:rsidRPr="00735FD1" w:rsidRDefault="00897F52" w:rsidP="00552D9C">
      <w:pPr>
        <w:spacing w:after="0"/>
        <w:rPr>
          <w:lang w:val="it-IT"/>
        </w:rPr>
      </w:pPr>
      <w:r w:rsidRPr="00735FD1">
        <w:rPr>
          <w:b/>
          <w:lang w:val="it-IT"/>
        </w:rPr>
        <w:t>Communication</w:t>
      </w:r>
      <w:r w:rsidR="00D56A9D" w:rsidRPr="00735FD1">
        <w:rPr>
          <w:b/>
          <w:lang w:val="it-IT"/>
        </w:rPr>
        <w:t xml:space="preserve"> Officer</w:t>
      </w:r>
      <w:r w:rsidRPr="00735FD1">
        <w:rPr>
          <w:lang w:val="it-IT"/>
        </w:rPr>
        <w:t>: Silvia Meiattini</w:t>
      </w:r>
    </w:p>
    <w:p w14:paraId="7EB15A08" w14:textId="77777777" w:rsidR="00DF6F82" w:rsidRPr="00735FD1" w:rsidRDefault="00897F52" w:rsidP="00552D9C">
      <w:pPr>
        <w:spacing w:after="0"/>
        <w:rPr>
          <w:lang w:val="it-IT"/>
        </w:rPr>
      </w:pPr>
      <w:r w:rsidRPr="00735FD1">
        <w:rPr>
          <w:b/>
          <w:lang w:val="it-IT"/>
        </w:rPr>
        <w:t>Administrative support</w:t>
      </w:r>
      <w:r w:rsidRPr="00735FD1">
        <w:rPr>
          <w:lang w:val="it-IT"/>
        </w:rPr>
        <w:t>: Massimo Giorgi</w:t>
      </w:r>
    </w:p>
    <w:p w14:paraId="1D5753CE" w14:textId="77777777" w:rsidR="00B15B34" w:rsidRDefault="00897F52" w:rsidP="00552D9C">
      <w:pPr>
        <w:spacing w:before="120" w:after="120" w:line="240" w:lineRule="auto"/>
        <w:rPr>
          <w:lang w:val="it-IT"/>
        </w:rPr>
      </w:pPr>
      <w:r w:rsidRPr="00735FD1">
        <w:rPr>
          <w:lang w:val="it-IT"/>
        </w:rPr>
        <w:t>Viale delle Terme di Caracalla</w:t>
      </w:r>
      <w:r w:rsidR="00907C3C" w:rsidRPr="00735FD1">
        <w:rPr>
          <w:lang w:val="it-IT"/>
        </w:rPr>
        <w:t>,</w:t>
      </w:r>
      <w:r w:rsidRPr="00735FD1">
        <w:rPr>
          <w:lang w:val="it-IT"/>
        </w:rPr>
        <w:t xml:space="preserve"> 00153 Rome, Italy</w:t>
      </w:r>
    </w:p>
    <w:p w14:paraId="19735ECC" w14:textId="64021A9B" w:rsidR="00051019" w:rsidRPr="00735FD1" w:rsidRDefault="004301CF" w:rsidP="00552D9C">
      <w:pPr>
        <w:spacing w:before="120" w:after="120" w:line="240" w:lineRule="auto"/>
        <w:rPr>
          <w:sz w:val="8"/>
          <w:szCs w:val="8"/>
          <w:lang w:val="it-IT"/>
        </w:rPr>
      </w:pPr>
      <w:r w:rsidRPr="00735FD1">
        <w:rPr>
          <w:lang w:val="it-IT"/>
        </w:rPr>
        <w:br/>
      </w:r>
      <w:bookmarkStart w:id="0" w:name="_Hlk171587793"/>
    </w:p>
    <w:bookmarkEnd w:id="0"/>
    <w:p w14:paraId="3F64F016" w14:textId="77777777" w:rsidR="003B2C60" w:rsidRPr="00BD6F4C" w:rsidRDefault="003B2C60" w:rsidP="00552D9C">
      <w:pPr>
        <w:spacing w:after="120" w:line="240" w:lineRule="auto"/>
        <w:rPr>
          <w:rStyle w:val="Hipervnculo"/>
          <w:color w:val="000000" w:themeColor="text1"/>
          <w:sz w:val="20"/>
          <w:u w:val="none"/>
          <w:lang w:val="it-IT"/>
        </w:rPr>
      </w:pPr>
      <w:r w:rsidRPr="00BD6F4C">
        <w:rPr>
          <w:bCs/>
          <w:noProof/>
          <w:color w:val="1FB47C"/>
          <w:sz w:val="20"/>
          <w:lang w:eastAsia="en-US"/>
        </w:rPr>
        <w:drawing>
          <wp:inline distT="0" distB="0" distL="0" distR="0" wp14:anchorId="60F308DF" wp14:editId="66A833F8">
            <wp:extent cx="227278" cy="227278"/>
            <wp:effectExtent l="0" t="0" r="1905" b="1905"/>
            <wp:docPr id="1" name="Picture 1" descr="E:\HLPE\MATERIALES\iconos\Icono Flaticon\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LPE\MATERIALES\iconos\Icono Flaticon\we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278" cy="227278"/>
                    </a:xfrm>
                    <a:prstGeom prst="rect">
                      <a:avLst/>
                    </a:prstGeom>
                    <a:noFill/>
                    <a:ln>
                      <a:noFill/>
                    </a:ln>
                  </pic:spPr>
                </pic:pic>
              </a:graphicData>
            </a:graphic>
          </wp:inline>
        </w:drawing>
      </w:r>
      <w:r w:rsidRPr="00BD6F4C">
        <w:rPr>
          <w:sz w:val="20"/>
          <w:lang w:val="it-IT"/>
        </w:rPr>
        <w:t xml:space="preserve"> </w:t>
      </w:r>
      <w:hyperlink r:id="rId17" w:history="1">
        <w:r w:rsidRPr="00BD6F4C">
          <w:rPr>
            <w:rStyle w:val="Hipervnculo"/>
            <w:sz w:val="20"/>
            <w:lang w:val="it-IT"/>
          </w:rPr>
          <w:t>www.fao.org/cfs/cfs-hlpe</w:t>
        </w:r>
      </w:hyperlink>
    </w:p>
    <w:p w14:paraId="1E5B5ED3" w14:textId="77777777" w:rsidR="003B2C60" w:rsidRPr="00625A63" w:rsidRDefault="003B2C60" w:rsidP="00552D9C">
      <w:pPr>
        <w:spacing w:before="120" w:after="0" w:line="240" w:lineRule="auto"/>
        <w:rPr>
          <w:sz w:val="20"/>
          <w:lang w:val="it-IT"/>
        </w:rPr>
      </w:pPr>
      <w:r w:rsidRPr="00BD6F4C">
        <w:rPr>
          <w:rStyle w:val="Hipervnculo"/>
          <w:noProof/>
          <w:sz w:val="20"/>
          <w:u w:val="none"/>
          <w:lang w:val="it-IT"/>
        </w:rPr>
        <w:drawing>
          <wp:inline distT="0" distB="0" distL="0" distR="0" wp14:anchorId="5DDE8C94" wp14:editId="71E148E3">
            <wp:extent cx="226695" cy="232740"/>
            <wp:effectExtent l="0" t="0" r="1905" b="0"/>
            <wp:docPr id="8" name="Picture 8" descr="A black x symbol with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x symbol with white background&#10;&#10;AI-generated content may be incorrect."/>
                    <pic:cNvPicPr>
                      <a:picLocks noChangeAspect="1" noChangeArrowheads="1"/>
                    </pic:cNvPicPr>
                  </pic:nvPicPr>
                  <pic:blipFill>
                    <a:blip r:embed="rId18">
                      <a:duotone>
                        <a:schemeClr val="accent4">
                          <a:shade val="45000"/>
                          <a:satMod val="135000"/>
                        </a:schemeClr>
                        <a:prstClr val="white"/>
                      </a:duotone>
                    </a:blip>
                    <a:stretch>
                      <a:fillRect/>
                    </a:stretch>
                  </pic:blipFill>
                  <pic:spPr bwMode="auto">
                    <a:xfrm>
                      <a:off x="0" y="0"/>
                      <a:ext cx="229746" cy="235872"/>
                    </a:xfrm>
                    <a:prstGeom prst="rect">
                      <a:avLst/>
                    </a:prstGeom>
                    <a:noFill/>
                    <a:ln>
                      <a:noFill/>
                    </a:ln>
                  </pic:spPr>
                </pic:pic>
              </a:graphicData>
            </a:graphic>
          </wp:inline>
        </w:drawing>
      </w:r>
      <w:hyperlink r:id="rId19" w:history="1">
        <w:r w:rsidRPr="00625A63">
          <w:rPr>
            <w:rStyle w:val="Hipervnculo"/>
            <w:sz w:val="20"/>
            <w:lang w:val="it-IT"/>
          </w:rPr>
          <w:t>@hlpe_cfs</w:t>
        </w:r>
      </w:hyperlink>
    </w:p>
    <w:p w14:paraId="32518E88" w14:textId="77777777" w:rsidR="003B2C60" w:rsidRPr="00625A63" w:rsidRDefault="003B2C60" w:rsidP="00552D9C">
      <w:pPr>
        <w:spacing w:before="120" w:after="0" w:line="240" w:lineRule="auto"/>
        <w:rPr>
          <w:rStyle w:val="Hipervnculo"/>
          <w:sz w:val="20"/>
          <w:u w:val="none"/>
          <w:lang w:val="it-IT"/>
        </w:rPr>
      </w:pPr>
      <w:r w:rsidRPr="00BD6F4C">
        <w:rPr>
          <w:noProof/>
          <w:sz w:val="20"/>
        </w:rPr>
        <w:drawing>
          <wp:inline distT="0" distB="0" distL="0" distR="0" wp14:anchorId="23802F1F" wp14:editId="079C8EBC">
            <wp:extent cx="247650" cy="247650"/>
            <wp:effectExtent l="0" t="0" r="0" b="0"/>
            <wp:docPr id="1245585834" name="Picture 1" descr="Bluesky Logo icon - Free Download PNG &amp; SVG | Stream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sky Logo icon - Free Download PNG &amp; SVG | Streamline"/>
                    <pic:cNvPicPr>
                      <a:picLocks noChangeAspect="1" noChangeArrowheads="1"/>
                    </pic:cNvPicPr>
                  </pic:nvPicPr>
                  <pic:blipFill>
                    <a:blip r:embed="rId2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hyperlink r:id="rId21" w:history="1">
        <w:r w:rsidRPr="00625A63">
          <w:rPr>
            <w:rStyle w:val="Hipervnculo"/>
            <w:sz w:val="20"/>
            <w:lang w:val="it-IT"/>
          </w:rPr>
          <w:t>@hlpe-fsn.bsky.social</w:t>
        </w:r>
      </w:hyperlink>
      <w:r w:rsidRPr="00625A63">
        <w:rPr>
          <w:rStyle w:val="Hipervnculo"/>
          <w:sz w:val="20"/>
          <w:lang w:val="it-IT"/>
        </w:rPr>
        <w:t xml:space="preserve"> </w:t>
      </w:r>
    </w:p>
    <w:p w14:paraId="628CC817" w14:textId="77777777" w:rsidR="00F560E4" w:rsidRPr="00BD6F4C" w:rsidRDefault="00F560E4" w:rsidP="00552D9C">
      <w:pPr>
        <w:pStyle w:val="NormalWeb"/>
        <w:spacing w:before="120" w:beforeAutospacing="0" w:after="0" w:afterAutospacing="0"/>
        <w:rPr>
          <w:sz w:val="20"/>
          <w:szCs w:val="20"/>
          <w:lang w:val="en-US"/>
        </w:rPr>
      </w:pPr>
      <w:r w:rsidRPr="00BD6F4C">
        <w:rPr>
          <w:noProof/>
          <w:sz w:val="20"/>
          <w:szCs w:val="20"/>
        </w:rPr>
        <w:drawing>
          <wp:inline distT="0" distB="0" distL="0" distR="0" wp14:anchorId="4DE4F937" wp14:editId="64398B2B">
            <wp:extent cx="226695" cy="226695"/>
            <wp:effectExtent l="0" t="0" r="1905" b="1905"/>
            <wp:docPr id="135280869" name="Imagen 1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0869" name="Imagen 15" descr="Icono&#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417" cy="228417"/>
                    </a:xfrm>
                    <a:prstGeom prst="rect">
                      <a:avLst/>
                    </a:prstGeom>
                    <a:noFill/>
                    <a:ln>
                      <a:noFill/>
                    </a:ln>
                  </pic:spPr>
                </pic:pic>
              </a:graphicData>
            </a:graphic>
          </wp:inline>
        </w:drawing>
      </w:r>
      <w:r w:rsidRPr="00BD6F4C">
        <w:rPr>
          <w:sz w:val="20"/>
          <w:szCs w:val="20"/>
          <w:lang w:val="en-US"/>
        </w:rPr>
        <w:t xml:space="preserve"> </w:t>
      </w:r>
      <w:hyperlink r:id="rId23" w:history="1">
        <w:r w:rsidRPr="00BD6F4C">
          <w:rPr>
            <w:rStyle w:val="Hipervnculo"/>
            <w:rFonts w:ascii="DINPro-Light" w:eastAsiaTheme="minorHAnsi" w:hAnsi="DINPro-Light" w:cstheme="minorBidi"/>
            <w:sz w:val="20"/>
            <w:szCs w:val="20"/>
            <w:shd w:val="clear" w:color="auto" w:fill="FFFFFF"/>
            <w:lang w:val="en-US" w:eastAsia="zh-CN"/>
          </w:rPr>
          <w:t>High Level Panel of Experts on Food Security and Nutrition (HLPE-FSN)</w:t>
        </w:r>
      </w:hyperlink>
    </w:p>
    <w:p w14:paraId="0F58E918" w14:textId="77777777" w:rsidR="003B2C60" w:rsidRPr="00BD6F4C" w:rsidRDefault="003B2C60" w:rsidP="00552D9C">
      <w:pPr>
        <w:spacing w:before="120" w:after="0" w:line="240" w:lineRule="auto"/>
        <w:rPr>
          <w:rStyle w:val="Hipervnculo"/>
          <w:sz w:val="20"/>
        </w:rPr>
      </w:pPr>
      <w:r w:rsidRPr="00BD6F4C">
        <w:rPr>
          <w:noProof/>
          <w:sz w:val="20"/>
          <w:lang w:val="es-ES"/>
        </w:rPr>
        <w:drawing>
          <wp:inline distT="0" distB="0" distL="0" distR="0" wp14:anchorId="5D644CFB" wp14:editId="6BEA3051">
            <wp:extent cx="226695" cy="226695"/>
            <wp:effectExtent l="0" t="0" r="1905" b="1905"/>
            <wp:docPr id="2070725268" name="Imagen 1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25268" name="Imagen 12" descr="Icono&#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265" cy="230265"/>
                    </a:xfrm>
                    <a:prstGeom prst="rect">
                      <a:avLst/>
                    </a:prstGeom>
                    <a:noFill/>
                    <a:ln>
                      <a:noFill/>
                    </a:ln>
                  </pic:spPr>
                </pic:pic>
              </a:graphicData>
            </a:graphic>
          </wp:inline>
        </w:drawing>
      </w:r>
      <w:r w:rsidRPr="00BD6F4C">
        <w:rPr>
          <w:sz w:val="20"/>
        </w:rPr>
        <w:t xml:space="preserve"> </w:t>
      </w:r>
      <w:hyperlink r:id="rId25" w:history="1">
        <w:r w:rsidRPr="00BD6F4C">
          <w:rPr>
            <w:rStyle w:val="Hipervnculo"/>
            <w:sz w:val="20"/>
          </w:rPr>
          <w:t>cfs-hlpe@fao.org</w:t>
        </w:r>
      </w:hyperlink>
    </w:p>
    <w:p w14:paraId="530CDE33" w14:textId="77777777" w:rsidR="009D3A87" w:rsidRPr="00EE5251" w:rsidRDefault="009D3A87" w:rsidP="009D3A87">
      <w:pPr>
        <w:rPr>
          <w:rFonts w:ascii="DINPro-Bold" w:hAnsi="DINPro-Bold"/>
          <w:b/>
          <w:color w:val="2D6E93" w:themeColor="accent1" w:themeShade="BF"/>
          <w:lang w:val="en-CA"/>
        </w:rPr>
      </w:pPr>
      <w:r w:rsidRPr="00EE5251">
        <w:rPr>
          <w:rFonts w:ascii="DINPro-Bold" w:hAnsi="DINPro-Bold"/>
          <w:b/>
          <w:color w:val="2D6E93" w:themeColor="accent1" w:themeShade="BF"/>
          <w:lang w:val="en-CA"/>
        </w:rPr>
        <w:lastRenderedPageBreak/>
        <w:t>HLPE-FSN</w:t>
      </w:r>
    </w:p>
    <w:p w14:paraId="5218E924" w14:textId="77777777" w:rsidR="009D3A87" w:rsidRPr="00EE5251" w:rsidRDefault="009D3A87" w:rsidP="009D3A87">
      <w:pPr>
        <w:rPr>
          <w:rFonts w:ascii="DINPro-Bold" w:hAnsi="DINPro-Bold"/>
          <w:b/>
          <w:color w:val="2D6E93" w:themeColor="accent1" w:themeShade="BF"/>
          <w:lang w:val="en-CA"/>
        </w:rPr>
      </w:pPr>
      <w:r w:rsidRPr="00EE5251">
        <w:rPr>
          <w:rFonts w:ascii="DINPro-Bold" w:hAnsi="DINPro-Bold"/>
          <w:b/>
          <w:color w:val="2D6E93" w:themeColor="accent1" w:themeShade="BF"/>
          <w:lang w:val="en-CA"/>
        </w:rPr>
        <w:t>HLPE-FSN</w:t>
      </w:r>
    </w:p>
    <w:p w14:paraId="179F3DA7" w14:textId="1D87A209" w:rsidR="009D3A87" w:rsidRPr="009D3A87" w:rsidRDefault="009D3A87" w:rsidP="009D3A87">
      <w:pPr>
        <w:rPr>
          <w:rFonts w:ascii="DINPro-Bold" w:hAnsi="DINPro-Bold"/>
          <w:b/>
          <w:color w:val="2D6E93" w:themeColor="accent1" w:themeShade="BF"/>
          <w:lang w:val="en-CA"/>
        </w:rPr>
      </w:pPr>
      <w:r>
        <w:rPr>
          <w:rFonts w:ascii="DINPro-Bold" w:hAnsi="DINPro-Bold"/>
          <w:b/>
          <w:color w:val="2D6E93" w:themeColor="accent1" w:themeShade="BF"/>
          <w:lang w:val="en-CA"/>
        </w:rPr>
        <w:t>Acknowledgments</w:t>
      </w:r>
    </w:p>
    <w:p w14:paraId="41B7A588" w14:textId="563DB03F" w:rsidR="001E33D1" w:rsidRPr="000C6291" w:rsidRDefault="000C6291" w:rsidP="001E33D1">
      <w:pPr>
        <w:pStyle w:val="Rubriquegnrale"/>
        <w:spacing w:before="0"/>
        <w:rPr>
          <w:b w:val="0"/>
          <w:lang w:val="en-CA"/>
        </w:rPr>
      </w:pPr>
      <w:r w:rsidRPr="000C6291">
        <w:rPr>
          <w:b w:val="0"/>
          <w:lang w:val="en-CA"/>
        </w:rPr>
        <w:t xml:space="preserve">The </w:t>
      </w:r>
      <w:proofErr w:type="gramStart"/>
      <w:r w:rsidRPr="000C6291">
        <w:rPr>
          <w:b w:val="0"/>
          <w:lang w:val="en-CA"/>
        </w:rPr>
        <w:t>High Level</w:t>
      </w:r>
      <w:proofErr w:type="gramEnd"/>
      <w:r w:rsidRPr="000C6291">
        <w:rPr>
          <w:b w:val="0"/>
          <w:lang w:val="en-CA"/>
        </w:rPr>
        <w:t xml:space="preserve"> Panel of Experts on Food Security and Nutrition (HLPE-FSN)</w:t>
      </w:r>
      <w:r w:rsidR="007E1971">
        <w:rPr>
          <w:b w:val="0"/>
          <w:lang w:val="en-CA"/>
        </w:rPr>
        <w:t xml:space="preserve"> </w:t>
      </w:r>
      <w:r w:rsidR="001E33D1" w:rsidRPr="000C6291">
        <w:rPr>
          <w:b w:val="0"/>
          <w:lang w:val="en-CA"/>
        </w:rPr>
        <w:t>would like</w:t>
      </w:r>
      <w:r w:rsidR="001E33D1" w:rsidRPr="000C6291">
        <w:rPr>
          <w:b w:val="0"/>
          <w:lang w:val="en-CA"/>
        </w:rPr>
        <w:br/>
        <w:t>to express its appreciation to the many people who provided advice and guidance during the preparation</w:t>
      </w:r>
      <w:r w:rsidR="001E33D1" w:rsidRPr="000C6291">
        <w:rPr>
          <w:b w:val="0"/>
          <w:lang w:val="en-CA"/>
        </w:rPr>
        <w:br/>
        <w:t xml:space="preserve">of this document. </w:t>
      </w:r>
      <w:r w:rsidR="005034E7">
        <w:rPr>
          <w:b w:val="0"/>
          <w:lang w:val="en-CA"/>
        </w:rPr>
        <w:t>The note</w:t>
      </w:r>
      <w:r w:rsidR="001E33D1" w:rsidRPr="000C6291">
        <w:rPr>
          <w:b w:val="0"/>
          <w:lang w:val="en-CA"/>
        </w:rPr>
        <w:t xml:space="preserve"> was authored by</w:t>
      </w:r>
      <w:r w:rsidR="005034E7">
        <w:rPr>
          <w:b w:val="0"/>
          <w:lang w:val="en-CA"/>
        </w:rPr>
        <w:t xml:space="preserve"> the HLPE-FSN Ste</w:t>
      </w:r>
      <w:r w:rsidR="00915C7A">
        <w:rPr>
          <w:b w:val="0"/>
          <w:lang w:val="en-CA"/>
        </w:rPr>
        <w:t>erin</w:t>
      </w:r>
      <w:r w:rsidR="004D015A">
        <w:rPr>
          <w:b w:val="0"/>
          <w:lang w:val="en-CA"/>
        </w:rPr>
        <w:t>g Committee</w:t>
      </w:r>
      <w:r w:rsidR="007E1971">
        <w:rPr>
          <w:b w:val="0"/>
          <w:lang w:val="en-CA"/>
        </w:rPr>
        <w:t xml:space="preserve"> members and the Artificial Intelligence expert </w:t>
      </w:r>
      <w:r w:rsidR="001E33D1" w:rsidRPr="000C6291">
        <w:rPr>
          <w:b w:val="0"/>
          <w:lang w:val="en-CA"/>
        </w:rPr>
        <w:t>Tristan Wiessalla</w:t>
      </w:r>
      <w:r w:rsidR="007E1971">
        <w:rPr>
          <w:b w:val="0"/>
          <w:lang w:val="en-CA"/>
        </w:rPr>
        <w:t>.</w:t>
      </w:r>
    </w:p>
    <w:p w14:paraId="372772B0" w14:textId="262A1F5E" w:rsidR="00D54CDA" w:rsidRPr="00EE5251" w:rsidRDefault="00D54CDA" w:rsidP="001E33D1">
      <w:pPr>
        <w:pStyle w:val="Rubriquegnrale"/>
        <w:spacing w:before="0"/>
        <w:rPr>
          <w:b w:val="0"/>
          <w:lang w:val="en-CA"/>
        </w:rPr>
      </w:pPr>
      <w:r w:rsidRPr="00EE5251">
        <w:rPr>
          <w:b w:val="0"/>
          <w:lang w:val="en-CA"/>
        </w:rPr>
        <w:t xml:space="preserve">The views expressed do not necessarily reflect the views of the </w:t>
      </w:r>
      <w:r w:rsidR="005E27C3" w:rsidRPr="00EE5251">
        <w:rPr>
          <w:b w:val="0"/>
          <w:lang w:val="en-CA"/>
        </w:rPr>
        <w:t>Committee on World Food Security (</w:t>
      </w:r>
      <w:r w:rsidRPr="00EE5251">
        <w:rPr>
          <w:b w:val="0"/>
          <w:lang w:val="en-CA"/>
        </w:rPr>
        <w:t>CFS</w:t>
      </w:r>
      <w:r w:rsidR="005E27C3" w:rsidRPr="00EE5251">
        <w:rPr>
          <w:b w:val="0"/>
          <w:lang w:val="en-CA"/>
        </w:rPr>
        <w:t>)</w:t>
      </w:r>
      <w:r w:rsidRPr="00EE5251">
        <w:rPr>
          <w:b w:val="0"/>
          <w:lang w:val="en-CA"/>
        </w:rPr>
        <w:t xml:space="preserve">, of its members, participants, or of the Secretariat. The mention of specific companies or products of manufacturers, </w:t>
      </w:r>
      <w:proofErr w:type="gramStart"/>
      <w:r w:rsidRPr="00EE5251">
        <w:rPr>
          <w:b w:val="0"/>
          <w:lang w:val="en-CA"/>
        </w:rPr>
        <w:t>whether or not</w:t>
      </w:r>
      <w:proofErr w:type="gramEnd"/>
      <w:r w:rsidRPr="00EE5251">
        <w:rPr>
          <w:b w:val="0"/>
          <w:lang w:val="en-CA"/>
        </w:rPr>
        <w:t xml:space="preserve"> these have been patented, does not imply that these have been endorsed or recommended by the HLPE</w:t>
      </w:r>
      <w:r w:rsidRPr="00EE5251">
        <w:rPr>
          <w:rFonts w:ascii="Cambria Math" w:hAnsi="Cambria Math" w:cs="Cambria Math"/>
          <w:b w:val="0"/>
          <w:lang w:val="en-CA"/>
        </w:rPr>
        <w:t>‑</w:t>
      </w:r>
      <w:r w:rsidRPr="00EE5251">
        <w:rPr>
          <w:b w:val="0"/>
          <w:lang w:val="en-CA"/>
        </w:rPr>
        <w:t>FSN in preference to others of a similar nature that are not mentioned. Boundaries, names and designations used on maps do not imply the expression of any opinion whatsoever on the part of the CFS nor its HLPE</w:t>
      </w:r>
      <w:r w:rsidRPr="00EE5251">
        <w:rPr>
          <w:rFonts w:ascii="Cambria Math" w:hAnsi="Cambria Math" w:cs="Cambria Math"/>
          <w:b w:val="0"/>
          <w:lang w:val="en-CA"/>
        </w:rPr>
        <w:t>‑</w:t>
      </w:r>
      <w:r w:rsidRPr="00EE5251">
        <w:rPr>
          <w:b w:val="0"/>
          <w:lang w:val="en-CA"/>
        </w:rPr>
        <w:t xml:space="preserve">FSN concerning the legal status of any country, territory, city or area or of its authorities, or concerning the delimitation of its frontiers and boundaries. </w:t>
      </w:r>
    </w:p>
    <w:p w14:paraId="461CB9CD" w14:textId="1B9C9B3B" w:rsidR="00D54CDA" w:rsidRPr="00EE5251" w:rsidRDefault="00D54CDA" w:rsidP="001E33D1">
      <w:pPr>
        <w:pStyle w:val="Rubriquegnrale"/>
        <w:spacing w:before="0"/>
        <w:rPr>
          <w:b w:val="0"/>
          <w:lang w:val="en-CA"/>
        </w:rPr>
      </w:pPr>
      <w:r w:rsidRPr="00EE5251">
        <w:rPr>
          <w:b w:val="0"/>
          <w:lang w:val="en-CA"/>
        </w:rPr>
        <w:t xml:space="preserve">This </w:t>
      </w:r>
      <w:r w:rsidR="005414AB">
        <w:rPr>
          <w:b w:val="0"/>
          <w:lang w:val="en-CA"/>
        </w:rPr>
        <w:t>background note</w:t>
      </w:r>
      <w:r w:rsidRPr="00EE5251">
        <w:rPr>
          <w:b w:val="0"/>
          <w:lang w:val="en-CA"/>
        </w:rPr>
        <w:t xml:space="preserve"> is made publicly available, and its reproduction and dissemination are encouraged. This </w:t>
      </w:r>
      <w:r w:rsidR="005414AB">
        <w:rPr>
          <w:b w:val="0"/>
          <w:lang w:val="en-CA"/>
        </w:rPr>
        <w:t>background note</w:t>
      </w:r>
      <w:r w:rsidRPr="00EE5251">
        <w:rPr>
          <w:b w:val="0"/>
          <w:lang w:val="en-CA"/>
        </w:rPr>
        <w:t xml:space="preserve"> may be copied, redistributed and adapted for non</w:t>
      </w:r>
      <w:r w:rsidRPr="00EE5251">
        <w:rPr>
          <w:rFonts w:ascii="Cambria Math" w:hAnsi="Cambria Math" w:cs="Cambria Math"/>
          <w:b w:val="0"/>
          <w:lang w:val="en-CA"/>
        </w:rPr>
        <w:t>‑</w:t>
      </w:r>
      <w:r w:rsidRPr="00EE5251">
        <w:rPr>
          <w:b w:val="0"/>
          <w:lang w:val="en-CA"/>
        </w:rPr>
        <w:t xml:space="preserve">commercial purposes, </w:t>
      </w:r>
      <w:proofErr w:type="gramStart"/>
      <w:r w:rsidRPr="00EE5251">
        <w:rPr>
          <w:b w:val="0"/>
          <w:lang w:val="en-CA"/>
        </w:rPr>
        <w:t>provided that</w:t>
      </w:r>
      <w:proofErr w:type="gramEnd"/>
      <w:r w:rsidRPr="00EE5251">
        <w:rPr>
          <w:b w:val="0"/>
          <w:lang w:val="en-CA"/>
        </w:rPr>
        <w:t xml:space="preserve"> </w:t>
      </w:r>
      <w:r w:rsidR="00CF0B94" w:rsidRPr="00EE5251">
        <w:rPr>
          <w:b w:val="0"/>
          <w:lang w:val="en-CA"/>
        </w:rPr>
        <w:t>it</w:t>
      </w:r>
      <w:r w:rsidRPr="00EE5251">
        <w:rPr>
          <w:b w:val="0"/>
          <w:lang w:val="en-CA"/>
        </w:rPr>
        <w:t xml:space="preserve"> is appropriately cited. Reproduction for resale or other commercial purposes, including educational purposes, may incur fees. </w:t>
      </w:r>
    </w:p>
    <w:p w14:paraId="12F0FF0F" w14:textId="45EF9EB9" w:rsidR="00D54CDA" w:rsidRPr="00EE5251" w:rsidRDefault="00D54CDA" w:rsidP="001E33D1">
      <w:pPr>
        <w:pStyle w:val="Rubriquegnrale"/>
        <w:spacing w:before="0"/>
        <w:rPr>
          <w:b w:val="0"/>
          <w:lang w:val="en-CA"/>
        </w:rPr>
      </w:pPr>
      <w:r w:rsidRPr="00EE5251">
        <w:rPr>
          <w:b w:val="0"/>
          <w:lang w:val="en-CA"/>
        </w:rPr>
        <w:t>Third</w:t>
      </w:r>
      <w:r w:rsidRPr="00EE5251">
        <w:rPr>
          <w:rFonts w:ascii="Cambria Math" w:hAnsi="Cambria Math" w:cs="Cambria Math"/>
          <w:b w:val="0"/>
          <w:lang w:val="en-CA"/>
        </w:rPr>
        <w:t>‑</w:t>
      </w:r>
      <w:r w:rsidRPr="00EE5251">
        <w:rPr>
          <w:b w:val="0"/>
          <w:lang w:val="en-CA"/>
        </w:rPr>
        <w:t xml:space="preserve">party materials: </w:t>
      </w:r>
      <w:r w:rsidR="006A159E">
        <w:rPr>
          <w:b w:val="0"/>
          <w:lang w:val="en-CA"/>
        </w:rPr>
        <w:t>u</w:t>
      </w:r>
      <w:r w:rsidRPr="00EE5251">
        <w:rPr>
          <w:b w:val="0"/>
          <w:lang w:val="en-CA"/>
        </w:rPr>
        <w:t>sers wishing to reuse material from this work that is attributed to a third party, such as tables, figures or images, are responsible for determining whether permission is needed for that reuse and for obtaining permission from the copyright holder. The risk of claims resulting from infringement of any third</w:t>
      </w:r>
      <w:r w:rsidRPr="00EE5251">
        <w:rPr>
          <w:rFonts w:ascii="Cambria Math" w:hAnsi="Cambria Math" w:cs="Cambria Math"/>
          <w:b w:val="0"/>
          <w:lang w:val="en-CA"/>
        </w:rPr>
        <w:t>‑</w:t>
      </w:r>
      <w:r w:rsidRPr="00EE5251">
        <w:rPr>
          <w:b w:val="0"/>
          <w:lang w:val="en-CA"/>
        </w:rPr>
        <w:t>party</w:t>
      </w:r>
      <w:r w:rsidRPr="00EE5251">
        <w:rPr>
          <w:rFonts w:ascii="Cambria Math" w:hAnsi="Cambria Math" w:cs="Cambria Math"/>
          <w:b w:val="0"/>
          <w:lang w:val="en-CA"/>
        </w:rPr>
        <w:t>‑</w:t>
      </w:r>
      <w:r w:rsidRPr="00EE5251">
        <w:rPr>
          <w:b w:val="0"/>
          <w:lang w:val="en-CA"/>
        </w:rPr>
        <w:t>owned component in the work rests solely with the user</w:t>
      </w:r>
      <w:r w:rsidR="00056BDB" w:rsidRPr="00EE5251">
        <w:rPr>
          <w:b w:val="0"/>
          <w:lang w:val="en-CA"/>
        </w:rPr>
        <w:t>.</w:t>
      </w:r>
    </w:p>
    <w:p w14:paraId="2299700F" w14:textId="5A0C0942" w:rsidR="008403A2" w:rsidRPr="00B676C1" w:rsidRDefault="0071522E" w:rsidP="001E33D1">
      <w:pPr>
        <w:pStyle w:val="Rubriquegnrale"/>
        <w:rPr>
          <w:b w:val="0"/>
          <w:i/>
          <w:lang w:val="en-CA"/>
        </w:rPr>
      </w:pPr>
      <w:r w:rsidRPr="000F63D2">
        <w:rPr>
          <w:lang w:val="en-CA"/>
        </w:rPr>
        <w:t>Referencing this</w:t>
      </w:r>
      <w:r w:rsidR="005673EE" w:rsidRPr="000F63D2">
        <w:rPr>
          <w:lang w:val="en-CA"/>
        </w:rPr>
        <w:t xml:space="preserve"> paper</w:t>
      </w:r>
      <w:r w:rsidRPr="000F63D2">
        <w:rPr>
          <w:lang w:val="en-CA"/>
        </w:rPr>
        <w:t xml:space="preserve">: </w:t>
      </w:r>
      <w:r w:rsidRPr="000F63D2">
        <w:rPr>
          <w:b w:val="0"/>
          <w:lang w:val="en-CA"/>
        </w:rPr>
        <w:t>HLPE.</w:t>
      </w:r>
      <w:r w:rsidR="00B257CA" w:rsidRPr="000F63D2">
        <w:rPr>
          <w:b w:val="0"/>
          <w:lang w:val="en-CA"/>
        </w:rPr>
        <w:t xml:space="preserve"> 202</w:t>
      </w:r>
      <w:r w:rsidR="00F66316">
        <w:rPr>
          <w:b w:val="0"/>
          <w:lang w:val="en-CA"/>
        </w:rPr>
        <w:t>6</w:t>
      </w:r>
      <w:r w:rsidR="00B257CA" w:rsidRPr="000F63D2">
        <w:rPr>
          <w:b w:val="0"/>
          <w:lang w:val="en-CA"/>
        </w:rPr>
        <w:t>.</w:t>
      </w:r>
      <w:r w:rsidR="00146A45" w:rsidRPr="000F63D2">
        <w:rPr>
          <w:lang w:val="en-CA"/>
        </w:rPr>
        <w:t xml:space="preserve"> </w:t>
      </w:r>
      <w:r w:rsidR="003C088A" w:rsidRPr="003C088A">
        <w:rPr>
          <w:b w:val="0"/>
          <w:bCs/>
          <w:i/>
          <w:iCs/>
          <w:lang w:val="en-CA"/>
        </w:rPr>
        <w:t>Harnessing Artificial Intelligence, digitalization and data governance for food security and nutrition</w:t>
      </w:r>
      <w:r w:rsidR="00FD03F9" w:rsidRPr="00FD03F9">
        <w:rPr>
          <w:b w:val="0"/>
          <w:bCs/>
          <w:i/>
          <w:iCs/>
          <w:lang w:val="en-CA"/>
        </w:rPr>
        <w:t xml:space="preserve"> </w:t>
      </w:r>
      <w:r w:rsidR="00FD03F9" w:rsidRPr="00FD03F9">
        <w:rPr>
          <w:b w:val="0"/>
          <w:bCs/>
          <w:i/>
          <w:iCs/>
          <w:lang w:val="en-CA"/>
        </w:rPr>
        <w:t xml:space="preserve">– </w:t>
      </w:r>
      <w:r w:rsidR="00907C99" w:rsidRPr="00FD03F9">
        <w:rPr>
          <w:b w:val="0"/>
          <w:bCs/>
          <w:i/>
          <w:iCs/>
          <w:lang w:val="en-CA"/>
        </w:rPr>
        <w:t xml:space="preserve">Background note for the Committee on World Food </w:t>
      </w:r>
      <w:proofErr w:type="gramStart"/>
      <w:r w:rsidR="00907C99" w:rsidRPr="00FD03F9">
        <w:rPr>
          <w:b w:val="0"/>
          <w:bCs/>
          <w:i/>
          <w:iCs/>
          <w:lang w:val="en-CA"/>
        </w:rPr>
        <w:t>Security’s  High</w:t>
      </w:r>
      <w:proofErr w:type="gramEnd"/>
      <w:r w:rsidR="00907C99" w:rsidRPr="00FD03F9">
        <w:rPr>
          <w:b w:val="0"/>
          <w:bCs/>
          <w:i/>
          <w:iCs/>
          <w:lang w:val="en-CA"/>
        </w:rPr>
        <w:t>-Level Forum in June 2026 in Rome, Italy</w:t>
      </w:r>
      <w:r w:rsidR="00FD03F9" w:rsidRPr="00FD03F9">
        <w:rPr>
          <w:b w:val="0"/>
          <w:bCs/>
          <w:i/>
          <w:iCs/>
          <w:lang w:val="en-CA"/>
        </w:rPr>
        <w:t>. R</w:t>
      </w:r>
      <w:r w:rsidR="00271D97" w:rsidRPr="00FD03F9">
        <w:rPr>
          <w:b w:val="0"/>
          <w:bCs/>
          <w:i/>
          <w:iCs/>
          <w:lang w:val="en-CA"/>
        </w:rPr>
        <w:t xml:space="preserve">ome, </w:t>
      </w:r>
      <w:r w:rsidR="00C31AC0" w:rsidRPr="00FD03F9">
        <w:rPr>
          <w:b w:val="0"/>
          <w:bCs/>
          <w:i/>
          <w:iCs/>
          <w:lang w:val="en-CA"/>
        </w:rPr>
        <w:t>FAO</w:t>
      </w:r>
      <w:r w:rsidR="00271D97" w:rsidRPr="00FD03F9">
        <w:rPr>
          <w:b w:val="0"/>
          <w:bCs/>
          <w:i/>
          <w:iCs/>
          <w:lang w:val="en-CA"/>
        </w:rPr>
        <w:t>.</w:t>
      </w:r>
    </w:p>
    <w:p w14:paraId="736CAF49" w14:textId="33C40792" w:rsidR="00D63877" w:rsidRPr="00EE5251" w:rsidRDefault="00D63877" w:rsidP="001E33D1">
      <w:pPr>
        <w:rPr>
          <w:rFonts w:ascii="DINPro-Bold" w:hAnsi="DINPro-Bold"/>
          <w:b/>
          <w:color w:val="2D6E93" w:themeColor="accent1" w:themeShade="BF"/>
          <w:lang w:val="en-CA"/>
        </w:rPr>
      </w:pPr>
      <w:r w:rsidRPr="00EE5251">
        <w:rPr>
          <w:rFonts w:ascii="DINPro-Bold" w:hAnsi="DINPro-Bold"/>
          <w:b/>
          <w:color w:val="2D6E93" w:themeColor="accent1" w:themeShade="BF"/>
          <w:lang w:val="en-CA"/>
        </w:rPr>
        <w:t>HLPE</w:t>
      </w:r>
      <w:r w:rsidR="00184F8A" w:rsidRPr="00EE5251">
        <w:rPr>
          <w:rFonts w:ascii="DINPro-Bold" w:hAnsi="DINPro-Bold"/>
          <w:b/>
          <w:color w:val="2D6E93" w:themeColor="accent1" w:themeShade="BF"/>
          <w:lang w:val="en-CA"/>
        </w:rPr>
        <w:t>-FSN</w:t>
      </w:r>
    </w:p>
    <w:p w14:paraId="2B8D7A6F" w14:textId="48872A21" w:rsidR="00D63877" w:rsidRPr="00EE5251" w:rsidRDefault="00D63877" w:rsidP="001E33D1">
      <w:pPr>
        <w:rPr>
          <w:lang w:val="en-CA"/>
        </w:rPr>
      </w:pPr>
      <w:r w:rsidRPr="00EE5251">
        <w:rPr>
          <w:lang w:val="en-CA"/>
        </w:rPr>
        <w:t xml:space="preserve">The </w:t>
      </w:r>
      <w:proofErr w:type="gramStart"/>
      <w:r w:rsidRPr="00EE5251">
        <w:rPr>
          <w:lang w:val="en-CA"/>
        </w:rPr>
        <w:t>High Level</w:t>
      </w:r>
      <w:proofErr w:type="gramEnd"/>
      <w:r w:rsidRPr="00EE5251">
        <w:rPr>
          <w:lang w:val="en-CA"/>
        </w:rPr>
        <w:t xml:space="preserve"> Panel of Experts on Food Security and Nutrition (HLPE</w:t>
      </w:r>
      <w:r w:rsidR="0054764A" w:rsidRPr="00EE5251">
        <w:rPr>
          <w:lang w:val="en-CA"/>
        </w:rPr>
        <w:t>-FSN</w:t>
      </w:r>
      <w:r w:rsidRPr="00EE5251">
        <w:rPr>
          <w:lang w:val="en-CA"/>
        </w:rPr>
        <w:t>) is the United Nations body for assessing the science related to world food security and nutrition.</w:t>
      </w:r>
    </w:p>
    <w:p w14:paraId="79E05485" w14:textId="48CB2747" w:rsidR="00E449D6" w:rsidRDefault="0054764A" w:rsidP="001E33D1">
      <w:pPr>
        <w:rPr>
          <w:lang w:val="en-CA"/>
        </w:rPr>
      </w:pPr>
      <w:r w:rsidRPr="00EE5251">
        <w:rPr>
          <w:lang w:val="en-CA"/>
        </w:rPr>
        <w:t>The HLPE-FSN</w:t>
      </w:r>
      <w:r w:rsidR="00D63877" w:rsidRPr="00EE5251">
        <w:rPr>
          <w:lang w:val="en-CA"/>
        </w:rPr>
        <w:t xml:space="preserve"> is the science-policy interface of the Committee on World Food Security (CFS) and provides independent, comprehensive and evidence-based analysis and advice at the request of CFS. It elaborates its studies through a scientific, transparent and inclusive process.</w:t>
      </w:r>
    </w:p>
    <w:p w14:paraId="12AEE04D" w14:textId="77777777" w:rsidR="00E449D6" w:rsidRDefault="00E449D6">
      <w:pPr>
        <w:rPr>
          <w:lang w:val="en-CA"/>
        </w:rPr>
      </w:pPr>
      <w:r>
        <w:rPr>
          <w:lang w:val="en-CA"/>
        </w:rPr>
        <w:br w:type="page"/>
      </w:r>
    </w:p>
    <w:p w14:paraId="74C634DF" w14:textId="77777777" w:rsidR="00F237A4" w:rsidRDefault="00151EFA" w:rsidP="001E33D1">
      <w:pPr>
        <w:pStyle w:val="TDC1"/>
        <w:rPr>
          <w:noProof/>
        </w:rPr>
      </w:pPr>
      <w:r w:rsidRPr="00A71C31">
        <w:rPr>
          <w:noProof/>
          <w:lang w:eastAsia="en-US"/>
        </w:rPr>
        <w:lastRenderedPageBreak/>
        <mc:AlternateContent>
          <mc:Choice Requires="wps">
            <w:drawing>
              <wp:anchor distT="0" distB="0" distL="114300" distR="114300" simplePos="0" relativeHeight="251658251" behindDoc="1" locked="0" layoutInCell="1" allowOverlap="1" wp14:anchorId="001F2FD8" wp14:editId="50FCF8EF">
                <wp:simplePos x="0" y="0"/>
                <wp:positionH relativeFrom="margin">
                  <wp:align>center</wp:align>
                </wp:positionH>
                <wp:positionV relativeFrom="page">
                  <wp:align>top</wp:align>
                </wp:positionV>
                <wp:extent cx="7836535" cy="10729595"/>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7295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E5AB9" id="Rectangle 31" o:spid="_x0000_s1026" alt="colored contents page background" style="position:absolute;margin-left:0;margin-top:0;width:617.05pt;height:844.85pt;z-index:-251658229;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" fillcolor="white [3212]" stroked="f" strokeweight="2pt">
                <w10:wrap anchorx="margin" anchory="page"/>
              </v:rect>
            </w:pict>
          </mc:Fallback>
        </mc:AlternateContent>
      </w:r>
      <w:r w:rsidR="00FA526E" w:rsidRPr="00A71C31">
        <w:fldChar w:fldCharType="begin"/>
      </w:r>
      <w:r w:rsidR="00FA526E" w:rsidRPr="00A71C31">
        <w:instrText xml:space="preserve"> TOC \o "1-3" \h \z \u </w:instrText>
      </w:r>
      <w:r w:rsidR="00FA526E" w:rsidRPr="00A71C31">
        <w:fldChar w:fldCharType="separate"/>
      </w:r>
    </w:p>
    <w:p w14:paraId="72E74C5D" w14:textId="2972C0B6" w:rsidR="00F237A4" w:rsidRDefault="00F237A4">
      <w:pPr>
        <w:pStyle w:val="TDC1"/>
        <w:tabs>
          <w:tab w:val="left" w:pos="480"/>
        </w:tabs>
        <w:rPr>
          <w:rFonts w:asciiTheme="minorHAnsi" w:eastAsiaTheme="minorEastAsia" w:hAnsiTheme="minorHAnsi"/>
          <w:b w:val="0"/>
          <w:bCs w:val="0"/>
          <w:i w:val="0"/>
          <w:iCs w:val="0"/>
          <w:noProof/>
          <w:color w:val="auto"/>
          <w:kern w:val="2"/>
          <w:sz w:val="24"/>
          <w:shd w:val="clear" w:color="auto" w:fill="auto"/>
          <w:lang w:val="es-ES" w:eastAsia="es-ES"/>
          <w14:ligatures w14:val="standardContextual"/>
        </w:rPr>
      </w:pPr>
      <w:hyperlink w:anchor="_Toc226730539" w:history="1">
        <w:r w:rsidRPr="00A2436E">
          <w:rPr>
            <w:rStyle w:val="Hipervnculo"/>
            <w:noProof/>
            <w:lang w:val="en-CA"/>
          </w:rPr>
          <w:t>1.</w:t>
        </w:r>
        <w:r>
          <w:rPr>
            <w:rFonts w:asciiTheme="minorHAnsi" w:eastAsiaTheme="minorEastAsia" w:hAnsiTheme="minorHAnsi"/>
            <w:b w:val="0"/>
            <w:bCs w:val="0"/>
            <w:i w:val="0"/>
            <w:iCs w:val="0"/>
            <w:noProof/>
            <w:color w:val="auto"/>
            <w:kern w:val="2"/>
            <w:sz w:val="24"/>
            <w:shd w:val="clear" w:color="auto" w:fill="auto"/>
            <w:lang w:val="es-ES" w:eastAsia="es-ES"/>
            <w14:ligatures w14:val="standardContextual"/>
          </w:rPr>
          <w:tab/>
        </w:r>
        <w:r w:rsidRPr="00A2436E">
          <w:rPr>
            <w:rStyle w:val="Hipervnculo"/>
            <w:noProof/>
            <w:lang w:val="en-CA"/>
          </w:rPr>
          <w:t>Introduction</w:t>
        </w:r>
        <w:r>
          <w:rPr>
            <w:noProof/>
            <w:webHidden/>
          </w:rPr>
          <w:tab/>
        </w:r>
        <w:r>
          <w:rPr>
            <w:noProof/>
            <w:webHidden/>
          </w:rPr>
          <w:fldChar w:fldCharType="begin"/>
        </w:r>
        <w:r>
          <w:rPr>
            <w:noProof/>
            <w:webHidden/>
          </w:rPr>
          <w:instrText xml:space="preserve"> PAGEREF _Toc226730539 \h </w:instrText>
        </w:r>
        <w:r>
          <w:rPr>
            <w:noProof/>
            <w:webHidden/>
          </w:rPr>
        </w:r>
        <w:r>
          <w:rPr>
            <w:noProof/>
            <w:webHidden/>
          </w:rPr>
          <w:fldChar w:fldCharType="separate"/>
        </w:r>
        <w:r>
          <w:rPr>
            <w:noProof/>
            <w:webHidden/>
          </w:rPr>
          <w:t>5</w:t>
        </w:r>
        <w:r>
          <w:rPr>
            <w:noProof/>
            <w:webHidden/>
          </w:rPr>
          <w:fldChar w:fldCharType="end"/>
        </w:r>
      </w:hyperlink>
    </w:p>
    <w:p w14:paraId="2E6987A5" w14:textId="6D7D0B19" w:rsidR="00F237A4" w:rsidRDefault="00F237A4">
      <w:pPr>
        <w:pStyle w:val="TDC2"/>
        <w:tabs>
          <w:tab w:val="right" w:leader="underscore" w:pos="9880"/>
        </w:tabs>
        <w:rPr>
          <w:rFonts w:asciiTheme="minorHAnsi" w:eastAsiaTheme="minorEastAsia" w:hAnsiTheme="minorHAnsi"/>
          <w:b w:val="0"/>
          <w:bCs w:val="0"/>
          <w:noProof/>
          <w:color w:val="auto"/>
          <w:kern w:val="2"/>
          <w:sz w:val="24"/>
          <w:szCs w:val="24"/>
          <w:shd w:val="clear" w:color="auto" w:fill="auto"/>
          <w:lang w:val="es-ES" w:eastAsia="es-ES"/>
          <w14:ligatures w14:val="standardContextual"/>
        </w:rPr>
      </w:pPr>
      <w:hyperlink w:anchor="_Toc226730540" w:history="1">
        <w:r w:rsidRPr="00A2436E">
          <w:rPr>
            <w:rStyle w:val="Hipervnculo"/>
            <w:noProof/>
            <w:lang w:val="en-CA"/>
          </w:rPr>
          <w:t xml:space="preserve">1.1 AI </w:t>
        </w:r>
        <w:r w:rsidRPr="00A2436E">
          <w:rPr>
            <w:rStyle w:val="Hipervnculo"/>
            <w:noProof/>
          </w:rPr>
          <w:t>–</w:t>
        </w:r>
        <w:r w:rsidRPr="00A2436E">
          <w:rPr>
            <w:rStyle w:val="Hipervnculo"/>
            <w:noProof/>
            <w:lang w:val="en-CA"/>
          </w:rPr>
          <w:t xml:space="preserve"> A spectrum of technologies</w:t>
        </w:r>
        <w:r>
          <w:rPr>
            <w:noProof/>
            <w:webHidden/>
          </w:rPr>
          <w:tab/>
        </w:r>
        <w:r>
          <w:rPr>
            <w:noProof/>
            <w:webHidden/>
          </w:rPr>
          <w:fldChar w:fldCharType="begin"/>
        </w:r>
        <w:r>
          <w:rPr>
            <w:noProof/>
            <w:webHidden/>
          </w:rPr>
          <w:instrText xml:space="preserve"> PAGEREF _Toc226730540 \h </w:instrText>
        </w:r>
        <w:r>
          <w:rPr>
            <w:noProof/>
            <w:webHidden/>
          </w:rPr>
        </w:r>
        <w:r>
          <w:rPr>
            <w:noProof/>
            <w:webHidden/>
          </w:rPr>
          <w:fldChar w:fldCharType="separate"/>
        </w:r>
        <w:r>
          <w:rPr>
            <w:noProof/>
            <w:webHidden/>
          </w:rPr>
          <w:t>6</w:t>
        </w:r>
        <w:r>
          <w:rPr>
            <w:noProof/>
            <w:webHidden/>
          </w:rPr>
          <w:fldChar w:fldCharType="end"/>
        </w:r>
      </w:hyperlink>
    </w:p>
    <w:p w14:paraId="21858229" w14:textId="6A5AE243" w:rsidR="00F237A4" w:rsidRDefault="00F237A4">
      <w:pPr>
        <w:pStyle w:val="TDC2"/>
        <w:tabs>
          <w:tab w:val="right" w:leader="underscore" w:pos="9880"/>
        </w:tabs>
        <w:rPr>
          <w:rFonts w:asciiTheme="minorHAnsi" w:eastAsiaTheme="minorEastAsia" w:hAnsiTheme="minorHAnsi"/>
          <w:b w:val="0"/>
          <w:bCs w:val="0"/>
          <w:noProof/>
          <w:color w:val="auto"/>
          <w:kern w:val="2"/>
          <w:sz w:val="24"/>
          <w:szCs w:val="24"/>
          <w:shd w:val="clear" w:color="auto" w:fill="auto"/>
          <w:lang w:val="es-ES" w:eastAsia="es-ES"/>
          <w14:ligatures w14:val="standardContextual"/>
        </w:rPr>
      </w:pPr>
      <w:hyperlink w:anchor="_Toc226730541" w:history="1">
        <w:r w:rsidRPr="00A2436E">
          <w:rPr>
            <w:rStyle w:val="Hipervnculo"/>
            <w:noProof/>
          </w:rPr>
          <w:t>1.2 Current state and future promises</w:t>
        </w:r>
        <w:r>
          <w:rPr>
            <w:noProof/>
            <w:webHidden/>
          </w:rPr>
          <w:tab/>
        </w:r>
        <w:r>
          <w:rPr>
            <w:noProof/>
            <w:webHidden/>
          </w:rPr>
          <w:fldChar w:fldCharType="begin"/>
        </w:r>
        <w:r>
          <w:rPr>
            <w:noProof/>
            <w:webHidden/>
          </w:rPr>
          <w:instrText xml:space="preserve"> PAGEREF _Toc226730541 \h </w:instrText>
        </w:r>
        <w:r>
          <w:rPr>
            <w:noProof/>
            <w:webHidden/>
          </w:rPr>
        </w:r>
        <w:r>
          <w:rPr>
            <w:noProof/>
            <w:webHidden/>
          </w:rPr>
          <w:fldChar w:fldCharType="separate"/>
        </w:r>
        <w:r>
          <w:rPr>
            <w:noProof/>
            <w:webHidden/>
          </w:rPr>
          <w:t>9</w:t>
        </w:r>
        <w:r>
          <w:rPr>
            <w:noProof/>
            <w:webHidden/>
          </w:rPr>
          <w:fldChar w:fldCharType="end"/>
        </w:r>
      </w:hyperlink>
    </w:p>
    <w:p w14:paraId="19DF21BC" w14:textId="12326836" w:rsidR="00F237A4" w:rsidRDefault="00F237A4">
      <w:pPr>
        <w:pStyle w:val="TDC1"/>
        <w:rPr>
          <w:rFonts w:asciiTheme="minorHAnsi" w:eastAsiaTheme="minorEastAsia" w:hAnsiTheme="minorHAnsi"/>
          <w:b w:val="0"/>
          <w:bCs w:val="0"/>
          <w:i w:val="0"/>
          <w:iCs w:val="0"/>
          <w:noProof/>
          <w:color w:val="auto"/>
          <w:kern w:val="2"/>
          <w:sz w:val="24"/>
          <w:shd w:val="clear" w:color="auto" w:fill="auto"/>
          <w:lang w:val="es-ES" w:eastAsia="es-ES"/>
          <w14:ligatures w14:val="standardContextual"/>
        </w:rPr>
      </w:pPr>
      <w:hyperlink w:anchor="_Toc226730542" w:history="1">
        <w:r w:rsidRPr="00A2436E">
          <w:rPr>
            <w:rStyle w:val="Hipervnculo"/>
            <w:noProof/>
            <w:lang w:val="en-CA"/>
          </w:rPr>
          <w:t>2. Potential benefits of digital and AI tools for food security and nutrition</w:t>
        </w:r>
        <w:r>
          <w:rPr>
            <w:noProof/>
            <w:webHidden/>
          </w:rPr>
          <w:tab/>
        </w:r>
        <w:r>
          <w:rPr>
            <w:noProof/>
            <w:webHidden/>
          </w:rPr>
          <w:fldChar w:fldCharType="begin"/>
        </w:r>
        <w:r>
          <w:rPr>
            <w:noProof/>
            <w:webHidden/>
          </w:rPr>
          <w:instrText xml:space="preserve"> PAGEREF _Toc226730542 \h </w:instrText>
        </w:r>
        <w:r>
          <w:rPr>
            <w:noProof/>
            <w:webHidden/>
          </w:rPr>
        </w:r>
        <w:r>
          <w:rPr>
            <w:noProof/>
            <w:webHidden/>
          </w:rPr>
          <w:fldChar w:fldCharType="separate"/>
        </w:r>
        <w:r>
          <w:rPr>
            <w:noProof/>
            <w:webHidden/>
          </w:rPr>
          <w:t>10</w:t>
        </w:r>
        <w:r>
          <w:rPr>
            <w:noProof/>
            <w:webHidden/>
          </w:rPr>
          <w:fldChar w:fldCharType="end"/>
        </w:r>
      </w:hyperlink>
    </w:p>
    <w:p w14:paraId="201DDDAD" w14:textId="216F0222" w:rsidR="00F237A4" w:rsidRDefault="00F237A4">
      <w:pPr>
        <w:pStyle w:val="TDC2"/>
        <w:tabs>
          <w:tab w:val="right" w:leader="underscore" w:pos="9880"/>
        </w:tabs>
        <w:rPr>
          <w:rFonts w:asciiTheme="minorHAnsi" w:eastAsiaTheme="minorEastAsia" w:hAnsiTheme="minorHAnsi"/>
          <w:b w:val="0"/>
          <w:bCs w:val="0"/>
          <w:noProof/>
          <w:color w:val="auto"/>
          <w:kern w:val="2"/>
          <w:sz w:val="24"/>
          <w:szCs w:val="24"/>
          <w:shd w:val="clear" w:color="auto" w:fill="auto"/>
          <w:lang w:val="es-ES" w:eastAsia="es-ES"/>
          <w14:ligatures w14:val="standardContextual"/>
        </w:rPr>
      </w:pPr>
      <w:hyperlink w:anchor="_Toc226730543" w:history="1">
        <w:r w:rsidRPr="00A2436E">
          <w:rPr>
            <w:rStyle w:val="Hipervnculo"/>
            <w:noProof/>
          </w:rPr>
          <w:t>2.1 Resource-efficient production</w:t>
        </w:r>
        <w:r>
          <w:rPr>
            <w:noProof/>
            <w:webHidden/>
          </w:rPr>
          <w:tab/>
        </w:r>
        <w:r>
          <w:rPr>
            <w:noProof/>
            <w:webHidden/>
          </w:rPr>
          <w:fldChar w:fldCharType="begin"/>
        </w:r>
        <w:r>
          <w:rPr>
            <w:noProof/>
            <w:webHidden/>
          </w:rPr>
          <w:instrText xml:space="preserve"> PAGEREF _Toc226730543 \h </w:instrText>
        </w:r>
        <w:r>
          <w:rPr>
            <w:noProof/>
            <w:webHidden/>
          </w:rPr>
        </w:r>
        <w:r>
          <w:rPr>
            <w:noProof/>
            <w:webHidden/>
          </w:rPr>
          <w:fldChar w:fldCharType="separate"/>
        </w:r>
        <w:r>
          <w:rPr>
            <w:noProof/>
            <w:webHidden/>
          </w:rPr>
          <w:t>10</w:t>
        </w:r>
        <w:r>
          <w:rPr>
            <w:noProof/>
            <w:webHidden/>
          </w:rPr>
          <w:fldChar w:fldCharType="end"/>
        </w:r>
      </w:hyperlink>
    </w:p>
    <w:p w14:paraId="34CDE80D" w14:textId="4933D2FF" w:rsidR="00F237A4" w:rsidRDefault="00F237A4">
      <w:pPr>
        <w:pStyle w:val="TDC3"/>
        <w:tabs>
          <w:tab w:val="right" w:leader="underscore" w:pos="9880"/>
        </w:tabs>
        <w:rPr>
          <w:rFonts w:asciiTheme="minorHAnsi" w:eastAsiaTheme="minorEastAsia" w:hAnsiTheme="minorHAnsi"/>
          <w:noProof/>
          <w:color w:val="auto"/>
          <w:kern w:val="2"/>
          <w:sz w:val="24"/>
          <w:szCs w:val="24"/>
          <w:shd w:val="clear" w:color="auto" w:fill="auto"/>
          <w:lang w:val="es-ES" w:eastAsia="es-ES"/>
          <w14:ligatures w14:val="standardContextual"/>
        </w:rPr>
      </w:pPr>
      <w:hyperlink w:anchor="_Toc226730544" w:history="1">
        <w:r w:rsidRPr="00A2436E">
          <w:rPr>
            <w:rStyle w:val="Hipervnculo"/>
            <w:noProof/>
          </w:rPr>
          <w:t>2.1.1 Precision farming</w:t>
        </w:r>
        <w:r>
          <w:rPr>
            <w:noProof/>
            <w:webHidden/>
          </w:rPr>
          <w:tab/>
        </w:r>
        <w:r>
          <w:rPr>
            <w:noProof/>
            <w:webHidden/>
          </w:rPr>
          <w:fldChar w:fldCharType="begin"/>
        </w:r>
        <w:r>
          <w:rPr>
            <w:noProof/>
            <w:webHidden/>
          </w:rPr>
          <w:instrText xml:space="preserve"> PAGEREF _Toc226730544 \h </w:instrText>
        </w:r>
        <w:r>
          <w:rPr>
            <w:noProof/>
            <w:webHidden/>
          </w:rPr>
        </w:r>
        <w:r>
          <w:rPr>
            <w:noProof/>
            <w:webHidden/>
          </w:rPr>
          <w:fldChar w:fldCharType="separate"/>
        </w:r>
        <w:r>
          <w:rPr>
            <w:noProof/>
            <w:webHidden/>
          </w:rPr>
          <w:t>11</w:t>
        </w:r>
        <w:r>
          <w:rPr>
            <w:noProof/>
            <w:webHidden/>
          </w:rPr>
          <w:fldChar w:fldCharType="end"/>
        </w:r>
      </w:hyperlink>
    </w:p>
    <w:p w14:paraId="5A4C0905" w14:textId="79A0992E" w:rsidR="00F237A4" w:rsidRDefault="00F237A4">
      <w:pPr>
        <w:pStyle w:val="TDC3"/>
        <w:tabs>
          <w:tab w:val="right" w:leader="underscore" w:pos="9880"/>
        </w:tabs>
        <w:rPr>
          <w:rFonts w:asciiTheme="minorHAnsi" w:eastAsiaTheme="minorEastAsia" w:hAnsiTheme="minorHAnsi"/>
          <w:noProof/>
          <w:color w:val="auto"/>
          <w:kern w:val="2"/>
          <w:sz w:val="24"/>
          <w:szCs w:val="24"/>
          <w:shd w:val="clear" w:color="auto" w:fill="auto"/>
          <w:lang w:val="es-ES" w:eastAsia="es-ES"/>
          <w14:ligatures w14:val="standardContextual"/>
        </w:rPr>
      </w:pPr>
      <w:hyperlink w:anchor="_Toc226730545" w:history="1">
        <w:r w:rsidRPr="00A2436E">
          <w:rPr>
            <w:rStyle w:val="Hipervnculo"/>
            <w:noProof/>
          </w:rPr>
          <w:t>2.1.2 Land and water management</w:t>
        </w:r>
        <w:r>
          <w:rPr>
            <w:noProof/>
            <w:webHidden/>
          </w:rPr>
          <w:tab/>
        </w:r>
        <w:r>
          <w:rPr>
            <w:noProof/>
            <w:webHidden/>
          </w:rPr>
          <w:fldChar w:fldCharType="begin"/>
        </w:r>
        <w:r>
          <w:rPr>
            <w:noProof/>
            <w:webHidden/>
          </w:rPr>
          <w:instrText xml:space="preserve"> PAGEREF _Toc226730545 \h </w:instrText>
        </w:r>
        <w:r>
          <w:rPr>
            <w:noProof/>
            <w:webHidden/>
          </w:rPr>
        </w:r>
        <w:r>
          <w:rPr>
            <w:noProof/>
            <w:webHidden/>
          </w:rPr>
          <w:fldChar w:fldCharType="separate"/>
        </w:r>
        <w:r>
          <w:rPr>
            <w:noProof/>
            <w:webHidden/>
          </w:rPr>
          <w:t>12</w:t>
        </w:r>
        <w:r>
          <w:rPr>
            <w:noProof/>
            <w:webHidden/>
          </w:rPr>
          <w:fldChar w:fldCharType="end"/>
        </w:r>
      </w:hyperlink>
    </w:p>
    <w:p w14:paraId="3202FDE7" w14:textId="1BFE5B61" w:rsidR="00F237A4" w:rsidRDefault="00F237A4">
      <w:pPr>
        <w:pStyle w:val="TDC3"/>
        <w:tabs>
          <w:tab w:val="right" w:leader="underscore" w:pos="9880"/>
        </w:tabs>
        <w:rPr>
          <w:rFonts w:asciiTheme="minorHAnsi" w:eastAsiaTheme="minorEastAsia" w:hAnsiTheme="minorHAnsi"/>
          <w:noProof/>
          <w:color w:val="auto"/>
          <w:kern w:val="2"/>
          <w:sz w:val="24"/>
          <w:szCs w:val="24"/>
          <w:shd w:val="clear" w:color="auto" w:fill="auto"/>
          <w:lang w:val="es-ES" w:eastAsia="es-ES"/>
          <w14:ligatures w14:val="standardContextual"/>
        </w:rPr>
      </w:pPr>
      <w:hyperlink w:anchor="_Toc226730546" w:history="1">
        <w:r w:rsidRPr="00A2436E">
          <w:rPr>
            <w:rStyle w:val="Hipervnculo"/>
            <w:noProof/>
          </w:rPr>
          <w:t>2.1.3 Risk management</w:t>
        </w:r>
        <w:r>
          <w:rPr>
            <w:noProof/>
            <w:webHidden/>
          </w:rPr>
          <w:tab/>
        </w:r>
        <w:r>
          <w:rPr>
            <w:noProof/>
            <w:webHidden/>
          </w:rPr>
          <w:fldChar w:fldCharType="begin"/>
        </w:r>
        <w:r>
          <w:rPr>
            <w:noProof/>
            <w:webHidden/>
          </w:rPr>
          <w:instrText xml:space="preserve"> PAGEREF _Toc226730546 \h </w:instrText>
        </w:r>
        <w:r>
          <w:rPr>
            <w:noProof/>
            <w:webHidden/>
          </w:rPr>
        </w:r>
        <w:r>
          <w:rPr>
            <w:noProof/>
            <w:webHidden/>
          </w:rPr>
          <w:fldChar w:fldCharType="separate"/>
        </w:r>
        <w:r>
          <w:rPr>
            <w:noProof/>
            <w:webHidden/>
          </w:rPr>
          <w:t>12</w:t>
        </w:r>
        <w:r>
          <w:rPr>
            <w:noProof/>
            <w:webHidden/>
          </w:rPr>
          <w:fldChar w:fldCharType="end"/>
        </w:r>
      </w:hyperlink>
    </w:p>
    <w:p w14:paraId="37D34EC6" w14:textId="28DF1163" w:rsidR="00F237A4" w:rsidRDefault="00F237A4">
      <w:pPr>
        <w:pStyle w:val="TDC3"/>
        <w:tabs>
          <w:tab w:val="right" w:leader="underscore" w:pos="9880"/>
        </w:tabs>
        <w:rPr>
          <w:rFonts w:asciiTheme="minorHAnsi" w:eastAsiaTheme="minorEastAsia" w:hAnsiTheme="minorHAnsi"/>
          <w:noProof/>
          <w:color w:val="auto"/>
          <w:kern w:val="2"/>
          <w:sz w:val="24"/>
          <w:szCs w:val="24"/>
          <w:shd w:val="clear" w:color="auto" w:fill="auto"/>
          <w:lang w:val="es-ES" w:eastAsia="es-ES"/>
          <w14:ligatures w14:val="standardContextual"/>
        </w:rPr>
      </w:pPr>
      <w:hyperlink w:anchor="_Toc226730547" w:history="1">
        <w:r w:rsidRPr="00A2436E">
          <w:rPr>
            <w:rStyle w:val="Hipervnculo"/>
            <w:noProof/>
          </w:rPr>
          <w:t>2.1.4 Crop &amp; Livestock Selection</w:t>
        </w:r>
        <w:r>
          <w:rPr>
            <w:noProof/>
            <w:webHidden/>
          </w:rPr>
          <w:tab/>
        </w:r>
        <w:r>
          <w:rPr>
            <w:noProof/>
            <w:webHidden/>
          </w:rPr>
          <w:fldChar w:fldCharType="begin"/>
        </w:r>
        <w:r>
          <w:rPr>
            <w:noProof/>
            <w:webHidden/>
          </w:rPr>
          <w:instrText xml:space="preserve"> PAGEREF _Toc226730547 \h </w:instrText>
        </w:r>
        <w:r>
          <w:rPr>
            <w:noProof/>
            <w:webHidden/>
          </w:rPr>
        </w:r>
        <w:r>
          <w:rPr>
            <w:noProof/>
            <w:webHidden/>
          </w:rPr>
          <w:fldChar w:fldCharType="separate"/>
        </w:r>
        <w:r>
          <w:rPr>
            <w:noProof/>
            <w:webHidden/>
          </w:rPr>
          <w:t>13</w:t>
        </w:r>
        <w:r>
          <w:rPr>
            <w:noProof/>
            <w:webHidden/>
          </w:rPr>
          <w:fldChar w:fldCharType="end"/>
        </w:r>
      </w:hyperlink>
    </w:p>
    <w:p w14:paraId="4081E330" w14:textId="015F30A1" w:rsidR="00F237A4" w:rsidRDefault="00F237A4">
      <w:pPr>
        <w:pStyle w:val="TDC2"/>
        <w:tabs>
          <w:tab w:val="right" w:leader="underscore" w:pos="9880"/>
        </w:tabs>
        <w:rPr>
          <w:rFonts w:asciiTheme="minorHAnsi" w:eastAsiaTheme="minorEastAsia" w:hAnsiTheme="minorHAnsi"/>
          <w:b w:val="0"/>
          <w:bCs w:val="0"/>
          <w:noProof/>
          <w:color w:val="auto"/>
          <w:kern w:val="2"/>
          <w:sz w:val="24"/>
          <w:szCs w:val="24"/>
          <w:shd w:val="clear" w:color="auto" w:fill="auto"/>
          <w:lang w:val="es-ES" w:eastAsia="es-ES"/>
          <w14:ligatures w14:val="standardContextual"/>
        </w:rPr>
      </w:pPr>
      <w:hyperlink w:anchor="_Toc226730548" w:history="1">
        <w:r w:rsidRPr="00A2436E">
          <w:rPr>
            <w:rStyle w:val="Hipervnculo"/>
            <w:noProof/>
          </w:rPr>
          <w:t>2.2 Supply-chain transparency</w:t>
        </w:r>
        <w:r>
          <w:rPr>
            <w:noProof/>
            <w:webHidden/>
          </w:rPr>
          <w:tab/>
        </w:r>
        <w:r>
          <w:rPr>
            <w:noProof/>
            <w:webHidden/>
          </w:rPr>
          <w:fldChar w:fldCharType="begin"/>
        </w:r>
        <w:r>
          <w:rPr>
            <w:noProof/>
            <w:webHidden/>
          </w:rPr>
          <w:instrText xml:space="preserve"> PAGEREF _Toc226730548 \h </w:instrText>
        </w:r>
        <w:r>
          <w:rPr>
            <w:noProof/>
            <w:webHidden/>
          </w:rPr>
        </w:r>
        <w:r>
          <w:rPr>
            <w:noProof/>
            <w:webHidden/>
          </w:rPr>
          <w:fldChar w:fldCharType="separate"/>
        </w:r>
        <w:r>
          <w:rPr>
            <w:noProof/>
            <w:webHidden/>
          </w:rPr>
          <w:t>14</w:t>
        </w:r>
        <w:r>
          <w:rPr>
            <w:noProof/>
            <w:webHidden/>
          </w:rPr>
          <w:fldChar w:fldCharType="end"/>
        </w:r>
      </w:hyperlink>
    </w:p>
    <w:p w14:paraId="51F5796F" w14:textId="1AAC39EA" w:rsidR="00F237A4" w:rsidRDefault="00F237A4">
      <w:pPr>
        <w:pStyle w:val="TDC3"/>
        <w:tabs>
          <w:tab w:val="right" w:leader="underscore" w:pos="9880"/>
        </w:tabs>
        <w:rPr>
          <w:rFonts w:asciiTheme="minorHAnsi" w:eastAsiaTheme="minorEastAsia" w:hAnsiTheme="minorHAnsi"/>
          <w:noProof/>
          <w:color w:val="auto"/>
          <w:kern w:val="2"/>
          <w:sz w:val="24"/>
          <w:szCs w:val="24"/>
          <w:shd w:val="clear" w:color="auto" w:fill="auto"/>
          <w:lang w:val="es-ES" w:eastAsia="es-ES"/>
          <w14:ligatures w14:val="standardContextual"/>
        </w:rPr>
      </w:pPr>
      <w:hyperlink w:anchor="_Toc226730549" w:history="1">
        <w:r w:rsidRPr="00A2436E">
          <w:rPr>
            <w:rStyle w:val="Hipervnculo"/>
            <w:noProof/>
            <w:lang w:val="en-CA"/>
          </w:rPr>
          <w:t xml:space="preserve">2.2.1 </w:t>
        </w:r>
        <w:r w:rsidRPr="00A2436E">
          <w:rPr>
            <w:rStyle w:val="Hipervnculo"/>
            <w:noProof/>
          </w:rPr>
          <w:t>Commodity price prediction</w:t>
        </w:r>
        <w:r>
          <w:rPr>
            <w:noProof/>
            <w:webHidden/>
          </w:rPr>
          <w:tab/>
        </w:r>
        <w:r>
          <w:rPr>
            <w:noProof/>
            <w:webHidden/>
          </w:rPr>
          <w:fldChar w:fldCharType="begin"/>
        </w:r>
        <w:r>
          <w:rPr>
            <w:noProof/>
            <w:webHidden/>
          </w:rPr>
          <w:instrText xml:space="preserve"> PAGEREF _Toc226730549 \h </w:instrText>
        </w:r>
        <w:r>
          <w:rPr>
            <w:noProof/>
            <w:webHidden/>
          </w:rPr>
        </w:r>
        <w:r>
          <w:rPr>
            <w:noProof/>
            <w:webHidden/>
          </w:rPr>
          <w:fldChar w:fldCharType="separate"/>
        </w:r>
        <w:r>
          <w:rPr>
            <w:noProof/>
            <w:webHidden/>
          </w:rPr>
          <w:t>14</w:t>
        </w:r>
        <w:r>
          <w:rPr>
            <w:noProof/>
            <w:webHidden/>
          </w:rPr>
          <w:fldChar w:fldCharType="end"/>
        </w:r>
      </w:hyperlink>
    </w:p>
    <w:p w14:paraId="51407EB9" w14:textId="307220A2" w:rsidR="00F237A4" w:rsidRDefault="00F237A4">
      <w:pPr>
        <w:pStyle w:val="TDC3"/>
        <w:tabs>
          <w:tab w:val="right" w:leader="underscore" w:pos="9880"/>
        </w:tabs>
        <w:rPr>
          <w:rFonts w:asciiTheme="minorHAnsi" w:eastAsiaTheme="minorEastAsia" w:hAnsiTheme="minorHAnsi"/>
          <w:noProof/>
          <w:color w:val="auto"/>
          <w:kern w:val="2"/>
          <w:sz w:val="24"/>
          <w:szCs w:val="24"/>
          <w:shd w:val="clear" w:color="auto" w:fill="auto"/>
          <w:lang w:val="es-ES" w:eastAsia="es-ES"/>
          <w14:ligatures w14:val="standardContextual"/>
        </w:rPr>
      </w:pPr>
      <w:hyperlink w:anchor="_Toc226730550" w:history="1">
        <w:r w:rsidRPr="00A2436E">
          <w:rPr>
            <w:rStyle w:val="Hipervnculo"/>
            <w:noProof/>
          </w:rPr>
          <w:t>2.2.2 Supply chain tracing (accountability, adherence to regulation and production conditions) and -optimization</w:t>
        </w:r>
        <w:r>
          <w:rPr>
            <w:noProof/>
            <w:webHidden/>
          </w:rPr>
          <w:tab/>
        </w:r>
        <w:r>
          <w:rPr>
            <w:noProof/>
            <w:webHidden/>
          </w:rPr>
          <w:fldChar w:fldCharType="begin"/>
        </w:r>
        <w:r>
          <w:rPr>
            <w:noProof/>
            <w:webHidden/>
          </w:rPr>
          <w:instrText xml:space="preserve"> PAGEREF _Toc226730550 \h </w:instrText>
        </w:r>
        <w:r>
          <w:rPr>
            <w:noProof/>
            <w:webHidden/>
          </w:rPr>
        </w:r>
        <w:r>
          <w:rPr>
            <w:noProof/>
            <w:webHidden/>
          </w:rPr>
          <w:fldChar w:fldCharType="separate"/>
        </w:r>
        <w:r>
          <w:rPr>
            <w:noProof/>
            <w:webHidden/>
          </w:rPr>
          <w:t>15</w:t>
        </w:r>
        <w:r>
          <w:rPr>
            <w:noProof/>
            <w:webHidden/>
          </w:rPr>
          <w:fldChar w:fldCharType="end"/>
        </w:r>
      </w:hyperlink>
    </w:p>
    <w:p w14:paraId="324A7286" w14:textId="26069352" w:rsidR="00F237A4" w:rsidRDefault="00F237A4">
      <w:pPr>
        <w:pStyle w:val="TDC3"/>
        <w:tabs>
          <w:tab w:val="right" w:leader="underscore" w:pos="9880"/>
        </w:tabs>
        <w:rPr>
          <w:rFonts w:asciiTheme="minorHAnsi" w:eastAsiaTheme="minorEastAsia" w:hAnsiTheme="minorHAnsi"/>
          <w:noProof/>
          <w:color w:val="auto"/>
          <w:kern w:val="2"/>
          <w:sz w:val="24"/>
          <w:szCs w:val="24"/>
          <w:shd w:val="clear" w:color="auto" w:fill="auto"/>
          <w:lang w:val="es-ES" w:eastAsia="es-ES"/>
          <w14:ligatures w14:val="standardContextual"/>
        </w:rPr>
      </w:pPr>
      <w:hyperlink w:anchor="_Toc226730551" w:history="1">
        <w:r w:rsidRPr="00A2436E">
          <w:rPr>
            <w:rStyle w:val="Hipervnculo"/>
            <w:noProof/>
          </w:rPr>
          <w:t>2.2.3 Food quality, safety and food waste prevention</w:t>
        </w:r>
        <w:r>
          <w:rPr>
            <w:noProof/>
            <w:webHidden/>
          </w:rPr>
          <w:tab/>
        </w:r>
        <w:r>
          <w:rPr>
            <w:noProof/>
            <w:webHidden/>
          </w:rPr>
          <w:fldChar w:fldCharType="begin"/>
        </w:r>
        <w:r>
          <w:rPr>
            <w:noProof/>
            <w:webHidden/>
          </w:rPr>
          <w:instrText xml:space="preserve"> PAGEREF _Toc226730551 \h </w:instrText>
        </w:r>
        <w:r>
          <w:rPr>
            <w:noProof/>
            <w:webHidden/>
          </w:rPr>
        </w:r>
        <w:r>
          <w:rPr>
            <w:noProof/>
            <w:webHidden/>
          </w:rPr>
          <w:fldChar w:fldCharType="separate"/>
        </w:r>
        <w:r>
          <w:rPr>
            <w:noProof/>
            <w:webHidden/>
          </w:rPr>
          <w:t>16</w:t>
        </w:r>
        <w:r>
          <w:rPr>
            <w:noProof/>
            <w:webHidden/>
          </w:rPr>
          <w:fldChar w:fldCharType="end"/>
        </w:r>
      </w:hyperlink>
    </w:p>
    <w:p w14:paraId="6D18470F" w14:textId="0C1B8E5C" w:rsidR="00F237A4" w:rsidRDefault="00F237A4">
      <w:pPr>
        <w:pStyle w:val="TDC2"/>
        <w:tabs>
          <w:tab w:val="right" w:leader="underscore" w:pos="9880"/>
        </w:tabs>
        <w:rPr>
          <w:rFonts w:asciiTheme="minorHAnsi" w:eastAsiaTheme="minorEastAsia" w:hAnsiTheme="minorHAnsi"/>
          <w:b w:val="0"/>
          <w:bCs w:val="0"/>
          <w:noProof/>
          <w:color w:val="auto"/>
          <w:kern w:val="2"/>
          <w:sz w:val="24"/>
          <w:szCs w:val="24"/>
          <w:shd w:val="clear" w:color="auto" w:fill="auto"/>
          <w:lang w:val="es-ES" w:eastAsia="es-ES"/>
          <w14:ligatures w14:val="standardContextual"/>
        </w:rPr>
      </w:pPr>
      <w:hyperlink w:anchor="_Toc226730552" w:history="1">
        <w:r w:rsidRPr="00A2436E">
          <w:rPr>
            <w:rStyle w:val="Hipervnculo"/>
            <w:noProof/>
          </w:rPr>
          <w:t>2.3 Digital public infrastructure and intelligence systems</w:t>
        </w:r>
        <w:r>
          <w:rPr>
            <w:noProof/>
            <w:webHidden/>
          </w:rPr>
          <w:tab/>
        </w:r>
        <w:r>
          <w:rPr>
            <w:noProof/>
            <w:webHidden/>
          </w:rPr>
          <w:fldChar w:fldCharType="begin"/>
        </w:r>
        <w:r>
          <w:rPr>
            <w:noProof/>
            <w:webHidden/>
          </w:rPr>
          <w:instrText xml:space="preserve"> PAGEREF _Toc226730552 \h </w:instrText>
        </w:r>
        <w:r>
          <w:rPr>
            <w:noProof/>
            <w:webHidden/>
          </w:rPr>
        </w:r>
        <w:r>
          <w:rPr>
            <w:noProof/>
            <w:webHidden/>
          </w:rPr>
          <w:fldChar w:fldCharType="separate"/>
        </w:r>
        <w:r>
          <w:rPr>
            <w:noProof/>
            <w:webHidden/>
          </w:rPr>
          <w:t>17</w:t>
        </w:r>
        <w:r>
          <w:rPr>
            <w:noProof/>
            <w:webHidden/>
          </w:rPr>
          <w:fldChar w:fldCharType="end"/>
        </w:r>
      </w:hyperlink>
    </w:p>
    <w:p w14:paraId="576AF61F" w14:textId="2F91BD80" w:rsidR="00F237A4" w:rsidRDefault="00F237A4">
      <w:pPr>
        <w:pStyle w:val="TDC2"/>
        <w:tabs>
          <w:tab w:val="right" w:leader="underscore" w:pos="9880"/>
        </w:tabs>
        <w:rPr>
          <w:rFonts w:asciiTheme="minorHAnsi" w:eastAsiaTheme="minorEastAsia" w:hAnsiTheme="minorHAnsi"/>
          <w:b w:val="0"/>
          <w:bCs w:val="0"/>
          <w:noProof/>
          <w:color w:val="auto"/>
          <w:kern w:val="2"/>
          <w:sz w:val="24"/>
          <w:szCs w:val="24"/>
          <w:shd w:val="clear" w:color="auto" w:fill="auto"/>
          <w:lang w:val="es-ES" w:eastAsia="es-ES"/>
          <w14:ligatures w14:val="standardContextual"/>
        </w:rPr>
      </w:pPr>
      <w:hyperlink w:anchor="_Toc226730553" w:history="1">
        <w:r w:rsidRPr="00A2436E">
          <w:rPr>
            <w:rStyle w:val="Hipervnculo"/>
            <w:noProof/>
          </w:rPr>
          <w:t>2.4 Food environments and nutrition</w:t>
        </w:r>
        <w:r>
          <w:rPr>
            <w:noProof/>
            <w:webHidden/>
          </w:rPr>
          <w:tab/>
        </w:r>
        <w:r>
          <w:rPr>
            <w:noProof/>
            <w:webHidden/>
          </w:rPr>
          <w:fldChar w:fldCharType="begin"/>
        </w:r>
        <w:r>
          <w:rPr>
            <w:noProof/>
            <w:webHidden/>
          </w:rPr>
          <w:instrText xml:space="preserve"> PAGEREF _Toc226730553 \h </w:instrText>
        </w:r>
        <w:r>
          <w:rPr>
            <w:noProof/>
            <w:webHidden/>
          </w:rPr>
        </w:r>
        <w:r>
          <w:rPr>
            <w:noProof/>
            <w:webHidden/>
          </w:rPr>
          <w:fldChar w:fldCharType="separate"/>
        </w:r>
        <w:r>
          <w:rPr>
            <w:noProof/>
            <w:webHidden/>
          </w:rPr>
          <w:t>18</w:t>
        </w:r>
        <w:r>
          <w:rPr>
            <w:noProof/>
            <w:webHidden/>
          </w:rPr>
          <w:fldChar w:fldCharType="end"/>
        </w:r>
      </w:hyperlink>
    </w:p>
    <w:p w14:paraId="3D70DDDA" w14:textId="2B8CEC29" w:rsidR="00F237A4" w:rsidRDefault="00F237A4">
      <w:pPr>
        <w:pStyle w:val="TDC3"/>
        <w:tabs>
          <w:tab w:val="right" w:leader="underscore" w:pos="9880"/>
        </w:tabs>
        <w:rPr>
          <w:rFonts w:asciiTheme="minorHAnsi" w:eastAsiaTheme="minorEastAsia" w:hAnsiTheme="minorHAnsi"/>
          <w:noProof/>
          <w:color w:val="auto"/>
          <w:kern w:val="2"/>
          <w:sz w:val="24"/>
          <w:szCs w:val="24"/>
          <w:shd w:val="clear" w:color="auto" w:fill="auto"/>
          <w:lang w:val="es-ES" w:eastAsia="es-ES"/>
          <w14:ligatures w14:val="standardContextual"/>
        </w:rPr>
      </w:pPr>
      <w:hyperlink w:anchor="_Toc226730554" w:history="1">
        <w:r w:rsidRPr="00A2436E">
          <w:rPr>
            <w:rStyle w:val="Hipervnculo"/>
            <w:noProof/>
          </w:rPr>
          <w:t>2.4.1 Personalized dietary and nutrition advice</w:t>
        </w:r>
        <w:r>
          <w:rPr>
            <w:noProof/>
            <w:webHidden/>
          </w:rPr>
          <w:tab/>
        </w:r>
        <w:r>
          <w:rPr>
            <w:noProof/>
            <w:webHidden/>
          </w:rPr>
          <w:fldChar w:fldCharType="begin"/>
        </w:r>
        <w:r>
          <w:rPr>
            <w:noProof/>
            <w:webHidden/>
          </w:rPr>
          <w:instrText xml:space="preserve"> PAGEREF _Toc226730554 \h </w:instrText>
        </w:r>
        <w:r>
          <w:rPr>
            <w:noProof/>
            <w:webHidden/>
          </w:rPr>
        </w:r>
        <w:r>
          <w:rPr>
            <w:noProof/>
            <w:webHidden/>
          </w:rPr>
          <w:fldChar w:fldCharType="separate"/>
        </w:r>
        <w:r>
          <w:rPr>
            <w:noProof/>
            <w:webHidden/>
          </w:rPr>
          <w:t>18</w:t>
        </w:r>
        <w:r>
          <w:rPr>
            <w:noProof/>
            <w:webHidden/>
          </w:rPr>
          <w:fldChar w:fldCharType="end"/>
        </w:r>
      </w:hyperlink>
    </w:p>
    <w:p w14:paraId="2DFBBED3" w14:textId="0E1B4438" w:rsidR="00F237A4" w:rsidRDefault="00F237A4">
      <w:pPr>
        <w:pStyle w:val="TDC1"/>
        <w:rPr>
          <w:rFonts w:asciiTheme="minorHAnsi" w:eastAsiaTheme="minorEastAsia" w:hAnsiTheme="minorHAnsi"/>
          <w:b w:val="0"/>
          <w:bCs w:val="0"/>
          <w:i w:val="0"/>
          <w:iCs w:val="0"/>
          <w:noProof/>
          <w:color w:val="auto"/>
          <w:kern w:val="2"/>
          <w:sz w:val="24"/>
          <w:shd w:val="clear" w:color="auto" w:fill="auto"/>
          <w:lang w:val="es-ES" w:eastAsia="es-ES"/>
          <w14:ligatures w14:val="standardContextual"/>
        </w:rPr>
      </w:pPr>
      <w:hyperlink w:anchor="_Toc226730555" w:history="1">
        <w:r w:rsidRPr="00A2436E">
          <w:rPr>
            <w:rStyle w:val="Hipervnculo"/>
            <w:noProof/>
            <w:lang w:val="en-CA"/>
          </w:rPr>
          <w:t>3. Challenges and limitations to align digital innovations with the public good in food systems</w:t>
        </w:r>
        <w:r>
          <w:rPr>
            <w:noProof/>
            <w:webHidden/>
          </w:rPr>
          <w:tab/>
        </w:r>
        <w:r>
          <w:rPr>
            <w:noProof/>
            <w:webHidden/>
          </w:rPr>
          <w:fldChar w:fldCharType="begin"/>
        </w:r>
        <w:r>
          <w:rPr>
            <w:noProof/>
            <w:webHidden/>
          </w:rPr>
          <w:instrText xml:space="preserve"> PAGEREF _Toc226730555 \h </w:instrText>
        </w:r>
        <w:r>
          <w:rPr>
            <w:noProof/>
            <w:webHidden/>
          </w:rPr>
        </w:r>
        <w:r>
          <w:rPr>
            <w:noProof/>
            <w:webHidden/>
          </w:rPr>
          <w:fldChar w:fldCharType="separate"/>
        </w:r>
        <w:r>
          <w:rPr>
            <w:noProof/>
            <w:webHidden/>
          </w:rPr>
          <w:t>19</w:t>
        </w:r>
        <w:r>
          <w:rPr>
            <w:noProof/>
            <w:webHidden/>
          </w:rPr>
          <w:fldChar w:fldCharType="end"/>
        </w:r>
      </w:hyperlink>
    </w:p>
    <w:p w14:paraId="2DD47B32" w14:textId="06152F5C" w:rsidR="00F237A4" w:rsidRDefault="00F237A4">
      <w:pPr>
        <w:pStyle w:val="TDC2"/>
        <w:tabs>
          <w:tab w:val="right" w:leader="underscore" w:pos="9880"/>
        </w:tabs>
        <w:rPr>
          <w:rFonts w:asciiTheme="minorHAnsi" w:eastAsiaTheme="minorEastAsia" w:hAnsiTheme="minorHAnsi"/>
          <w:b w:val="0"/>
          <w:bCs w:val="0"/>
          <w:noProof/>
          <w:color w:val="auto"/>
          <w:kern w:val="2"/>
          <w:sz w:val="24"/>
          <w:szCs w:val="24"/>
          <w:shd w:val="clear" w:color="auto" w:fill="auto"/>
          <w:lang w:val="es-ES" w:eastAsia="es-ES"/>
          <w14:ligatures w14:val="standardContextual"/>
        </w:rPr>
      </w:pPr>
      <w:hyperlink w:anchor="_Toc226730556" w:history="1">
        <w:r w:rsidRPr="00A2436E">
          <w:rPr>
            <w:rStyle w:val="Hipervnculo"/>
            <w:noProof/>
          </w:rPr>
          <w:t>3.1 Preconditions: digitalization, infrastructure and basic conditions</w:t>
        </w:r>
        <w:r>
          <w:rPr>
            <w:noProof/>
            <w:webHidden/>
          </w:rPr>
          <w:tab/>
        </w:r>
        <w:r>
          <w:rPr>
            <w:noProof/>
            <w:webHidden/>
          </w:rPr>
          <w:fldChar w:fldCharType="begin"/>
        </w:r>
        <w:r>
          <w:rPr>
            <w:noProof/>
            <w:webHidden/>
          </w:rPr>
          <w:instrText xml:space="preserve"> PAGEREF _Toc226730556 \h </w:instrText>
        </w:r>
        <w:r>
          <w:rPr>
            <w:noProof/>
            <w:webHidden/>
          </w:rPr>
        </w:r>
        <w:r>
          <w:rPr>
            <w:noProof/>
            <w:webHidden/>
          </w:rPr>
          <w:fldChar w:fldCharType="separate"/>
        </w:r>
        <w:r>
          <w:rPr>
            <w:noProof/>
            <w:webHidden/>
          </w:rPr>
          <w:t>19</w:t>
        </w:r>
        <w:r>
          <w:rPr>
            <w:noProof/>
            <w:webHidden/>
          </w:rPr>
          <w:fldChar w:fldCharType="end"/>
        </w:r>
      </w:hyperlink>
    </w:p>
    <w:p w14:paraId="4B86FF23" w14:textId="5BED4ED9" w:rsidR="00F237A4" w:rsidRDefault="00F237A4">
      <w:pPr>
        <w:pStyle w:val="TDC2"/>
        <w:tabs>
          <w:tab w:val="right" w:leader="underscore" w:pos="9880"/>
        </w:tabs>
        <w:rPr>
          <w:rFonts w:asciiTheme="minorHAnsi" w:eastAsiaTheme="minorEastAsia" w:hAnsiTheme="minorHAnsi"/>
          <w:b w:val="0"/>
          <w:bCs w:val="0"/>
          <w:noProof/>
          <w:color w:val="auto"/>
          <w:kern w:val="2"/>
          <w:sz w:val="24"/>
          <w:szCs w:val="24"/>
          <w:shd w:val="clear" w:color="auto" w:fill="auto"/>
          <w:lang w:val="es-ES" w:eastAsia="es-ES"/>
          <w14:ligatures w14:val="standardContextual"/>
        </w:rPr>
      </w:pPr>
      <w:hyperlink w:anchor="_Toc226730557" w:history="1">
        <w:r w:rsidRPr="00A2436E">
          <w:rPr>
            <w:rStyle w:val="Hipervnculo"/>
            <w:noProof/>
          </w:rPr>
          <w:t>3.2 Operational Risks: Intrinsic inaccuracies and lack of measurable real-life impact</w:t>
        </w:r>
        <w:r>
          <w:rPr>
            <w:noProof/>
            <w:webHidden/>
          </w:rPr>
          <w:tab/>
        </w:r>
        <w:r>
          <w:rPr>
            <w:noProof/>
            <w:webHidden/>
          </w:rPr>
          <w:fldChar w:fldCharType="begin"/>
        </w:r>
        <w:r>
          <w:rPr>
            <w:noProof/>
            <w:webHidden/>
          </w:rPr>
          <w:instrText xml:space="preserve"> PAGEREF _Toc226730557 \h </w:instrText>
        </w:r>
        <w:r>
          <w:rPr>
            <w:noProof/>
            <w:webHidden/>
          </w:rPr>
        </w:r>
        <w:r>
          <w:rPr>
            <w:noProof/>
            <w:webHidden/>
          </w:rPr>
          <w:fldChar w:fldCharType="separate"/>
        </w:r>
        <w:r>
          <w:rPr>
            <w:noProof/>
            <w:webHidden/>
          </w:rPr>
          <w:t>19</w:t>
        </w:r>
        <w:r>
          <w:rPr>
            <w:noProof/>
            <w:webHidden/>
          </w:rPr>
          <w:fldChar w:fldCharType="end"/>
        </w:r>
      </w:hyperlink>
    </w:p>
    <w:p w14:paraId="14F6B09E" w14:textId="4B245DA3" w:rsidR="00F237A4" w:rsidRDefault="00F237A4">
      <w:pPr>
        <w:pStyle w:val="TDC2"/>
        <w:tabs>
          <w:tab w:val="right" w:leader="underscore" w:pos="9880"/>
        </w:tabs>
        <w:rPr>
          <w:rFonts w:asciiTheme="minorHAnsi" w:eastAsiaTheme="minorEastAsia" w:hAnsiTheme="minorHAnsi"/>
          <w:b w:val="0"/>
          <w:bCs w:val="0"/>
          <w:noProof/>
          <w:color w:val="auto"/>
          <w:kern w:val="2"/>
          <w:sz w:val="24"/>
          <w:szCs w:val="24"/>
          <w:shd w:val="clear" w:color="auto" w:fill="auto"/>
          <w:lang w:val="es-ES" w:eastAsia="es-ES"/>
          <w14:ligatures w14:val="standardContextual"/>
        </w:rPr>
      </w:pPr>
      <w:hyperlink w:anchor="_Toc226730558" w:history="1">
        <w:r w:rsidRPr="00A2436E">
          <w:rPr>
            <w:rStyle w:val="Hipervnculo"/>
            <w:noProof/>
          </w:rPr>
          <w:t>3.3 Social &amp; political risks</w:t>
        </w:r>
        <w:r>
          <w:rPr>
            <w:noProof/>
            <w:webHidden/>
          </w:rPr>
          <w:tab/>
        </w:r>
        <w:r>
          <w:rPr>
            <w:noProof/>
            <w:webHidden/>
          </w:rPr>
          <w:fldChar w:fldCharType="begin"/>
        </w:r>
        <w:r>
          <w:rPr>
            <w:noProof/>
            <w:webHidden/>
          </w:rPr>
          <w:instrText xml:space="preserve"> PAGEREF _Toc226730558 \h </w:instrText>
        </w:r>
        <w:r>
          <w:rPr>
            <w:noProof/>
            <w:webHidden/>
          </w:rPr>
        </w:r>
        <w:r>
          <w:rPr>
            <w:noProof/>
            <w:webHidden/>
          </w:rPr>
          <w:fldChar w:fldCharType="separate"/>
        </w:r>
        <w:r>
          <w:rPr>
            <w:noProof/>
            <w:webHidden/>
          </w:rPr>
          <w:t>21</w:t>
        </w:r>
        <w:r>
          <w:rPr>
            <w:noProof/>
            <w:webHidden/>
          </w:rPr>
          <w:fldChar w:fldCharType="end"/>
        </w:r>
      </w:hyperlink>
    </w:p>
    <w:p w14:paraId="56E25B23" w14:textId="394312D0" w:rsidR="00F237A4" w:rsidRDefault="00F237A4">
      <w:pPr>
        <w:pStyle w:val="TDC2"/>
        <w:tabs>
          <w:tab w:val="right" w:leader="underscore" w:pos="9880"/>
        </w:tabs>
        <w:rPr>
          <w:rFonts w:asciiTheme="minorHAnsi" w:eastAsiaTheme="minorEastAsia" w:hAnsiTheme="minorHAnsi"/>
          <w:b w:val="0"/>
          <w:bCs w:val="0"/>
          <w:noProof/>
          <w:color w:val="auto"/>
          <w:kern w:val="2"/>
          <w:sz w:val="24"/>
          <w:szCs w:val="24"/>
          <w:shd w:val="clear" w:color="auto" w:fill="auto"/>
          <w:lang w:val="es-ES" w:eastAsia="es-ES"/>
          <w14:ligatures w14:val="standardContextual"/>
        </w:rPr>
      </w:pPr>
      <w:hyperlink w:anchor="_Toc226730559" w:history="1">
        <w:r w:rsidRPr="00A2436E">
          <w:rPr>
            <w:rStyle w:val="Hipervnculo"/>
            <w:noProof/>
          </w:rPr>
          <w:t>3.4 Environmental impacts</w:t>
        </w:r>
        <w:r>
          <w:rPr>
            <w:noProof/>
            <w:webHidden/>
          </w:rPr>
          <w:tab/>
        </w:r>
        <w:r>
          <w:rPr>
            <w:noProof/>
            <w:webHidden/>
          </w:rPr>
          <w:fldChar w:fldCharType="begin"/>
        </w:r>
        <w:r>
          <w:rPr>
            <w:noProof/>
            <w:webHidden/>
          </w:rPr>
          <w:instrText xml:space="preserve"> PAGEREF _Toc226730559 \h </w:instrText>
        </w:r>
        <w:r>
          <w:rPr>
            <w:noProof/>
            <w:webHidden/>
          </w:rPr>
        </w:r>
        <w:r>
          <w:rPr>
            <w:noProof/>
            <w:webHidden/>
          </w:rPr>
          <w:fldChar w:fldCharType="separate"/>
        </w:r>
        <w:r>
          <w:rPr>
            <w:noProof/>
            <w:webHidden/>
          </w:rPr>
          <w:t>24</w:t>
        </w:r>
        <w:r>
          <w:rPr>
            <w:noProof/>
            <w:webHidden/>
          </w:rPr>
          <w:fldChar w:fldCharType="end"/>
        </w:r>
      </w:hyperlink>
    </w:p>
    <w:p w14:paraId="44CF4154" w14:textId="6A9D3628" w:rsidR="00F237A4" w:rsidRDefault="00F237A4">
      <w:pPr>
        <w:pStyle w:val="TDC2"/>
        <w:tabs>
          <w:tab w:val="right" w:leader="underscore" w:pos="9880"/>
        </w:tabs>
        <w:rPr>
          <w:rFonts w:asciiTheme="minorHAnsi" w:eastAsiaTheme="minorEastAsia" w:hAnsiTheme="minorHAnsi"/>
          <w:b w:val="0"/>
          <w:bCs w:val="0"/>
          <w:noProof/>
          <w:color w:val="auto"/>
          <w:kern w:val="2"/>
          <w:sz w:val="24"/>
          <w:szCs w:val="24"/>
          <w:shd w:val="clear" w:color="auto" w:fill="auto"/>
          <w:lang w:val="es-ES" w:eastAsia="es-ES"/>
          <w14:ligatures w14:val="standardContextual"/>
        </w:rPr>
      </w:pPr>
      <w:hyperlink w:anchor="_Toc226730560" w:history="1">
        <w:r w:rsidRPr="00A2436E">
          <w:rPr>
            <w:rStyle w:val="Hipervnculo"/>
            <w:noProof/>
          </w:rPr>
          <w:t>3.5 Conclusions on risks and limitations</w:t>
        </w:r>
        <w:r>
          <w:rPr>
            <w:noProof/>
            <w:webHidden/>
          </w:rPr>
          <w:tab/>
        </w:r>
        <w:r>
          <w:rPr>
            <w:noProof/>
            <w:webHidden/>
          </w:rPr>
          <w:fldChar w:fldCharType="begin"/>
        </w:r>
        <w:r>
          <w:rPr>
            <w:noProof/>
            <w:webHidden/>
          </w:rPr>
          <w:instrText xml:space="preserve"> PAGEREF _Toc226730560 \h </w:instrText>
        </w:r>
        <w:r>
          <w:rPr>
            <w:noProof/>
            <w:webHidden/>
          </w:rPr>
        </w:r>
        <w:r>
          <w:rPr>
            <w:noProof/>
            <w:webHidden/>
          </w:rPr>
          <w:fldChar w:fldCharType="separate"/>
        </w:r>
        <w:r>
          <w:rPr>
            <w:noProof/>
            <w:webHidden/>
          </w:rPr>
          <w:t>25</w:t>
        </w:r>
        <w:r>
          <w:rPr>
            <w:noProof/>
            <w:webHidden/>
          </w:rPr>
          <w:fldChar w:fldCharType="end"/>
        </w:r>
      </w:hyperlink>
    </w:p>
    <w:p w14:paraId="5E0A17C5" w14:textId="51617D5E" w:rsidR="00F237A4" w:rsidRDefault="00F237A4">
      <w:pPr>
        <w:pStyle w:val="TDC1"/>
        <w:rPr>
          <w:rFonts w:asciiTheme="minorHAnsi" w:eastAsiaTheme="minorEastAsia" w:hAnsiTheme="minorHAnsi"/>
          <w:b w:val="0"/>
          <w:bCs w:val="0"/>
          <w:i w:val="0"/>
          <w:iCs w:val="0"/>
          <w:noProof/>
          <w:color w:val="auto"/>
          <w:kern w:val="2"/>
          <w:sz w:val="24"/>
          <w:shd w:val="clear" w:color="auto" w:fill="auto"/>
          <w:lang w:val="es-ES" w:eastAsia="es-ES"/>
          <w14:ligatures w14:val="standardContextual"/>
        </w:rPr>
      </w:pPr>
      <w:hyperlink w:anchor="_Toc226730561" w:history="1">
        <w:r w:rsidRPr="00A2436E">
          <w:rPr>
            <w:rStyle w:val="Hipervnculo"/>
            <w:noProof/>
          </w:rPr>
          <w:t xml:space="preserve">4. Way forward  </w:t>
        </w:r>
        <w:r>
          <w:rPr>
            <w:noProof/>
            <w:webHidden/>
          </w:rPr>
          <w:tab/>
        </w:r>
        <w:r>
          <w:rPr>
            <w:noProof/>
            <w:webHidden/>
          </w:rPr>
          <w:fldChar w:fldCharType="begin"/>
        </w:r>
        <w:r>
          <w:rPr>
            <w:noProof/>
            <w:webHidden/>
          </w:rPr>
          <w:instrText xml:space="preserve"> PAGEREF _Toc226730561 \h </w:instrText>
        </w:r>
        <w:r>
          <w:rPr>
            <w:noProof/>
            <w:webHidden/>
          </w:rPr>
        </w:r>
        <w:r>
          <w:rPr>
            <w:noProof/>
            <w:webHidden/>
          </w:rPr>
          <w:fldChar w:fldCharType="separate"/>
        </w:r>
        <w:r>
          <w:rPr>
            <w:noProof/>
            <w:webHidden/>
          </w:rPr>
          <w:t>26</w:t>
        </w:r>
        <w:r>
          <w:rPr>
            <w:noProof/>
            <w:webHidden/>
          </w:rPr>
          <w:fldChar w:fldCharType="end"/>
        </w:r>
      </w:hyperlink>
    </w:p>
    <w:p w14:paraId="443EBBC1" w14:textId="15DF2CDC" w:rsidR="00F237A4" w:rsidRDefault="00F237A4">
      <w:pPr>
        <w:pStyle w:val="TDC2"/>
        <w:tabs>
          <w:tab w:val="right" w:leader="underscore" w:pos="9880"/>
        </w:tabs>
        <w:rPr>
          <w:rFonts w:asciiTheme="minorHAnsi" w:eastAsiaTheme="minorEastAsia" w:hAnsiTheme="minorHAnsi"/>
          <w:b w:val="0"/>
          <w:bCs w:val="0"/>
          <w:noProof/>
          <w:color w:val="auto"/>
          <w:kern w:val="2"/>
          <w:sz w:val="24"/>
          <w:szCs w:val="24"/>
          <w:shd w:val="clear" w:color="auto" w:fill="auto"/>
          <w:lang w:val="es-ES" w:eastAsia="es-ES"/>
          <w14:ligatures w14:val="standardContextual"/>
        </w:rPr>
      </w:pPr>
      <w:hyperlink w:anchor="_Toc226730562" w:history="1">
        <w:r w:rsidRPr="00A2436E">
          <w:rPr>
            <w:rStyle w:val="Hipervnculo"/>
            <w:noProof/>
            <w:lang w:val="en-CA"/>
          </w:rPr>
          <w:t xml:space="preserve">4.1 </w:t>
        </w:r>
        <w:r w:rsidRPr="00A2436E">
          <w:rPr>
            <w:rStyle w:val="Hipervnculo"/>
            <w:noProof/>
          </w:rPr>
          <w:t>Considerations for CFS</w:t>
        </w:r>
        <w:r>
          <w:rPr>
            <w:noProof/>
            <w:webHidden/>
          </w:rPr>
          <w:tab/>
        </w:r>
        <w:r>
          <w:rPr>
            <w:noProof/>
            <w:webHidden/>
          </w:rPr>
          <w:fldChar w:fldCharType="begin"/>
        </w:r>
        <w:r>
          <w:rPr>
            <w:noProof/>
            <w:webHidden/>
          </w:rPr>
          <w:instrText xml:space="preserve"> PAGEREF _Toc226730562 \h </w:instrText>
        </w:r>
        <w:r>
          <w:rPr>
            <w:noProof/>
            <w:webHidden/>
          </w:rPr>
        </w:r>
        <w:r>
          <w:rPr>
            <w:noProof/>
            <w:webHidden/>
          </w:rPr>
          <w:fldChar w:fldCharType="separate"/>
        </w:r>
        <w:r>
          <w:rPr>
            <w:noProof/>
            <w:webHidden/>
          </w:rPr>
          <w:t>29</w:t>
        </w:r>
        <w:r>
          <w:rPr>
            <w:noProof/>
            <w:webHidden/>
          </w:rPr>
          <w:fldChar w:fldCharType="end"/>
        </w:r>
      </w:hyperlink>
    </w:p>
    <w:p w14:paraId="35B5B720" w14:textId="081AEB17" w:rsidR="00F237A4" w:rsidRDefault="00F237A4">
      <w:pPr>
        <w:pStyle w:val="TDC1"/>
        <w:rPr>
          <w:rFonts w:asciiTheme="minorHAnsi" w:eastAsiaTheme="minorEastAsia" w:hAnsiTheme="minorHAnsi"/>
          <w:b w:val="0"/>
          <w:bCs w:val="0"/>
          <w:i w:val="0"/>
          <w:iCs w:val="0"/>
          <w:noProof/>
          <w:color w:val="auto"/>
          <w:kern w:val="2"/>
          <w:sz w:val="24"/>
          <w:shd w:val="clear" w:color="auto" w:fill="auto"/>
          <w:lang w:val="es-ES" w:eastAsia="es-ES"/>
          <w14:ligatures w14:val="standardContextual"/>
        </w:rPr>
      </w:pPr>
      <w:hyperlink w:anchor="_Toc226730563" w:history="1">
        <w:r w:rsidRPr="00A2436E">
          <w:rPr>
            <w:rStyle w:val="Hipervnculo"/>
            <w:noProof/>
            <w:lang w:val="en-CA"/>
          </w:rPr>
          <w:t>References</w:t>
        </w:r>
        <w:r>
          <w:rPr>
            <w:noProof/>
            <w:webHidden/>
          </w:rPr>
          <w:tab/>
        </w:r>
        <w:r>
          <w:rPr>
            <w:noProof/>
            <w:webHidden/>
          </w:rPr>
          <w:fldChar w:fldCharType="begin"/>
        </w:r>
        <w:r>
          <w:rPr>
            <w:noProof/>
            <w:webHidden/>
          </w:rPr>
          <w:instrText xml:space="preserve"> PAGEREF _Toc226730563 \h </w:instrText>
        </w:r>
        <w:r>
          <w:rPr>
            <w:noProof/>
            <w:webHidden/>
          </w:rPr>
        </w:r>
        <w:r>
          <w:rPr>
            <w:noProof/>
            <w:webHidden/>
          </w:rPr>
          <w:fldChar w:fldCharType="separate"/>
        </w:r>
        <w:r>
          <w:rPr>
            <w:noProof/>
            <w:webHidden/>
          </w:rPr>
          <w:t>31</w:t>
        </w:r>
        <w:r>
          <w:rPr>
            <w:noProof/>
            <w:webHidden/>
          </w:rPr>
          <w:fldChar w:fldCharType="end"/>
        </w:r>
      </w:hyperlink>
    </w:p>
    <w:p w14:paraId="223AB6AA" w14:textId="6386F7E2" w:rsidR="00FA526E" w:rsidRPr="00BF160F" w:rsidRDefault="00FA526E" w:rsidP="004A0C4A">
      <w:pPr>
        <w:pStyle w:val="TDC1"/>
        <w:ind w:left="1440"/>
        <w:rPr>
          <w:noProof/>
        </w:rPr>
      </w:pPr>
      <w:r w:rsidRPr="00A71C31">
        <w:fldChar w:fldCharType="end"/>
      </w:r>
      <w:r w:rsidRPr="00BF160F">
        <w:rPr>
          <w:noProof/>
        </w:rPr>
        <w:t xml:space="preserve"> </w:t>
      </w:r>
    </w:p>
    <w:p w14:paraId="21377B94" w14:textId="337F8C90" w:rsidR="00FA526E" w:rsidRDefault="00FA526E" w:rsidP="004A0C4A">
      <w:pPr>
        <w:ind w:left="1440"/>
        <w:rPr>
          <w:lang w:val="en-CA"/>
        </w:rPr>
      </w:pPr>
    </w:p>
    <w:p w14:paraId="26A72079" w14:textId="05179977" w:rsidR="00815CBF" w:rsidRDefault="00815CBF">
      <w:pPr>
        <w:jc w:val="left"/>
        <w:rPr>
          <w:lang w:val="en-CA"/>
        </w:rPr>
      </w:pPr>
      <w:r>
        <w:rPr>
          <w:lang w:val="en-CA"/>
        </w:rPr>
        <w:br w:type="page"/>
      </w:r>
    </w:p>
    <w:p w14:paraId="105B9808" w14:textId="2BAEB52F" w:rsidR="00790CD9" w:rsidRPr="00A43909" w:rsidRDefault="00790CD9" w:rsidP="003D49B9">
      <w:pPr>
        <w:pStyle w:val="Ttulo1"/>
        <w:numPr>
          <w:ilvl w:val="0"/>
          <w:numId w:val="37"/>
        </w:numPr>
        <w:rPr>
          <w:rFonts w:ascii="DINPro-Light" w:eastAsiaTheme="minorHAnsi" w:hAnsi="DINPro-Light" w:cstheme="minorBidi"/>
          <w:b w:val="0"/>
          <w:bCs w:val="0"/>
          <w:caps w:val="0"/>
          <w:color w:val="000000" w:themeColor="text1"/>
          <w:sz w:val="22"/>
          <w:lang w:val="en-CA"/>
        </w:rPr>
      </w:pPr>
      <w:bookmarkStart w:id="1" w:name="_Toc226730539"/>
      <w:r>
        <w:rPr>
          <w:lang w:val="en-CA"/>
        </w:rPr>
        <w:t>Introduction</w:t>
      </w:r>
      <w:bookmarkEnd w:id="1"/>
    </w:p>
    <w:p w14:paraId="6B86B56A" w14:textId="77777777" w:rsidR="00DE00C2" w:rsidRDefault="006E46F3">
      <w:pPr>
        <w:rPr>
          <w:lang w:val="en-CA"/>
        </w:rPr>
      </w:pPr>
      <w:bookmarkStart w:id="2" w:name="_Toc200035628"/>
      <w:r w:rsidRPr="006E46F3">
        <w:rPr>
          <w:lang w:val="en-CA"/>
        </w:rPr>
        <w:t>The Committee on World Food Security (CFS) is organizing a High-Level Forum (HLF) on “Harnessing Artificial Intelligence, digitalization and data governance for food security and nutrition”, focusing on enhancing equity and inclusiveness in food systems. The multiyear program of work of CFS (</w:t>
      </w:r>
      <w:proofErr w:type="spellStart"/>
      <w:r w:rsidRPr="006E46F3">
        <w:rPr>
          <w:lang w:val="en-CA"/>
        </w:rPr>
        <w:t>MYPoW</w:t>
      </w:r>
      <w:proofErr w:type="spellEnd"/>
      <w:r w:rsidRPr="006E46F3">
        <w:rPr>
          <w:lang w:val="en-CA"/>
        </w:rPr>
        <w:t>) notes that “innovations such as artificial intelligence (AI), digital platforms and big data analytics have the potential to enhance productivity, improve early warning systems, support climate adaptation and strengthen value chains. At the same time, these technologies also bring new challenges, including concerns around data privacy, equity, algorithmic bias, digital exclusion and lack of governance mechanisms”. The purpose of this background note from the CFS High Level Panel of Experts on Food Security and Nutrition (HLPE-FSN) is to inform the event and provide the basis of discussions during the forum.</w:t>
      </w:r>
    </w:p>
    <w:p w14:paraId="6E659236" w14:textId="2ABF5B68" w:rsidR="00DE00C2" w:rsidRPr="00DE00C2" w:rsidRDefault="00DE00C2" w:rsidP="00DE00C2">
      <w:pPr>
        <w:rPr>
          <w:lang w:val="en-CA"/>
        </w:rPr>
      </w:pPr>
      <w:r w:rsidRPr="00DE00C2">
        <w:rPr>
          <w:lang w:val="en-CA"/>
        </w:rPr>
        <w:t xml:space="preserve">It builds on the substantial body of work produced by international organizations, including the World Bank, FAO, UNDP, CGIAR and CFS itself, distilling it into a concise assessment that distinguishes proven contributions from unsubstantiated promises and that puts the structural conditions under which digital tools can genuinely serve the public good in FSN at its center. </w:t>
      </w:r>
    </w:p>
    <w:p w14:paraId="49A71F6C" w14:textId="4D8E9EC9" w:rsidR="00DE00C2" w:rsidRPr="00DE00C2" w:rsidRDefault="00DE00C2" w:rsidP="00DE00C2">
      <w:pPr>
        <w:rPr>
          <w:lang w:val="en-CA"/>
        </w:rPr>
      </w:pPr>
      <w:r w:rsidRPr="00DE00C2">
        <w:rPr>
          <w:lang w:val="en-CA"/>
        </w:rPr>
        <w:t xml:space="preserve">Artificial Intelligence (AI), digitalization, data and its governance are three partially overlapping domains of the recent wave of digital technologies. Digitalization is the broadest: It refers to the ongoing transformation of economic and social prosses through digital technologies from mobile connectivity and electronic payments to satellite imagery, drones and robotics. Amongst digital tools, AI has been the most promising global trend for the last decade, not least in food production, supply chains, market access, nutrition advice and policymaking. Finally, data governance has a fundamental cross-cutting importance: it determines who collects, owns, controls and benefits from the information on which all digital systems depend. </w:t>
      </w:r>
    </w:p>
    <w:p w14:paraId="2B6D4B2D" w14:textId="736E6DFE" w:rsidR="00DE00C2" w:rsidRPr="00DE00C2" w:rsidRDefault="00DE00C2" w:rsidP="00DE00C2">
      <w:pPr>
        <w:rPr>
          <w:lang w:val="en-CA"/>
        </w:rPr>
      </w:pPr>
      <w:r w:rsidRPr="00DE00C2">
        <w:rPr>
          <w:lang w:val="en-CA"/>
        </w:rPr>
        <w:t>This note will briefly explain what "AI" refers to in practice, distinguishing between specific-purpose and generalist systems</w:t>
      </w:r>
      <w:r w:rsidR="008C5CDF" w:rsidRPr="00DE00C2">
        <w:rPr>
          <w:lang w:val="en-CA"/>
        </w:rPr>
        <w:t>,</w:t>
      </w:r>
      <w:r w:rsidRPr="00DE00C2">
        <w:rPr>
          <w:lang w:val="en-CA"/>
        </w:rPr>
        <w:t xml:space="preserve"> and what distinguishes them. It then provides a high-level perspective on these technologies, before describing their Possibilities in food production, supply chains, market access, nutrition advice and policymaking (Part I), before describing challenges, risks and limitations that determine if those possibilities can become realities (Part II). Finally, it will summarize which central questions need to be considered, leading to recommendations on use and regulation of digital technologies (Part III). It will close with a summary and an outlook for the short-term future. </w:t>
      </w:r>
    </w:p>
    <w:p w14:paraId="5A773928" w14:textId="77777777" w:rsidR="00232184" w:rsidRDefault="00DE00C2" w:rsidP="00DE00C2">
      <w:pPr>
        <w:rPr>
          <w:lang w:val="en-CA"/>
        </w:rPr>
      </w:pPr>
      <w:r w:rsidRPr="00DE00C2">
        <w:rPr>
          <w:lang w:val="en-CA"/>
        </w:rPr>
        <w:t xml:space="preserve">A recurring theme will be the gap between what is promised and what is demonstrated. The note focuses on what has been assessed and observed, rather than speculating on future potential where evidence does not yet support it. In a field where new product cycles arrive faster than evaluations of the last, this discipline is itself a policy recommendation. </w:t>
      </w:r>
    </w:p>
    <w:p w14:paraId="52803DF4" w14:textId="77777777" w:rsidR="00232184" w:rsidRDefault="00232184">
      <w:pPr>
        <w:rPr>
          <w:lang w:val="en-CA"/>
        </w:rPr>
      </w:pPr>
      <w:r>
        <w:rPr>
          <w:lang w:val="en-CA"/>
        </w:rPr>
        <w:br w:type="page"/>
      </w:r>
    </w:p>
    <w:p w14:paraId="03ECE58E" w14:textId="70BC1415" w:rsidR="007577E5" w:rsidRPr="007577E5" w:rsidRDefault="007577E5" w:rsidP="007577E5">
      <w:pPr>
        <w:pStyle w:val="Ttulo2"/>
        <w:rPr>
          <w:lang w:val="en-CA"/>
        </w:rPr>
      </w:pPr>
      <w:bookmarkStart w:id="3" w:name="_Toc225917992"/>
      <w:bookmarkStart w:id="4" w:name="OrgXref.orgcb9f202"/>
      <w:bookmarkStart w:id="5" w:name="_Toc226730540"/>
      <w:r>
        <w:rPr>
          <w:lang w:val="en-CA"/>
        </w:rPr>
        <w:lastRenderedPageBreak/>
        <w:t xml:space="preserve">1.1 </w:t>
      </w:r>
      <w:r w:rsidRPr="007577E5">
        <w:rPr>
          <w:lang w:val="en-CA"/>
        </w:rPr>
        <w:t xml:space="preserve">AI </w:t>
      </w:r>
      <w:r w:rsidR="00C70DB4" w:rsidRPr="00C70DB4">
        <w:t>–</w:t>
      </w:r>
      <w:r w:rsidRPr="007577E5">
        <w:rPr>
          <w:lang w:val="en-CA"/>
        </w:rPr>
        <w:t xml:space="preserve"> A spectrum of technologies</w:t>
      </w:r>
      <w:bookmarkEnd w:id="3"/>
      <w:bookmarkEnd w:id="5"/>
      <w:r w:rsidRPr="007577E5">
        <w:rPr>
          <w:lang w:val="en-CA"/>
        </w:rPr>
        <w:t xml:space="preserve"> </w:t>
      </w:r>
      <w:bookmarkEnd w:id="4"/>
    </w:p>
    <w:p w14:paraId="33383A09" w14:textId="77777777" w:rsidR="002A5BC2" w:rsidRDefault="00B20251" w:rsidP="00B20251">
      <w:pPr>
        <w:rPr>
          <w:lang w:val="en-CA"/>
        </w:rPr>
      </w:pPr>
      <w:r w:rsidRPr="00B20251">
        <w:rPr>
          <w:lang w:val="en-CA"/>
        </w:rPr>
        <w:t xml:space="preserve">In today's usage AI refers to computer systems performing tasks that were previously associated with human cognition, such as logic </w:t>
      </w:r>
      <w:r w:rsidRPr="007D7935">
        <w:rPr>
          <w:lang w:val="en-CA"/>
        </w:rPr>
        <w:t>operations, pattern recognition, language processing, learning and reasoning. The term AI encompasses a broad range of tools, from narrow, task-specific machine learning</w:t>
      </w:r>
      <w:r w:rsidRPr="00952164">
        <w:rPr>
          <w:vertAlign w:val="superscript"/>
          <w:lang w:val="en-CA"/>
        </w:rPr>
        <w:footnoteReference w:id="2"/>
      </w:r>
      <w:r w:rsidRPr="00952164">
        <w:rPr>
          <w:vertAlign w:val="superscript"/>
          <w:lang w:val="en-CA"/>
        </w:rPr>
        <w:t xml:space="preserve"> </w:t>
      </w:r>
      <w:r w:rsidRPr="007D7935">
        <w:rPr>
          <w:lang w:val="en-CA"/>
        </w:rPr>
        <w:t>and computational systems (here referred to as Specific-Purpose AI) to general-purpose generative models that produce text, images, audio or video (Generalist AI). This simplification</w:t>
      </w:r>
      <w:r w:rsidRPr="00B20251">
        <w:rPr>
          <w:lang w:val="en-CA"/>
        </w:rPr>
        <w:t xml:space="preserve"> summarizes a spectrum of technologies into those two categories. </w:t>
      </w:r>
    </w:p>
    <w:p w14:paraId="5777C1C9" w14:textId="04A08EEA" w:rsidR="00B20251" w:rsidRPr="00B20251" w:rsidRDefault="00B20251" w:rsidP="00B20251">
      <w:pPr>
        <w:rPr>
          <w:lang w:val="en-CA"/>
        </w:rPr>
      </w:pPr>
      <w:r w:rsidRPr="00B20251">
        <w:rPr>
          <w:lang w:val="en-CA"/>
        </w:rPr>
        <w:t>Fig</w:t>
      </w:r>
      <w:r w:rsidR="002A5BC2">
        <w:rPr>
          <w:lang w:val="en-CA"/>
        </w:rPr>
        <w:t>.</w:t>
      </w:r>
      <w:r w:rsidRPr="00B20251">
        <w:rPr>
          <w:lang w:val="en-CA"/>
        </w:rPr>
        <w:t xml:space="preserve"> </w:t>
      </w:r>
      <w:r w:rsidR="002A5BC2">
        <w:rPr>
          <w:lang w:val="en-CA"/>
        </w:rPr>
        <w:t>1</w:t>
      </w:r>
      <w:r w:rsidRPr="00B20251">
        <w:rPr>
          <w:lang w:val="en-CA"/>
        </w:rPr>
        <w:t xml:space="preserve"> (adapted from </w:t>
      </w:r>
      <w:r w:rsidRPr="00B20251" w:rsidDel="00367B22">
        <w:rPr>
          <w:lang w:val="en-CA"/>
        </w:rPr>
        <w:t>(</w:t>
      </w:r>
      <w:bookmarkStart w:id="6" w:name="ZOTERO_BREF_fnmGduKJ6guK"/>
      <w:r w:rsidRPr="00B20251">
        <w:rPr>
          <w:lang w:val="en-CA"/>
        </w:rPr>
        <w:t>World Bank, 2025a</w:t>
      </w:r>
      <w:bookmarkEnd w:id="6"/>
      <w:r w:rsidRPr="00B20251">
        <w:rPr>
          <w:lang w:val="en-CA"/>
        </w:rPr>
        <w:t xml:space="preserve">) serves as an orientation of where to place some of the more known innovations into this spectrum. No clear line separates specific-purpose AI and Generalist AI, but as a rule of thumb Generalist AI can be described as data-intensive, computationally demanding and tends to increase dependency on external cloud and data-center infrastructure. This reduces user agency and raises governance and privacy risks. Specific dimensions to consider are training data control, the ability to audit and contest outputs, interoperability versus lock-in, local hosting feasibility leading to questions of political sovereignty over deployed systems and ongoing operational costs. Generalist systems are often praised as a universal solution to a multitude of problems. These silver bullet narratives are tempting, but risk distracting attention from a clear analysis of and solution for those problems. Specific-Purpose AI, on the other hand, is generally much less computationally demanding, increasing its applicability and controllability in resource-constrained contexts such as regions with low compute capacities or in edge computing. Table </w:t>
      </w:r>
      <w:r w:rsidR="00AD2D61">
        <w:rPr>
          <w:lang w:val="en-CA"/>
        </w:rPr>
        <w:t>1</w:t>
      </w:r>
      <w:r w:rsidRPr="00B20251">
        <w:rPr>
          <w:lang w:val="en-CA"/>
        </w:rPr>
        <w:t xml:space="preserve"> presents some characteristics of specific purpose versus generalist systems. </w:t>
      </w:r>
    </w:p>
    <w:p w14:paraId="30292D58" w14:textId="2852230C" w:rsidR="00E35C9D" w:rsidRDefault="00B20251" w:rsidP="00B20251">
      <w:pPr>
        <w:rPr>
          <w:lang w:val="en-CA"/>
        </w:rPr>
      </w:pPr>
      <w:r w:rsidRPr="00B20251">
        <w:rPr>
          <w:lang w:val="en-CA"/>
        </w:rPr>
        <w:t>It is therefore important to avoid treating AI as a single class and instead assess which types of AI applications are appropriate for specific functions, policy goals and local contexts.</w:t>
      </w:r>
    </w:p>
    <w:p w14:paraId="0BD148B1" w14:textId="64BD2B5C" w:rsidR="002A5BC2" w:rsidRDefault="00AD2D61" w:rsidP="00360188">
      <w:pPr>
        <w:pStyle w:val="FigTabledescriptionheading"/>
        <w:spacing w:after="0"/>
        <w:rPr>
          <w:lang w:val="en-CA"/>
        </w:rPr>
      </w:pPr>
      <w:r>
        <w:rPr>
          <w:lang w:val="en-CA"/>
        </w:rPr>
        <w:t>Figure 1</w:t>
      </w:r>
      <w:r w:rsidR="00360188">
        <w:rPr>
          <w:lang w:val="en-CA"/>
        </w:rPr>
        <w:t>:</w:t>
      </w:r>
      <w:r w:rsidR="00DE353A">
        <w:rPr>
          <w:lang w:val="en-CA"/>
        </w:rPr>
        <w:t xml:space="preserve"> </w:t>
      </w:r>
      <w:r w:rsidR="00360188" w:rsidRPr="00360188">
        <w:rPr>
          <w:lang w:val="en-CA"/>
        </w:rPr>
        <w:t>Spectrum of artificial intelligence technologies</w:t>
      </w:r>
    </w:p>
    <w:p w14:paraId="62EA80B7" w14:textId="5657929A" w:rsidR="00A02CCF" w:rsidRDefault="00A02CCF" w:rsidP="00B20251">
      <w:pPr>
        <w:rPr>
          <w:lang w:val="en-CA"/>
        </w:rPr>
      </w:pPr>
      <w:r>
        <w:rPr>
          <w:noProof/>
        </w:rPr>
        <w:lastRenderedPageBreak/>
        <w:drawing>
          <wp:inline distT="0" distB="0" distL="0" distR="0" wp14:anchorId="78A0099D" wp14:editId="2E9DCCEA">
            <wp:extent cx="6124575" cy="4229100"/>
            <wp:effectExtent l="0" t="0" r="0" b="0"/>
            <wp:docPr id="3638801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80141" name="Picture 363880141"/>
                    <pic:cNvPicPr/>
                  </pic:nvPicPr>
                  <pic:blipFill>
                    <a:blip r:embed="rId26">
                      <a:extLst>
                        <a:ext uri="{28A0092B-C50C-407E-A947-70E740481C1C}">
                          <a14:useLocalDpi xmlns:a14="http://schemas.microsoft.com/office/drawing/2010/main"/>
                        </a:ext>
                      </a:extLst>
                    </a:blip>
                    <a:stretch>
                      <a:fillRect/>
                    </a:stretch>
                  </pic:blipFill>
                  <pic:spPr>
                    <a:xfrm>
                      <a:off x="0" y="0"/>
                      <a:ext cx="6124575" cy="4229100"/>
                    </a:xfrm>
                    <a:prstGeom prst="rect">
                      <a:avLst/>
                    </a:prstGeom>
                  </pic:spPr>
                </pic:pic>
              </a:graphicData>
            </a:graphic>
          </wp:inline>
        </w:drawing>
      </w:r>
    </w:p>
    <w:p w14:paraId="298A104E" w14:textId="1388A4B3" w:rsidR="007B3C02" w:rsidRPr="00360188" w:rsidRDefault="007B3C02" w:rsidP="00360188">
      <w:pPr>
        <w:spacing w:before="240" w:after="0" w:line="240" w:lineRule="auto"/>
        <w:rPr>
          <w:i/>
          <w:iCs/>
          <w:color w:val="808080" w:themeColor="background1" w:themeShade="80"/>
          <w:sz w:val="20"/>
        </w:rPr>
      </w:pPr>
      <w:r w:rsidRPr="00360188">
        <w:rPr>
          <w:i/>
          <w:iCs/>
          <w:color w:val="808080" w:themeColor="background1" w:themeShade="80"/>
          <w:sz w:val="20"/>
        </w:rPr>
        <w:t xml:space="preserve">Note: </w:t>
      </w:r>
      <w:r w:rsidRPr="00360188">
        <w:rPr>
          <w:i/>
          <w:iCs/>
          <w:color w:val="808080" w:themeColor="background1" w:themeShade="80"/>
          <w:sz w:val="20"/>
        </w:rPr>
        <w:t>The categories of digital technologies that are described as artificial intelligence in different contexts. Below are listed some examples of technologies falling into the category. Special-purpose technologies are not small in all cases and there is no clear line separating deep learning approaches from generative AI, as indicated by the shading.</w:t>
      </w:r>
    </w:p>
    <w:p w14:paraId="1DEFB799" w14:textId="17496C45" w:rsidR="00EF6903" w:rsidRPr="00360188" w:rsidRDefault="007B3C02" w:rsidP="00360188">
      <w:pPr>
        <w:spacing w:before="240" w:after="0" w:line="240" w:lineRule="auto"/>
        <w:rPr>
          <w:i/>
          <w:iCs/>
          <w:color w:val="808080" w:themeColor="background1" w:themeShade="80"/>
          <w:sz w:val="20"/>
        </w:rPr>
      </w:pPr>
      <w:r w:rsidRPr="00360188">
        <w:rPr>
          <w:i/>
          <w:iCs/>
          <w:color w:val="808080" w:themeColor="background1" w:themeShade="80"/>
          <w:sz w:val="20"/>
        </w:rPr>
        <w:t xml:space="preserve">Source: </w:t>
      </w:r>
      <w:r w:rsidR="009712D5">
        <w:rPr>
          <w:i/>
          <w:iCs/>
          <w:color w:val="808080" w:themeColor="background1" w:themeShade="80"/>
          <w:sz w:val="20"/>
        </w:rPr>
        <w:t xml:space="preserve">Authors’ </w:t>
      </w:r>
      <w:proofErr w:type="gramStart"/>
      <w:r w:rsidR="009712D5">
        <w:rPr>
          <w:i/>
          <w:iCs/>
          <w:color w:val="808080" w:themeColor="background1" w:themeShade="80"/>
          <w:sz w:val="20"/>
        </w:rPr>
        <w:t>own</w:t>
      </w:r>
      <w:proofErr w:type="gramEnd"/>
      <w:r w:rsidR="00360188">
        <w:rPr>
          <w:i/>
          <w:iCs/>
          <w:color w:val="808080" w:themeColor="background1" w:themeShade="80"/>
          <w:sz w:val="20"/>
        </w:rPr>
        <w:t xml:space="preserve"> elaboration.</w:t>
      </w:r>
    </w:p>
    <w:p w14:paraId="70CE039D" w14:textId="77777777" w:rsidR="00EF6903" w:rsidRDefault="00EF6903">
      <w:pPr>
        <w:rPr>
          <w:b/>
          <w:bCs/>
          <w:color w:val="808080" w:themeColor="background1" w:themeShade="80"/>
          <w:lang w:val="en-CA"/>
        </w:rPr>
      </w:pPr>
      <w:r>
        <w:rPr>
          <w:lang w:val="en-CA"/>
        </w:rPr>
        <w:br w:type="page"/>
      </w:r>
    </w:p>
    <w:p w14:paraId="11F9ECDD" w14:textId="76CB5021" w:rsidR="00AD2D61" w:rsidRDefault="00AD2D61" w:rsidP="00692F44">
      <w:pPr>
        <w:pStyle w:val="FigTabledescriptionheading"/>
        <w:spacing w:after="0"/>
        <w:rPr>
          <w:lang w:val="en-CA"/>
        </w:rPr>
      </w:pPr>
      <w:r>
        <w:rPr>
          <w:lang w:val="en-CA"/>
        </w:rPr>
        <w:t>Table 1</w:t>
      </w:r>
      <w:r w:rsidR="00C823B2">
        <w:rPr>
          <w:lang w:val="en-CA"/>
        </w:rPr>
        <w:t>: C</w:t>
      </w:r>
      <w:r w:rsidR="00C823B2" w:rsidRPr="00C823B2">
        <w:rPr>
          <w:lang w:val="en-CA"/>
        </w:rPr>
        <w:t xml:space="preserve">haracteristics of specific purpose </w:t>
      </w:r>
      <w:r w:rsidR="00C823B2">
        <w:rPr>
          <w:lang w:val="en-CA"/>
        </w:rPr>
        <w:t xml:space="preserve">technologies </w:t>
      </w:r>
      <w:r w:rsidR="00C823B2" w:rsidRPr="00C823B2">
        <w:rPr>
          <w:lang w:val="en-CA"/>
        </w:rPr>
        <w:t>versus generalist systems</w:t>
      </w:r>
    </w:p>
    <w:tbl>
      <w:tblPr>
        <w:tblW w:w="4800" w:type="pct"/>
        <w:jc w:val="center"/>
        <w:tblLayout w:type="fixed"/>
        <w:tblCellMar>
          <w:top w:w="90" w:type="dxa"/>
          <w:left w:w="90" w:type="dxa"/>
          <w:bottom w:w="90" w:type="dxa"/>
          <w:right w:w="90" w:type="dxa"/>
        </w:tblCellMar>
        <w:tblLook w:val="04A0" w:firstRow="1" w:lastRow="0" w:firstColumn="1" w:lastColumn="0" w:noHBand="0" w:noVBand="1"/>
      </w:tblPr>
      <w:tblGrid>
        <w:gridCol w:w="3164"/>
        <w:gridCol w:w="3165"/>
        <w:gridCol w:w="3165"/>
      </w:tblGrid>
      <w:tr w:rsidR="009712D5" w:rsidRPr="009712D5" w14:paraId="09F23EE0" w14:textId="77777777" w:rsidTr="00CE1717">
        <w:trPr>
          <w:tblHeader/>
          <w:jc w:val="center"/>
        </w:trPr>
        <w:tc>
          <w:tcPr>
            <w:tcW w:w="3164" w:type="dxa"/>
            <w:tcBorders>
              <w:top w:val="single" w:sz="4" w:space="0" w:color="536374" w:themeColor="text2"/>
              <w:bottom w:val="single" w:sz="4" w:space="0" w:color="536374" w:themeColor="text2"/>
            </w:tcBorders>
          </w:tcPr>
          <w:p w14:paraId="2357F135" w14:textId="77777777" w:rsidR="009712D5" w:rsidRPr="009712D5" w:rsidRDefault="009712D5" w:rsidP="00EB278E">
            <w:pPr>
              <w:spacing w:after="0" w:line="240" w:lineRule="auto"/>
            </w:pPr>
            <w:r w:rsidRPr="009712D5">
              <w:t>Dimension</w:t>
            </w:r>
          </w:p>
        </w:tc>
        <w:tc>
          <w:tcPr>
            <w:tcW w:w="3165" w:type="dxa"/>
            <w:tcBorders>
              <w:top w:val="single" w:sz="4" w:space="0" w:color="536374" w:themeColor="text2"/>
              <w:bottom w:val="single" w:sz="4" w:space="0" w:color="536374" w:themeColor="text2"/>
            </w:tcBorders>
          </w:tcPr>
          <w:p w14:paraId="7FCD5072" w14:textId="77777777" w:rsidR="009712D5" w:rsidRPr="009712D5" w:rsidRDefault="009712D5" w:rsidP="00EB278E">
            <w:pPr>
              <w:spacing w:after="0" w:line="240" w:lineRule="auto"/>
            </w:pPr>
            <w:r w:rsidRPr="009712D5">
              <w:t>Special-Purpose / Small AI</w:t>
            </w:r>
          </w:p>
        </w:tc>
        <w:tc>
          <w:tcPr>
            <w:tcW w:w="3165" w:type="dxa"/>
            <w:tcBorders>
              <w:top w:val="single" w:sz="4" w:space="0" w:color="536374" w:themeColor="text2"/>
              <w:bottom w:val="single" w:sz="4" w:space="0" w:color="536374" w:themeColor="text2"/>
            </w:tcBorders>
          </w:tcPr>
          <w:p w14:paraId="02942F96" w14:textId="77777777" w:rsidR="009712D5" w:rsidRPr="009712D5" w:rsidRDefault="009712D5" w:rsidP="00EB278E">
            <w:pPr>
              <w:spacing w:after="0" w:line="240" w:lineRule="auto"/>
            </w:pPr>
            <w:r w:rsidRPr="009712D5">
              <w:t>Generalist AI</w:t>
            </w:r>
          </w:p>
        </w:tc>
      </w:tr>
      <w:tr w:rsidR="009712D5" w:rsidRPr="009712D5" w14:paraId="09501DFB" w14:textId="77777777" w:rsidTr="00CE1717">
        <w:trPr>
          <w:trHeight w:val="300"/>
          <w:jc w:val="center"/>
        </w:trPr>
        <w:tc>
          <w:tcPr>
            <w:tcW w:w="3164" w:type="dxa"/>
            <w:tcBorders>
              <w:top w:val="single" w:sz="4" w:space="0" w:color="536374" w:themeColor="text2"/>
              <w:left w:val="none" w:sz="12" w:space="0" w:color="536374" w:themeColor="text2"/>
              <w:bottom w:val="none" w:sz="12" w:space="0" w:color="536374" w:themeColor="text2"/>
              <w:right w:val="none" w:sz="12" w:space="0" w:color="536374" w:themeColor="text2"/>
            </w:tcBorders>
          </w:tcPr>
          <w:p w14:paraId="2D62BF64" w14:textId="77777777" w:rsidR="009712D5" w:rsidRPr="009712D5" w:rsidRDefault="009712D5" w:rsidP="00EB278E">
            <w:pPr>
              <w:spacing w:after="0" w:line="240" w:lineRule="auto"/>
            </w:pPr>
            <w:r w:rsidRPr="009712D5">
              <w:t>Generality vs Specificity</w:t>
            </w:r>
          </w:p>
        </w:tc>
        <w:tc>
          <w:tcPr>
            <w:tcW w:w="3165" w:type="dxa"/>
            <w:tcBorders>
              <w:top w:val="single" w:sz="4" w:space="0" w:color="536374" w:themeColor="text2"/>
              <w:left w:val="none" w:sz="12" w:space="0" w:color="536374" w:themeColor="text2"/>
              <w:bottom w:val="none" w:sz="2" w:space="0" w:color="536374" w:themeColor="text2"/>
            </w:tcBorders>
          </w:tcPr>
          <w:p w14:paraId="405529A6" w14:textId="77777777" w:rsidR="009712D5" w:rsidRPr="009712D5" w:rsidRDefault="009712D5" w:rsidP="00EB278E">
            <w:pPr>
              <w:spacing w:after="0" w:line="240" w:lineRule="auto"/>
            </w:pPr>
            <w:r w:rsidRPr="009712D5">
              <w:rPr>
                <w:rStyle w:val="Bold"/>
                <w:b w:val="0"/>
                <w:szCs w:val="22"/>
              </w:rPr>
              <w:t>Task-specific. Excels at one well-defined task. Performance degrades sharply outside trained distribution. Requires retraining for new tasks.</w:t>
            </w:r>
          </w:p>
        </w:tc>
        <w:tc>
          <w:tcPr>
            <w:tcW w:w="3165" w:type="dxa"/>
            <w:tcBorders>
              <w:top w:val="single" w:sz="4" w:space="0" w:color="536374" w:themeColor="text2"/>
              <w:bottom w:val="none" w:sz="2" w:space="0" w:color="536374" w:themeColor="text2"/>
            </w:tcBorders>
          </w:tcPr>
          <w:p w14:paraId="1E2B9717" w14:textId="77777777" w:rsidR="009712D5" w:rsidRPr="009712D5" w:rsidRDefault="009712D5" w:rsidP="00EB278E">
            <w:pPr>
              <w:spacing w:after="0" w:line="240" w:lineRule="auto"/>
            </w:pPr>
            <w:r w:rsidRPr="009712D5">
              <w:rPr>
                <w:rStyle w:val="Bold"/>
                <w:b w:val="0"/>
                <w:szCs w:val="22"/>
              </w:rPr>
              <w:t>Generalist. A single model can answer questions, write code, summarise documents, and reason across domains. Enables agentic</w:t>
            </w:r>
            <w:r w:rsidRPr="009712D5">
              <w:rPr>
                <w:rStyle w:val="Refdenotaalpie"/>
                <w:szCs w:val="22"/>
              </w:rPr>
              <w:footnoteReference w:id="3"/>
            </w:r>
            <w:r w:rsidRPr="009712D5">
              <w:rPr>
                <w:rStyle w:val="Bold"/>
                <w:b w:val="0"/>
                <w:szCs w:val="22"/>
              </w:rPr>
              <w:t xml:space="preserve"> workflows with multi-step autonomous execution.</w:t>
            </w:r>
          </w:p>
        </w:tc>
      </w:tr>
      <w:tr w:rsidR="009712D5" w:rsidRPr="009712D5" w14:paraId="7A81F221" w14:textId="77777777" w:rsidTr="00CD2B1D">
        <w:trPr>
          <w:jc w:val="center"/>
        </w:trPr>
        <w:tc>
          <w:tcPr>
            <w:tcW w:w="3164" w:type="dxa"/>
            <w:tcBorders>
              <w:top w:val="none" w:sz="2" w:space="0" w:color="536374" w:themeColor="text2"/>
              <w:right w:val="none" w:sz="12" w:space="0" w:color="536374" w:themeColor="text2"/>
            </w:tcBorders>
          </w:tcPr>
          <w:p w14:paraId="619AEABE" w14:textId="5CA49700" w:rsidR="009712D5" w:rsidRPr="009712D5" w:rsidRDefault="00994A73" w:rsidP="00EB278E">
            <w:pPr>
              <w:spacing w:after="0" w:line="240" w:lineRule="auto"/>
            </w:pPr>
            <w:proofErr w:type="gramStart"/>
            <w:r w:rsidRPr="009712D5">
              <w:t>Compute</w:t>
            </w:r>
            <w:proofErr w:type="gramEnd"/>
            <w:r>
              <w:t xml:space="preserve"> </w:t>
            </w:r>
            <w:r w:rsidR="009712D5" w:rsidRPr="009712D5">
              <w:t>Footprint</w:t>
            </w:r>
          </w:p>
        </w:tc>
        <w:tc>
          <w:tcPr>
            <w:tcW w:w="3165" w:type="dxa"/>
            <w:tcBorders>
              <w:top w:val="none" w:sz="2" w:space="0" w:color="536374" w:themeColor="text2"/>
              <w:left w:val="none" w:sz="12" w:space="0" w:color="536374" w:themeColor="text2"/>
              <w:bottom w:val="none" w:sz="12" w:space="0" w:color="536374" w:themeColor="text2"/>
              <w:right w:val="none" w:sz="12" w:space="0" w:color="536374" w:themeColor="text2"/>
            </w:tcBorders>
          </w:tcPr>
          <w:p w14:paraId="0F2C5C95" w14:textId="77777777" w:rsidR="009712D5" w:rsidRPr="009712D5" w:rsidRDefault="009712D5" w:rsidP="00EB278E">
            <w:pPr>
              <w:spacing w:after="0" w:line="240" w:lineRule="auto"/>
            </w:pPr>
            <w:r w:rsidRPr="009712D5">
              <w:rPr>
                <w:rStyle w:val="Bold"/>
                <w:b w:val="0"/>
                <w:szCs w:val="22"/>
              </w:rPr>
              <w:t>Low.</w:t>
            </w:r>
            <w:r w:rsidRPr="009712D5">
              <w:t xml:space="preserve"> Runs on microcontrollers, mobile CPUs, locally.</w:t>
            </w:r>
          </w:p>
        </w:tc>
        <w:tc>
          <w:tcPr>
            <w:tcW w:w="3165" w:type="dxa"/>
            <w:tcBorders>
              <w:top w:val="none" w:sz="2" w:space="0" w:color="536374" w:themeColor="text2"/>
              <w:left w:val="none" w:sz="12" w:space="0" w:color="536374" w:themeColor="text2"/>
              <w:bottom w:val="none" w:sz="12" w:space="0" w:color="536374" w:themeColor="text2"/>
              <w:right w:val="none" w:sz="12" w:space="0" w:color="536374" w:themeColor="text2"/>
            </w:tcBorders>
          </w:tcPr>
          <w:p w14:paraId="33E886A3" w14:textId="77777777" w:rsidR="009712D5" w:rsidRPr="009712D5" w:rsidRDefault="009712D5" w:rsidP="00EB278E">
            <w:pPr>
              <w:spacing w:after="0" w:line="240" w:lineRule="auto"/>
            </w:pPr>
            <w:r w:rsidRPr="009712D5">
              <w:rPr>
                <w:rStyle w:val="Bold"/>
                <w:b w:val="0"/>
                <w:szCs w:val="22"/>
              </w:rPr>
              <w:t>High.</w:t>
            </w:r>
            <w:r w:rsidRPr="009712D5">
              <w:t xml:space="preserve"> Requires GPUs/TPUs datacenters. Training runs consume megawatt-hours.</w:t>
            </w:r>
          </w:p>
        </w:tc>
      </w:tr>
      <w:tr w:rsidR="009712D5" w:rsidRPr="009712D5" w14:paraId="528B9BA0" w14:textId="77777777" w:rsidTr="00CD2B1D">
        <w:trPr>
          <w:jc w:val="center"/>
        </w:trPr>
        <w:tc>
          <w:tcPr>
            <w:tcW w:w="3164" w:type="dxa"/>
          </w:tcPr>
          <w:p w14:paraId="6632D0CD" w14:textId="77777777" w:rsidR="009712D5" w:rsidRPr="009712D5" w:rsidRDefault="009712D5" w:rsidP="00EB278E">
            <w:pPr>
              <w:spacing w:after="0" w:line="240" w:lineRule="auto"/>
            </w:pPr>
            <w:r w:rsidRPr="009712D5">
              <w:t>Data Requirements</w:t>
            </w:r>
          </w:p>
        </w:tc>
        <w:tc>
          <w:tcPr>
            <w:tcW w:w="3165" w:type="dxa"/>
            <w:tcBorders>
              <w:top w:val="none" w:sz="12" w:space="0" w:color="536374" w:themeColor="text2"/>
            </w:tcBorders>
          </w:tcPr>
          <w:p w14:paraId="46812934" w14:textId="77777777" w:rsidR="009712D5" w:rsidRPr="009712D5" w:rsidRDefault="009712D5" w:rsidP="00EB278E">
            <w:pPr>
              <w:spacing w:after="0" w:line="240" w:lineRule="auto"/>
            </w:pPr>
            <w:r w:rsidRPr="009712D5">
              <w:rPr>
                <w:rStyle w:val="Bold"/>
                <w:b w:val="0"/>
                <w:szCs w:val="22"/>
              </w:rPr>
              <w:t>Structured (tabular).</w:t>
            </w:r>
            <w:r w:rsidRPr="009712D5">
              <w:t xml:space="preserve"> Labelled data, hundreds to thousands of examples sufficient.</w:t>
            </w:r>
          </w:p>
        </w:tc>
        <w:tc>
          <w:tcPr>
            <w:tcW w:w="3165" w:type="dxa"/>
            <w:tcBorders>
              <w:top w:val="none" w:sz="12" w:space="0" w:color="536374" w:themeColor="text2"/>
            </w:tcBorders>
          </w:tcPr>
          <w:p w14:paraId="64169CD6" w14:textId="77777777" w:rsidR="009712D5" w:rsidRPr="009712D5" w:rsidRDefault="009712D5" w:rsidP="00EB278E">
            <w:pPr>
              <w:spacing w:after="0" w:line="240" w:lineRule="auto"/>
            </w:pPr>
            <w:r w:rsidRPr="009712D5">
              <w:rPr>
                <w:rStyle w:val="Bold"/>
                <w:b w:val="0"/>
                <w:szCs w:val="22"/>
              </w:rPr>
              <w:t>Unstructured at scale.</w:t>
            </w:r>
            <w:r w:rsidRPr="009712D5">
              <w:t xml:space="preserve"> Pre-</w:t>
            </w:r>
            <w:proofErr w:type="gramStart"/>
            <w:r w:rsidRPr="009712D5">
              <w:t>trained on</w:t>
            </w:r>
            <w:proofErr w:type="gramEnd"/>
            <w:r w:rsidRPr="009712D5">
              <w:t xml:space="preserve"> internet-scale corpora. Requires billions </w:t>
            </w:r>
            <w:proofErr w:type="gramStart"/>
            <w:r w:rsidRPr="009712D5">
              <w:t>to</w:t>
            </w:r>
            <w:proofErr w:type="gramEnd"/>
            <w:r w:rsidRPr="009712D5">
              <w:t xml:space="preserve"> trillions of data points.</w:t>
            </w:r>
          </w:p>
        </w:tc>
      </w:tr>
      <w:tr w:rsidR="009712D5" w:rsidRPr="009712D5" w14:paraId="4955706B" w14:textId="77777777" w:rsidTr="00CD2B1D">
        <w:trPr>
          <w:jc w:val="center"/>
        </w:trPr>
        <w:tc>
          <w:tcPr>
            <w:tcW w:w="3164" w:type="dxa"/>
          </w:tcPr>
          <w:p w14:paraId="50DE39D1" w14:textId="77777777" w:rsidR="009712D5" w:rsidRPr="009712D5" w:rsidRDefault="009712D5" w:rsidP="00EB278E">
            <w:pPr>
              <w:spacing w:after="0" w:line="240" w:lineRule="auto"/>
            </w:pPr>
            <w:r w:rsidRPr="009712D5">
              <w:t>Modality</w:t>
            </w:r>
          </w:p>
        </w:tc>
        <w:tc>
          <w:tcPr>
            <w:tcW w:w="3165" w:type="dxa"/>
          </w:tcPr>
          <w:p w14:paraId="785CE7F4" w14:textId="77777777" w:rsidR="009712D5" w:rsidRPr="009712D5" w:rsidRDefault="009712D5" w:rsidP="00EB278E">
            <w:pPr>
              <w:spacing w:after="0" w:line="240" w:lineRule="auto"/>
            </w:pPr>
            <w:r w:rsidRPr="009712D5">
              <w:rPr>
                <w:rStyle w:val="Bold"/>
                <w:b w:val="0"/>
                <w:szCs w:val="22"/>
              </w:rPr>
              <w:t>Single modality.</w:t>
            </w:r>
            <w:r w:rsidRPr="009712D5">
              <w:t xml:space="preserve"> Each model is purpose-built for one data type.</w:t>
            </w:r>
          </w:p>
        </w:tc>
        <w:tc>
          <w:tcPr>
            <w:tcW w:w="3165" w:type="dxa"/>
          </w:tcPr>
          <w:p w14:paraId="1F3B8476" w14:textId="77777777" w:rsidR="009712D5" w:rsidRPr="009712D5" w:rsidRDefault="009712D5" w:rsidP="00EB278E">
            <w:pPr>
              <w:spacing w:after="0" w:line="240" w:lineRule="auto"/>
            </w:pPr>
            <w:r w:rsidRPr="009712D5">
              <w:rPr>
                <w:rStyle w:val="Bold"/>
                <w:b w:val="0"/>
                <w:szCs w:val="22"/>
              </w:rPr>
              <w:t>Multimodal.</w:t>
            </w:r>
            <w:r w:rsidRPr="009712D5">
              <w:t xml:space="preserve"> Natively handles text, images, audio, video within a single model.</w:t>
            </w:r>
          </w:p>
        </w:tc>
      </w:tr>
      <w:tr w:rsidR="009712D5" w:rsidRPr="009712D5" w14:paraId="0E64D8E7" w14:textId="77777777" w:rsidTr="00CD2B1D">
        <w:trPr>
          <w:jc w:val="center"/>
        </w:trPr>
        <w:tc>
          <w:tcPr>
            <w:tcW w:w="3164" w:type="dxa"/>
          </w:tcPr>
          <w:p w14:paraId="6DC692A2" w14:textId="77777777" w:rsidR="009712D5" w:rsidRPr="009712D5" w:rsidRDefault="009712D5" w:rsidP="00EB278E">
            <w:pPr>
              <w:spacing w:after="0" w:line="240" w:lineRule="auto"/>
            </w:pPr>
            <w:r w:rsidRPr="009712D5">
              <w:t>Energy &amp; Scale Consumption</w:t>
            </w:r>
          </w:p>
        </w:tc>
        <w:tc>
          <w:tcPr>
            <w:tcW w:w="3165" w:type="dxa"/>
          </w:tcPr>
          <w:p w14:paraId="75F441EA" w14:textId="77777777" w:rsidR="009712D5" w:rsidRPr="009712D5" w:rsidRDefault="009712D5" w:rsidP="00EB278E">
            <w:pPr>
              <w:spacing w:after="0" w:line="240" w:lineRule="auto"/>
            </w:pPr>
            <w:r w:rsidRPr="009712D5">
              <w:rPr>
                <w:rStyle w:val="Bold"/>
                <w:b w:val="0"/>
                <w:szCs w:val="22"/>
              </w:rPr>
              <w:t>Low.</w:t>
            </w:r>
            <w:r w:rsidRPr="009712D5">
              <w:t xml:space="preserve"> Inference can run on milliwatts. Suitable for always-on IoT</w:t>
            </w:r>
            <w:r w:rsidRPr="009712D5">
              <w:rPr>
                <w:rStyle w:val="Refdenotaalpie"/>
                <w:szCs w:val="22"/>
              </w:rPr>
              <w:footnoteReference w:id="4"/>
            </w:r>
            <w:r w:rsidRPr="009712D5">
              <w:t>, wearables, embedded systems.</w:t>
            </w:r>
          </w:p>
        </w:tc>
        <w:tc>
          <w:tcPr>
            <w:tcW w:w="3165" w:type="dxa"/>
          </w:tcPr>
          <w:p w14:paraId="3691B1F5" w14:textId="77777777" w:rsidR="009712D5" w:rsidRPr="009712D5" w:rsidRDefault="009712D5" w:rsidP="00EB278E">
            <w:pPr>
              <w:spacing w:after="0" w:line="240" w:lineRule="auto"/>
            </w:pPr>
            <w:r w:rsidRPr="009712D5">
              <w:rPr>
                <w:rStyle w:val="Bold"/>
                <w:b w:val="0"/>
                <w:szCs w:val="22"/>
              </w:rPr>
              <w:t>High.</w:t>
            </w:r>
            <w:r w:rsidRPr="009712D5">
              <w:t xml:space="preserve"> A single LLM training run can emit hundreds of tonnes of CO₂. Consumer-scale inference (millions of queries/</w:t>
            </w:r>
            <w:proofErr w:type="gramStart"/>
            <w:r w:rsidRPr="009712D5">
              <w:t>day</w:t>
            </w:r>
            <w:proofErr w:type="gramEnd"/>
            <w:r w:rsidRPr="009712D5">
              <w:t>) demands significant data centre capacity and cooling.</w:t>
            </w:r>
          </w:p>
        </w:tc>
      </w:tr>
      <w:tr w:rsidR="009712D5" w:rsidRPr="009712D5" w14:paraId="2777CDB1" w14:textId="77777777" w:rsidTr="00CD2B1D">
        <w:trPr>
          <w:jc w:val="center"/>
        </w:trPr>
        <w:tc>
          <w:tcPr>
            <w:tcW w:w="3164" w:type="dxa"/>
          </w:tcPr>
          <w:p w14:paraId="4DE1C1AD" w14:textId="77777777" w:rsidR="009712D5" w:rsidRPr="009712D5" w:rsidRDefault="009712D5" w:rsidP="00EB278E">
            <w:pPr>
              <w:spacing w:after="0" w:line="240" w:lineRule="auto"/>
            </w:pPr>
            <w:r w:rsidRPr="009712D5">
              <w:t>Deployment &amp; Infrastructure</w:t>
            </w:r>
          </w:p>
        </w:tc>
        <w:tc>
          <w:tcPr>
            <w:tcW w:w="3165" w:type="dxa"/>
          </w:tcPr>
          <w:p w14:paraId="68CFE6AF" w14:textId="08F424EF" w:rsidR="009712D5" w:rsidRPr="009712D5" w:rsidRDefault="009712D5" w:rsidP="00EB278E">
            <w:pPr>
              <w:spacing w:after="0" w:line="240" w:lineRule="auto"/>
            </w:pPr>
            <w:r w:rsidRPr="009712D5">
              <w:rPr>
                <w:rStyle w:val="Bold"/>
                <w:b w:val="0"/>
                <w:szCs w:val="22"/>
              </w:rPr>
              <w:t>Locally deployable.</w:t>
            </w:r>
            <w:r w:rsidRPr="009712D5">
              <w:t xml:space="preserve"> Embedded directly into devices, apps, </w:t>
            </w:r>
            <w:proofErr w:type="gramStart"/>
            <w:r w:rsidRPr="009712D5">
              <w:t xml:space="preserve">or </w:t>
            </w:r>
            <w:r>
              <w:t xml:space="preserve"> </w:t>
            </w:r>
            <w:r w:rsidRPr="009712D5">
              <w:t>on</w:t>
            </w:r>
            <w:proofErr w:type="gramEnd"/>
            <w:r w:rsidRPr="009712D5">
              <w:t>-premises</w:t>
            </w:r>
            <w:r w:rsidRPr="009712D5">
              <w:t xml:space="preserve"> servers. No cloud dependency, works offline.</w:t>
            </w:r>
          </w:p>
        </w:tc>
        <w:tc>
          <w:tcPr>
            <w:tcW w:w="3165" w:type="dxa"/>
          </w:tcPr>
          <w:p w14:paraId="0AD1A371" w14:textId="77777777" w:rsidR="009712D5" w:rsidRPr="009712D5" w:rsidRDefault="009712D5" w:rsidP="00EB278E">
            <w:pPr>
              <w:spacing w:after="0" w:line="240" w:lineRule="auto"/>
            </w:pPr>
            <w:r w:rsidRPr="009712D5">
              <w:rPr>
                <w:rStyle w:val="Bold"/>
                <w:b w:val="0"/>
                <w:szCs w:val="22"/>
              </w:rPr>
              <w:t>Requires specialised HPC infrastructure.</w:t>
            </w:r>
            <w:r w:rsidRPr="009712D5">
              <w:t xml:space="preserve"> Typically cloud-hosted on dedicated GPU clusters. Self-hosting requires significant capex. Most </w:t>
            </w:r>
            <w:proofErr w:type="gramStart"/>
            <w:r w:rsidRPr="009712D5">
              <w:t>orgs</w:t>
            </w:r>
            <w:proofErr w:type="gramEnd"/>
            <w:r w:rsidRPr="009712D5">
              <w:t xml:space="preserve"> consume via API.</w:t>
            </w:r>
          </w:p>
        </w:tc>
      </w:tr>
      <w:tr w:rsidR="009712D5" w:rsidRPr="009712D5" w14:paraId="16CD4A9D" w14:textId="77777777" w:rsidTr="00CD2B1D">
        <w:trPr>
          <w:jc w:val="center"/>
        </w:trPr>
        <w:tc>
          <w:tcPr>
            <w:tcW w:w="3164" w:type="dxa"/>
          </w:tcPr>
          <w:p w14:paraId="3A1AB626" w14:textId="77777777" w:rsidR="009712D5" w:rsidRPr="009712D5" w:rsidRDefault="009712D5" w:rsidP="00EB278E">
            <w:pPr>
              <w:spacing w:after="0" w:line="240" w:lineRule="auto"/>
            </w:pPr>
            <w:r w:rsidRPr="009712D5">
              <w:t>Interpretability</w:t>
            </w:r>
          </w:p>
        </w:tc>
        <w:tc>
          <w:tcPr>
            <w:tcW w:w="3165" w:type="dxa"/>
          </w:tcPr>
          <w:p w14:paraId="2DCAA826" w14:textId="77777777" w:rsidR="009712D5" w:rsidRPr="009712D5" w:rsidRDefault="009712D5" w:rsidP="00EB278E">
            <w:pPr>
              <w:spacing w:after="0" w:line="240" w:lineRule="auto"/>
            </w:pPr>
            <w:r w:rsidRPr="009712D5">
              <w:rPr>
                <w:rStyle w:val="Bold"/>
                <w:b w:val="0"/>
                <w:szCs w:val="22"/>
              </w:rPr>
              <w:t>High.</w:t>
            </w:r>
            <w:r w:rsidRPr="009712D5">
              <w:t xml:space="preserve"> Rule-based models produce auditable reasoning paths.</w:t>
            </w:r>
          </w:p>
        </w:tc>
        <w:tc>
          <w:tcPr>
            <w:tcW w:w="3165" w:type="dxa"/>
          </w:tcPr>
          <w:p w14:paraId="52A17333" w14:textId="77777777" w:rsidR="009712D5" w:rsidRPr="009712D5" w:rsidRDefault="009712D5" w:rsidP="00EB278E">
            <w:pPr>
              <w:spacing w:after="0" w:line="240" w:lineRule="auto"/>
            </w:pPr>
            <w:r w:rsidRPr="009712D5">
              <w:rPr>
                <w:rStyle w:val="Bold"/>
                <w:b w:val="0"/>
                <w:szCs w:val="22"/>
              </w:rPr>
              <w:t>Low.</w:t>
            </w:r>
            <w:r w:rsidRPr="009712D5">
              <w:t xml:space="preserve"> Effectively black boxes.</w:t>
            </w:r>
          </w:p>
        </w:tc>
      </w:tr>
      <w:tr w:rsidR="009712D5" w:rsidRPr="009712D5" w14:paraId="4F8DA645" w14:textId="77777777" w:rsidTr="00CD2B1D">
        <w:trPr>
          <w:jc w:val="center"/>
        </w:trPr>
        <w:tc>
          <w:tcPr>
            <w:tcW w:w="3164" w:type="dxa"/>
          </w:tcPr>
          <w:p w14:paraId="5CB42FC4" w14:textId="77777777" w:rsidR="009712D5" w:rsidRPr="009712D5" w:rsidRDefault="009712D5" w:rsidP="00EB278E">
            <w:pPr>
              <w:spacing w:after="0" w:line="240" w:lineRule="auto"/>
            </w:pPr>
            <w:r w:rsidRPr="009712D5">
              <w:t>Cost</w:t>
            </w:r>
          </w:p>
        </w:tc>
        <w:tc>
          <w:tcPr>
            <w:tcW w:w="3165" w:type="dxa"/>
          </w:tcPr>
          <w:p w14:paraId="07995E07" w14:textId="77777777" w:rsidR="009712D5" w:rsidRPr="009712D5" w:rsidRDefault="009712D5" w:rsidP="00EB278E">
            <w:pPr>
              <w:spacing w:after="0" w:line="240" w:lineRule="auto"/>
            </w:pPr>
            <w:r w:rsidRPr="009712D5">
              <w:rPr>
                <w:rStyle w:val="Bold"/>
                <w:b w:val="0"/>
                <w:szCs w:val="22"/>
              </w:rPr>
              <w:t>Cheap.</w:t>
            </w:r>
            <w:r w:rsidRPr="009712D5">
              <w:t xml:space="preserve"> Local training </w:t>
            </w:r>
            <w:proofErr w:type="gramStart"/>
            <w:r w:rsidRPr="009712D5">
              <w:t>feasible</w:t>
            </w:r>
            <w:proofErr w:type="gramEnd"/>
            <w:r w:rsidRPr="009712D5">
              <w:t>. Prediction costs near-zero. Total cost is highly predictable.</w:t>
            </w:r>
          </w:p>
        </w:tc>
        <w:tc>
          <w:tcPr>
            <w:tcW w:w="3165" w:type="dxa"/>
          </w:tcPr>
          <w:p w14:paraId="21B8F4A2" w14:textId="77777777" w:rsidR="009712D5" w:rsidRPr="009712D5" w:rsidRDefault="009712D5" w:rsidP="00EB278E">
            <w:pPr>
              <w:spacing w:after="0" w:line="240" w:lineRule="auto"/>
            </w:pPr>
            <w:r w:rsidRPr="009712D5">
              <w:rPr>
                <w:rStyle w:val="Bold"/>
                <w:b w:val="0"/>
                <w:szCs w:val="22"/>
              </w:rPr>
              <w:t>Expensive.</w:t>
            </w:r>
            <w:r w:rsidRPr="009712D5">
              <w:t xml:space="preserve"> API costs accumulate rapidly at scale. Fine-tuning and hosting frontier models require large cloud budgets.</w:t>
            </w:r>
          </w:p>
        </w:tc>
      </w:tr>
      <w:tr w:rsidR="009712D5" w:rsidRPr="009712D5" w14:paraId="20BF8A64" w14:textId="77777777" w:rsidTr="00CD2B1D">
        <w:trPr>
          <w:jc w:val="center"/>
        </w:trPr>
        <w:tc>
          <w:tcPr>
            <w:tcW w:w="3164" w:type="dxa"/>
            <w:tcBorders>
              <w:bottom w:val="single" w:sz="2" w:space="0" w:color="536374" w:themeColor="text2"/>
            </w:tcBorders>
          </w:tcPr>
          <w:p w14:paraId="0830807C" w14:textId="77777777" w:rsidR="009712D5" w:rsidRPr="009712D5" w:rsidRDefault="009712D5" w:rsidP="00EB278E">
            <w:pPr>
              <w:spacing w:after="0" w:line="240" w:lineRule="auto"/>
            </w:pPr>
            <w:r w:rsidRPr="009712D5">
              <w:t>Privacy &amp; Data Sovereignty</w:t>
            </w:r>
          </w:p>
        </w:tc>
        <w:tc>
          <w:tcPr>
            <w:tcW w:w="3165" w:type="dxa"/>
            <w:tcBorders>
              <w:bottom w:val="single" w:sz="2" w:space="0" w:color="536374" w:themeColor="text2"/>
            </w:tcBorders>
          </w:tcPr>
          <w:p w14:paraId="47BDB93D" w14:textId="77777777" w:rsidR="009712D5" w:rsidRPr="009712D5" w:rsidRDefault="009712D5" w:rsidP="00EB278E">
            <w:pPr>
              <w:spacing w:after="0" w:line="240" w:lineRule="auto"/>
            </w:pPr>
            <w:r w:rsidRPr="009712D5">
              <w:rPr>
                <w:rStyle w:val="Bold"/>
                <w:b w:val="0"/>
                <w:szCs w:val="22"/>
              </w:rPr>
              <w:t>Strong.</w:t>
            </w:r>
            <w:r w:rsidRPr="009712D5">
              <w:t xml:space="preserve"> Data never leaves the device or on-prem environment. Suitable for healthcare, finance, and defence where data residency is mandatory.</w:t>
            </w:r>
          </w:p>
        </w:tc>
        <w:tc>
          <w:tcPr>
            <w:tcW w:w="3165" w:type="dxa"/>
            <w:tcBorders>
              <w:bottom w:val="single" w:sz="2" w:space="0" w:color="536374" w:themeColor="text2"/>
            </w:tcBorders>
          </w:tcPr>
          <w:p w14:paraId="547828BC" w14:textId="77777777" w:rsidR="009712D5" w:rsidRPr="009712D5" w:rsidRDefault="009712D5" w:rsidP="00EB278E">
            <w:pPr>
              <w:spacing w:after="0" w:line="240" w:lineRule="auto"/>
            </w:pPr>
            <w:r w:rsidRPr="009712D5">
              <w:rPr>
                <w:rStyle w:val="Bold"/>
                <w:b w:val="0"/>
                <w:szCs w:val="22"/>
              </w:rPr>
              <w:t>Requires governance.</w:t>
            </w:r>
            <w:r w:rsidRPr="009712D5">
              <w:t xml:space="preserve"> Cloud-based inference means sensitive data may leave organisational boundaries.</w:t>
            </w:r>
          </w:p>
        </w:tc>
      </w:tr>
    </w:tbl>
    <w:p w14:paraId="29E09CF7" w14:textId="535D3B41" w:rsidR="003369B7" w:rsidRPr="00472076" w:rsidRDefault="003369B7" w:rsidP="00472076">
      <w:pPr>
        <w:pStyle w:val="Descripcin"/>
        <w:rPr>
          <w:color w:val="808080" w:themeColor="background1" w:themeShade="80"/>
          <w:sz w:val="20"/>
          <w:szCs w:val="20"/>
        </w:rPr>
      </w:pPr>
      <w:bookmarkStart w:id="7" w:name="_Toc225917993"/>
      <w:bookmarkStart w:id="8" w:name="OrgXref.org101d54b"/>
      <w:r w:rsidRPr="00472076">
        <w:rPr>
          <w:color w:val="808080" w:themeColor="background1" w:themeShade="80"/>
          <w:sz w:val="20"/>
          <w:szCs w:val="20"/>
        </w:rPr>
        <w:t xml:space="preserve">Source: Authors’ </w:t>
      </w:r>
      <w:proofErr w:type="gramStart"/>
      <w:r w:rsidRPr="00472076">
        <w:rPr>
          <w:color w:val="808080" w:themeColor="background1" w:themeShade="80"/>
          <w:sz w:val="20"/>
          <w:szCs w:val="20"/>
        </w:rPr>
        <w:t>own</w:t>
      </w:r>
      <w:proofErr w:type="gramEnd"/>
      <w:r w:rsidRPr="00472076">
        <w:rPr>
          <w:color w:val="808080" w:themeColor="background1" w:themeShade="80"/>
          <w:sz w:val="20"/>
          <w:szCs w:val="20"/>
        </w:rPr>
        <w:t xml:space="preserve"> elaboration.</w:t>
      </w:r>
    </w:p>
    <w:p w14:paraId="286262F9" w14:textId="25BEF598" w:rsidR="00CD2B1D" w:rsidRPr="001F1B2F" w:rsidRDefault="00CD2B1D" w:rsidP="00CD2B1D">
      <w:pPr>
        <w:pStyle w:val="Ttulo2"/>
      </w:pPr>
      <w:bookmarkStart w:id="9" w:name="_Toc226730541"/>
      <w:r>
        <w:t xml:space="preserve">1.2 </w:t>
      </w:r>
      <w:r>
        <w:t>Current state and future promises</w:t>
      </w:r>
      <w:bookmarkEnd w:id="7"/>
      <w:bookmarkEnd w:id="9"/>
      <w:r>
        <w:t xml:space="preserve"> </w:t>
      </w:r>
      <w:bookmarkEnd w:id="8"/>
    </w:p>
    <w:p w14:paraId="1A637096" w14:textId="56146603" w:rsidR="009712D5" w:rsidRPr="007A7172" w:rsidRDefault="00DE5D64" w:rsidP="00B20251">
      <w:r>
        <w:t xml:space="preserve">The field of digital and AI tools is moving extremely fast </w:t>
      </w:r>
      <w:proofErr w:type="gramStart"/>
      <w:r>
        <w:t xml:space="preserve">at the </w:t>
      </w:r>
      <w:r>
        <w:t>moment</w:t>
      </w:r>
      <w:proofErr w:type="gramEnd"/>
      <w:r>
        <w:t>,</w:t>
      </w:r>
      <w:r>
        <w:t xml:space="preserve"> and new innovations often promise to solve the limitations (e.g. compute footprint, cost, environmental impact) described in this note. This note focuses on innovations and tools that have been assessed already, rather than speculating on future potential if the facts do not support it. In </w:t>
      </w:r>
      <w:r>
        <w:t>fact,</w:t>
      </w:r>
      <w:r>
        <w:t xml:space="preserve"> this is one of the recurrent themes: The promises made by technology vendors need to be assessed carefully before depending fully on any specific product. Real gains regarding efficiency and interoperability recently have not come from the vendors but from open-source communities and resource-constrained competitors. Examples for this are </w:t>
      </w:r>
      <w:r w:rsidRPr="006C5890">
        <w:t>open-source</w:t>
      </w:r>
      <w:r w:rsidRPr="006C5890">
        <w:t xml:space="preserve"> frameworks for AI agent interoperability</w:t>
      </w:r>
      <w:r>
        <w:t>, optimized more resource-efficient models (</w:t>
      </w:r>
      <w:proofErr w:type="spellStart"/>
      <w:r>
        <w:t>Deepseek</w:t>
      </w:r>
      <w:proofErr w:type="spellEnd"/>
      <w:r>
        <w:t xml:space="preserve">), locally deployable open-weight models (Llama) and model distillation (transferring capabilities from a large, complex model to a smaller more specialized one). Two examples of ongoing developments that </w:t>
      </w:r>
      <w:proofErr w:type="gramStart"/>
      <w:r>
        <w:t>have to</w:t>
      </w:r>
      <w:proofErr w:type="gramEnd"/>
      <w:r>
        <w:t xml:space="preserve"> be monitored are advances in multimodal processing and agentic systems. Multimodal processing integrates and processes multiple types of data, referred to as modalities, such as text, audio, images, or video. Agentic systems can accomplish a specific goal with limited supervision. However,</w:t>
      </w:r>
      <w:r w:rsidDel="0759BC8B">
        <w:t xml:space="preserve"> </w:t>
      </w:r>
      <w:r>
        <w:t xml:space="preserve">vendors now make the same promises as they have for the last iteration of their products and policymakers and institutions will need to verify those claims before blind adoption. Importantly, the emergence of new product cycles must not distract from the fact that the technologies discussed </w:t>
      </w:r>
      <w:proofErr w:type="gramStart"/>
      <w:r>
        <w:t>here are</w:t>
      </w:r>
      <w:proofErr w:type="gramEnd"/>
      <w:r>
        <w:t xml:space="preserve"> often failing to meet previous promises. </w:t>
      </w:r>
    </w:p>
    <w:p w14:paraId="43EB7E1F" w14:textId="5D40D0A9" w:rsidR="00000AA1" w:rsidRPr="00EE5251" w:rsidRDefault="00EA0D2A" w:rsidP="003D49B9">
      <w:pPr>
        <w:pStyle w:val="Ttulo1"/>
        <w:rPr>
          <w:lang w:val="en-CA"/>
        </w:rPr>
      </w:pPr>
      <w:bookmarkStart w:id="10" w:name="_Toc226730542"/>
      <w:r w:rsidRPr="00EE5251">
        <w:rPr>
          <w:lang w:val="en-CA"/>
        </w:rPr>
        <w:t>2</w:t>
      </w:r>
      <w:r w:rsidR="00523D61" w:rsidRPr="00EE5251">
        <w:rPr>
          <w:lang w:val="en-CA"/>
        </w:rPr>
        <w:t xml:space="preserve">. </w:t>
      </w:r>
      <w:bookmarkEnd w:id="2"/>
      <w:r w:rsidR="007A7172" w:rsidRPr="007A7172">
        <w:rPr>
          <w:lang w:val="en-CA"/>
        </w:rPr>
        <w:t>Potential benefits of digital and AI tools for food security and nutrition</w:t>
      </w:r>
      <w:bookmarkEnd w:id="10"/>
    </w:p>
    <w:p w14:paraId="527BFF70" w14:textId="57928B59" w:rsidR="00827B3D" w:rsidRDefault="00827B3D" w:rsidP="003D49B9">
      <w:pPr>
        <w:pStyle w:val="FigTabledescriptionheading"/>
        <w:spacing w:after="0"/>
        <w:rPr>
          <w:b w:val="0"/>
          <w:bCs w:val="0"/>
          <w:color w:val="000000" w:themeColor="text1"/>
          <w:lang w:val="en-CA"/>
        </w:rPr>
      </w:pPr>
      <w:bookmarkStart w:id="11" w:name="_Toc171583955"/>
      <w:bookmarkStart w:id="12" w:name="_Ref199854110"/>
      <w:bookmarkStart w:id="13" w:name="_Toc198136169"/>
      <w:r w:rsidRPr="00827B3D">
        <w:rPr>
          <w:b w:val="0"/>
          <w:bCs w:val="0"/>
          <w:color w:val="000000" w:themeColor="text1"/>
          <w:lang w:val="en-CA"/>
        </w:rPr>
        <w:t xml:space="preserve">The potential benefits of digital innovations in food systems have been widely promoted in policy and technical debates, where these technologies are commonly presented as drivers of change across production, exchange, governance, and consumption. While "leapfrogging" </w:t>
      </w:r>
      <w:r w:rsidR="008411DB" w:rsidRPr="008411DB">
        <w:rPr>
          <w:b w:val="0"/>
          <w:bCs w:val="0"/>
          <w:color w:val="000000" w:themeColor="text1"/>
        </w:rPr>
        <w:t>–</w:t>
      </w:r>
      <w:r w:rsidRPr="00827B3D">
        <w:rPr>
          <w:b w:val="0"/>
          <w:bCs w:val="0"/>
          <w:color w:val="000000" w:themeColor="text1"/>
          <w:lang w:val="en-CA"/>
        </w:rPr>
        <w:t xml:space="preserve"> the direct adoption of recent technologies without passing through intermediate stages </w:t>
      </w:r>
      <w:r w:rsidR="008411DB" w:rsidRPr="008411DB">
        <w:rPr>
          <w:b w:val="0"/>
          <w:bCs w:val="0"/>
          <w:color w:val="000000" w:themeColor="text1"/>
        </w:rPr>
        <w:t>–</w:t>
      </w:r>
      <w:r w:rsidRPr="00827B3D">
        <w:rPr>
          <w:b w:val="0"/>
          <w:bCs w:val="0"/>
          <w:color w:val="000000" w:themeColor="text1"/>
          <w:lang w:val="en-CA"/>
        </w:rPr>
        <w:t xml:space="preserve"> is observed in some contexts, the digitalization of agriculture and food production remains heavily linked to mechanization. Primary production is fundamentally physical, and AI applications in this domain depend on data collected from the physical environment </w:t>
      </w:r>
      <w:r w:rsidR="008411DB" w:rsidRPr="008411DB">
        <w:rPr>
          <w:b w:val="0"/>
          <w:bCs w:val="0"/>
          <w:color w:val="000000" w:themeColor="text1"/>
        </w:rPr>
        <w:t>–</w:t>
      </w:r>
      <w:r w:rsidRPr="00827B3D">
        <w:rPr>
          <w:b w:val="0"/>
          <w:bCs w:val="0"/>
          <w:color w:val="000000" w:themeColor="text1"/>
          <w:lang w:val="en-CA"/>
        </w:rPr>
        <w:t xml:space="preserve"> through sensors embedded in machinery such as irrigation systems, </w:t>
      </w:r>
      <w:r w:rsidRPr="00827B3D">
        <w:rPr>
          <w:b w:val="0"/>
          <w:bCs w:val="0"/>
          <w:color w:val="000000" w:themeColor="text1"/>
          <w:lang w:val="en-CA"/>
        </w:rPr>
        <w:t>agrivoltaics</w:t>
      </w:r>
      <w:r w:rsidRPr="00827B3D">
        <w:rPr>
          <w:b w:val="0"/>
          <w:bCs w:val="0"/>
          <w:color w:val="000000" w:themeColor="text1"/>
          <w:lang w:val="en-CA"/>
        </w:rPr>
        <w:t xml:space="preserve"> installations, or tractors. These sensors increasingly carry edge computing capability, allowing them to run specific-purpose AI models on site. </w:t>
      </w:r>
    </w:p>
    <w:p w14:paraId="24E1C3D9" w14:textId="4C1331CA" w:rsidR="00827B3D" w:rsidRDefault="00827B3D" w:rsidP="003D49B9">
      <w:pPr>
        <w:pStyle w:val="FigTabledescriptionheading"/>
        <w:spacing w:after="0"/>
        <w:rPr>
          <w:b w:val="0"/>
          <w:bCs w:val="0"/>
          <w:color w:val="000000" w:themeColor="text1"/>
          <w:lang w:val="en-CA"/>
        </w:rPr>
      </w:pPr>
      <w:r w:rsidRPr="00827B3D">
        <w:rPr>
          <w:b w:val="0"/>
          <w:bCs w:val="0"/>
          <w:color w:val="000000" w:themeColor="text1"/>
          <w:lang w:val="en-CA"/>
        </w:rPr>
        <w:t xml:space="preserve">A recent survey of a decade of agricultural AI research by INRAE (INRAE, 2026) confirms that most solutions have clear problem statements and specific-purpose approaches at heart. The central observation is not that specific-purpose tools predominate, but that a precise problem statement typically warrants them as the simplest and most reliable response. In some cases </w:t>
      </w:r>
      <w:r w:rsidR="008411DB" w:rsidRPr="008411DB">
        <w:rPr>
          <w:b w:val="0"/>
          <w:bCs w:val="0"/>
          <w:color w:val="000000" w:themeColor="text1"/>
        </w:rPr>
        <w:t>–</w:t>
      </w:r>
      <w:r w:rsidRPr="00827B3D">
        <w:rPr>
          <w:b w:val="0"/>
          <w:bCs w:val="0"/>
          <w:color w:val="000000" w:themeColor="text1"/>
          <w:lang w:val="en-CA"/>
        </w:rPr>
        <w:t xml:space="preserve"> communicating results with non-technical end users, bridging the "last mile" between humans and machines, or combining heterogeneous data modalities </w:t>
      </w:r>
      <w:r w:rsidR="008411DB" w:rsidRPr="008411DB">
        <w:rPr>
          <w:b w:val="0"/>
          <w:bCs w:val="0"/>
          <w:color w:val="000000" w:themeColor="text1"/>
        </w:rPr>
        <w:t>–</w:t>
      </w:r>
      <w:r w:rsidRPr="00827B3D">
        <w:rPr>
          <w:b w:val="0"/>
          <w:bCs w:val="0"/>
          <w:color w:val="000000" w:themeColor="text1"/>
          <w:lang w:val="en-CA"/>
        </w:rPr>
        <w:t xml:space="preserve"> Generalist AI offers clear advantages. Yet even in these applications, effectiveness depends on precise problem framing, making Generalist AI, in practice, less general-purpose than the label implies. In food systems, agentic systems could eventually coordinate logistics, procurement, and risk assessment across fragmented supply chains. However, as noted in the introduction, meaningful deployment remains rare, and the accountability, reliability, and bias concerns that accompany simpler AI tools are amplified when systems act with greater autonomy. Many of the examples mentioned below coordinate multiple AI systems, but don't do so fully independently. </w:t>
      </w:r>
    </w:p>
    <w:p w14:paraId="53720514" w14:textId="19F69CFA" w:rsidR="002F4DE6" w:rsidRPr="00A02082" w:rsidRDefault="002F4DE6" w:rsidP="002F4DE6">
      <w:pPr>
        <w:pStyle w:val="Ttulo2"/>
      </w:pPr>
      <w:bookmarkStart w:id="14" w:name="_Toc225917995"/>
      <w:bookmarkStart w:id="15" w:name="OrgXref.org0886453"/>
      <w:bookmarkStart w:id="16" w:name="_Toc226730543"/>
      <w:r w:rsidRPr="00A02082">
        <w:t>2.</w:t>
      </w:r>
      <w:r w:rsidR="00815EC4" w:rsidRPr="00A02082">
        <w:t>1</w:t>
      </w:r>
      <w:r w:rsidRPr="00A02082">
        <w:t xml:space="preserve"> </w:t>
      </w:r>
      <w:r w:rsidRPr="00A02082">
        <w:t>Resource-efficient production</w:t>
      </w:r>
      <w:bookmarkEnd w:id="14"/>
      <w:bookmarkEnd w:id="16"/>
      <w:r w:rsidRPr="00A02082">
        <w:t xml:space="preserve"> </w:t>
      </w:r>
      <w:bookmarkEnd w:id="15"/>
    </w:p>
    <w:p w14:paraId="7FD8BDD7" w14:textId="77777777" w:rsidR="00A06ACF" w:rsidRDefault="00A02082" w:rsidP="00A02082">
      <w:pPr>
        <w:pStyle w:val="FigTabledescriptionheading"/>
        <w:spacing w:after="0"/>
        <w:rPr>
          <w:b w:val="0"/>
          <w:bCs w:val="0"/>
          <w:color w:val="000000" w:themeColor="text1"/>
          <w:lang w:val="en-CA"/>
        </w:rPr>
      </w:pPr>
      <w:r w:rsidRPr="00A02082">
        <w:rPr>
          <w:b w:val="0"/>
          <w:bCs w:val="0"/>
          <w:color w:val="000000" w:themeColor="text1"/>
          <w:lang w:val="en-CA"/>
        </w:rPr>
        <w:t xml:space="preserve">Digital innovations are increasingly applied to improve the efficiency and resilience of primary production (crops, livestock, fisheries and aquaculture), notably through decision support systems, monitoring and automation. The most credible near-term benefits for food security arise where these tools are embedded in existing supply chains (e.g. optimizing existing irrigation- or agrivoltaics systems). </w:t>
      </w:r>
    </w:p>
    <w:p w14:paraId="7E0EDDDD" w14:textId="47CF8972" w:rsidR="00A02082" w:rsidRPr="00A02082" w:rsidRDefault="00A02082" w:rsidP="00A02082">
      <w:pPr>
        <w:pStyle w:val="FigTabledescriptionheading"/>
        <w:spacing w:after="0"/>
        <w:rPr>
          <w:b w:val="0"/>
          <w:bCs w:val="0"/>
          <w:color w:val="000000" w:themeColor="text1"/>
          <w:lang w:val="en-CA"/>
        </w:rPr>
      </w:pPr>
      <w:r w:rsidRPr="00A02082">
        <w:rPr>
          <w:b w:val="0"/>
          <w:bCs w:val="0"/>
          <w:color w:val="000000" w:themeColor="text1"/>
          <w:lang w:val="en-CA"/>
        </w:rPr>
        <w:t xml:space="preserve">Accordingly, the benefits of the technologies mentioned are conditional; they depend on the local capacity such as energy and telecommunications infrastructure, maintenance capacity, as well as the level of mechanization and digital literacy amongst primary producers. </w:t>
      </w:r>
    </w:p>
    <w:p w14:paraId="467D63FF" w14:textId="77777777" w:rsidR="002F4DE6" w:rsidRPr="00A02082" w:rsidRDefault="002F4DE6" w:rsidP="003D49B9">
      <w:pPr>
        <w:pStyle w:val="FigTabledescriptionheading"/>
        <w:spacing w:after="0"/>
        <w:rPr>
          <w:b w:val="0"/>
          <w:bCs w:val="0"/>
          <w:color w:val="000000" w:themeColor="text1"/>
          <w:lang w:val="en-CA"/>
        </w:rPr>
      </w:pPr>
    </w:p>
    <w:p w14:paraId="72A3AD9A" w14:textId="0EC05C47" w:rsidR="00B05DAC" w:rsidRPr="00B05DAC" w:rsidRDefault="00B05DAC" w:rsidP="00EE6D74">
      <w:pPr>
        <w:pStyle w:val="Ttulo3"/>
        <w:ind w:left="0"/>
      </w:pPr>
      <w:bookmarkStart w:id="17" w:name="_Toc225917996"/>
      <w:bookmarkStart w:id="18" w:name="_Toc226730544"/>
      <w:r>
        <w:t>2.</w:t>
      </w:r>
      <w:r w:rsidR="00EE6D74">
        <w:t>1.1</w:t>
      </w:r>
      <w:r>
        <w:t xml:space="preserve"> </w:t>
      </w:r>
      <w:r>
        <w:t>Precision farming</w:t>
      </w:r>
      <w:bookmarkEnd w:id="17"/>
      <w:bookmarkEnd w:id="18"/>
    </w:p>
    <w:p w14:paraId="54870227" w14:textId="77777777" w:rsidR="00AC5220" w:rsidRDefault="00AC5220" w:rsidP="00AC5220">
      <w:r>
        <w:t>A prominent set of applications focuses on decision support for producers and advisors: irrigation scheduling, fertilizer and pesticide optimization, forage and pasture planning and animal health and welfare monitoring. Another innovation cluster concerns mechanization and automation, ranging from precision sprayers and weeding technologies to drones and robotics for monitoring and targeted operations. In mechanization, the more realistic near-term pathway is not individual ownership, but shared-access and service models for mechanized tools (leasing, contractor services or cooperative ownership</w:t>
      </w:r>
      <w:r>
        <w:t>).</w:t>
      </w:r>
      <w:r>
        <w:t xml:space="preserve"> Digital platforms can help match demand and supply for equipment services, schedule maintenance, and lower transaction costs; AI-enabled perception systems can also upgrade non-smart machines through add-on sensors, sometimes in the form of smartphones. </w:t>
      </w:r>
    </w:p>
    <w:p w14:paraId="5A6A80D6" w14:textId="7CC769F8" w:rsidR="00AC5220" w:rsidRPr="00BF21DB" w:rsidRDefault="00AC5220" w:rsidP="00BF21DB">
      <w:pPr>
        <w:pStyle w:val="FigTabledescriptionheading"/>
        <w:spacing w:after="0"/>
        <w:rPr>
          <w:lang w:val="en-CA"/>
        </w:rPr>
      </w:pPr>
      <w:r w:rsidRPr="00BF21DB">
        <w:rPr>
          <w:lang w:val="en-CA"/>
        </w:rPr>
        <w:t xml:space="preserve">Table </w:t>
      </w:r>
      <w:r w:rsidRPr="00BF21DB">
        <w:rPr>
          <w:lang w:val="en-CA"/>
        </w:rPr>
        <w:t>2:</w:t>
      </w:r>
      <w:r w:rsidRPr="00BF21DB">
        <w:rPr>
          <w:lang w:val="en-CA"/>
        </w:rPr>
        <w:t xml:space="preserve"> examples of specific purpose AI used for precision farming</w:t>
      </w:r>
    </w:p>
    <w:tbl>
      <w:tblPr>
        <w:tblW w:w="4933" w:type="pct"/>
        <w:jc w:val="center"/>
        <w:tblLayout w:type="fixed"/>
        <w:tblCellMar>
          <w:top w:w="90" w:type="dxa"/>
          <w:left w:w="90" w:type="dxa"/>
          <w:bottom w:w="90" w:type="dxa"/>
          <w:right w:w="90" w:type="dxa"/>
        </w:tblCellMar>
        <w:tblLook w:val="04A0" w:firstRow="1" w:lastRow="0" w:firstColumn="1" w:lastColumn="0" w:noHBand="0" w:noVBand="1"/>
      </w:tblPr>
      <w:tblGrid>
        <w:gridCol w:w="4726"/>
        <w:gridCol w:w="5031"/>
      </w:tblGrid>
      <w:tr w:rsidR="00406BD7" w:rsidRPr="00BA2849" w14:paraId="540F5F7B" w14:textId="77777777" w:rsidTr="00F4668A">
        <w:trPr>
          <w:trHeight w:val="359"/>
          <w:tblHeader/>
          <w:jc w:val="center"/>
        </w:trPr>
        <w:tc>
          <w:tcPr>
            <w:tcW w:w="4726" w:type="dxa"/>
            <w:tcBorders>
              <w:top w:val="single" w:sz="2" w:space="0" w:color="536374" w:themeColor="text2"/>
              <w:bottom w:val="single" w:sz="4" w:space="0" w:color="auto"/>
            </w:tcBorders>
          </w:tcPr>
          <w:p w14:paraId="71EA5DFA" w14:textId="77777777" w:rsidR="00BA2849" w:rsidRPr="00DA3A98" w:rsidRDefault="00BA2849" w:rsidP="00EB278E">
            <w:pPr>
              <w:spacing w:after="0" w:line="240" w:lineRule="auto"/>
              <w:rPr>
                <w:b/>
                <w:bCs/>
              </w:rPr>
            </w:pPr>
            <w:r w:rsidRPr="00DA3A98">
              <w:rPr>
                <w:b/>
                <w:bCs/>
              </w:rPr>
              <w:t>Name</w:t>
            </w:r>
          </w:p>
        </w:tc>
        <w:tc>
          <w:tcPr>
            <w:tcW w:w="5031" w:type="dxa"/>
            <w:tcBorders>
              <w:top w:val="single" w:sz="2" w:space="0" w:color="536374" w:themeColor="text2"/>
              <w:bottom w:val="single" w:sz="4" w:space="0" w:color="auto"/>
            </w:tcBorders>
          </w:tcPr>
          <w:p w14:paraId="47243B9A" w14:textId="77777777" w:rsidR="00BA2849" w:rsidRPr="00DA3A98" w:rsidRDefault="00BA2849" w:rsidP="00EB278E">
            <w:pPr>
              <w:spacing w:after="0" w:line="240" w:lineRule="auto"/>
              <w:rPr>
                <w:b/>
                <w:bCs/>
              </w:rPr>
            </w:pPr>
            <w:r w:rsidRPr="00DA3A98">
              <w:rPr>
                <w:b/>
                <w:bCs/>
              </w:rPr>
              <w:t>Description</w:t>
            </w:r>
          </w:p>
        </w:tc>
      </w:tr>
      <w:tr w:rsidR="00406BD7" w:rsidRPr="00BA2849" w14:paraId="575D5AE6" w14:textId="77777777" w:rsidTr="00F4668A">
        <w:trPr>
          <w:jc w:val="center"/>
        </w:trPr>
        <w:tc>
          <w:tcPr>
            <w:tcW w:w="4726" w:type="dxa"/>
            <w:tcBorders>
              <w:top w:val="single" w:sz="4" w:space="0" w:color="auto"/>
            </w:tcBorders>
          </w:tcPr>
          <w:p w14:paraId="6CCED809" w14:textId="77777777" w:rsidR="00BA2849" w:rsidRPr="00BA2849" w:rsidRDefault="00BA2849" w:rsidP="00EB278E">
            <w:pPr>
              <w:spacing w:after="0" w:line="240" w:lineRule="auto"/>
            </w:pPr>
            <w:r w:rsidRPr="00BA2849">
              <w:t xml:space="preserve">Uber for tractor businesses (e.g. </w:t>
            </w:r>
            <w:proofErr w:type="spellStart"/>
            <w:r w:rsidRPr="00BA2849">
              <w:t>HelloTractor</w:t>
            </w:r>
            <w:proofErr w:type="spellEnd"/>
            <w:r w:rsidRPr="00BA2849">
              <w:t>)</w:t>
            </w:r>
          </w:p>
        </w:tc>
        <w:tc>
          <w:tcPr>
            <w:tcW w:w="5031" w:type="dxa"/>
            <w:tcBorders>
              <w:top w:val="single" w:sz="4" w:space="0" w:color="auto"/>
            </w:tcBorders>
          </w:tcPr>
          <w:p w14:paraId="5642AFC1" w14:textId="77777777" w:rsidR="00BA2849" w:rsidRPr="00BA2849" w:rsidRDefault="00BA2849" w:rsidP="00EB278E">
            <w:pPr>
              <w:spacing w:after="0" w:line="240" w:lineRule="auto"/>
            </w:pPr>
            <w:r w:rsidRPr="00BA2849">
              <w:t xml:space="preserve">Platform and for on-demand equipment access using an app. Enables demand planning and pooling, combination with satellite data and sensors measure area served and maintenance needs. </w:t>
            </w:r>
            <w:bookmarkStart w:id="19" w:name="ZOTERO_BREF_Vqy6poCPqSbN"/>
            <w:r w:rsidRPr="00BA2849">
              <w:rPr>
                <w:rFonts w:cs="Tahoma"/>
                <w:kern w:val="2"/>
              </w:rPr>
              <w:t>(Daum et al., 2021)</w:t>
            </w:r>
            <w:bookmarkEnd w:id="19"/>
          </w:p>
        </w:tc>
      </w:tr>
      <w:tr w:rsidR="00BA2849" w:rsidRPr="00BA2849" w14:paraId="0F5ABDA4" w14:textId="77777777" w:rsidTr="00BA2849">
        <w:trPr>
          <w:jc w:val="center"/>
        </w:trPr>
        <w:tc>
          <w:tcPr>
            <w:tcW w:w="4726" w:type="dxa"/>
          </w:tcPr>
          <w:p w14:paraId="337516F3" w14:textId="77777777" w:rsidR="00BA2849" w:rsidRPr="00BA2849" w:rsidRDefault="00BA2849" w:rsidP="00EB278E">
            <w:pPr>
              <w:spacing w:after="0" w:line="240" w:lineRule="auto"/>
            </w:pPr>
            <w:proofErr w:type="spellStart"/>
            <w:r w:rsidRPr="00BA2849">
              <w:t>Farmonaut</w:t>
            </w:r>
            <w:proofErr w:type="spellEnd"/>
          </w:p>
        </w:tc>
        <w:tc>
          <w:tcPr>
            <w:tcW w:w="5031" w:type="dxa"/>
          </w:tcPr>
          <w:p w14:paraId="2DFE499C" w14:textId="77777777" w:rsidR="00BA2849" w:rsidRPr="00BA2849" w:rsidRDefault="00BA2849" w:rsidP="00EB278E">
            <w:pPr>
              <w:spacing w:after="0" w:line="240" w:lineRule="auto"/>
            </w:pPr>
            <w:r w:rsidRPr="00BA2849">
              <w:t xml:space="preserve">Modular machine learning pipelines analyzing multispectral satellite imagery. Yield prediction accuracy up to 95% when compared to post-harvest ground truth. </w:t>
            </w:r>
            <w:bookmarkStart w:id="20" w:name="ZOTERO_BREF_kjIZ744Fz9v7"/>
            <w:r w:rsidRPr="00BA2849">
              <w:rPr>
                <w:rFonts w:cs="Tahoma"/>
              </w:rPr>
              <w:t xml:space="preserve">(Patel, 2025; </w:t>
            </w:r>
            <w:proofErr w:type="spellStart"/>
            <w:r w:rsidRPr="00BA2849">
              <w:rPr>
                <w:rFonts w:cs="Tahoma"/>
              </w:rPr>
              <w:t>Farmonaut</w:t>
            </w:r>
            <w:proofErr w:type="spellEnd"/>
            <w:r w:rsidRPr="00BA2849">
              <w:rPr>
                <w:rFonts w:cs="Tahoma"/>
              </w:rPr>
              <w:t>, 2026)</w:t>
            </w:r>
            <w:bookmarkEnd w:id="20"/>
          </w:p>
        </w:tc>
      </w:tr>
      <w:tr w:rsidR="00BA2849" w:rsidRPr="00BA2849" w14:paraId="33167C17" w14:textId="77777777" w:rsidTr="00BA2849">
        <w:trPr>
          <w:jc w:val="center"/>
        </w:trPr>
        <w:tc>
          <w:tcPr>
            <w:tcW w:w="4726" w:type="dxa"/>
          </w:tcPr>
          <w:p w14:paraId="2729F97F" w14:textId="77777777" w:rsidR="00BA2849" w:rsidRPr="00BA2849" w:rsidRDefault="00BA2849" w:rsidP="00EB278E">
            <w:pPr>
              <w:spacing w:after="0" w:line="240" w:lineRule="auto"/>
            </w:pPr>
            <w:r w:rsidRPr="00BA2849">
              <w:t xml:space="preserve">Plant disease detection (e.g. </w:t>
            </w:r>
            <w:proofErr w:type="spellStart"/>
            <w:r w:rsidRPr="00BA2849">
              <w:t>Plantix</w:t>
            </w:r>
            <w:proofErr w:type="spellEnd"/>
            <w:r w:rsidRPr="00BA2849">
              <w:t xml:space="preserve">, </w:t>
            </w:r>
            <w:proofErr w:type="spellStart"/>
            <w:r w:rsidRPr="00BA2849">
              <w:t>PlantVillageNuru</w:t>
            </w:r>
            <w:proofErr w:type="spellEnd"/>
            <w:r w:rsidRPr="00BA2849">
              <w:t>)</w:t>
            </w:r>
          </w:p>
        </w:tc>
        <w:tc>
          <w:tcPr>
            <w:tcW w:w="5031" w:type="dxa"/>
          </w:tcPr>
          <w:p w14:paraId="10554A77" w14:textId="77777777" w:rsidR="00BA2849" w:rsidRPr="00BA2849" w:rsidRDefault="00BA2849" w:rsidP="00EB278E">
            <w:pPr>
              <w:spacing w:after="0" w:line="240" w:lineRule="auto"/>
            </w:pPr>
            <w:r w:rsidRPr="00BA2849">
              <w:t xml:space="preserve">Phone apps </w:t>
            </w:r>
            <w:proofErr w:type="gramStart"/>
            <w:r w:rsidRPr="00BA2849">
              <w:t>using</w:t>
            </w:r>
            <w:proofErr w:type="gramEnd"/>
            <w:r w:rsidRPr="00BA2849">
              <w:t xml:space="preserve"> computer vision and machine learning to detect plant diseases based on photos. Often requires internet connectivity. </w:t>
            </w:r>
            <w:proofErr w:type="gramStart"/>
            <w:r w:rsidRPr="00BA2849">
              <w:t>Generally</w:t>
            </w:r>
            <w:proofErr w:type="gramEnd"/>
            <w:r w:rsidRPr="00BA2849">
              <w:t xml:space="preserve"> disease detection </w:t>
            </w:r>
            <w:proofErr w:type="gramStart"/>
            <w:r w:rsidRPr="00BA2849">
              <w:t>accuracies</w:t>
            </w:r>
            <w:proofErr w:type="gramEnd"/>
            <w:r w:rsidRPr="00BA2849">
              <w:t xml:space="preserve"> around 70-85% are reported. </w:t>
            </w:r>
            <w:bookmarkStart w:id="21" w:name="ZOTERO_BREF_n04Vm1DGCvVQ"/>
            <w:r w:rsidRPr="00BA2849">
              <w:rPr>
                <w:rFonts w:cs="Tahoma"/>
                <w:kern w:val="2"/>
              </w:rPr>
              <w:t>(Ng et al., 2021; Ramcharan et al., 2017; Shafay et al., 2025)</w:t>
            </w:r>
            <w:bookmarkEnd w:id="21"/>
          </w:p>
        </w:tc>
      </w:tr>
      <w:tr w:rsidR="00BA2849" w:rsidRPr="00BA2849" w14:paraId="4552682E" w14:textId="77777777" w:rsidTr="00DA3A98">
        <w:trPr>
          <w:jc w:val="center"/>
        </w:trPr>
        <w:tc>
          <w:tcPr>
            <w:tcW w:w="4726" w:type="dxa"/>
          </w:tcPr>
          <w:p w14:paraId="00A3556D" w14:textId="77777777" w:rsidR="00BA2849" w:rsidRPr="00BA2849" w:rsidRDefault="00BA2849" w:rsidP="00EB278E">
            <w:pPr>
              <w:spacing w:after="0" w:line="240" w:lineRule="auto"/>
            </w:pPr>
            <w:proofErr w:type="spellStart"/>
            <w:r w:rsidRPr="00BA2849">
              <w:t>Acquaculture</w:t>
            </w:r>
            <w:proofErr w:type="spellEnd"/>
            <w:r w:rsidRPr="00BA2849">
              <w:t xml:space="preserve"> monitoring (e.g. salmon farming in Chile and Norway</w:t>
            </w:r>
            <w:r w:rsidRPr="00BA2849" w:rsidDel="00C959B8">
              <w:t xml:space="preserve"> </w:t>
            </w:r>
            <w:bookmarkStart w:id="22" w:name="ZOTERO_BREF_kdUzMFepGOdq"/>
            <w:r w:rsidRPr="00BA2849">
              <w:rPr>
                <w:rFonts w:cs="Times New Roman"/>
              </w:rPr>
              <w:t>(Christian Molinari, 2025)</w:t>
            </w:r>
            <w:bookmarkEnd w:id="22"/>
            <w:r w:rsidRPr="00BA2849">
              <w:t>)</w:t>
            </w:r>
          </w:p>
        </w:tc>
        <w:tc>
          <w:tcPr>
            <w:tcW w:w="5031" w:type="dxa"/>
          </w:tcPr>
          <w:p w14:paraId="1510ECA0" w14:textId="77777777" w:rsidR="00BA2849" w:rsidRPr="00BA2849" w:rsidRDefault="00BA2849" w:rsidP="00EB278E">
            <w:pPr>
              <w:spacing w:after="0" w:line="240" w:lineRule="auto"/>
            </w:pPr>
            <w:r w:rsidRPr="00BA2849">
              <w:t xml:space="preserve">AI </w:t>
            </w:r>
            <w:proofErr w:type="gramStart"/>
            <w:r w:rsidRPr="00BA2849">
              <w:t>monitoring of</w:t>
            </w:r>
            <w:proofErr w:type="gramEnd"/>
            <w:r w:rsidRPr="00BA2849">
              <w:t xml:space="preserve"> fish feeding, fish wellbeing and water quality in aquaculture. </w:t>
            </w:r>
            <w:proofErr w:type="gramStart"/>
            <w:r w:rsidRPr="00BA2849">
              <w:t>machine</w:t>
            </w:r>
            <w:proofErr w:type="gramEnd"/>
            <w:r w:rsidRPr="00BA2849">
              <w:t xml:space="preserve"> learning performs well in many of these areas, while deep learning</w:t>
            </w:r>
            <w:r w:rsidRPr="00BA2849">
              <w:footnoteReference w:id="5"/>
            </w:r>
            <w:r w:rsidRPr="00BA2849">
              <w:t xml:space="preserve"> and generative AI has increased performance (e.g. more reliable 3D-tracking of individual fish.) </w:t>
            </w:r>
            <w:bookmarkStart w:id="23" w:name="ZOTERO_BREF_0m6zf0L0mbcZ"/>
            <w:r w:rsidRPr="00BA2849">
              <w:rPr>
                <w:rFonts w:cs="Tahoma"/>
                <w:kern w:val="2"/>
              </w:rPr>
              <w:t xml:space="preserve">(Fini et al., 2025; </w:t>
            </w:r>
            <w:proofErr w:type="spellStart"/>
            <w:r w:rsidRPr="00BA2849">
              <w:rPr>
                <w:rFonts w:cs="Tahoma"/>
                <w:kern w:val="2"/>
              </w:rPr>
              <w:t>O’Donncha</w:t>
            </w:r>
            <w:proofErr w:type="spellEnd"/>
            <w:r w:rsidRPr="00BA2849">
              <w:rPr>
                <w:rFonts w:cs="Tahoma"/>
                <w:kern w:val="2"/>
              </w:rPr>
              <w:t xml:space="preserve"> et al., 2021)</w:t>
            </w:r>
            <w:bookmarkEnd w:id="23"/>
          </w:p>
        </w:tc>
      </w:tr>
      <w:tr w:rsidR="00BA2849" w:rsidRPr="00BA2849" w14:paraId="35C795E9" w14:textId="77777777" w:rsidTr="00BA2849">
        <w:trPr>
          <w:jc w:val="center"/>
        </w:trPr>
        <w:tc>
          <w:tcPr>
            <w:tcW w:w="4726" w:type="dxa"/>
          </w:tcPr>
          <w:p w14:paraId="05737894" w14:textId="77777777" w:rsidR="00BA2849" w:rsidRPr="00BA2849" w:rsidRDefault="00BA2849" w:rsidP="00EB278E">
            <w:pPr>
              <w:spacing w:after="0" w:line="240" w:lineRule="auto"/>
            </w:pPr>
            <w:r w:rsidRPr="00BA2849">
              <w:t xml:space="preserve">Integrated </w:t>
            </w:r>
            <w:r w:rsidRPr="00DA3A98">
              <w:t>sensors IoT</w:t>
            </w:r>
            <w:r w:rsidRPr="00DA3A98">
              <w:br/>
              <w:t xml:space="preserve">(e.g. </w:t>
            </w:r>
            <w:proofErr w:type="spellStart"/>
            <w:r w:rsidRPr="00DA3A98">
              <w:t>Zenvus</w:t>
            </w:r>
            <w:proofErr w:type="spellEnd"/>
            <w:r w:rsidRPr="00DA3A98">
              <w:t>)</w:t>
            </w:r>
          </w:p>
        </w:tc>
        <w:tc>
          <w:tcPr>
            <w:tcW w:w="5031" w:type="dxa"/>
          </w:tcPr>
          <w:p w14:paraId="39E5890D" w14:textId="77777777" w:rsidR="00BA2849" w:rsidRPr="00BA2849" w:rsidRDefault="00BA2849" w:rsidP="00EB278E">
            <w:pPr>
              <w:spacing w:after="0" w:line="240" w:lineRule="auto"/>
            </w:pPr>
            <w:r w:rsidRPr="00BA2849">
              <w:t xml:space="preserve">IoT sensors coupled with traditional machine learning analysis </w:t>
            </w:r>
            <w:proofErr w:type="gramStart"/>
            <w:r w:rsidRPr="00BA2849">
              <w:t>performs</w:t>
            </w:r>
            <w:proofErr w:type="gramEnd"/>
            <w:r w:rsidRPr="00BA2849">
              <w:t xml:space="preserve"> well in crop recommendation and soil health monitoring. </w:t>
            </w:r>
            <w:bookmarkStart w:id="24" w:name="ZOTERO_BREF_6elgKUU40uKv"/>
            <w:r w:rsidRPr="00BA2849">
              <w:rPr>
                <w:rFonts w:cs="Times New Roman"/>
              </w:rPr>
              <w:t xml:space="preserve">(Islam </w:t>
            </w:r>
            <w:r w:rsidRPr="00BA2849">
              <w:rPr>
                <w:rFonts w:cs="Times New Roman"/>
                <w:i/>
                <w:iCs/>
              </w:rPr>
              <w:t>et al.</w:t>
            </w:r>
            <w:r w:rsidRPr="00BA2849">
              <w:rPr>
                <w:rFonts w:cs="Times New Roman"/>
              </w:rPr>
              <w:t>, 2023)</w:t>
            </w:r>
            <w:bookmarkEnd w:id="24"/>
          </w:p>
        </w:tc>
      </w:tr>
      <w:tr w:rsidR="00BA2849" w:rsidRPr="00BA2849" w14:paraId="45C5BF2C" w14:textId="77777777" w:rsidTr="00BA2849">
        <w:trPr>
          <w:trHeight w:val="300"/>
          <w:jc w:val="center"/>
        </w:trPr>
        <w:tc>
          <w:tcPr>
            <w:tcW w:w="4726" w:type="dxa"/>
          </w:tcPr>
          <w:p w14:paraId="44CECB7C" w14:textId="77777777" w:rsidR="00BA2849" w:rsidRPr="00BA2849" w:rsidRDefault="00BA2849" w:rsidP="00EB278E">
            <w:pPr>
              <w:spacing w:after="0" w:line="240" w:lineRule="auto"/>
            </w:pPr>
            <w:r w:rsidRPr="00BA2849">
              <w:t>Farming drones (e.g. XAG, DJI)</w:t>
            </w:r>
          </w:p>
        </w:tc>
        <w:tc>
          <w:tcPr>
            <w:tcW w:w="5031" w:type="dxa"/>
          </w:tcPr>
          <w:p w14:paraId="4C612498" w14:textId="77777777" w:rsidR="00BA2849" w:rsidRPr="00BA2849" w:rsidRDefault="00BA2849" w:rsidP="00EB278E">
            <w:pPr>
              <w:spacing w:after="0" w:line="240" w:lineRule="auto"/>
            </w:pPr>
            <w:r w:rsidRPr="00BA2849">
              <w:t xml:space="preserve">Computer vision, AI flight control, machine learning and deep learning-controlled variable-rate spraying. Reported 46-75% decrease in pesticide use. </w:t>
            </w:r>
            <w:bookmarkStart w:id="25" w:name="ZOTERO_BREF_5XrSlzBlVFgb"/>
            <w:r w:rsidRPr="00BA2849">
              <w:rPr>
                <w:rFonts w:cs="Times New Roman"/>
              </w:rPr>
              <w:t xml:space="preserve">(Li </w:t>
            </w:r>
            <w:r w:rsidRPr="00BA2849">
              <w:rPr>
                <w:rFonts w:cs="Times New Roman"/>
                <w:i/>
                <w:iCs/>
              </w:rPr>
              <w:t>et al.</w:t>
            </w:r>
            <w:r w:rsidRPr="00BA2849">
              <w:rPr>
                <w:rFonts w:cs="Times New Roman"/>
              </w:rPr>
              <w:t xml:space="preserve">, 2025; Zhu </w:t>
            </w:r>
            <w:r w:rsidRPr="00BA2849">
              <w:rPr>
                <w:rFonts w:cs="Times New Roman"/>
                <w:i/>
                <w:iCs/>
              </w:rPr>
              <w:t>et al.</w:t>
            </w:r>
            <w:r w:rsidRPr="00BA2849">
              <w:rPr>
                <w:rFonts w:cs="Times New Roman"/>
              </w:rPr>
              <w:t>, 2024)</w:t>
            </w:r>
            <w:bookmarkEnd w:id="25"/>
          </w:p>
        </w:tc>
      </w:tr>
      <w:tr w:rsidR="00BA2849" w:rsidRPr="00BA2849" w14:paraId="32C7BBC2" w14:textId="77777777" w:rsidTr="00DA3A98">
        <w:trPr>
          <w:trHeight w:val="300"/>
          <w:jc w:val="center"/>
        </w:trPr>
        <w:tc>
          <w:tcPr>
            <w:tcW w:w="4726" w:type="dxa"/>
            <w:tcBorders>
              <w:bottom w:val="single" w:sz="4" w:space="0" w:color="auto"/>
            </w:tcBorders>
          </w:tcPr>
          <w:p w14:paraId="4E43E0A9" w14:textId="77777777" w:rsidR="00BA2849" w:rsidRPr="00BA2849" w:rsidRDefault="00BA2849" w:rsidP="00EB278E">
            <w:pPr>
              <w:spacing w:after="0" w:line="240" w:lineRule="auto"/>
            </w:pPr>
            <w:r w:rsidRPr="00BA2849">
              <w:t xml:space="preserve">LLM-based advisory for farmers (e.g. </w:t>
            </w:r>
            <w:proofErr w:type="spellStart"/>
            <w:r w:rsidRPr="00BA2849">
              <w:t>Farmer.Chat</w:t>
            </w:r>
            <w:proofErr w:type="spellEnd"/>
            <w:r w:rsidRPr="00BA2849">
              <w:t xml:space="preserve">, Kisan e-Mitra, </w:t>
            </w:r>
            <w:proofErr w:type="spellStart"/>
            <w:r w:rsidRPr="00BA2849">
              <w:t>UlangiziAI</w:t>
            </w:r>
            <w:proofErr w:type="spellEnd"/>
            <w:r w:rsidRPr="00BA2849">
              <w:t xml:space="preserve">, </w:t>
            </w:r>
            <w:proofErr w:type="spellStart"/>
            <w:r w:rsidRPr="00BA2849">
              <w:t>AgriLLM</w:t>
            </w:r>
            <w:proofErr w:type="spellEnd"/>
            <w:r w:rsidRPr="00BA2849">
              <w:t>)</w:t>
            </w:r>
          </w:p>
          <w:p w14:paraId="1D0E9FE5" w14:textId="77777777" w:rsidR="00BA2849" w:rsidRPr="00BA2849" w:rsidRDefault="00BA2849" w:rsidP="00EB278E">
            <w:pPr>
              <w:spacing w:after="0" w:line="240" w:lineRule="auto"/>
            </w:pPr>
          </w:p>
        </w:tc>
        <w:tc>
          <w:tcPr>
            <w:tcW w:w="5031" w:type="dxa"/>
            <w:tcBorders>
              <w:bottom w:val="single" w:sz="4" w:space="0" w:color="auto"/>
            </w:tcBorders>
          </w:tcPr>
          <w:p w14:paraId="5518C844" w14:textId="77777777" w:rsidR="00BA2849" w:rsidRPr="00BA2849" w:rsidRDefault="00BA2849" w:rsidP="00EB278E">
            <w:pPr>
              <w:spacing w:after="0" w:line="240" w:lineRule="auto"/>
            </w:pPr>
            <w:r w:rsidRPr="00BA2849">
              <w:t xml:space="preserve">Main application of Generalist AI: Used in communication of analytical results and data to extension workers in multiple languages. Projects are not yet reporting agronomic outcome data beyond user numbers and satisfaction. </w:t>
            </w:r>
            <w:bookmarkStart w:id="26" w:name="ZOTERO_BREF_9963gTi1rgNP"/>
            <w:r w:rsidRPr="00BA2849">
              <w:rPr>
                <w:rFonts w:cs="Times New Roman"/>
              </w:rPr>
              <w:t xml:space="preserve">(De Clercq </w:t>
            </w:r>
            <w:r w:rsidRPr="00BA2849">
              <w:rPr>
                <w:rFonts w:cs="Times New Roman"/>
                <w:i/>
                <w:iCs/>
              </w:rPr>
              <w:t>et al.</w:t>
            </w:r>
            <w:r w:rsidRPr="00BA2849">
              <w:rPr>
                <w:rFonts w:cs="Times New Roman"/>
              </w:rPr>
              <w:t>, 2024)</w:t>
            </w:r>
            <w:bookmarkEnd w:id="26"/>
          </w:p>
        </w:tc>
      </w:tr>
    </w:tbl>
    <w:p w14:paraId="1E4F6F14" w14:textId="77777777" w:rsidR="00DA3A98" w:rsidRPr="00472076" w:rsidRDefault="00DA3A98" w:rsidP="00472076">
      <w:pPr>
        <w:pStyle w:val="Descripcin"/>
        <w:rPr>
          <w:color w:val="808080" w:themeColor="background1" w:themeShade="80"/>
          <w:sz w:val="20"/>
          <w:szCs w:val="20"/>
        </w:rPr>
      </w:pPr>
      <w:r w:rsidRPr="00472076">
        <w:rPr>
          <w:color w:val="808080" w:themeColor="background1" w:themeShade="80"/>
          <w:sz w:val="20"/>
          <w:szCs w:val="20"/>
        </w:rPr>
        <w:t xml:space="preserve">Source: Authors’ </w:t>
      </w:r>
      <w:proofErr w:type="gramStart"/>
      <w:r w:rsidRPr="00472076">
        <w:rPr>
          <w:color w:val="808080" w:themeColor="background1" w:themeShade="80"/>
          <w:sz w:val="20"/>
          <w:szCs w:val="20"/>
        </w:rPr>
        <w:t>own</w:t>
      </w:r>
      <w:proofErr w:type="gramEnd"/>
      <w:r w:rsidRPr="00472076">
        <w:rPr>
          <w:color w:val="808080" w:themeColor="background1" w:themeShade="80"/>
          <w:sz w:val="20"/>
          <w:szCs w:val="20"/>
        </w:rPr>
        <w:t xml:space="preserve"> elaboration.</w:t>
      </w:r>
    </w:p>
    <w:p w14:paraId="005DDD5C" w14:textId="6BBCD897" w:rsidR="00030F93" w:rsidRPr="001F1B2F" w:rsidRDefault="00EE6D74" w:rsidP="00030F93">
      <w:pPr>
        <w:pStyle w:val="Ttulo3"/>
        <w:ind w:left="0"/>
      </w:pPr>
      <w:bookmarkStart w:id="27" w:name="_Toc225917997"/>
      <w:bookmarkStart w:id="28" w:name="OrgXref.org9f658e2"/>
      <w:bookmarkStart w:id="29" w:name="_Toc226730545"/>
      <w:r>
        <w:t xml:space="preserve">2.1.2 </w:t>
      </w:r>
      <w:r w:rsidR="00030F93">
        <w:t>Land and water management</w:t>
      </w:r>
      <w:bookmarkEnd w:id="27"/>
      <w:bookmarkEnd w:id="29"/>
      <w:r w:rsidR="00030F93">
        <w:t xml:space="preserve"> </w:t>
      </w:r>
      <w:bookmarkEnd w:id="28"/>
    </w:p>
    <w:p w14:paraId="45A5B286" w14:textId="5B1A6B8C" w:rsidR="00E84BA1" w:rsidRPr="00B83FFA" w:rsidRDefault="00E84BA1">
      <w:r>
        <w:t xml:space="preserve">Remote sensing using tools ranging from phone cameras to drones and satellite-based analytics are widely used for land and water management, including crop type mapping, yield estimation and land cover classification </w:t>
      </w:r>
      <w:bookmarkStart w:id="30" w:name="ZOTERO_BREF_kELo4QQ8cQXX"/>
      <w:r w:rsidRPr="009A7922">
        <w:rPr>
          <w:rFonts w:cs="Times New Roman"/>
        </w:rPr>
        <w:t xml:space="preserve">(Wu </w:t>
      </w:r>
      <w:r w:rsidRPr="009A7922">
        <w:rPr>
          <w:rFonts w:cs="Times New Roman"/>
          <w:i/>
          <w:iCs/>
        </w:rPr>
        <w:t>et al.</w:t>
      </w:r>
      <w:r w:rsidRPr="009A7922">
        <w:rPr>
          <w:rFonts w:cs="Times New Roman"/>
        </w:rPr>
        <w:t>, 2023</w:t>
      </w:r>
      <w:bookmarkEnd w:id="30"/>
      <w:r w:rsidRPr="009A7922">
        <w:rPr>
          <w:rFonts w:cs="Times New Roman"/>
        </w:rPr>
        <w:t>)</w:t>
      </w:r>
      <w:r>
        <w:t xml:space="preserve">. </w:t>
      </w:r>
    </w:p>
    <w:p w14:paraId="0F6A9602" w14:textId="687E7105" w:rsidR="00E84BA1" w:rsidRPr="00E84BA1" w:rsidRDefault="00E84BA1" w:rsidP="00E84BA1">
      <w:pPr>
        <w:pStyle w:val="FigTabledescriptionheading"/>
        <w:spacing w:after="0"/>
        <w:rPr>
          <w:lang w:val="en-CA"/>
        </w:rPr>
      </w:pPr>
      <w:r w:rsidRPr="00E84BA1">
        <w:rPr>
          <w:lang w:val="en-CA"/>
        </w:rPr>
        <w:t xml:space="preserve">Table </w:t>
      </w:r>
      <w:r>
        <w:rPr>
          <w:lang w:val="en-CA"/>
        </w:rPr>
        <w:t>3</w:t>
      </w:r>
      <w:r w:rsidRPr="00E84BA1">
        <w:rPr>
          <w:lang w:val="en-CA"/>
        </w:rPr>
        <w:t>: examples of specific purpose AI used for land and water management</w:t>
      </w:r>
    </w:p>
    <w:tbl>
      <w:tblPr>
        <w:tblW w:w="9864" w:type="dxa"/>
        <w:jc w:val="center"/>
        <w:tblLayout w:type="fixed"/>
        <w:tblCellMar>
          <w:top w:w="90" w:type="dxa"/>
          <w:left w:w="90" w:type="dxa"/>
          <w:bottom w:w="90" w:type="dxa"/>
          <w:right w:w="90" w:type="dxa"/>
        </w:tblCellMar>
        <w:tblLook w:val="04A0" w:firstRow="1" w:lastRow="0" w:firstColumn="1" w:lastColumn="0" w:noHBand="0" w:noVBand="1"/>
      </w:tblPr>
      <w:tblGrid>
        <w:gridCol w:w="4929"/>
        <w:gridCol w:w="4935"/>
      </w:tblGrid>
      <w:tr w:rsidR="002D027A" w:rsidRPr="001F1B2F" w14:paraId="488AB582" w14:textId="77777777" w:rsidTr="002D027A">
        <w:trPr>
          <w:tblHeader/>
          <w:jc w:val="center"/>
        </w:trPr>
        <w:tc>
          <w:tcPr>
            <w:tcW w:w="4929" w:type="dxa"/>
            <w:tcBorders>
              <w:top w:val="single" w:sz="2" w:space="0" w:color="536374" w:themeColor="text2"/>
              <w:bottom w:val="single" w:sz="2" w:space="0" w:color="536374" w:themeColor="text2"/>
            </w:tcBorders>
          </w:tcPr>
          <w:p w14:paraId="73924CB1" w14:textId="77777777" w:rsidR="002D027A" w:rsidRPr="001F1B2F" w:rsidRDefault="002D027A" w:rsidP="00EB278E">
            <w:pPr>
              <w:spacing w:after="0" w:line="240" w:lineRule="auto"/>
            </w:pPr>
            <w:r w:rsidRPr="001F1B2F">
              <w:t>Name</w:t>
            </w:r>
          </w:p>
        </w:tc>
        <w:tc>
          <w:tcPr>
            <w:tcW w:w="4935" w:type="dxa"/>
            <w:tcBorders>
              <w:top w:val="single" w:sz="2" w:space="0" w:color="536374" w:themeColor="text2"/>
              <w:bottom w:val="single" w:sz="2" w:space="0" w:color="536374" w:themeColor="text2"/>
            </w:tcBorders>
          </w:tcPr>
          <w:p w14:paraId="4E951670" w14:textId="77777777" w:rsidR="002D027A" w:rsidRPr="001F1B2F" w:rsidRDefault="002D027A" w:rsidP="00EB278E">
            <w:pPr>
              <w:spacing w:after="0" w:line="240" w:lineRule="auto"/>
            </w:pPr>
            <w:r w:rsidRPr="001F1B2F">
              <w:t>Description</w:t>
            </w:r>
          </w:p>
        </w:tc>
      </w:tr>
      <w:tr w:rsidR="002D027A" w:rsidRPr="001F1B2F" w14:paraId="4D088F03" w14:textId="77777777" w:rsidTr="002D027A">
        <w:trPr>
          <w:jc w:val="center"/>
        </w:trPr>
        <w:tc>
          <w:tcPr>
            <w:tcW w:w="4929" w:type="dxa"/>
            <w:tcBorders>
              <w:top w:val="single" w:sz="2" w:space="0" w:color="536374" w:themeColor="text2"/>
            </w:tcBorders>
          </w:tcPr>
          <w:p w14:paraId="0C620882" w14:textId="77777777" w:rsidR="002D027A" w:rsidRPr="001F1B2F" w:rsidRDefault="002D027A" w:rsidP="00EB278E">
            <w:pPr>
              <w:spacing w:after="0" w:line="240" w:lineRule="auto"/>
            </w:pPr>
            <w:r w:rsidRPr="001F1B2F">
              <w:t>Sen2-Agri (ESA)</w:t>
            </w:r>
          </w:p>
        </w:tc>
        <w:tc>
          <w:tcPr>
            <w:tcW w:w="4935" w:type="dxa"/>
            <w:tcBorders>
              <w:top w:val="single" w:sz="2" w:space="0" w:color="536374" w:themeColor="text2"/>
            </w:tcBorders>
          </w:tcPr>
          <w:p w14:paraId="27ED1342" w14:textId="77777777" w:rsidR="002D027A" w:rsidRPr="001F1B2F" w:rsidRDefault="002D027A" w:rsidP="00EB278E">
            <w:pPr>
              <w:spacing w:after="0" w:line="240" w:lineRule="auto"/>
            </w:pPr>
            <w:r>
              <w:t xml:space="preserve">Open-source crop mapping system from satellite imagery. Reached 90% overall prediction accuracy in national maps for Ukraine, Mali and South Africa. </w:t>
            </w:r>
            <w:bookmarkStart w:id="31" w:name="ZOTERO_BREF_DGxaSnBi2rpl"/>
            <w:r w:rsidRPr="00553E66">
              <w:rPr>
                <w:rFonts w:cs="Times New Roman"/>
              </w:rPr>
              <w:t>(</w:t>
            </w:r>
            <w:proofErr w:type="spellStart"/>
            <w:r w:rsidRPr="00553E66">
              <w:rPr>
                <w:rFonts w:cs="Times New Roman"/>
              </w:rPr>
              <w:t>Defourny</w:t>
            </w:r>
            <w:proofErr w:type="spellEnd"/>
            <w:r w:rsidRPr="00553E66">
              <w:rPr>
                <w:rFonts w:cs="Times New Roman"/>
              </w:rPr>
              <w:t xml:space="preserve"> </w:t>
            </w:r>
            <w:r w:rsidRPr="00553E66">
              <w:rPr>
                <w:rFonts w:cs="Times New Roman"/>
                <w:i/>
                <w:iCs/>
              </w:rPr>
              <w:t>et al.</w:t>
            </w:r>
            <w:r w:rsidRPr="00553E66">
              <w:rPr>
                <w:rFonts w:cs="Times New Roman"/>
              </w:rPr>
              <w:t>, 2019)</w:t>
            </w:r>
            <w:bookmarkEnd w:id="31"/>
          </w:p>
        </w:tc>
      </w:tr>
      <w:tr w:rsidR="002D027A" w:rsidRPr="001F1B2F" w14:paraId="7C9F90AC" w14:textId="77777777" w:rsidTr="00AC2C1A">
        <w:trPr>
          <w:jc w:val="center"/>
        </w:trPr>
        <w:tc>
          <w:tcPr>
            <w:tcW w:w="4929" w:type="dxa"/>
          </w:tcPr>
          <w:p w14:paraId="5C633D3B" w14:textId="77777777" w:rsidR="002D027A" w:rsidRPr="001F1B2F" w:rsidRDefault="002D027A" w:rsidP="00EB278E">
            <w:pPr>
              <w:spacing w:after="0" w:line="240" w:lineRule="auto"/>
            </w:pPr>
            <w:r>
              <w:t xml:space="preserve">Global </w:t>
            </w:r>
            <w:proofErr w:type="spellStart"/>
            <w:r>
              <w:t>Agro</w:t>
            </w:r>
            <w:proofErr w:type="spellEnd"/>
            <w:r>
              <w:t>-Ecological Zones land suitability mapping (GAEZ, FAO)</w:t>
            </w:r>
          </w:p>
        </w:tc>
        <w:tc>
          <w:tcPr>
            <w:tcW w:w="4935" w:type="dxa"/>
          </w:tcPr>
          <w:p w14:paraId="6630E3C9" w14:textId="77777777" w:rsidR="002D027A" w:rsidRPr="001F1B2F" w:rsidRDefault="002D027A" w:rsidP="00EB278E">
            <w:pPr>
              <w:spacing w:after="0" w:line="240" w:lineRule="auto"/>
            </w:pPr>
            <w:r>
              <w:t xml:space="preserve">Statistical analysis of biophysical potential of land for crop production incorporating various datasets on climate, soil, land cover and related ecological observations. </w:t>
            </w:r>
            <w:bookmarkStart w:id="32" w:name="ZOTERO_BREF_HrPWJIwFxGMg"/>
            <w:r w:rsidRPr="00553E66">
              <w:rPr>
                <w:rFonts w:cs="Times New Roman"/>
              </w:rPr>
              <w:t>(Fischer, 2021)</w:t>
            </w:r>
            <w:bookmarkEnd w:id="32"/>
          </w:p>
        </w:tc>
      </w:tr>
      <w:tr w:rsidR="002D027A" w:rsidRPr="001F1B2F" w14:paraId="7B9383B5" w14:textId="77777777" w:rsidTr="00AC2C1A">
        <w:trPr>
          <w:jc w:val="center"/>
        </w:trPr>
        <w:tc>
          <w:tcPr>
            <w:tcW w:w="4929" w:type="dxa"/>
            <w:tcBorders>
              <w:bottom w:val="single" w:sz="4" w:space="0" w:color="536374" w:themeColor="text2"/>
            </w:tcBorders>
          </w:tcPr>
          <w:p w14:paraId="107E23F4" w14:textId="77777777" w:rsidR="002D027A" w:rsidRPr="001F1B2F" w:rsidRDefault="002D027A" w:rsidP="00EB278E">
            <w:pPr>
              <w:spacing w:after="0" w:line="240" w:lineRule="auto"/>
            </w:pPr>
            <w:proofErr w:type="spellStart"/>
            <w:r w:rsidRPr="001F1B2F">
              <w:t>CropWatch</w:t>
            </w:r>
            <w:proofErr w:type="spellEnd"/>
          </w:p>
        </w:tc>
        <w:tc>
          <w:tcPr>
            <w:tcW w:w="4935" w:type="dxa"/>
            <w:tcBorders>
              <w:bottom w:val="single" w:sz="4" w:space="0" w:color="536374" w:themeColor="text2"/>
            </w:tcBorders>
          </w:tcPr>
          <w:p w14:paraId="5235F8B8" w14:textId="77777777" w:rsidR="002D027A" w:rsidRPr="001F1B2F" w:rsidRDefault="002D027A" w:rsidP="00EB278E">
            <w:pPr>
              <w:spacing w:after="0" w:line="240" w:lineRule="auto"/>
            </w:pPr>
            <w:r>
              <w:t xml:space="preserve">Crop condition monitoring system indicating crop situation, farming intensity and stress. </w:t>
            </w:r>
            <w:bookmarkStart w:id="33" w:name="ZOTERO_BREF_dvwDXJZMaKF8"/>
            <w:r w:rsidRPr="00553E66">
              <w:rPr>
                <w:rFonts w:cs="Times New Roman"/>
              </w:rPr>
              <w:t xml:space="preserve">(Wu </w:t>
            </w:r>
            <w:r w:rsidRPr="00553E66">
              <w:rPr>
                <w:rFonts w:cs="Times New Roman"/>
                <w:i/>
                <w:iCs/>
              </w:rPr>
              <w:t>et al.</w:t>
            </w:r>
            <w:r w:rsidRPr="00553E66">
              <w:rPr>
                <w:rFonts w:cs="Times New Roman"/>
              </w:rPr>
              <w:t>, 2015)</w:t>
            </w:r>
            <w:bookmarkEnd w:id="33"/>
          </w:p>
        </w:tc>
      </w:tr>
    </w:tbl>
    <w:p w14:paraId="3B6ABEB2" w14:textId="3D182D63" w:rsidR="00B05DAC" w:rsidRPr="00472076" w:rsidRDefault="00AC2C1A" w:rsidP="00472076">
      <w:pPr>
        <w:pStyle w:val="Descripcin"/>
        <w:rPr>
          <w:color w:val="808080" w:themeColor="background1" w:themeShade="80"/>
          <w:sz w:val="20"/>
          <w:szCs w:val="20"/>
        </w:rPr>
      </w:pPr>
      <w:r w:rsidRPr="00472076">
        <w:rPr>
          <w:color w:val="808080" w:themeColor="background1" w:themeShade="80"/>
          <w:sz w:val="20"/>
          <w:szCs w:val="20"/>
        </w:rPr>
        <w:t xml:space="preserve">Source: Authors’ </w:t>
      </w:r>
      <w:proofErr w:type="gramStart"/>
      <w:r w:rsidRPr="00472076">
        <w:rPr>
          <w:color w:val="808080" w:themeColor="background1" w:themeShade="80"/>
          <w:sz w:val="20"/>
          <w:szCs w:val="20"/>
        </w:rPr>
        <w:t>own</w:t>
      </w:r>
      <w:proofErr w:type="gramEnd"/>
      <w:r w:rsidRPr="00472076">
        <w:rPr>
          <w:color w:val="808080" w:themeColor="background1" w:themeShade="80"/>
          <w:sz w:val="20"/>
          <w:szCs w:val="20"/>
        </w:rPr>
        <w:t xml:space="preserve"> elaboration</w:t>
      </w:r>
    </w:p>
    <w:p w14:paraId="51D30349" w14:textId="77777777" w:rsidR="009A62EF" w:rsidRPr="001F1B2F" w:rsidRDefault="009A62EF" w:rsidP="009A62EF">
      <w:pPr>
        <w:pStyle w:val="Ttulo3"/>
        <w:ind w:left="0"/>
      </w:pPr>
      <w:bookmarkStart w:id="34" w:name="_Toc226730546"/>
      <w:r>
        <w:t xml:space="preserve">2.1.3 </w:t>
      </w:r>
      <w:bookmarkStart w:id="35" w:name="_Toc225917998"/>
      <w:bookmarkStart w:id="36" w:name="OrgXref.org242b9b1"/>
      <w:r>
        <w:t>Risk management</w:t>
      </w:r>
      <w:bookmarkEnd w:id="35"/>
      <w:bookmarkEnd w:id="34"/>
      <w:r>
        <w:t xml:space="preserve"> </w:t>
      </w:r>
      <w:bookmarkEnd w:id="36"/>
    </w:p>
    <w:p w14:paraId="455DE4EE" w14:textId="77777777" w:rsidR="008942C2" w:rsidRPr="001F1B2F" w:rsidRDefault="008942C2" w:rsidP="008942C2">
      <w:r w:rsidRPr="001F1B2F">
        <w:t xml:space="preserve">Risk management solutions encompass tools that synthesize weather data, satellite imagery, field observations, and farm records to generate risk alerts and recommendations. Typical functions include early warning of pests and diseases and monitoring of drought and flood risk. </w:t>
      </w:r>
      <w:r>
        <w:t>T</w:t>
      </w:r>
      <w:r w:rsidRPr="001F1B2F">
        <w:t xml:space="preserve">he strongest immediate </w:t>
      </w:r>
      <w:r>
        <w:t>use</w:t>
      </w:r>
      <w:r w:rsidRPr="001F1B2F">
        <w:t xml:space="preserve"> is often situational awareness: improving estimates of cultivation areas, vegetation condition and likely production outcomes at local to national scales</w:t>
      </w:r>
      <w:r>
        <w:t xml:space="preserve"> and thus risks of food insecurity</w:t>
      </w:r>
      <w:r w:rsidRPr="001F1B2F">
        <w:t xml:space="preserve">. </w:t>
      </w:r>
      <w:r>
        <w:t>Such</w:t>
      </w:r>
      <w:r w:rsidRPr="001F1B2F">
        <w:t xml:space="preserve"> outputs can inform preparedness, targeted support (e.g., inputs, cash, or feed), and logistics planning. </w:t>
      </w:r>
    </w:p>
    <w:p w14:paraId="3E2446D8" w14:textId="77777777" w:rsidR="008942C2" w:rsidRPr="008942C2" w:rsidRDefault="008942C2" w:rsidP="008942C2">
      <w:pPr>
        <w:pStyle w:val="Prrafodelista"/>
        <w:numPr>
          <w:ilvl w:val="0"/>
          <w:numId w:val="40"/>
        </w:numPr>
        <w:rPr>
          <w:b/>
          <w:bCs/>
        </w:rPr>
      </w:pPr>
      <w:bookmarkStart w:id="37" w:name="orgb677fdc"/>
      <w:bookmarkStart w:id="38" w:name="OrgXref.orgb677fdc"/>
      <w:bookmarkEnd w:id="37"/>
      <w:r w:rsidRPr="008942C2">
        <w:rPr>
          <w:b/>
          <w:bCs/>
        </w:rPr>
        <w:t xml:space="preserve">Stability for food producers </w:t>
      </w:r>
      <w:bookmarkEnd w:id="38"/>
    </w:p>
    <w:p w14:paraId="10BE91C8" w14:textId="77777777" w:rsidR="008942C2" w:rsidRPr="001F1B2F" w:rsidRDefault="008942C2" w:rsidP="008942C2">
      <w:r>
        <w:t xml:space="preserve">AI-enabled technologies are used in agricultural insurance by enabling cost-effective, transparent, and accessible coverage for previously underserved smallholder farmers. Algorithms analyze satellite imagery, weather data, and historical yield information to assess risk more accurately without expensive on-the-ground assessments. This is especially useful for index-based insurances where payouts depend on these external factors and not individual losses experienced. Smart contracts and mobile technologies can streamline policy management and claims processing, dramatically reducing administrative costs. It creates the possibility for affordable microinsurance products tailored to smallholder farmers' needs and financial capabilities, even in remote regions with limited infrastructure. </w:t>
      </w:r>
    </w:p>
    <w:p w14:paraId="79EB59CE" w14:textId="77777777" w:rsidR="008942C2" w:rsidRPr="008942C2" w:rsidRDefault="008942C2" w:rsidP="008942C2">
      <w:pPr>
        <w:pStyle w:val="Prrafodelista"/>
        <w:numPr>
          <w:ilvl w:val="0"/>
          <w:numId w:val="40"/>
        </w:numPr>
        <w:rPr>
          <w:b/>
          <w:bCs/>
        </w:rPr>
      </w:pPr>
      <w:bookmarkStart w:id="39" w:name="orgfb3ca16"/>
      <w:bookmarkStart w:id="40" w:name="OrgXref.orgfb3ca16"/>
      <w:bookmarkEnd w:id="39"/>
      <w:r w:rsidRPr="008942C2">
        <w:rPr>
          <w:b/>
          <w:bCs/>
        </w:rPr>
        <w:t xml:space="preserve">Stability in the climate crisis </w:t>
      </w:r>
      <w:bookmarkEnd w:id="40"/>
    </w:p>
    <w:p w14:paraId="54E11DDC" w14:textId="00BF8254" w:rsidR="008942C2" w:rsidRPr="001F1B2F" w:rsidRDefault="008942C2" w:rsidP="008942C2">
      <w:r>
        <w:t xml:space="preserve">Climate change increases the frequency and severity of extreme weather events and changes </w:t>
      </w:r>
      <w:proofErr w:type="spellStart"/>
      <w:r>
        <w:t>agri</w:t>
      </w:r>
      <w:proofErr w:type="spellEnd"/>
      <w:r>
        <w:t xml:space="preserve">-ecological conditions in ways that render traditional approaches to farming but also disaster prevention outdated. AI-enabled tools are developed to improve climate and weather predictions, dynamically map land and classify </w:t>
      </w:r>
      <w:proofErr w:type="spellStart"/>
      <w:r>
        <w:t>agri</w:t>
      </w:r>
      <w:proofErr w:type="spellEnd"/>
      <w:r>
        <w:t xml:space="preserve">-ecological zones, improve the speed and accuracy of disaster response. A further potential contribution is faster knowledge transfer across the world. </w:t>
      </w:r>
    </w:p>
    <w:p w14:paraId="77E974B4" w14:textId="523D8164" w:rsidR="0070698A" w:rsidRPr="00C541A4" w:rsidRDefault="0070698A" w:rsidP="0070698A">
      <w:pPr>
        <w:pStyle w:val="FigTabledescriptionheading"/>
        <w:spacing w:after="0"/>
      </w:pPr>
      <w:r w:rsidRPr="00C541A4">
        <w:t xml:space="preserve">Table </w:t>
      </w:r>
      <w:r w:rsidRPr="00C541A4">
        <w:t>4</w:t>
      </w:r>
      <w:r w:rsidRPr="00C541A4">
        <w:t>: examples of specific purpose AI used for climate and weather forecasting</w:t>
      </w:r>
    </w:p>
    <w:tbl>
      <w:tblPr>
        <w:tblW w:w="9781" w:type="dxa"/>
        <w:jc w:val="center"/>
        <w:tblLayout w:type="fixed"/>
        <w:tblCellMar>
          <w:top w:w="90" w:type="dxa"/>
          <w:left w:w="90" w:type="dxa"/>
          <w:bottom w:w="90" w:type="dxa"/>
          <w:right w:w="90" w:type="dxa"/>
        </w:tblCellMar>
        <w:tblLook w:val="04A0" w:firstRow="1" w:lastRow="0" w:firstColumn="1" w:lastColumn="0" w:noHBand="0" w:noVBand="1"/>
      </w:tblPr>
      <w:tblGrid>
        <w:gridCol w:w="4128"/>
        <w:gridCol w:w="5653"/>
      </w:tblGrid>
      <w:tr w:rsidR="00C541A4" w:rsidRPr="001F1B2F" w14:paraId="7A8ADB37" w14:textId="77777777" w:rsidTr="00C541A4">
        <w:trPr>
          <w:tblHeader/>
          <w:jc w:val="center"/>
        </w:trPr>
        <w:tc>
          <w:tcPr>
            <w:tcW w:w="4128" w:type="dxa"/>
            <w:tcBorders>
              <w:top w:val="single" w:sz="4" w:space="0" w:color="536374" w:themeColor="text2"/>
              <w:bottom w:val="single" w:sz="4" w:space="0" w:color="536374" w:themeColor="text2"/>
            </w:tcBorders>
          </w:tcPr>
          <w:p w14:paraId="6845023B" w14:textId="77777777" w:rsidR="00C541A4" w:rsidRPr="001F1B2F" w:rsidRDefault="00C541A4" w:rsidP="00EB278E">
            <w:pPr>
              <w:spacing w:after="0" w:line="240" w:lineRule="auto"/>
            </w:pPr>
            <w:r w:rsidRPr="001F1B2F">
              <w:t>Name</w:t>
            </w:r>
          </w:p>
        </w:tc>
        <w:tc>
          <w:tcPr>
            <w:tcW w:w="5653" w:type="dxa"/>
            <w:tcBorders>
              <w:top w:val="single" w:sz="4" w:space="0" w:color="536374" w:themeColor="text2"/>
              <w:bottom w:val="single" w:sz="4" w:space="0" w:color="536374" w:themeColor="text2"/>
            </w:tcBorders>
          </w:tcPr>
          <w:p w14:paraId="3A737636" w14:textId="77777777" w:rsidR="00C541A4" w:rsidRPr="001F1B2F" w:rsidRDefault="00C541A4" w:rsidP="00EB278E">
            <w:pPr>
              <w:spacing w:after="0" w:line="240" w:lineRule="auto"/>
            </w:pPr>
            <w:r w:rsidRPr="001F1B2F">
              <w:t>Description</w:t>
            </w:r>
          </w:p>
        </w:tc>
      </w:tr>
      <w:tr w:rsidR="00C541A4" w:rsidRPr="001F1B2F" w14:paraId="2C35C098" w14:textId="77777777" w:rsidTr="00C541A4">
        <w:trPr>
          <w:jc w:val="center"/>
        </w:trPr>
        <w:tc>
          <w:tcPr>
            <w:tcW w:w="4128" w:type="dxa"/>
            <w:tcBorders>
              <w:top w:val="single" w:sz="4" w:space="0" w:color="536374" w:themeColor="text2"/>
              <w:bottom w:val="none" w:sz="2" w:space="0" w:color="536374" w:themeColor="text2"/>
            </w:tcBorders>
          </w:tcPr>
          <w:p w14:paraId="3C08D8DF" w14:textId="77777777" w:rsidR="00C541A4" w:rsidRPr="001F1B2F" w:rsidRDefault="00C541A4" w:rsidP="00EB278E">
            <w:pPr>
              <w:spacing w:after="0" w:line="240" w:lineRule="auto"/>
            </w:pPr>
            <w:r>
              <w:t xml:space="preserve">Weather forecasting (e.g. </w:t>
            </w:r>
            <w:proofErr w:type="spellStart"/>
            <w:r>
              <w:t>GraphCast</w:t>
            </w:r>
            <w:proofErr w:type="spellEnd"/>
            <w:r>
              <w:t>, Pangu-Weather)</w:t>
            </w:r>
          </w:p>
        </w:tc>
        <w:tc>
          <w:tcPr>
            <w:tcW w:w="5653" w:type="dxa"/>
            <w:tcBorders>
              <w:top w:val="single" w:sz="4" w:space="0" w:color="536374" w:themeColor="text2"/>
              <w:bottom w:val="none" w:sz="2" w:space="0" w:color="536374" w:themeColor="text2"/>
            </w:tcBorders>
          </w:tcPr>
          <w:p w14:paraId="3A74C1A6" w14:textId="040F79BA" w:rsidR="00C541A4" w:rsidRPr="001F1B2F" w:rsidRDefault="009F491F" w:rsidP="00EB278E">
            <w:pPr>
              <w:spacing w:after="0" w:line="240" w:lineRule="auto"/>
            </w:pPr>
            <w:r>
              <w:t>D</w:t>
            </w:r>
            <w:r w:rsidR="00C541A4">
              <w:t xml:space="preserve">eep learning approaches for global weather forecasts reach accuracy of numerical forecasting with a smaller compute footprint. </w:t>
            </w:r>
            <w:bookmarkStart w:id="41" w:name="ZOTERO_BREF_SXRWy6Iyjkv4"/>
            <w:r w:rsidR="00C541A4" w:rsidRPr="003A05E4">
              <w:rPr>
                <w:rFonts w:cs="Times New Roman"/>
              </w:rPr>
              <w:t xml:space="preserve">(Remi Lam </w:t>
            </w:r>
            <w:r w:rsidR="00C541A4" w:rsidRPr="003A05E4">
              <w:rPr>
                <w:rFonts w:cs="Times New Roman"/>
                <w:i/>
                <w:iCs/>
              </w:rPr>
              <w:t>et al.</w:t>
            </w:r>
            <w:r w:rsidR="00C541A4" w:rsidRPr="003A05E4">
              <w:rPr>
                <w:rFonts w:cs="Times New Roman"/>
              </w:rPr>
              <w:t xml:space="preserve">, 2023; Bi </w:t>
            </w:r>
            <w:r w:rsidR="00C541A4" w:rsidRPr="003A05E4">
              <w:rPr>
                <w:rFonts w:cs="Times New Roman"/>
                <w:i/>
                <w:iCs/>
              </w:rPr>
              <w:t>et al.</w:t>
            </w:r>
            <w:r w:rsidR="00C541A4" w:rsidRPr="003A05E4">
              <w:rPr>
                <w:rFonts w:cs="Times New Roman"/>
              </w:rPr>
              <w:t>, 2023)</w:t>
            </w:r>
            <w:bookmarkEnd w:id="41"/>
          </w:p>
        </w:tc>
      </w:tr>
      <w:tr w:rsidR="00C541A4" w14:paraId="72140A4A" w14:textId="77777777" w:rsidTr="009F491F">
        <w:trPr>
          <w:trHeight w:val="300"/>
          <w:jc w:val="center"/>
        </w:trPr>
        <w:tc>
          <w:tcPr>
            <w:tcW w:w="4128" w:type="dxa"/>
            <w:tcBorders>
              <w:top w:val="none" w:sz="2" w:space="0" w:color="536374" w:themeColor="text2"/>
              <w:left w:val="none" w:sz="12" w:space="0" w:color="536374" w:themeColor="text2"/>
              <w:right w:val="none" w:sz="12" w:space="0" w:color="536374" w:themeColor="text2"/>
            </w:tcBorders>
          </w:tcPr>
          <w:p w14:paraId="252A3F0B" w14:textId="77777777" w:rsidR="00C541A4" w:rsidRDefault="00C541A4" w:rsidP="00EB278E">
            <w:pPr>
              <w:spacing w:after="0" w:line="240" w:lineRule="auto"/>
            </w:pPr>
            <w:r>
              <w:t xml:space="preserve">Multi-Hazard Early Warning Systems (e.g. UNDRR </w:t>
            </w:r>
            <w:proofErr w:type="spellStart"/>
            <w:r>
              <w:t>DesInventar</w:t>
            </w:r>
            <w:proofErr w:type="spellEnd"/>
            <w:r>
              <w:t xml:space="preserve">, Famine Early Warning System Network, WFP </w:t>
            </w:r>
            <w:proofErr w:type="spellStart"/>
            <w:r>
              <w:t>HungerMap</w:t>
            </w:r>
            <w:proofErr w:type="spellEnd"/>
            <w:r>
              <w:t xml:space="preserve">, EC-JRC MARS) </w:t>
            </w:r>
          </w:p>
        </w:tc>
        <w:tc>
          <w:tcPr>
            <w:tcW w:w="5653" w:type="dxa"/>
            <w:tcBorders>
              <w:top w:val="none" w:sz="2" w:space="0" w:color="536374" w:themeColor="text2"/>
              <w:left w:val="none" w:sz="12" w:space="0" w:color="536374" w:themeColor="text2"/>
              <w:right w:val="none" w:sz="12" w:space="0" w:color="536374" w:themeColor="text2"/>
            </w:tcBorders>
          </w:tcPr>
          <w:p w14:paraId="60C148D5" w14:textId="62442417" w:rsidR="00C541A4" w:rsidRDefault="009F491F" w:rsidP="00EB278E">
            <w:pPr>
              <w:spacing w:after="0" w:line="240" w:lineRule="auto"/>
            </w:pPr>
            <w:r>
              <w:t>Machine</w:t>
            </w:r>
            <w:r w:rsidR="00C541A4">
              <w:t xml:space="preserve"> learning models are being tested to extend traditional analysis and reporting systems. </w:t>
            </w:r>
            <w:bookmarkStart w:id="42" w:name="ZOTERO_BREF_g7yYnSxYaMMg"/>
            <w:r w:rsidR="00C541A4" w:rsidRPr="009A0610">
              <w:rPr>
                <w:rFonts w:cs="Times New Roman"/>
              </w:rPr>
              <w:t>(</w:t>
            </w:r>
            <w:proofErr w:type="spellStart"/>
            <w:r w:rsidR="00C541A4" w:rsidRPr="009A0610">
              <w:rPr>
                <w:rFonts w:cs="Times New Roman"/>
              </w:rPr>
              <w:t>Hrast</w:t>
            </w:r>
            <w:proofErr w:type="spellEnd"/>
            <w:r w:rsidR="00C541A4" w:rsidRPr="009A0610">
              <w:rPr>
                <w:rFonts w:cs="Times New Roman"/>
              </w:rPr>
              <w:t xml:space="preserve"> </w:t>
            </w:r>
            <w:proofErr w:type="spellStart"/>
            <w:r w:rsidR="00C541A4" w:rsidRPr="009A0610">
              <w:rPr>
                <w:rFonts w:cs="Times New Roman"/>
              </w:rPr>
              <w:t>Essenfelder</w:t>
            </w:r>
            <w:proofErr w:type="spellEnd"/>
            <w:r w:rsidR="00C541A4" w:rsidRPr="009A0610">
              <w:rPr>
                <w:rFonts w:cs="Times New Roman"/>
              </w:rPr>
              <w:t xml:space="preserve">, </w:t>
            </w:r>
            <w:proofErr w:type="spellStart"/>
            <w:r w:rsidR="00C541A4" w:rsidRPr="009A0610">
              <w:rPr>
                <w:rFonts w:cs="Times New Roman"/>
              </w:rPr>
              <w:t>Toreti</w:t>
            </w:r>
            <w:proofErr w:type="spellEnd"/>
            <w:r w:rsidR="00C541A4" w:rsidRPr="009A0610">
              <w:rPr>
                <w:rFonts w:cs="Times New Roman"/>
              </w:rPr>
              <w:t xml:space="preserve"> and </w:t>
            </w:r>
            <w:proofErr w:type="spellStart"/>
            <w:r w:rsidR="00C541A4" w:rsidRPr="009A0610">
              <w:rPr>
                <w:rFonts w:cs="Times New Roman"/>
              </w:rPr>
              <w:t>Seguini</w:t>
            </w:r>
            <w:proofErr w:type="spellEnd"/>
            <w:r w:rsidR="00C541A4" w:rsidRPr="009A0610">
              <w:rPr>
                <w:rFonts w:cs="Times New Roman"/>
              </w:rPr>
              <w:t xml:space="preserve">, 2025; Machefer </w:t>
            </w:r>
            <w:r w:rsidR="00C541A4" w:rsidRPr="009A0610">
              <w:rPr>
                <w:rFonts w:cs="Times New Roman"/>
                <w:i/>
                <w:iCs/>
              </w:rPr>
              <w:t>et al.</w:t>
            </w:r>
            <w:r w:rsidR="00C541A4" w:rsidRPr="009A0610">
              <w:rPr>
                <w:rFonts w:cs="Times New Roman"/>
              </w:rPr>
              <w:t>, 2025)</w:t>
            </w:r>
            <w:bookmarkEnd w:id="42"/>
          </w:p>
        </w:tc>
      </w:tr>
      <w:tr w:rsidR="00C541A4" w14:paraId="46BBEC1C" w14:textId="77777777" w:rsidTr="009F491F">
        <w:trPr>
          <w:trHeight w:val="300"/>
          <w:jc w:val="center"/>
        </w:trPr>
        <w:tc>
          <w:tcPr>
            <w:tcW w:w="4128" w:type="dxa"/>
            <w:tcBorders>
              <w:bottom w:val="single" w:sz="4" w:space="0" w:color="536374" w:themeColor="text2"/>
            </w:tcBorders>
          </w:tcPr>
          <w:p w14:paraId="05DB9CD7" w14:textId="77777777" w:rsidR="00C541A4" w:rsidRDefault="00C541A4" w:rsidP="00EB278E">
            <w:pPr>
              <w:spacing w:after="0" w:line="240" w:lineRule="auto"/>
            </w:pPr>
            <w:r w:rsidRPr="197997C2">
              <w:t xml:space="preserve">Satellite-based crop insurance and agricultural finance (e.g. </w:t>
            </w:r>
            <w:proofErr w:type="spellStart"/>
            <w:r w:rsidRPr="197997C2">
              <w:t>SatSure</w:t>
            </w:r>
            <w:proofErr w:type="spellEnd"/>
            <w:r w:rsidRPr="197997C2">
              <w:t xml:space="preserve">, IBFI/IWMI) </w:t>
            </w:r>
          </w:p>
        </w:tc>
        <w:tc>
          <w:tcPr>
            <w:tcW w:w="5653" w:type="dxa"/>
            <w:tcBorders>
              <w:bottom w:val="single" w:sz="4" w:space="0" w:color="536374" w:themeColor="text2"/>
            </w:tcBorders>
          </w:tcPr>
          <w:p w14:paraId="551CA392" w14:textId="60BD892B" w:rsidR="00C541A4" w:rsidRDefault="009F491F" w:rsidP="00EB278E">
            <w:pPr>
              <w:spacing w:after="0" w:line="240" w:lineRule="auto"/>
            </w:pPr>
            <w:r>
              <w:t>Machine</w:t>
            </w:r>
            <w:r w:rsidR="00C541A4">
              <w:t xml:space="preserve"> learning models integrating satellite imagery, weather, and IoT data to enable index-based insurance and credit scoring for smallholder farmers. </w:t>
            </w:r>
            <w:bookmarkStart w:id="43" w:name="ZOTERO_BREF_yyD5250yv1Pz"/>
            <w:r w:rsidR="00C541A4" w:rsidRPr="009A0610">
              <w:rPr>
                <w:rFonts w:cs="Times New Roman"/>
              </w:rPr>
              <w:t xml:space="preserve">(Benami </w:t>
            </w:r>
            <w:r w:rsidR="00C541A4" w:rsidRPr="009A0610">
              <w:rPr>
                <w:rFonts w:cs="Times New Roman"/>
                <w:i/>
                <w:iCs/>
              </w:rPr>
              <w:t>et al.</w:t>
            </w:r>
            <w:r w:rsidR="00C541A4" w:rsidRPr="009A0610">
              <w:rPr>
                <w:rFonts w:cs="Times New Roman"/>
              </w:rPr>
              <w:t xml:space="preserve">, 2021; Nguyen </w:t>
            </w:r>
            <w:r w:rsidR="00C541A4" w:rsidRPr="009A0610">
              <w:rPr>
                <w:rFonts w:cs="Times New Roman"/>
                <w:i/>
                <w:iCs/>
              </w:rPr>
              <w:t>et al.</w:t>
            </w:r>
            <w:r w:rsidR="00C541A4" w:rsidRPr="009A0610">
              <w:rPr>
                <w:rFonts w:cs="Times New Roman"/>
              </w:rPr>
              <w:t>, 2025)</w:t>
            </w:r>
            <w:bookmarkEnd w:id="43"/>
          </w:p>
        </w:tc>
      </w:tr>
    </w:tbl>
    <w:p w14:paraId="090D884A" w14:textId="77777777" w:rsidR="009F491F" w:rsidRPr="00472076" w:rsidRDefault="009F491F" w:rsidP="009F491F">
      <w:pPr>
        <w:pStyle w:val="Descripcin"/>
        <w:rPr>
          <w:color w:val="808080" w:themeColor="background1" w:themeShade="80"/>
          <w:sz w:val="20"/>
          <w:szCs w:val="20"/>
        </w:rPr>
      </w:pPr>
      <w:r w:rsidRPr="00472076">
        <w:rPr>
          <w:color w:val="808080" w:themeColor="background1" w:themeShade="80"/>
          <w:sz w:val="20"/>
          <w:szCs w:val="20"/>
        </w:rPr>
        <w:t xml:space="preserve">Source: Authors’ </w:t>
      </w:r>
      <w:proofErr w:type="gramStart"/>
      <w:r w:rsidRPr="00472076">
        <w:rPr>
          <w:color w:val="808080" w:themeColor="background1" w:themeShade="80"/>
          <w:sz w:val="20"/>
          <w:szCs w:val="20"/>
        </w:rPr>
        <w:t>own</w:t>
      </w:r>
      <w:proofErr w:type="gramEnd"/>
      <w:r w:rsidRPr="00472076">
        <w:rPr>
          <w:color w:val="808080" w:themeColor="background1" w:themeShade="80"/>
          <w:sz w:val="20"/>
          <w:szCs w:val="20"/>
        </w:rPr>
        <w:t xml:space="preserve"> elaboration</w:t>
      </w:r>
    </w:p>
    <w:p w14:paraId="39BA6BC5" w14:textId="19692A8A" w:rsidR="00B65354" w:rsidRPr="001F1B2F" w:rsidRDefault="00B65354" w:rsidP="00B65354">
      <w:pPr>
        <w:pStyle w:val="Ttulo3"/>
        <w:ind w:left="0"/>
      </w:pPr>
      <w:bookmarkStart w:id="44" w:name="_Toc225917999"/>
      <w:bookmarkStart w:id="45" w:name="OrgXref.org3113964"/>
      <w:bookmarkStart w:id="46" w:name="_Toc226730547"/>
      <w:r>
        <w:t xml:space="preserve">2.1.4 </w:t>
      </w:r>
      <w:r>
        <w:t>Crop &amp; Livestock Selection</w:t>
      </w:r>
      <w:bookmarkEnd w:id="44"/>
      <w:bookmarkEnd w:id="46"/>
      <w:r>
        <w:t xml:space="preserve"> </w:t>
      </w:r>
      <w:bookmarkEnd w:id="45"/>
    </w:p>
    <w:p w14:paraId="511933BE" w14:textId="77777777" w:rsidR="00CF05E9" w:rsidRDefault="00CF05E9" w:rsidP="00CF05E9">
      <w:r>
        <w:t xml:space="preserve">Setting up optimal </w:t>
      </w:r>
      <w:proofErr w:type="spellStart"/>
      <w:r>
        <w:t>breedings</w:t>
      </w:r>
      <w:proofErr w:type="spellEnd"/>
      <w:r>
        <w:t xml:space="preserve"> and identifying desirable alleles to genetically engineer more resistant and higher yield crop and livestock has recently seen a lot of progress in biological and agricultural sciences due to a better understanding of the (epi-)genome and improved prediction models. These approaches are typically </w:t>
      </w:r>
      <w:r w:rsidRPr="00CF05E9">
        <w:t>R&amp;D</w:t>
      </w:r>
      <w:r w:rsidRPr="1B25E37D">
        <w:rPr>
          <w:rStyle w:val="Refdenotaalpie"/>
        </w:rPr>
        <w:footnoteReference w:id="6"/>
      </w:r>
      <w:r>
        <w:t xml:space="preserve">-intensive and concentrated in well-resourced </w:t>
      </w:r>
      <w:proofErr w:type="gramStart"/>
      <w:r>
        <w:t>institutions, but</w:t>
      </w:r>
      <w:proofErr w:type="gramEnd"/>
      <w:r>
        <w:t xml:space="preserve"> can contribute to food security through improved resistance to heat, drought, pests, and disease and through better feed efficiency and productivity traits if innovations are translated into locally appropriate varieties/breeds and governed in ways that safeguard equity, biosafety, and access. </w:t>
      </w:r>
    </w:p>
    <w:p w14:paraId="67138B66" w14:textId="70C2B963" w:rsidR="009B51D9" w:rsidRPr="000B17E8" w:rsidRDefault="009B51D9" w:rsidP="009B51D9">
      <w:pPr>
        <w:pStyle w:val="FigTabledescriptionheading"/>
        <w:spacing w:after="0"/>
      </w:pPr>
      <w:r w:rsidRPr="000B17E8">
        <w:t xml:space="preserve">Table </w:t>
      </w:r>
      <w:r w:rsidR="000B17E8" w:rsidRPr="000B17E8">
        <w:t>5</w:t>
      </w:r>
      <w:r w:rsidRPr="000B17E8">
        <w:t>: examples of specific purpose AI used for genetic resources improvement</w:t>
      </w:r>
    </w:p>
    <w:tbl>
      <w:tblPr>
        <w:tblW w:w="9564" w:type="dxa"/>
        <w:jc w:val="center"/>
        <w:tblLayout w:type="fixed"/>
        <w:tblCellMar>
          <w:top w:w="90" w:type="dxa"/>
          <w:left w:w="90" w:type="dxa"/>
          <w:bottom w:w="90" w:type="dxa"/>
          <w:right w:w="90" w:type="dxa"/>
        </w:tblCellMar>
        <w:tblLook w:val="04A0" w:firstRow="1" w:lastRow="0" w:firstColumn="1" w:lastColumn="0" w:noHBand="0" w:noVBand="1"/>
      </w:tblPr>
      <w:tblGrid>
        <w:gridCol w:w="4644"/>
        <w:gridCol w:w="4920"/>
      </w:tblGrid>
      <w:tr w:rsidR="00CF294F" w:rsidRPr="001F1B2F" w14:paraId="4DA8DA8E" w14:textId="77777777" w:rsidTr="000B17E8">
        <w:trPr>
          <w:tblHeader/>
          <w:jc w:val="center"/>
        </w:trPr>
        <w:tc>
          <w:tcPr>
            <w:tcW w:w="4644" w:type="dxa"/>
            <w:tcBorders>
              <w:top w:val="single" w:sz="2" w:space="0" w:color="536374" w:themeColor="text2"/>
              <w:bottom w:val="single" w:sz="2" w:space="0" w:color="536374" w:themeColor="text2"/>
            </w:tcBorders>
          </w:tcPr>
          <w:p w14:paraId="6B3DB2AD" w14:textId="77777777" w:rsidR="00CF294F" w:rsidRPr="001F1B2F" w:rsidRDefault="00CF294F" w:rsidP="00EB278E">
            <w:pPr>
              <w:spacing w:after="0" w:line="240" w:lineRule="auto"/>
            </w:pPr>
            <w:r w:rsidRPr="001F1B2F">
              <w:t>Name</w:t>
            </w:r>
          </w:p>
        </w:tc>
        <w:tc>
          <w:tcPr>
            <w:tcW w:w="4920" w:type="dxa"/>
            <w:tcBorders>
              <w:top w:val="single" w:sz="2" w:space="0" w:color="536374" w:themeColor="text2"/>
              <w:bottom w:val="single" w:sz="2" w:space="0" w:color="536374" w:themeColor="text2"/>
            </w:tcBorders>
          </w:tcPr>
          <w:p w14:paraId="38FC99E6" w14:textId="77777777" w:rsidR="00CF294F" w:rsidRPr="001F1B2F" w:rsidRDefault="00CF294F" w:rsidP="00EB278E">
            <w:pPr>
              <w:spacing w:after="0" w:line="240" w:lineRule="auto"/>
            </w:pPr>
            <w:r w:rsidRPr="001F1B2F">
              <w:t>Description</w:t>
            </w:r>
          </w:p>
        </w:tc>
      </w:tr>
      <w:tr w:rsidR="00CF294F" w:rsidRPr="001F1B2F" w14:paraId="669E2389" w14:textId="77777777" w:rsidTr="000B17E8">
        <w:trPr>
          <w:jc w:val="center"/>
        </w:trPr>
        <w:tc>
          <w:tcPr>
            <w:tcW w:w="4644" w:type="dxa"/>
            <w:tcBorders>
              <w:top w:val="single" w:sz="2" w:space="0" w:color="536374" w:themeColor="text2"/>
              <w:bottom w:val="single" w:sz="4" w:space="0" w:color="536374" w:themeColor="text2"/>
            </w:tcBorders>
          </w:tcPr>
          <w:p w14:paraId="61D556CC" w14:textId="77777777" w:rsidR="00CF294F" w:rsidRPr="001F1B2F" w:rsidRDefault="00CF294F" w:rsidP="00EB278E">
            <w:pPr>
              <w:spacing w:after="0" w:line="240" w:lineRule="auto"/>
            </w:pPr>
            <w:r w:rsidRPr="197997C2">
              <w:t xml:space="preserve">Genomic selection for climate-resilient crops (e.g. </w:t>
            </w:r>
            <w:r>
              <w:t>CIMMYT Mining Useful Alleles for Climate Change Adaptation)</w:t>
            </w:r>
          </w:p>
        </w:tc>
        <w:tc>
          <w:tcPr>
            <w:tcW w:w="4920" w:type="dxa"/>
            <w:tcBorders>
              <w:top w:val="single" w:sz="2" w:space="0" w:color="536374" w:themeColor="text2"/>
              <w:bottom w:val="single" w:sz="4" w:space="0" w:color="536374" w:themeColor="text2"/>
            </w:tcBorders>
          </w:tcPr>
          <w:p w14:paraId="506FA873" w14:textId="0FF1D77E" w:rsidR="00CF294F" w:rsidRPr="001F1B2F" w:rsidRDefault="00CF294F" w:rsidP="00EB278E">
            <w:pPr>
              <w:spacing w:after="0" w:line="240" w:lineRule="auto"/>
            </w:pPr>
            <w:r>
              <w:t xml:space="preserve">Statistical genomic prediction models identifying climate-adaptive alleles are complemented by machine learning. Current target crops are wheat, maize, sorghum, cowpea, and rice. </w:t>
            </w:r>
            <w:bookmarkStart w:id="47" w:name="ZOTERO_BREF_JNYnQWFLBf2i"/>
            <w:r w:rsidRPr="009A0610">
              <w:rPr>
                <w:rFonts w:cs="Times New Roman"/>
              </w:rPr>
              <w:t xml:space="preserve">(MacNish </w:t>
            </w:r>
            <w:r w:rsidRPr="009A0610">
              <w:rPr>
                <w:rFonts w:cs="Times New Roman"/>
                <w:i/>
                <w:iCs/>
              </w:rPr>
              <w:t>et al.</w:t>
            </w:r>
            <w:r w:rsidRPr="009A0610">
              <w:rPr>
                <w:rFonts w:cs="Times New Roman"/>
              </w:rPr>
              <w:t>, 2025)</w:t>
            </w:r>
            <w:bookmarkEnd w:id="47"/>
          </w:p>
        </w:tc>
      </w:tr>
    </w:tbl>
    <w:p w14:paraId="66FF32B7" w14:textId="77777777" w:rsidR="000B17E8" w:rsidRPr="00472076" w:rsidRDefault="000B17E8" w:rsidP="000B17E8">
      <w:pPr>
        <w:pStyle w:val="Descripcin"/>
        <w:rPr>
          <w:color w:val="808080" w:themeColor="background1" w:themeShade="80"/>
          <w:sz w:val="20"/>
          <w:szCs w:val="20"/>
        </w:rPr>
      </w:pPr>
      <w:r w:rsidRPr="00472076">
        <w:rPr>
          <w:color w:val="808080" w:themeColor="background1" w:themeShade="80"/>
          <w:sz w:val="20"/>
          <w:szCs w:val="20"/>
        </w:rPr>
        <w:t xml:space="preserve">Source: Authors’ </w:t>
      </w:r>
      <w:proofErr w:type="gramStart"/>
      <w:r w:rsidRPr="00472076">
        <w:rPr>
          <w:color w:val="808080" w:themeColor="background1" w:themeShade="80"/>
          <w:sz w:val="20"/>
          <w:szCs w:val="20"/>
        </w:rPr>
        <w:t>own</w:t>
      </w:r>
      <w:proofErr w:type="gramEnd"/>
      <w:r w:rsidRPr="00472076">
        <w:rPr>
          <w:color w:val="808080" w:themeColor="background1" w:themeShade="80"/>
          <w:sz w:val="20"/>
          <w:szCs w:val="20"/>
        </w:rPr>
        <w:t xml:space="preserve"> elaboration</w:t>
      </w:r>
    </w:p>
    <w:p w14:paraId="0A4947F2" w14:textId="5C20268D" w:rsidR="002802F2" w:rsidRPr="001F1B2F" w:rsidRDefault="002802F2" w:rsidP="002802F2">
      <w:pPr>
        <w:pStyle w:val="Ttulo2"/>
      </w:pPr>
      <w:bookmarkStart w:id="48" w:name="_Toc225918000"/>
      <w:bookmarkStart w:id="49" w:name="OrgXref.org9662daa"/>
      <w:bookmarkStart w:id="50" w:name="_Toc226730548"/>
      <w:r>
        <w:t xml:space="preserve">2.2 </w:t>
      </w:r>
      <w:r>
        <w:t>Supply-chain transparency</w:t>
      </w:r>
      <w:bookmarkEnd w:id="48"/>
      <w:bookmarkEnd w:id="50"/>
      <w:r>
        <w:t xml:space="preserve"> </w:t>
      </w:r>
      <w:bookmarkEnd w:id="49"/>
    </w:p>
    <w:p w14:paraId="57CCE239" w14:textId="77777777" w:rsidR="00BF726D" w:rsidRPr="001F1B2F" w:rsidRDefault="00BF726D" w:rsidP="00BF726D">
      <w:r w:rsidRPr="001F1B2F">
        <w:t xml:space="preserve">Traceability and information systems are applied to improve oversight, compliance, and market information. It is important to consider that their accessibility and costs may exclude small-scale actors. </w:t>
      </w:r>
    </w:p>
    <w:p w14:paraId="6EF7BC39" w14:textId="0F76A094" w:rsidR="00EF40FA" w:rsidRPr="001F1B2F" w:rsidRDefault="00EF40FA" w:rsidP="00EF40FA">
      <w:pPr>
        <w:pStyle w:val="Ttulo3"/>
        <w:ind w:left="0"/>
      </w:pPr>
      <w:bookmarkStart w:id="51" w:name="_Toc225918001"/>
      <w:bookmarkStart w:id="52" w:name="OrgXref.org4ad9327"/>
      <w:bookmarkStart w:id="53" w:name="_Toc226730549"/>
      <w:r w:rsidRPr="00EE5251">
        <w:rPr>
          <w:lang w:val="en-CA"/>
        </w:rPr>
        <w:t>2.</w:t>
      </w:r>
      <w:r w:rsidR="00634240">
        <w:rPr>
          <w:lang w:val="en-CA"/>
        </w:rPr>
        <w:t>2</w:t>
      </w:r>
      <w:r w:rsidRPr="00EE5251">
        <w:rPr>
          <w:lang w:val="en-CA"/>
        </w:rPr>
        <w:t xml:space="preserve">.1 </w:t>
      </w:r>
      <w:r>
        <w:t>Commodity price prediction</w:t>
      </w:r>
      <w:bookmarkEnd w:id="51"/>
      <w:bookmarkEnd w:id="53"/>
      <w:r>
        <w:t xml:space="preserve"> </w:t>
      </w:r>
      <w:bookmarkEnd w:id="52"/>
    </w:p>
    <w:p w14:paraId="18807D95" w14:textId="77777777" w:rsidR="00FC75CC" w:rsidRDefault="00FC75CC" w:rsidP="00FC75CC">
      <w:r>
        <w:t>Commodity price prediction aims to anticipate short- to medium-term movements in staple and cash-crop prices to support farmer planning (crop choice, timing of sales, storage decisions), risk management (insurance design, credit decisions), and public action (market monitoring, early warning, and shock response). Approaches range from simple statistical models to machine-learning systems that combine historical prices with explanatory signals such as weather anomalies, input prices, freight and fuel costs, exchange rates, trade policy events, conflict/port disruptions and remote-sensing indicators of crop conditions and production prospects. Providing pricing information or facilitating access to certain markets gives operators of these tools power over the decisions of farmers. This risks to reproduce or intensify existing power asymmetries without adequate competition and regulatory safeguards.</w:t>
      </w:r>
    </w:p>
    <w:p w14:paraId="250320B7" w14:textId="11643BAF" w:rsidR="00D513B6" w:rsidRPr="00D513B6" w:rsidRDefault="00D513B6" w:rsidP="00D513B6">
      <w:pPr>
        <w:pStyle w:val="FigTabledescriptionheading"/>
        <w:spacing w:after="0"/>
      </w:pPr>
      <w:r w:rsidRPr="00D513B6">
        <w:t xml:space="preserve">Table </w:t>
      </w:r>
      <w:r w:rsidRPr="00D513B6">
        <w:t>6</w:t>
      </w:r>
      <w:r w:rsidRPr="00D513B6">
        <w:t>: examples of specific purpose AI used for commodity prices prediction</w:t>
      </w:r>
    </w:p>
    <w:tbl>
      <w:tblPr>
        <w:tblW w:w="9782" w:type="dxa"/>
        <w:jc w:val="center"/>
        <w:tblLayout w:type="fixed"/>
        <w:tblCellMar>
          <w:top w:w="90" w:type="dxa"/>
          <w:left w:w="90" w:type="dxa"/>
          <w:bottom w:w="90" w:type="dxa"/>
          <w:right w:w="90" w:type="dxa"/>
        </w:tblCellMar>
        <w:tblLook w:val="04A0" w:firstRow="1" w:lastRow="0" w:firstColumn="1" w:lastColumn="0" w:noHBand="0" w:noVBand="1"/>
      </w:tblPr>
      <w:tblGrid>
        <w:gridCol w:w="4503"/>
        <w:gridCol w:w="5279"/>
      </w:tblGrid>
      <w:tr w:rsidR="001D073B" w:rsidRPr="001F1B2F" w14:paraId="702A9C84" w14:textId="77777777" w:rsidTr="00EB278E">
        <w:trPr>
          <w:tblHeader/>
          <w:jc w:val="center"/>
        </w:trPr>
        <w:tc>
          <w:tcPr>
            <w:tcW w:w="4503" w:type="dxa"/>
            <w:tcBorders>
              <w:top w:val="single" w:sz="2" w:space="0" w:color="536374" w:themeColor="text2"/>
              <w:bottom w:val="single" w:sz="2" w:space="0" w:color="536374" w:themeColor="text2"/>
            </w:tcBorders>
          </w:tcPr>
          <w:p w14:paraId="3FCDDAD9" w14:textId="77777777" w:rsidR="001D073B" w:rsidRPr="001F1B2F" w:rsidRDefault="001D073B" w:rsidP="00EB278E">
            <w:pPr>
              <w:spacing w:after="0" w:line="240" w:lineRule="auto"/>
            </w:pPr>
            <w:r w:rsidRPr="001F1B2F">
              <w:t>Name</w:t>
            </w:r>
          </w:p>
        </w:tc>
        <w:tc>
          <w:tcPr>
            <w:tcW w:w="5279" w:type="dxa"/>
            <w:tcBorders>
              <w:top w:val="single" w:sz="2" w:space="0" w:color="536374" w:themeColor="text2"/>
              <w:bottom w:val="single" w:sz="2" w:space="0" w:color="536374" w:themeColor="text2"/>
            </w:tcBorders>
          </w:tcPr>
          <w:p w14:paraId="5751976A" w14:textId="77777777" w:rsidR="001D073B" w:rsidRPr="001F1B2F" w:rsidRDefault="001D073B" w:rsidP="00EB278E">
            <w:pPr>
              <w:spacing w:after="0" w:line="240" w:lineRule="auto"/>
            </w:pPr>
            <w:r w:rsidRPr="001F1B2F">
              <w:t>Description</w:t>
            </w:r>
          </w:p>
        </w:tc>
      </w:tr>
      <w:tr w:rsidR="001D073B" w:rsidRPr="001F1B2F" w14:paraId="1B2F3634" w14:textId="77777777" w:rsidTr="00EB278E">
        <w:trPr>
          <w:jc w:val="center"/>
        </w:trPr>
        <w:tc>
          <w:tcPr>
            <w:tcW w:w="4503" w:type="dxa"/>
            <w:tcBorders>
              <w:top w:val="single" w:sz="2" w:space="0" w:color="536374" w:themeColor="text2"/>
            </w:tcBorders>
          </w:tcPr>
          <w:p w14:paraId="2DC35A15" w14:textId="77777777" w:rsidR="001D073B" w:rsidRPr="001F1B2F" w:rsidRDefault="001D073B" w:rsidP="00EB278E">
            <w:pPr>
              <w:spacing w:after="0" w:line="240" w:lineRule="auto"/>
            </w:pPr>
            <w:r>
              <w:t>Market information systems for smallholders (e.g. SMS-based price alerts)</w:t>
            </w:r>
          </w:p>
        </w:tc>
        <w:tc>
          <w:tcPr>
            <w:tcW w:w="5279" w:type="dxa"/>
            <w:tcBorders>
              <w:top w:val="single" w:sz="2" w:space="0" w:color="536374" w:themeColor="text2"/>
            </w:tcBorders>
          </w:tcPr>
          <w:p w14:paraId="3A63A149" w14:textId="77777777" w:rsidR="001D073B" w:rsidRPr="001F1B2F" w:rsidRDefault="001D073B" w:rsidP="00EB278E">
            <w:pPr>
              <w:spacing w:after="0" w:line="240" w:lineRule="auto"/>
            </w:pPr>
            <w:r>
              <w:t xml:space="preserve">SMS-based market information </w:t>
            </w:r>
            <w:proofErr w:type="gramStart"/>
            <w:r>
              <w:t>are</w:t>
            </w:r>
            <w:proofErr w:type="gramEnd"/>
            <w:r>
              <w:t xml:space="preserve"> not AI-based. Studies in Ghana and Malawi have found small effects on earnings improvements for smallholders. </w:t>
            </w:r>
            <w:bookmarkStart w:id="54" w:name="ZOTERO_BREF_6XiGS7oEEH5L"/>
            <w:r w:rsidRPr="009A0610">
              <w:rPr>
                <w:rFonts w:cs="Times New Roman"/>
              </w:rPr>
              <w:t xml:space="preserve">(Chikuni and </w:t>
            </w:r>
            <w:proofErr w:type="spellStart"/>
            <w:r w:rsidRPr="009A0610">
              <w:rPr>
                <w:rFonts w:cs="Times New Roman"/>
              </w:rPr>
              <w:t>Kilima</w:t>
            </w:r>
            <w:proofErr w:type="spellEnd"/>
            <w:r w:rsidRPr="009A0610">
              <w:rPr>
                <w:rFonts w:cs="Times New Roman"/>
              </w:rPr>
              <w:t>, 2019; Soldani, 2014)</w:t>
            </w:r>
            <w:bookmarkEnd w:id="54"/>
          </w:p>
        </w:tc>
      </w:tr>
      <w:tr w:rsidR="001D073B" w:rsidRPr="001F1B2F" w14:paraId="7B69C1F6" w14:textId="77777777" w:rsidTr="00EB278E">
        <w:trPr>
          <w:trHeight w:val="590"/>
          <w:jc w:val="center"/>
        </w:trPr>
        <w:tc>
          <w:tcPr>
            <w:tcW w:w="4503" w:type="dxa"/>
            <w:tcBorders>
              <w:bottom w:val="single" w:sz="4" w:space="0" w:color="536374" w:themeColor="text2"/>
            </w:tcBorders>
          </w:tcPr>
          <w:p w14:paraId="7D3F23B5" w14:textId="77777777" w:rsidR="001D073B" w:rsidRPr="001F1B2F" w:rsidRDefault="001D073B" w:rsidP="00EB278E">
            <w:pPr>
              <w:spacing w:after="0" w:line="240" w:lineRule="auto"/>
            </w:pPr>
            <w:r>
              <w:t xml:space="preserve">Commodity price prediction models (e.g. agricultural futures forecasting in China </w:t>
            </w:r>
            <w:bookmarkStart w:id="55" w:name="ZOTERO_BREF_rVvz6BuGcExW"/>
            <w:r w:rsidRPr="009A7922">
              <w:rPr>
                <w:rFonts w:cs="Times New Roman"/>
              </w:rPr>
              <w:t xml:space="preserve">(Zhang </w:t>
            </w:r>
            <w:r w:rsidRPr="009A7922">
              <w:rPr>
                <w:rFonts w:cs="Times New Roman"/>
                <w:i/>
                <w:iCs/>
              </w:rPr>
              <w:t>et al.</w:t>
            </w:r>
            <w:r w:rsidRPr="009A7922">
              <w:rPr>
                <w:rFonts w:cs="Times New Roman"/>
              </w:rPr>
              <w:t>, 2024</w:t>
            </w:r>
            <w:bookmarkEnd w:id="55"/>
            <w:r w:rsidRPr="009A7922">
              <w:rPr>
                <w:rFonts w:cs="Times New Roman"/>
              </w:rPr>
              <w:t>)</w:t>
            </w:r>
            <w:r>
              <w:rPr>
                <w:rFonts w:cs="Times New Roman"/>
              </w:rPr>
              <w:t>)</w:t>
            </w:r>
          </w:p>
        </w:tc>
        <w:tc>
          <w:tcPr>
            <w:tcW w:w="5279" w:type="dxa"/>
            <w:tcBorders>
              <w:bottom w:val="single" w:sz="4" w:space="0" w:color="536374" w:themeColor="text2"/>
            </w:tcBorders>
          </w:tcPr>
          <w:p w14:paraId="7A49C725" w14:textId="77777777" w:rsidR="001D073B" w:rsidRPr="001F1B2F" w:rsidRDefault="001D073B" w:rsidP="00EB278E">
            <w:pPr>
              <w:spacing w:after="0" w:line="240" w:lineRule="auto"/>
            </w:pPr>
            <w:proofErr w:type="gramStart"/>
            <w:r>
              <w:t>machine</w:t>
            </w:r>
            <w:proofErr w:type="gramEnd"/>
            <w:r>
              <w:t xml:space="preserve"> learning and deep learning models </w:t>
            </w:r>
            <w:r w:rsidDel="00FB1653">
              <w:t xml:space="preserve">are </w:t>
            </w:r>
            <w:r>
              <w:t xml:space="preserve">used to predict prices of staple crops. deep learning tools outperform simpler machine learning solutions, but the latter remain more explainable. </w:t>
            </w:r>
            <w:bookmarkStart w:id="56" w:name="ZOTERO_BREF_LQDgHMWYqybW"/>
            <w:r w:rsidRPr="009A7922">
              <w:rPr>
                <w:rFonts w:cs="Times New Roman"/>
              </w:rPr>
              <w:t xml:space="preserve">(Manogna, </w:t>
            </w:r>
            <w:proofErr w:type="spellStart"/>
            <w:r w:rsidRPr="009A7922">
              <w:rPr>
                <w:rFonts w:cs="Times New Roman"/>
              </w:rPr>
              <w:t>Dharmaji</w:t>
            </w:r>
            <w:proofErr w:type="spellEnd"/>
            <w:r w:rsidRPr="009A7922">
              <w:rPr>
                <w:rFonts w:cs="Times New Roman"/>
              </w:rPr>
              <w:t xml:space="preserve"> and Sarang, 2025; </w:t>
            </w:r>
            <w:proofErr w:type="spellStart"/>
            <w:r w:rsidRPr="009A7922">
              <w:rPr>
                <w:rFonts w:cs="Times New Roman"/>
              </w:rPr>
              <w:t>Theofilou</w:t>
            </w:r>
            <w:proofErr w:type="spellEnd"/>
            <w:r w:rsidRPr="009A7922">
              <w:rPr>
                <w:rFonts w:cs="Times New Roman"/>
              </w:rPr>
              <w:t xml:space="preserve"> </w:t>
            </w:r>
            <w:r w:rsidRPr="009A7922">
              <w:rPr>
                <w:rFonts w:cs="Times New Roman"/>
                <w:i/>
                <w:iCs/>
              </w:rPr>
              <w:t>et al.</w:t>
            </w:r>
            <w:r w:rsidRPr="009A7922">
              <w:rPr>
                <w:rFonts w:cs="Times New Roman"/>
              </w:rPr>
              <w:t>, 2025)</w:t>
            </w:r>
            <w:bookmarkEnd w:id="56"/>
          </w:p>
        </w:tc>
      </w:tr>
    </w:tbl>
    <w:p w14:paraId="5F71A6BE" w14:textId="77777777" w:rsidR="00EB278E" w:rsidRPr="003E6E20" w:rsidRDefault="00EB278E" w:rsidP="00EB278E">
      <w:pPr>
        <w:pStyle w:val="Descripcin"/>
        <w:rPr>
          <w:color w:val="808080" w:themeColor="background1" w:themeShade="80"/>
          <w:sz w:val="20"/>
          <w:szCs w:val="20"/>
        </w:rPr>
      </w:pPr>
      <w:r w:rsidRPr="003E6E20">
        <w:rPr>
          <w:i/>
          <w:iCs w:val="0"/>
          <w:color w:val="808080" w:themeColor="background1" w:themeShade="80"/>
          <w:sz w:val="20"/>
          <w:szCs w:val="20"/>
        </w:rPr>
        <w:t>Source</w:t>
      </w:r>
      <w:r w:rsidRPr="003E6E20">
        <w:rPr>
          <w:color w:val="808080" w:themeColor="background1" w:themeShade="80"/>
          <w:sz w:val="20"/>
          <w:szCs w:val="20"/>
        </w:rPr>
        <w:t xml:space="preserve">: Authors' own elaboration. </w:t>
      </w:r>
    </w:p>
    <w:p w14:paraId="6902FCB6" w14:textId="325F5A54" w:rsidR="00D71C5A" w:rsidRPr="001F1B2F" w:rsidRDefault="00D71C5A" w:rsidP="00D71C5A">
      <w:pPr>
        <w:pStyle w:val="Ttulo3"/>
        <w:ind w:left="0"/>
      </w:pPr>
      <w:bookmarkStart w:id="57" w:name="OrgXref.org8a0a9a1"/>
      <w:bookmarkStart w:id="58" w:name="_Toc225918002"/>
      <w:bookmarkStart w:id="59" w:name="_Toc226730550"/>
      <w:r>
        <w:t xml:space="preserve">2.2.2 </w:t>
      </w:r>
      <w:r>
        <w:t xml:space="preserve">Supply chain tracing (accountability, adherence to regulation and production conditions) </w:t>
      </w:r>
      <w:bookmarkEnd w:id="57"/>
      <w:r>
        <w:t>and -optimization</w:t>
      </w:r>
      <w:bookmarkEnd w:id="58"/>
      <w:bookmarkEnd w:id="59"/>
    </w:p>
    <w:p w14:paraId="76CDD37B" w14:textId="77777777" w:rsidR="00C82484" w:rsidRDefault="00C82484" w:rsidP="00C82484">
      <w:r>
        <w:t xml:space="preserve">Commodity price prediction aims to anticipate short- to medium-term movements in staple and cash-crop prices to support farmer planning (crop choice, timing of sales, storage decisions), risk management (insurance design, credit decisions), and public action (market monitoring, early warning, and shock response). Approaches range from simple statistical models to machine-learning systems that combine historical prices with explanatory signals such as weather anomalies, input prices, freight and fuel costs, exchange rates, trade policy events, conflict/port disruptions and remote-sensing indicators of crop conditions and production prospects. Providing pricing information or facilitating access to certain markets gives operators of these tools power over the decisions of farmers. This risks </w:t>
      </w:r>
      <w:proofErr w:type="gramStart"/>
      <w:r>
        <w:t>to reproduce</w:t>
      </w:r>
      <w:proofErr w:type="gramEnd"/>
      <w:r>
        <w:t xml:space="preserve"> or intensify existing power asymmetries without adequate competition and regulatory safeguards.</w:t>
      </w:r>
    </w:p>
    <w:p w14:paraId="29F3D008" w14:textId="0D279BD3" w:rsidR="00C00F6B" w:rsidRPr="0091460C" w:rsidRDefault="00C00F6B" w:rsidP="00C00F6B">
      <w:pPr>
        <w:pStyle w:val="FigTabledescriptionheading"/>
        <w:spacing w:after="0"/>
      </w:pPr>
      <w:r w:rsidRPr="0091460C">
        <w:t xml:space="preserve">Table </w:t>
      </w:r>
      <w:r w:rsidRPr="0091460C">
        <w:t>7</w:t>
      </w:r>
      <w:r w:rsidRPr="0091460C">
        <w:t>: examples of specific purpose AI used for commodity prices prediction</w:t>
      </w:r>
    </w:p>
    <w:tbl>
      <w:tblPr>
        <w:tblW w:w="9782" w:type="dxa"/>
        <w:jc w:val="center"/>
        <w:tblLayout w:type="fixed"/>
        <w:tblCellMar>
          <w:top w:w="90" w:type="dxa"/>
          <w:left w:w="90" w:type="dxa"/>
          <w:bottom w:w="90" w:type="dxa"/>
          <w:right w:w="90" w:type="dxa"/>
        </w:tblCellMar>
        <w:tblLook w:val="04A0" w:firstRow="1" w:lastRow="0" w:firstColumn="1" w:lastColumn="0" w:noHBand="0" w:noVBand="1"/>
      </w:tblPr>
      <w:tblGrid>
        <w:gridCol w:w="4503"/>
        <w:gridCol w:w="5279"/>
      </w:tblGrid>
      <w:tr w:rsidR="004E0E0A" w:rsidRPr="001F1B2F" w14:paraId="16F896D7" w14:textId="77777777" w:rsidTr="004E0E0A">
        <w:trPr>
          <w:tblHeader/>
          <w:jc w:val="center"/>
        </w:trPr>
        <w:tc>
          <w:tcPr>
            <w:tcW w:w="4503" w:type="dxa"/>
            <w:tcBorders>
              <w:top w:val="single" w:sz="2" w:space="0" w:color="536374" w:themeColor="text2"/>
              <w:bottom w:val="single" w:sz="2" w:space="0" w:color="536374" w:themeColor="text2"/>
            </w:tcBorders>
          </w:tcPr>
          <w:p w14:paraId="54DD43D4" w14:textId="77777777" w:rsidR="004E0E0A" w:rsidRPr="001F1B2F" w:rsidRDefault="004E0E0A" w:rsidP="004E0E0A">
            <w:pPr>
              <w:spacing w:after="0" w:line="240" w:lineRule="auto"/>
            </w:pPr>
            <w:r w:rsidRPr="001F1B2F">
              <w:t>Name</w:t>
            </w:r>
          </w:p>
        </w:tc>
        <w:tc>
          <w:tcPr>
            <w:tcW w:w="5279" w:type="dxa"/>
            <w:tcBorders>
              <w:top w:val="single" w:sz="2" w:space="0" w:color="536374" w:themeColor="text2"/>
              <w:bottom w:val="single" w:sz="2" w:space="0" w:color="536374" w:themeColor="text2"/>
            </w:tcBorders>
          </w:tcPr>
          <w:p w14:paraId="47801028" w14:textId="77777777" w:rsidR="004E0E0A" w:rsidRPr="001F1B2F" w:rsidRDefault="004E0E0A" w:rsidP="004E0E0A">
            <w:pPr>
              <w:spacing w:after="0" w:line="240" w:lineRule="auto"/>
            </w:pPr>
            <w:r w:rsidRPr="001F1B2F">
              <w:t>Description</w:t>
            </w:r>
          </w:p>
        </w:tc>
      </w:tr>
      <w:tr w:rsidR="004E0E0A" w:rsidRPr="001F1B2F" w14:paraId="431E6E02" w14:textId="77777777" w:rsidTr="004E0E0A">
        <w:trPr>
          <w:jc w:val="center"/>
        </w:trPr>
        <w:tc>
          <w:tcPr>
            <w:tcW w:w="4503" w:type="dxa"/>
            <w:tcBorders>
              <w:top w:val="single" w:sz="2" w:space="0" w:color="536374" w:themeColor="text2"/>
            </w:tcBorders>
          </w:tcPr>
          <w:p w14:paraId="59BF7472" w14:textId="77777777" w:rsidR="004E0E0A" w:rsidRPr="001F1B2F" w:rsidRDefault="004E0E0A" w:rsidP="004E0E0A">
            <w:pPr>
              <w:spacing w:after="0" w:line="240" w:lineRule="auto"/>
            </w:pPr>
            <w:r w:rsidRPr="001F1B2F">
              <w:t>Moyee Coffee blockchain</w:t>
            </w:r>
          </w:p>
        </w:tc>
        <w:tc>
          <w:tcPr>
            <w:tcW w:w="5279" w:type="dxa"/>
            <w:tcBorders>
              <w:top w:val="single" w:sz="2" w:space="0" w:color="536374" w:themeColor="text2"/>
            </w:tcBorders>
          </w:tcPr>
          <w:p w14:paraId="20E3180D" w14:textId="77777777" w:rsidR="004E0E0A" w:rsidRPr="001F1B2F" w:rsidRDefault="004E0E0A" w:rsidP="004E0E0A">
            <w:pPr>
              <w:spacing w:after="0" w:line="240" w:lineRule="auto"/>
            </w:pPr>
            <w:r w:rsidRPr="001F1B2F">
              <w:t>Blockchain coffee for transparency and fair pricing</w:t>
            </w:r>
            <w:r>
              <w:t xml:space="preserve">. </w:t>
            </w:r>
            <w:bookmarkStart w:id="60" w:name="ZOTERO_BREF_iG0QC1lXzru1"/>
            <w:r w:rsidRPr="00131AD5">
              <w:rPr>
                <w:rFonts w:cs="Times New Roman"/>
              </w:rPr>
              <w:t>(Moyee Coffee, undated)</w:t>
            </w:r>
            <w:bookmarkEnd w:id="60"/>
          </w:p>
        </w:tc>
      </w:tr>
      <w:tr w:rsidR="004E0E0A" w:rsidRPr="001F1B2F" w14:paraId="1F4C0562" w14:textId="77777777" w:rsidTr="004E0E0A">
        <w:trPr>
          <w:jc w:val="center"/>
        </w:trPr>
        <w:tc>
          <w:tcPr>
            <w:tcW w:w="4503" w:type="dxa"/>
            <w:tcBorders>
              <w:bottom w:val="none" w:sz="12" w:space="0" w:color="536374" w:themeColor="text2"/>
            </w:tcBorders>
          </w:tcPr>
          <w:p w14:paraId="016F20EA" w14:textId="77777777" w:rsidR="004E0E0A" w:rsidRPr="001F1B2F" w:rsidRDefault="004E0E0A" w:rsidP="004E0E0A">
            <w:pPr>
              <w:spacing w:after="0" w:line="240" w:lineRule="auto"/>
            </w:pPr>
            <w:proofErr w:type="spellStart"/>
            <w:r w:rsidRPr="001F1B2F">
              <w:t>BlocRice</w:t>
            </w:r>
            <w:proofErr w:type="spellEnd"/>
            <w:r w:rsidRPr="001F1B2F">
              <w:t xml:space="preserve"> (Oxfam)</w:t>
            </w:r>
          </w:p>
        </w:tc>
        <w:tc>
          <w:tcPr>
            <w:tcW w:w="5279" w:type="dxa"/>
            <w:tcBorders>
              <w:bottom w:val="none" w:sz="12" w:space="0" w:color="536374" w:themeColor="text2"/>
            </w:tcBorders>
          </w:tcPr>
          <w:p w14:paraId="1F4E70D9" w14:textId="77777777" w:rsidR="004E0E0A" w:rsidRPr="001F1B2F" w:rsidRDefault="004E0E0A" w:rsidP="004E0E0A">
            <w:pPr>
              <w:spacing w:after="0" w:line="240" w:lineRule="auto"/>
            </w:pPr>
            <w:r>
              <w:t xml:space="preserve">Blockchain tracing of organic rice production origins and supply chain conditions in Cambodia. </w:t>
            </w:r>
            <w:bookmarkStart w:id="61" w:name="ZOTERO_BREF_qUOXg7IKMSPF"/>
            <w:r w:rsidRPr="002E2B09">
              <w:rPr>
                <w:rFonts w:cs="Times New Roman"/>
              </w:rPr>
              <w:t>(Oxfam, undated)</w:t>
            </w:r>
            <w:bookmarkEnd w:id="61"/>
          </w:p>
        </w:tc>
      </w:tr>
      <w:tr w:rsidR="004E0E0A" w:rsidRPr="001F1B2F" w14:paraId="0C258A13" w14:textId="77777777" w:rsidTr="004E0E0A">
        <w:trPr>
          <w:jc w:val="center"/>
        </w:trPr>
        <w:tc>
          <w:tcPr>
            <w:tcW w:w="4503" w:type="dxa"/>
            <w:tcBorders>
              <w:top w:val="none" w:sz="12" w:space="0" w:color="536374" w:themeColor="text2"/>
              <w:left w:val="none" w:sz="12" w:space="0" w:color="536374" w:themeColor="text2"/>
              <w:bottom w:val="none" w:sz="2" w:space="0" w:color="536374" w:themeColor="text2"/>
              <w:right w:val="none" w:sz="12" w:space="0" w:color="536374" w:themeColor="text2"/>
            </w:tcBorders>
          </w:tcPr>
          <w:p w14:paraId="427749B2" w14:textId="77777777" w:rsidR="004E0E0A" w:rsidRPr="001F1B2F" w:rsidRDefault="004E0E0A" w:rsidP="004E0E0A">
            <w:pPr>
              <w:spacing w:after="0" w:line="240" w:lineRule="auto"/>
            </w:pPr>
            <w:proofErr w:type="spellStart"/>
            <w:r w:rsidRPr="001F1B2F">
              <w:t>AgriLedger</w:t>
            </w:r>
            <w:proofErr w:type="spellEnd"/>
          </w:p>
        </w:tc>
        <w:tc>
          <w:tcPr>
            <w:tcW w:w="5279" w:type="dxa"/>
            <w:tcBorders>
              <w:top w:val="none" w:sz="12" w:space="0" w:color="536374" w:themeColor="text2"/>
              <w:left w:val="none" w:sz="12" w:space="0" w:color="536374" w:themeColor="text2"/>
              <w:bottom w:val="none" w:sz="2" w:space="0" w:color="536374" w:themeColor="text2"/>
              <w:right w:val="none" w:sz="12" w:space="0" w:color="536374" w:themeColor="text2"/>
            </w:tcBorders>
          </w:tcPr>
          <w:p w14:paraId="7552FFA0" w14:textId="77777777" w:rsidR="004E0E0A" w:rsidRPr="001F1B2F" w:rsidRDefault="004E0E0A" w:rsidP="004E0E0A">
            <w:pPr>
              <w:spacing w:after="0" w:line="240" w:lineRule="auto"/>
            </w:pPr>
            <w:r w:rsidRPr="004E0E0A">
              <w:t>Ledger-based services</w:t>
            </w:r>
            <w:r>
              <w:t xml:space="preserve"> for development objectives. Notable case study in Haiti in 2019 claims great improvements on farmer productivity and supply chain efficiency. </w:t>
            </w:r>
            <w:bookmarkStart w:id="62" w:name="ZOTERO_BREF_qrk2b5WmJQIi"/>
            <w:r w:rsidRPr="004E0E0A">
              <w:t>(Bhusal, 2021)</w:t>
            </w:r>
            <w:bookmarkEnd w:id="62"/>
          </w:p>
        </w:tc>
      </w:tr>
      <w:tr w:rsidR="004E0E0A" w14:paraId="1EFF3DEA" w14:textId="77777777" w:rsidTr="004E0E0A">
        <w:trPr>
          <w:trHeight w:val="300"/>
          <w:jc w:val="center"/>
        </w:trPr>
        <w:tc>
          <w:tcPr>
            <w:tcW w:w="4503" w:type="dxa"/>
            <w:tcBorders>
              <w:top w:val="none" w:sz="2" w:space="0" w:color="536374" w:themeColor="text2"/>
              <w:bottom w:val="single" w:sz="12" w:space="0" w:color="536374" w:themeColor="text2"/>
            </w:tcBorders>
          </w:tcPr>
          <w:p w14:paraId="172EB294" w14:textId="77777777" w:rsidR="004E0E0A" w:rsidRDefault="004E0E0A" w:rsidP="004E0E0A">
            <w:pPr>
              <w:spacing w:after="0" w:line="240" w:lineRule="auto"/>
            </w:pPr>
            <w:r>
              <w:t>WFP Route The Meals</w:t>
            </w:r>
          </w:p>
        </w:tc>
        <w:tc>
          <w:tcPr>
            <w:tcW w:w="5279" w:type="dxa"/>
            <w:tcBorders>
              <w:top w:val="none" w:sz="2" w:space="0" w:color="536374" w:themeColor="text2"/>
              <w:bottom w:val="single" w:sz="12" w:space="0" w:color="536374" w:themeColor="text2"/>
            </w:tcBorders>
          </w:tcPr>
          <w:p w14:paraId="758589AA" w14:textId="77777777" w:rsidR="004E0E0A" w:rsidRDefault="004E0E0A" w:rsidP="004E0E0A">
            <w:pPr>
              <w:spacing w:after="0" w:line="240" w:lineRule="auto"/>
            </w:pPr>
            <w:r>
              <w:t xml:space="preserve">Optimization tool for delivery networks and routes. </w:t>
            </w:r>
            <w:bookmarkStart w:id="63" w:name="ZOTERO_BREF_XRznussRdxGs"/>
            <w:r w:rsidRPr="009A7922">
              <w:rPr>
                <w:rFonts w:cs="Times New Roman"/>
              </w:rPr>
              <w:t>(WFP, 2025)</w:t>
            </w:r>
            <w:bookmarkEnd w:id="63"/>
          </w:p>
        </w:tc>
      </w:tr>
    </w:tbl>
    <w:p w14:paraId="2730B440" w14:textId="77777777" w:rsidR="00510284" w:rsidRPr="003E6E20" w:rsidRDefault="00510284" w:rsidP="00510284">
      <w:pPr>
        <w:pStyle w:val="Descripcin"/>
        <w:rPr>
          <w:color w:val="808080" w:themeColor="background1" w:themeShade="80"/>
          <w:sz w:val="20"/>
          <w:szCs w:val="20"/>
        </w:rPr>
      </w:pPr>
      <w:r w:rsidRPr="003E6E20">
        <w:rPr>
          <w:i/>
          <w:iCs w:val="0"/>
          <w:color w:val="808080" w:themeColor="background1" w:themeShade="80"/>
          <w:sz w:val="20"/>
          <w:szCs w:val="20"/>
        </w:rPr>
        <w:t>Source</w:t>
      </w:r>
      <w:r w:rsidRPr="003E6E20">
        <w:rPr>
          <w:color w:val="808080" w:themeColor="background1" w:themeShade="80"/>
          <w:sz w:val="20"/>
          <w:szCs w:val="20"/>
        </w:rPr>
        <w:t xml:space="preserve">: Authors' own elaboration. </w:t>
      </w:r>
    </w:p>
    <w:p w14:paraId="0B331A80" w14:textId="1D7F6A1F" w:rsidR="00540861" w:rsidRPr="001F1B2F" w:rsidRDefault="00540861" w:rsidP="00540861">
      <w:pPr>
        <w:pStyle w:val="Ttulo3"/>
        <w:ind w:left="0"/>
      </w:pPr>
      <w:bookmarkStart w:id="64" w:name="OrgXref.orgd97ca61"/>
      <w:bookmarkStart w:id="65" w:name="_Toc225918003"/>
      <w:bookmarkStart w:id="66" w:name="_Toc226730551"/>
      <w:r>
        <w:t xml:space="preserve">2.2.3 </w:t>
      </w:r>
      <w:r>
        <w:t xml:space="preserve">Food </w:t>
      </w:r>
      <w:r>
        <w:t xml:space="preserve">quality, </w:t>
      </w:r>
      <w:r>
        <w:t xml:space="preserve">safety </w:t>
      </w:r>
      <w:bookmarkEnd w:id="64"/>
      <w:r>
        <w:t xml:space="preserve">and food waste </w:t>
      </w:r>
      <w:bookmarkEnd w:id="65"/>
      <w:r>
        <w:t>prevention</w:t>
      </w:r>
      <w:bookmarkEnd w:id="66"/>
    </w:p>
    <w:p w14:paraId="10DFFD31" w14:textId="77777777" w:rsidR="00DA6741" w:rsidRPr="001F1B2F" w:rsidRDefault="00DA6741" w:rsidP="00DA6741">
      <w:r>
        <w:t xml:space="preserve">Farm-to-fork traceability systems (including blockchain-based provenance records mentioned above) can strengthen food safety by improving the speed and reliability of traceback during contamination events and by supporting verification of handling conditions across the chain. Beyond that, many solutions focus on descriptive and predictive analytics, for example estimating the likelihood or concentration of foodborne pathogens. From a public-health perspective, AI-enabled approaches are also being explored to improve surveillance and enforcement </w:t>
      </w:r>
      <w:proofErr w:type="gramStart"/>
      <w:r>
        <w:t>targeting:</w:t>
      </w:r>
      <w:proofErr w:type="gramEnd"/>
      <w:r>
        <w:t xml:space="preserve"> predicting which food outlets may have poor hygiene compliance, </w:t>
      </w:r>
      <w:proofErr w:type="gramStart"/>
      <w:r>
        <w:t>identifying</w:t>
      </w:r>
      <w:proofErr w:type="gramEnd"/>
      <w:r>
        <w:t xml:space="preserve"> likely sources of outbreaks, and supporting faster hypothesis generation about etiological agents and contamination pathways </w:t>
      </w:r>
      <w:bookmarkStart w:id="67" w:name="ZOTERO_BREF_g4lVNb6dhhLF"/>
      <w:r w:rsidRPr="00DA6741">
        <w:t>(Qian et al., 2023)</w:t>
      </w:r>
      <w:bookmarkEnd w:id="67"/>
      <w:r>
        <w:t xml:space="preserve">. These innovations matter in a context where foodborne diseases remain a large and recurring burden globally, as WHO estimates that roughly one in ten people fall ill each year due to contaminated food </w:t>
      </w:r>
      <w:bookmarkStart w:id="68" w:name="ZOTERO_BREF_TgFDiOdr06X4"/>
      <w:r w:rsidRPr="00DA6741">
        <w:t>(WHO, 2025</w:t>
      </w:r>
      <w:bookmarkEnd w:id="68"/>
      <w:r w:rsidDel="00A81494">
        <w:t>)</w:t>
      </w:r>
      <w:r>
        <w:t xml:space="preserve">. </w:t>
      </w:r>
    </w:p>
    <w:p w14:paraId="7C00F7CB" w14:textId="1414265C" w:rsidR="00DA6741" w:rsidRDefault="00DA6741" w:rsidP="00DA6741">
      <w:r>
        <w:t>Closely coupled to this are AI-enabled tools used to reduce food waste by (</w:t>
      </w:r>
      <w:proofErr w:type="spellStart"/>
      <w:r>
        <w:t>i</w:t>
      </w:r>
      <w:proofErr w:type="spellEnd"/>
      <w:r>
        <w:t xml:space="preserve">) predicting shelf life and spoilage risk, (ii) optimizing storage and cold-chain conditions, and (iii) improving operational decisions in retail and food service. A large research stream focuses on shelf-life prediction using imaging combined with </w:t>
      </w:r>
      <w:r w:rsidRPr="00DA6741">
        <w:t>machine-learning</w:t>
      </w:r>
      <w:r>
        <w:t xml:space="preserve"> models, enabling more accurate first-expired-first-out inventory practices, dynamic discounting, and safer redistribution decisions </w:t>
      </w:r>
      <w:bookmarkStart w:id="69" w:name="ZOTERO_BREF_317Rgc3NAmHa"/>
      <w:r w:rsidRPr="00DA6741">
        <w:t>(</w:t>
      </w:r>
      <w:proofErr w:type="spellStart"/>
      <w:r w:rsidRPr="00DA6741">
        <w:t>Rashvand</w:t>
      </w:r>
      <w:proofErr w:type="spellEnd"/>
      <w:r w:rsidRPr="00DA6741">
        <w:t xml:space="preserve"> et al., </w:t>
      </w:r>
      <w:bookmarkEnd w:id="69"/>
      <w:r w:rsidRPr="00DA6741">
        <w:t>2025)</w:t>
      </w:r>
      <w:r>
        <w:t xml:space="preserve">. A closely related application is cold-chain and retail refrigeration optimization, where AI systems can maintain food-safety temperature constraints while reducing energy use and preventing temperature-driven spoilage </w:t>
      </w:r>
      <w:bookmarkStart w:id="70" w:name="ZOTERO_BREF_4IkzDkAvzCpB"/>
      <w:r w:rsidRPr="00DA6741">
        <w:t>(</w:t>
      </w:r>
      <w:proofErr w:type="spellStart"/>
      <w:r w:rsidRPr="00DA6741">
        <w:t>Onoufriou</w:t>
      </w:r>
      <w:proofErr w:type="spellEnd"/>
      <w:r w:rsidRPr="00DA6741">
        <w:t xml:space="preserve"> et al., </w:t>
      </w:r>
      <w:bookmarkEnd w:id="70"/>
      <w:r w:rsidRPr="00DA6741">
        <w:t>2019)</w:t>
      </w:r>
      <w:r>
        <w:t xml:space="preserve">. Finally, in hospitality and institutional catering, </w:t>
      </w:r>
      <w:r w:rsidRPr="00DA6741">
        <w:t>AI-assisted waste tracking</w:t>
      </w:r>
      <w:r w:rsidRPr="00DA6741">
        <w:footnoteReference w:id="7"/>
      </w:r>
      <w:r>
        <w:t xml:space="preserve"> is used to quantify and categorize waste in real time, supporting menu redesign, procurement adjustments, and staff feedback loops that have shown substantial reductions in measured waste in some deployments </w:t>
      </w:r>
      <w:bookmarkStart w:id="71" w:name="ZOTERO_BREF_AXYm8l4BwgPT"/>
      <w:r w:rsidRPr="00A81494">
        <w:rPr>
          <w:rFonts w:cs="Times New Roman"/>
        </w:rPr>
        <w:t xml:space="preserve">(Clark </w:t>
      </w:r>
      <w:r w:rsidRPr="00A81494">
        <w:rPr>
          <w:rFonts w:cs="Times New Roman"/>
          <w:i/>
          <w:iCs/>
        </w:rPr>
        <w:t>et al.</w:t>
      </w:r>
      <w:r w:rsidRPr="00A81494">
        <w:rPr>
          <w:rFonts w:cs="Times New Roman"/>
        </w:rPr>
        <w:t>, 2025</w:t>
      </w:r>
      <w:bookmarkEnd w:id="71"/>
      <w:r w:rsidRPr="00A81494">
        <w:rPr>
          <w:rFonts w:cs="Times New Roman"/>
        </w:rPr>
        <w:t>)</w:t>
      </w:r>
      <w:r>
        <w:t xml:space="preserve">. Most of the scientifically documented tools use more traditional machine learning approaches </w:t>
      </w:r>
      <w:bookmarkStart w:id="72" w:name="ZOTERO_BREF_V0hiOye3uwhI"/>
      <w:r w:rsidRPr="00A81494">
        <w:rPr>
          <w:rFonts w:cs="Times New Roman"/>
        </w:rPr>
        <w:t>(</w:t>
      </w:r>
      <w:proofErr w:type="spellStart"/>
      <w:r w:rsidRPr="00A81494">
        <w:rPr>
          <w:rFonts w:cs="Times New Roman"/>
        </w:rPr>
        <w:t>Gbashi</w:t>
      </w:r>
      <w:proofErr w:type="spellEnd"/>
      <w:r w:rsidRPr="00A81494">
        <w:rPr>
          <w:rFonts w:cs="Times New Roman"/>
        </w:rPr>
        <w:t xml:space="preserve"> and </w:t>
      </w:r>
      <w:proofErr w:type="spellStart"/>
      <w:r w:rsidRPr="00A81494">
        <w:rPr>
          <w:rFonts w:cs="Times New Roman"/>
        </w:rPr>
        <w:t>Njobeh</w:t>
      </w:r>
      <w:proofErr w:type="spellEnd"/>
      <w:r w:rsidRPr="00A81494">
        <w:rPr>
          <w:rFonts w:cs="Times New Roman"/>
        </w:rPr>
        <w:t>, 2024</w:t>
      </w:r>
      <w:bookmarkEnd w:id="72"/>
      <w:r w:rsidRPr="00A81494">
        <w:rPr>
          <w:rFonts w:cs="Times New Roman"/>
        </w:rPr>
        <w:t>)</w:t>
      </w:r>
      <w:r>
        <w:t>.</w:t>
      </w:r>
    </w:p>
    <w:p w14:paraId="10070A27" w14:textId="35193F5B" w:rsidR="009942A2" w:rsidRPr="009942A2" w:rsidRDefault="009942A2" w:rsidP="009942A2">
      <w:pPr>
        <w:pStyle w:val="FigTabledescriptionheading"/>
        <w:spacing w:after="0"/>
      </w:pPr>
      <w:r w:rsidRPr="009942A2">
        <w:t xml:space="preserve">Table </w:t>
      </w:r>
      <w:r>
        <w:t>8</w:t>
      </w:r>
      <w:r w:rsidRPr="009942A2">
        <w:t>: Examples of specific purpose AI uses for food quality and -safety assessments</w:t>
      </w:r>
    </w:p>
    <w:tbl>
      <w:tblPr>
        <w:tblW w:w="9803" w:type="dxa"/>
        <w:jc w:val="center"/>
        <w:tblLayout w:type="fixed"/>
        <w:tblCellMar>
          <w:top w:w="90" w:type="dxa"/>
          <w:left w:w="90" w:type="dxa"/>
          <w:bottom w:w="90" w:type="dxa"/>
          <w:right w:w="90" w:type="dxa"/>
        </w:tblCellMar>
        <w:tblLook w:val="04A0" w:firstRow="1" w:lastRow="0" w:firstColumn="1" w:lastColumn="0" w:noHBand="0" w:noVBand="1"/>
      </w:tblPr>
      <w:tblGrid>
        <w:gridCol w:w="4928"/>
        <w:gridCol w:w="4875"/>
      </w:tblGrid>
      <w:tr w:rsidR="00BF2DFB" w:rsidRPr="001F1B2F" w14:paraId="4B348077" w14:textId="77777777" w:rsidTr="00BF2DFB">
        <w:trPr>
          <w:tblHeader/>
          <w:jc w:val="center"/>
        </w:trPr>
        <w:tc>
          <w:tcPr>
            <w:tcW w:w="4928" w:type="dxa"/>
            <w:tcBorders>
              <w:top w:val="single" w:sz="2" w:space="0" w:color="536374" w:themeColor="text2"/>
              <w:bottom w:val="single" w:sz="2" w:space="0" w:color="536374" w:themeColor="text2"/>
            </w:tcBorders>
          </w:tcPr>
          <w:p w14:paraId="5DCD110A" w14:textId="77777777" w:rsidR="00BF2DFB" w:rsidRPr="001F1B2F" w:rsidRDefault="00BF2DFB" w:rsidP="00BF2DFB">
            <w:pPr>
              <w:spacing w:after="0" w:line="240" w:lineRule="auto"/>
            </w:pPr>
            <w:r w:rsidRPr="001F1B2F">
              <w:t>Name</w:t>
            </w:r>
          </w:p>
        </w:tc>
        <w:tc>
          <w:tcPr>
            <w:tcW w:w="4875" w:type="dxa"/>
            <w:tcBorders>
              <w:top w:val="single" w:sz="2" w:space="0" w:color="536374" w:themeColor="text2"/>
              <w:bottom w:val="single" w:sz="2" w:space="0" w:color="536374" w:themeColor="text2"/>
            </w:tcBorders>
          </w:tcPr>
          <w:p w14:paraId="1F138726" w14:textId="77777777" w:rsidR="00BF2DFB" w:rsidRPr="001F1B2F" w:rsidRDefault="00BF2DFB" w:rsidP="00BF2DFB">
            <w:pPr>
              <w:spacing w:after="0" w:line="240" w:lineRule="auto"/>
            </w:pPr>
            <w:r w:rsidRPr="001F1B2F">
              <w:t>Description</w:t>
            </w:r>
          </w:p>
        </w:tc>
      </w:tr>
      <w:tr w:rsidR="00BF2DFB" w:rsidRPr="001F1B2F" w14:paraId="79A758CD" w14:textId="77777777" w:rsidTr="00BF2DFB">
        <w:trPr>
          <w:jc w:val="center"/>
        </w:trPr>
        <w:tc>
          <w:tcPr>
            <w:tcW w:w="4928" w:type="dxa"/>
            <w:tcBorders>
              <w:top w:val="single" w:sz="2" w:space="0" w:color="536374" w:themeColor="text2"/>
            </w:tcBorders>
          </w:tcPr>
          <w:p w14:paraId="38312FE5" w14:textId="77777777" w:rsidR="00BF2DFB" w:rsidRPr="001F1B2F" w:rsidRDefault="00BF2DFB" w:rsidP="00BF2DFB">
            <w:pPr>
              <w:spacing w:after="0" w:line="240" w:lineRule="auto"/>
            </w:pPr>
            <w:r>
              <w:t xml:space="preserve">Vision-Based Methods for Defect Detection and Grading (e.g. </w:t>
            </w:r>
            <w:proofErr w:type="spellStart"/>
            <w:r>
              <w:t>IntelloLabs</w:t>
            </w:r>
            <w:proofErr w:type="spellEnd"/>
            <w:r>
              <w:t xml:space="preserve"> </w:t>
            </w:r>
            <w:proofErr w:type="spellStart"/>
            <w:r>
              <w:t>ShelfEye</w:t>
            </w:r>
            <w:proofErr w:type="spellEnd"/>
            <w:r>
              <w:t>)</w:t>
            </w:r>
          </w:p>
        </w:tc>
        <w:tc>
          <w:tcPr>
            <w:tcW w:w="4875" w:type="dxa"/>
            <w:tcBorders>
              <w:top w:val="single" w:sz="2" w:space="0" w:color="536374" w:themeColor="text2"/>
            </w:tcBorders>
          </w:tcPr>
          <w:p w14:paraId="520735CA" w14:textId="77777777" w:rsidR="00BF2DFB" w:rsidRPr="001F1B2F" w:rsidRDefault="00BF2DFB" w:rsidP="00BF2DFB">
            <w:pPr>
              <w:spacing w:after="0" w:line="240" w:lineRule="auto"/>
            </w:pPr>
            <w:r>
              <w:t xml:space="preserve">Machine learning, specifically computer </w:t>
            </w:r>
            <w:proofErr w:type="gramStart"/>
            <w:r>
              <w:t>vision</w:t>
            </w:r>
            <w:proofErr w:type="gramEnd"/>
            <w:r>
              <w:t xml:space="preserve"> is used to extract relevant features from images of shelved food. They perform well at detecting physical defects. </w:t>
            </w:r>
            <w:bookmarkStart w:id="73" w:name="ZOTERO_BREF_8Xj52mBPXGl2"/>
            <w:r w:rsidRPr="00131AD5">
              <w:rPr>
                <w:rFonts w:cs="Times New Roman"/>
              </w:rPr>
              <w:t>(</w:t>
            </w:r>
            <w:proofErr w:type="spellStart"/>
            <w:r w:rsidRPr="00131AD5">
              <w:rPr>
                <w:rFonts w:cs="Times New Roman"/>
              </w:rPr>
              <w:t>Intello</w:t>
            </w:r>
            <w:proofErr w:type="spellEnd"/>
            <w:r w:rsidRPr="00131AD5">
              <w:rPr>
                <w:rFonts w:cs="Times New Roman"/>
              </w:rPr>
              <w:t xml:space="preserve"> Labs, undated; Liakos </w:t>
            </w:r>
            <w:r w:rsidRPr="00131AD5">
              <w:rPr>
                <w:rFonts w:cs="Times New Roman"/>
                <w:i/>
                <w:iCs/>
              </w:rPr>
              <w:t>et al.</w:t>
            </w:r>
            <w:r w:rsidRPr="00131AD5">
              <w:rPr>
                <w:rFonts w:cs="Times New Roman"/>
              </w:rPr>
              <w:t>, 2025)</w:t>
            </w:r>
            <w:bookmarkEnd w:id="73"/>
          </w:p>
        </w:tc>
      </w:tr>
      <w:tr w:rsidR="00BF2DFB" w:rsidRPr="001F1B2F" w14:paraId="2E198083" w14:textId="77777777" w:rsidTr="00BF2DFB">
        <w:trPr>
          <w:jc w:val="center"/>
        </w:trPr>
        <w:tc>
          <w:tcPr>
            <w:tcW w:w="4928" w:type="dxa"/>
            <w:tcBorders>
              <w:bottom w:val="single" w:sz="2" w:space="0" w:color="536374" w:themeColor="text2"/>
            </w:tcBorders>
          </w:tcPr>
          <w:p w14:paraId="2406A92F" w14:textId="77777777" w:rsidR="00BF2DFB" w:rsidRPr="001F1B2F" w:rsidRDefault="00BF2DFB" w:rsidP="00BF2DFB">
            <w:pPr>
              <w:spacing w:after="0" w:line="240" w:lineRule="auto"/>
            </w:pPr>
            <w:proofErr w:type="spellStart"/>
            <w:r w:rsidRPr="001F1B2F">
              <w:t>Nemesyst</w:t>
            </w:r>
            <w:proofErr w:type="spellEnd"/>
            <w:r w:rsidRPr="001F1B2F">
              <w:t xml:space="preserve"> (retail refrigeration AI)</w:t>
            </w:r>
          </w:p>
        </w:tc>
        <w:tc>
          <w:tcPr>
            <w:tcW w:w="4875" w:type="dxa"/>
            <w:tcBorders>
              <w:bottom w:val="single" w:sz="2" w:space="0" w:color="536374" w:themeColor="text2"/>
            </w:tcBorders>
          </w:tcPr>
          <w:p w14:paraId="2E953B87" w14:textId="77777777" w:rsidR="00BF2DFB" w:rsidRPr="001F1B2F" w:rsidRDefault="00BF2DFB" w:rsidP="00BF2DFB">
            <w:pPr>
              <w:spacing w:after="0" w:line="240" w:lineRule="auto"/>
            </w:pPr>
            <w:r w:rsidRPr="001F1B2F">
              <w:t>Deep learning tool optimizing retail refrigeration while ensuring food safety temperature limits</w:t>
            </w:r>
            <w:r>
              <w:t xml:space="preserve">. </w:t>
            </w:r>
            <w:bookmarkStart w:id="74" w:name="ZOTERO_BREF_wplEb8Zazt2j"/>
            <w:r w:rsidRPr="009A7922">
              <w:rPr>
                <w:rFonts w:cs="Times New Roman"/>
              </w:rPr>
              <w:t>(</w:t>
            </w:r>
            <w:proofErr w:type="spellStart"/>
            <w:r w:rsidRPr="009A7922">
              <w:rPr>
                <w:rFonts w:cs="Times New Roman"/>
              </w:rPr>
              <w:t>Onoufriou</w:t>
            </w:r>
            <w:proofErr w:type="spellEnd"/>
            <w:r w:rsidRPr="009A7922">
              <w:rPr>
                <w:rFonts w:cs="Times New Roman"/>
              </w:rPr>
              <w:t xml:space="preserve"> </w:t>
            </w:r>
            <w:r w:rsidRPr="009A7922">
              <w:rPr>
                <w:rFonts w:cs="Times New Roman"/>
                <w:i/>
                <w:iCs/>
              </w:rPr>
              <w:t>et al.</w:t>
            </w:r>
            <w:r w:rsidRPr="009A7922">
              <w:rPr>
                <w:rFonts w:cs="Times New Roman"/>
              </w:rPr>
              <w:t>, 2019)</w:t>
            </w:r>
            <w:bookmarkEnd w:id="74"/>
          </w:p>
        </w:tc>
      </w:tr>
    </w:tbl>
    <w:p w14:paraId="5D0314CC" w14:textId="77777777" w:rsidR="00BF2DFB" w:rsidRPr="003E6E20" w:rsidRDefault="00BF2DFB" w:rsidP="00BF2DFB">
      <w:pPr>
        <w:pStyle w:val="Descripcin"/>
        <w:rPr>
          <w:color w:val="808080" w:themeColor="background1" w:themeShade="80"/>
          <w:sz w:val="20"/>
          <w:szCs w:val="20"/>
        </w:rPr>
      </w:pPr>
      <w:r w:rsidRPr="003E6E20">
        <w:rPr>
          <w:i/>
          <w:iCs w:val="0"/>
          <w:color w:val="808080" w:themeColor="background1" w:themeShade="80"/>
          <w:sz w:val="20"/>
          <w:szCs w:val="20"/>
        </w:rPr>
        <w:t>Source</w:t>
      </w:r>
      <w:r w:rsidRPr="003E6E20">
        <w:rPr>
          <w:color w:val="808080" w:themeColor="background1" w:themeShade="80"/>
          <w:sz w:val="20"/>
          <w:szCs w:val="20"/>
        </w:rPr>
        <w:t xml:space="preserve">: Authors' own elaboration. </w:t>
      </w:r>
    </w:p>
    <w:p w14:paraId="1F3BBF31" w14:textId="5839F852" w:rsidR="00672BF4" w:rsidRPr="001F1B2F" w:rsidRDefault="00672BF4" w:rsidP="00672BF4">
      <w:pPr>
        <w:pStyle w:val="Ttulo2"/>
      </w:pPr>
      <w:bookmarkStart w:id="75" w:name="_Toc225918004"/>
      <w:bookmarkStart w:id="76" w:name="OrgXref.org8e670da"/>
      <w:bookmarkStart w:id="77" w:name="_Toc226730552"/>
      <w:r>
        <w:t xml:space="preserve">2.3 </w:t>
      </w:r>
      <w:r>
        <w:t>Digital public infrastructure and intelligence systems</w:t>
      </w:r>
      <w:bookmarkEnd w:id="75"/>
      <w:bookmarkEnd w:id="77"/>
      <w:r>
        <w:t xml:space="preserve"> </w:t>
      </w:r>
      <w:bookmarkEnd w:id="76"/>
    </w:p>
    <w:p w14:paraId="2E347AA4" w14:textId="290918C9" w:rsidR="006E4DAD" w:rsidRPr="001F1B2F" w:rsidRDefault="006E4DAD" w:rsidP="006E4DAD">
      <w:r>
        <w:t>Digital public infrastructure</w:t>
      </w:r>
      <w:r w:rsidRPr="6BF372EC">
        <w:rPr>
          <w:rStyle w:val="Refdenotaalpie"/>
        </w:rPr>
        <w:footnoteReference w:id="8"/>
      </w:r>
      <w:r>
        <w:t xml:space="preserve"> </w:t>
      </w:r>
      <w:bookmarkStart w:id="78" w:name="ZOTERO_BREF_IpcyuccM9zA7"/>
      <w:r w:rsidRPr="00A81494">
        <w:rPr>
          <w:rFonts w:cs="Times New Roman"/>
        </w:rPr>
        <w:t>(United Nations, 2024</w:t>
      </w:r>
      <w:bookmarkEnd w:id="78"/>
      <w:r w:rsidDel="00A81494">
        <w:t>)</w:t>
      </w:r>
      <w:r>
        <w:t xml:space="preserve"> including interoperable digital ID, payments, registries and </w:t>
      </w:r>
      <w:r w:rsidRPr="006E4DAD">
        <w:t>data exchange layers</w:t>
      </w:r>
      <w:r>
        <w:t xml:space="preserve"> can strengthen the design and delivery of food-related public policies by improving targeting, coordination, and monitoring across agencies and levels of government. In food systems, this can support shock-responsive social protection, input and subsidy programs, disaster relief, food safety oversight, and the monitoring of food prices and availability. However, these benefits are conditional on robust data governance (clear purpose limitation, privacy </w:t>
      </w:r>
      <w:proofErr w:type="gramStart"/>
      <w:r>
        <w:t>protections</w:t>
      </w:r>
      <w:proofErr w:type="gramEnd"/>
      <w:r>
        <w:t xml:space="preserve">, accountability, and redress), institutional capacity to use and audit systems, and safeguards to prevent exclusion, discrimination, or capture by private interests. </w:t>
      </w:r>
    </w:p>
    <w:p w14:paraId="0AC041B5" w14:textId="37CF3930" w:rsidR="00B05DAC" w:rsidRPr="004571C4" w:rsidRDefault="00BD5818" w:rsidP="004571C4">
      <w:pPr>
        <w:pStyle w:val="FigTabledescriptionheading"/>
        <w:spacing w:after="0"/>
      </w:pPr>
      <w:r w:rsidRPr="004571C4">
        <w:t>Table 9:</w:t>
      </w:r>
      <w:r w:rsidR="00C94065" w:rsidRPr="00C94065">
        <w:t xml:space="preserve"> </w:t>
      </w:r>
      <w:r w:rsidR="00C94065" w:rsidRPr="00C94065">
        <w:t>Examples of FSN data exchanges</w:t>
      </w:r>
    </w:p>
    <w:tbl>
      <w:tblPr>
        <w:tblW w:w="9864" w:type="dxa"/>
        <w:jc w:val="center"/>
        <w:tblLayout w:type="fixed"/>
        <w:tblCellMar>
          <w:top w:w="90" w:type="dxa"/>
          <w:left w:w="90" w:type="dxa"/>
          <w:bottom w:w="90" w:type="dxa"/>
          <w:right w:w="90" w:type="dxa"/>
        </w:tblCellMar>
        <w:tblLook w:val="04A0" w:firstRow="1" w:lastRow="0" w:firstColumn="1" w:lastColumn="0" w:noHBand="0" w:noVBand="1"/>
      </w:tblPr>
      <w:tblGrid>
        <w:gridCol w:w="4929"/>
        <w:gridCol w:w="4935"/>
      </w:tblGrid>
      <w:tr w:rsidR="00FA4D24" w:rsidRPr="001F1B2F" w14:paraId="340F37DD" w14:textId="77777777" w:rsidTr="00FA4D24">
        <w:trPr>
          <w:tblHeader/>
          <w:jc w:val="center"/>
        </w:trPr>
        <w:tc>
          <w:tcPr>
            <w:tcW w:w="4929" w:type="dxa"/>
            <w:tcBorders>
              <w:top w:val="single" w:sz="2" w:space="0" w:color="536374" w:themeColor="text2"/>
              <w:bottom w:val="single" w:sz="2" w:space="0" w:color="536374" w:themeColor="text2"/>
            </w:tcBorders>
          </w:tcPr>
          <w:p w14:paraId="79720E0F" w14:textId="77777777" w:rsidR="00FA4D24" w:rsidRPr="001F1B2F" w:rsidRDefault="00FA4D24" w:rsidP="00FA4D24">
            <w:pPr>
              <w:spacing w:after="0" w:line="240" w:lineRule="auto"/>
            </w:pPr>
            <w:r w:rsidRPr="001F1B2F">
              <w:t>Name</w:t>
            </w:r>
          </w:p>
        </w:tc>
        <w:tc>
          <w:tcPr>
            <w:tcW w:w="4935" w:type="dxa"/>
            <w:tcBorders>
              <w:top w:val="single" w:sz="2" w:space="0" w:color="536374" w:themeColor="text2"/>
              <w:bottom w:val="single" w:sz="2" w:space="0" w:color="536374" w:themeColor="text2"/>
            </w:tcBorders>
          </w:tcPr>
          <w:p w14:paraId="2792568D" w14:textId="77777777" w:rsidR="00FA4D24" w:rsidRPr="001F1B2F" w:rsidRDefault="00FA4D24" w:rsidP="00FA4D24">
            <w:pPr>
              <w:spacing w:after="0" w:line="240" w:lineRule="auto"/>
            </w:pPr>
            <w:r w:rsidRPr="001F1B2F">
              <w:t>Description</w:t>
            </w:r>
          </w:p>
        </w:tc>
      </w:tr>
      <w:tr w:rsidR="00FA4D24" w:rsidRPr="001F1B2F" w14:paraId="5278D5AB" w14:textId="77777777" w:rsidTr="00FA4D24">
        <w:trPr>
          <w:jc w:val="center"/>
        </w:trPr>
        <w:tc>
          <w:tcPr>
            <w:tcW w:w="4929" w:type="dxa"/>
            <w:tcBorders>
              <w:top w:val="single" w:sz="2" w:space="0" w:color="536374" w:themeColor="text2"/>
            </w:tcBorders>
          </w:tcPr>
          <w:p w14:paraId="46DEEE8E" w14:textId="77777777" w:rsidR="00FA4D24" w:rsidRPr="006A5C3D" w:rsidRDefault="00FA4D24" w:rsidP="00FA4D24">
            <w:pPr>
              <w:spacing w:after="0" w:line="240" w:lineRule="auto"/>
              <w:rPr>
                <w:lang w:val="fr-FR"/>
              </w:rPr>
            </w:pPr>
            <w:proofErr w:type="spellStart"/>
            <w:r w:rsidRPr="3D0743B9">
              <w:rPr>
                <w:lang w:val="fr-FR"/>
              </w:rPr>
              <w:t>AgriStack</w:t>
            </w:r>
            <w:proofErr w:type="spellEnd"/>
            <w:r w:rsidRPr="3D0743B9">
              <w:rPr>
                <w:lang w:val="fr-FR"/>
              </w:rPr>
              <w:t xml:space="preserve"> India</w:t>
            </w:r>
          </w:p>
        </w:tc>
        <w:tc>
          <w:tcPr>
            <w:tcW w:w="4935" w:type="dxa"/>
            <w:tcBorders>
              <w:top w:val="single" w:sz="2" w:space="0" w:color="536374" w:themeColor="text2"/>
            </w:tcBorders>
          </w:tcPr>
          <w:p w14:paraId="71728C2F" w14:textId="77777777" w:rsidR="00FA4D24" w:rsidRPr="001F1B2F" w:rsidRDefault="00FA4D24" w:rsidP="00FA4D24">
            <w:pPr>
              <w:spacing w:after="0" w:line="240" w:lineRule="auto"/>
            </w:pPr>
            <w:r w:rsidRPr="3D0743B9">
              <w:t>Federated farmers' database linking land records, crop data, and input access. Farmer representatives criticized it for centralizing farmer data in private hands without consultation.</w:t>
            </w:r>
            <w:r>
              <w:t xml:space="preserve"> </w:t>
            </w:r>
            <w:bookmarkStart w:id="79" w:name="ZOTERO_BREF_LGN8AgqXHdbA"/>
            <w:r w:rsidRPr="009A7922">
              <w:rPr>
                <w:rFonts w:cs="Times New Roman"/>
              </w:rPr>
              <w:t xml:space="preserve">(Balkrishna </w:t>
            </w:r>
            <w:r w:rsidRPr="009A7922">
              <w:rPr>
                <w:rFonts w:cs="Times New Roman"/>
                <w:i/>
                <w:iCs/>
              </w:rPr>
              <w:t>et al.</w:t>
            </w:r>
            <w:r w:rsidRPr="009A7922">
              <w:rPr>
                <w:rFonts w:cs="Times New Roman"/>
              </w:rPr>
              <w:t>, 2023; Subramaniam, 2021)</w:t>
            </w:r>
            <w:bookmarkEnd w:id="79"/>
          </w:p>
        </w:tc>
      </w:tr>
      <w:tr w:rsidR="00FA4D24" w:rsidRPr="001F1B2F" w14:paraId="53B09856" w14:textId="77777777" w:rsidTr="00FA4D24">
        <w:trPr>
          <w:jc w:val="center"/>
        </w:trPr>
        <w:tc>
          <w:tcPr>
            <w:tcW w:w="4929" w:type="dxa"/>
            <w:tcBorders>
              <w:bottom w:val="single" w:sz="2" w:space="0" w:color="536374" w:themeColor="text2"/>
            </w:tcBorders>
          </w:tcPr>
          <w:p w14:paraId="00A9DEDC" w14:textId="77777777" w:rsidR="00FA4D24" w:rsidRPr="001F1B2F" w:rsidRDefault="00FA4D24" w:rsidP="00FA4D24">
            <w:pPr>
              <w:spacing w:after="0" w:line="240" w:lineRule="auto"/>
            </w:pPr>
            <w:r w:rsidRPr="001F1B2F">
              <w:t>KIAMIS Kenya</w:t>
            </w:r>
          </w:p>
        </w:tc>
        <w:tc>
          <w:tcPr>
            <w:tcW w:w="4935" w:type="dxa"/>
            <w:tcBorders>
              <w:bottom w:val="single" w:sz="2" w:space="0" w:color="536374" w:themeColor="text2"/>
            </w:tcBorders>
          </w:tcPr>
          <w:p w14:paraId="0FD75A51" w14:textId="77777777" w:rsidR="00FA4D24" w:rsidRPr="001F1B2F" w:rsidRDefault="00FA4D24" w:rsidP="00FA4D24">
            <w:pPr>
              <w:spacing w:after="0" w:line="240" w:lineRule="auto"/>
            </w:pPr>
            <w:r>
              <w:t xml:space="preserve">Digital public infrastructure that links Farmer registry, subsidy management and </w:t>
            </w:r>
            <w:proofErr w:type="spellStart"/>
            <w:r>
              <w:t>agro</w:t>
            </w:r>
            <w:proofErr w:type="spellEnd"/>
            <w:r>
              <w:t xml:space="preserve">-met data. It currently reaches 130,000 farmers. </w:t>
            </w:r>
            <w:bookmarkStart w:id="80" w:name="ZOTERO_BREF_sTWlQZKJgDEz"/>
            <w:r w:rsidRPr="002E2B09">
              <w:rPr>
                <w:rFonts w:cs="Times New Roman"/>
              </w:rPr>
              <w:t>(AIRC, 2026; World Bank, 2025a)</w:t>
            </w:r>
            <w:bookmarkEnd w:id="80"/>
          </w:p>
        </w:tc>
      </w:tr>
    </w:tbl>
    <w:p w14:paraId="16CF5184" w14:textId="77777777" w:rsidR="008C2659" w:rsidRPr="003E6E20" w:rsidRDefault="008C2659" w:rsidP="008C2659">
      <w:pPr>
        <w:pStyle w:val="Descripcin"/>
        <w:rPr>
          <w:color w:val="808080" w:themeColor="background1" w:themeShade="80"/>
          <w:sz w:val="20"/>
          <w:szCs w:val="20"/>
        </w:rPr>
      </w:pPr>
      <w:bookmarkStart w:id="81" w:name="_Toc225918005"/>
      <w:bookmarkStart w:id="82" w:name="OrgXref.orgf26ddbd"/>
      <w:r w:rsidRPr="003E6E20">
        <w:rPr>
          <w:i/>
          <w:iCs w:val="0"/>
          <w:color w:val="808080" w:themeColor="background1" w:themeShade="80"/>
          <w:sz w:val="20"/>
          <w:szCs w:val="20"/>
        </w:rPr>
        <w:t>Source</w:t>
      </w:r>
      <w:r w:rsidRPr="003E6E20">
        <w:rPr>
          <w:color w:val="808080" w:themeColor="background1" w:themeShade="80"/>
          <w:sz w:val="20"/>
          <w:szCs w:val="20"/>
        </w:rPr>
        <w:t xml:space="preserve">: Authors' own elaboration. </w:t>
      </w:r>
    </w:p>
    <w:p w14:paraId="029204B1" w14:textId="77777777" w:rsidR="008C2659" w:rsidRDefault="008C2659">
      <w:pPr>
        <w:jc w:val="left"/>
        <w:rPr>
          <w:rFonts w:asciiTheme="majorHAnsi" w:eastAsiaTheme="majorEastAsia" w:hAnsiTheme="majorHAnsi" w:cstheme="majorBidi"/>
          <w:b/>
          <w:bCs/>
          <w:color w:val="536374" w:themeColor="text2"/>
          <w:sz w:val="28"/>
        </w:rPr>
      </w:pPr>
      <w:r>
        <w:br w:type="page"/>
      </w:r>
    </w:p>
    <w:p w14:paraId="057F5414" w14:textId="30DBFD52" w:rsidR="00302C0E" w:rsidRPr="001F1B2F" w:rsidRDefault="00323CD4" w:rsidP="00302C0E">
      <w:pPr>
        <w:pStyle w:val="Ttulo2"/>
      </w:pPr>
      <w:bookmarkStart w:id="83" w:name="_Toc226730553"/>
      <w:r>
        <w:t xml:space="preserve">2.4 </w:t>
      </w:r>
      <w:r w:rsidR="00302C0E">
        <w:t>Food environments and nutrition</w:t>
      </w:r>
      <w:bookmarkEnd w:id="81"/>
      <w:bookmarkEnd w:id="83"/>
      <w:r w:rsidR="00302C0E">
        <w:t xml:space="preserve"> </w:t>
      </w:r>
      <w:bookmarkEnd w:id="82"/>
    </w:p>
    <w:p w14:paraId="7DAE07CB" w14:textId="77777777" w:rsidR="008E5521" w:rsidRPr="001F1B2F" w:rsidRDefault="008E5521" w:rsidP="008E5521">
      <w:r>
        <w:t xml:space="preserve">Digital tools increasingly shape consumer information and purchasing environments. A systematic review showed the importance of social and media influence in the adoption of fad diets </w:t>
      </w:r>
      <w:bookmarkStart w:id="84" w:name="ZOTERO_BREF_JQmmPx0E8iny"/>
      <w:r w:rsidRPr="005728AA">
        <w:rPr>
          <w:rFonts w:cs="Times New Roman"/>
        </w:rPr>
        <w:t>(</w:t>
      </w:r>
      <w:proofErr w:type="spellStart"/>
      <w:r w:rsidRPr="005728AA">
        <w:rPr>
          <w:rFonts w:cs="Times New Roman"/>
        </w:rPr>
        <w:t>Spadine</w:t>
      </w:r>
      <w:proofErr w:type="spellEnd"/>
      <w:r w:rsidRPr="005728AA">
        <w:rPr>
          <w:rFonts w:cs="Times New Roman"/>
        </w:rPr>
        <w:t xml:space="preserve"> and Patterson, 2022</w:t>
      </w:r>
      <w:bookmarkEnd w:id="84"/>
      <w:r w:rsidRPr="005728AA">
        <w:rPr>
          <w:rFonts w:cs="Times New Roman"/>
        </w:rPr>
        <w:t>)</w:t>
      </w:r>
      <w:r>
        <w:t>. This calls for means to protect consumers from manipulation and misinformation ensuring clear and fair information. It requires both public regulation and engagement of the multiple stakeholders involved</w:t>
      </w:r>
      <w:r w:rsidDel="005728AA">
        <w:t xml:space="preserve">. </w:t>
      </w:r>
    </w:p>
    <w:p w14:paraId="33E0E9C4" w14:textId="38FE4783" w:rsidR="00632ACA" w:rsidRPr="001F1B2F" w:rsidRDefault="00632ACA" w:rsidP="00632ACA">
      <w:pPr>
        <w:pStyle w:val="Ttulo3"/>
        <w:ind w:left="0"/>
      </w:pPr>
      <w:bookmarkStart w:id="85" w:name="_Toc225918006"/>
      <w:bookmarkStart w:id="86" w:name="OrgXref.org2b9f0ad"/>
      <w:bookmarkStart w:id="87" w:name="_Toc226730554"/>
      <w:r>
        <w:t xml:space="preserve">2.4.1 </w:t>
      </w:r>
      <w:r>
        <w:t>Personalized dietary and nutrition advice</w:t>
      </w:r>
      <w:bookmarkEnd w:id="85"/>
      <w:bookmarkEnd w:id="87"/>
      <w:r>
        <w:t xml:space="preserve"> </w:t>
      </w:r>
      <w:bookmarkEnd w:id="86"/>
    </w:p>
    <w:p w14:paraId="4B7C73AC" w14:textId="5D089270" w:rsidR="004571C4" w:rsidRDefault="004571C4" w:rsidP="004571C4">
      <w:r>
        <w:t xml:space="preserve">A growing set of “precision nutrition” initiatives and services use AI models to generate individualized dietary guidance. These approaches combine basic clinical information and digitally captured behavioral data (e.g. meal logs and continuous glucose monitoring), and sometimes also biological data, such as gut microbiome profiles. Their expansion has been enabled by low-cost, low-burden data collection, including at-home sampling kits (e.g. stool samples) and simple biomarker measurements (e.g. finger-prick blood tests), which allow repeated measurements across large numbers of users. As datasets expand, models can be iteratively refined and, in some settings, improve their ability to predict how different individuals respond to foods. </w:t>
      </w:r>
    </w:p>
    <w:p w14:paraId="006E5891" w14:textId="1447DAF4" w:rsidR="004571C4" w:rsidRPr="004571C4" w:rsidRDefault="004571C4" w:rsidP="004571C4">
      <w:pPr>
        <w:pStyle w:val="FigTabledescriptionheading"/>
        <w:spacing w:after="0"/>
      </w:pPr>
      <w:r w:rsidRPr="004571C4">
        <w:t xml:space="preserve">Table </w:t>
      </w:r>
      <w:r w:rsidR="00FB0C30">
        <w:t>10</w:t>
      </w:r>
      <w:r w:rsidRPr="004571C4">
        <w:t xml:space="preserve">: Examples of </w:t>
      </w:r>
      <w:proofErr w:type="gramStart"/>
      <w:r w:rsidRPr="004571C4">
        <w:t>generalist</w:t>
      </w:r>
      <w:proofErr w:type="gramEnd"/>
      <w:r w:rsidRPr="004571C4">
        <w:t xml:space="preserve"> AI applications providing nutritional advice:</w:t>
      </w:r>
    </w:p>
    <w:tbl>
      <w:tblPr>
        <w:tblW w:w="9879" w:type="dxa"/>
        <w:jc w:val="center"/>
        <w:tblLayout w:type="fixed"/>
        <w:tblCellMar>
          <w:top w:w="90" w:type="dxa"/>
          <w:left w:w="90" w:type="dxa"/>
          <w:bottom w:w="90" w:type="dxa"/>
          <w:right w:w="90" w:type="dxa"/>
        </w:tblCellMar>
        <w:tblLook w:val="04A0" w:firstRow="1" w:lastRow="0" w:firstColumn="1" w:lastColumn="0" w:noHBand="0" w:noVBand="1"/>
      </w:tblPr>
      <w:tblGrid>
        <w:gridCol w:w="4929"/>
        <w:gridCol w:w="4950"/>
      </w:tblGrid>
      <w:tr w:rsidR="00221942" w:rsidRPr="001F1B2F" w14:paraId="410731D7" w14:textId="77777777" w:rsidTr="00221942">
        <w:trPr>
          <w:tblHeader/>
          <w:jc w:val="center"/>
        </w:trPr>
        <w:tc>
          <w:tcPr>
            <w:tcW w:w="4929" w:type="dxa"/>
            <w:tcBorders>
              <w:top w:val="single" w:sz="2" w:space="0" w:color="536374" w:themeColor="text2"/>
              <w:bottom w:val="single" w:sz="2" w:space="0" w:color="536374" w:themeColor="text2"/>
            </w:tcBorders>
          </w:tcPr>
          <w:p w14:paraId="623558D4" w14:textId="77777777" w:rsidR="00221942" w:rsidRPr="001F1B2F" w:rsidRDefault="00221942" w:rsidP="00221942">
            <w:pPr>
              <w:spacing w:after="0" w:line="240" w:lineRule="auto"/>
            </w:pPr>
            <w:r w:rsidRPr="001F1B2F">
              <w:t>Name</w:t>
            </w:r>
          </w:p>
        </w:tc>
        <w:tc>
          <w:tcPr>
            <w:tcW w:w="4950" w:type="dxa"/>
            <w:tcBorders>
              <w:top w:val="single" w:sz="2" w:space="0" w:color="536374" w:themeColor="text2"/>
              <w:bottom w:val="single" w:sz="2" w:space="0" w:color="536374" w:themeColor="text2"/>
            </w:tcBorders>
          </w:tcPr>
          <w:p w14:paraId="339D9FC6" w14:textId="77777777" w:rsidR="00221942" w:rsidRPr="001F1B2F" w:rsidRDefault="00221942" w:rsidP="00221942">
            <w:pPr>
              <w:spacing w:after="0" w:line="240" w:lineRule="auto"/>
            </w:pPr>
            <w:r w:rsidRPr="001F1B2F">
              <w:t>Description</w:t>
            </w:r>
          </w:p>
        </w:tc>
      </w:tr>
      <w:tr w:rsidR="00221942" w:rsidRPr="001F1B2F" w14:paraId="1152B168" w14:textId="77777777" w:rsidTr="00221942">
        <w:trPr>
          <w:jc w:val="center"/>
        </w:trPr>
        <w:tc>
          <w:tcPr>
            <w:tcW w:w="4929" w:type="dxa"/>
            <w:tcBorders>
              <w:top w:val="single" w:sz="2" w:space="0" w:color="536374" w:themeColor="text2"/>
            </w:tcBorders>
          </w:tcPr>
          <w:p w14:paraId="4C0FE6D0" w14:textId="77777777" w:rsidR="00221942" w:rsidRPr="001F1B2F" w:rsidRDefault="00221942" w:rsidP="00221942">
            <w:pPr>
              <w:spacing w:after="0" w:line="240" w:lineRule="auto"/>
            </w:pPr>
            <w:r w:rsidRPr="001F1B2F">
              <w:t>ZOE</w:t>
            </w:r>
          </w:p>
        </w:tc>
        <w:tc>
          <w:tcPr>
            <w:tcW w:w="4950" w:type="dxa"/>
            <w:tcBorders>
              <w:top w:val="single" w:sz="2" w:space="0" w:color="536374" w:themeColor="text2"/>
            </w:tcBorders>
          </w:tcPr>
          <w:p w14:paraId="19168E02" w14:textId="77777777" w:rsidR="00221942" w:rsidRPr="001F1B2F" w:rsidRDefault="00221942" w:rsidP="00221942">
            <w:pPr>
              <w:spacing w:after="0" w:line="240" w:lineRule="auto"/>
            </w:pPr>
            <w:r w:rsidRPr="001F1B2F">
              <w:t>Personalized nutrition programme combining at-home testing with digital coaching to improve metabolic health markers and dietary habits.</w:t>
            </w:r>
            <w:r>
              <w:t xml:space="preserve"> </w:t>
            </w:r>
            <w:bookmarkStart w:id="88" w:name="ZOTERO_BREF_VObxUB8BsC8x"/>
            <w:r w:rsidRPr="0027746F">
              <w:rPr>
                <w:rFonts w:cs="Times New Roman"/>
              </w:rPr>
              <w:t xml:space="preserve">(ZOE Limited, 2026; Bermingham </w:t>
            </w:r>
            <w:r w:rsidRPr="0027746F">
              <w:rPr>
                <w:rFonts w:cs="Times New Roman"/>
                <w:i/>
                <w:iCs/>
              </w:rPr>
              <w:t>et al.</w:t>
            </w:r>
            <w:r w:rsidRPr="0027746F">
              <w:rPr>
                <w:rFonts w:cs="Times New Roman"/>
              </w:rPr>
              <w:t>, 2023)</w:t>
            </w:r>
            <w:bookmarkEnd w:id="88"/>
          </w:p>
        </w:tc>
      </w:tr>
      <w:tr w:rsidR="00221942" w:rsidRPr="001F1B2F" w14:paraId="1C348439" w14:textId="77777777" w:rsidTr="00221942">
        <w:trPr>
          <w:jc w:val="center"/>
        </w:trPr>
        <w:tc>
          <w:tcPr>
            <w:tcW w:w="4929" w:type="dxa"/>
          </w:tcPr>
          <w:p w14:paraId="2C6C8B9E" w14:textId="77777777" w:rsidR="00221942" w:rsidRPr="001F1B2F" w:rsidRDefault="00221942" w:rsidP="00221942">
            <w:pPr>
              <w:spacing w:after="0" w:line="240" w:lineRule="auto"/>
            </w:pPr>
            <w:proofErr w:type="spellStart"/>
            <w:r w:rsidRPr="001F1B2F">
              <w:t>Viome</w:t>
            </w:r>
            <w:proofErr w:type="spellEnd"/>
          </w:p>
        </w:tc>
        <w:tc>
          <w:tcPr>
            <w:tcW w:w="4950" w:type="dxa"/>
          </w:tcPr>
          <w:p w14:paraId="5B350603" w14:textId="77777777" w:rsidR="00221942" w:rsidRPr="001F1B2F" w:rsidRDefault="00221942" w:rsidP="00221942">
            <w:pPr>
              <w:spacing w:after="0" w:line="240" w:lineRule="auto"/>
            </w:pPr>
            <w:r>
              <w:t xml:space="preserve">At-home microbiome testing with AI/machine learning-driven analysis and personalized diet/supplement recommendations. </w:t>
            </w:r>
            <w:bookmarkStart w:id="89" w:name="ZOTERO_BREF_y64vmLRhdUy7"/>
            <w:r w:rsidRPr="00F035F5">
              <w:rPr>
                <w:rFonts w:cs="Times New Roman"/>
              </w:rPr>
              <w:t>(</w:t>
            </w:r>
            <w:proofErr w:type="spellStart"/>
            <w:r w:rsidRPr="00F035F5">
              <w:rPr>
                <w:rFonts w:cs="Times New Roman"/>
              </w:rPr>
              <w:t>Viome</w:t>
            </w:r>
            <w:proofErr w:type="spellEnd"/>
            <w:r w:rsidRPr="00F035F5">
              <w:rPr>
                <w:rFonts w:cs="Times New Roman"/>
              </w:rPr>
              <w:t xml:space="preserve"> Life Sciences, Inc, 2026)</w:t>
            </w:r>
            <w:bookmarkEnd w:id="89"/>
          </w:p>
        </w:tc>
      </w:tr>
      <w:tr w:rsidR="00221942" w:rsidRPr="001F1B2F" w14:paraId="765E6B63" w14:textId="77777777" w:rsidTr="00221942">
        <w:trPr>
          <w:jc w:val="center"/>
        </w:trPr>
        <w:tc>
          <w:tcPr>
            <w:tcW w:w="4929" w:type="dxa"/>
          </w:tcPr>
          <w:p w14:paraId="25C13E19" w14:textId="77777777" w:rsidR="00221942" w:rsidRPr="001F1B2F" w:rsidRDefault="00221942" w:rsidP="00221942">
            <w:pPr>
              <w:spacing w:after="0" w:line="240" w:lineRule="auto"/>
            </w:pPr>
            <w:r w:rsidRPr="001F1B2F">
              <w:t>American Gut</w:t>
            </w:r>
          </w:p>
        </w:tc>
        <w:tc>
          <w:tcPr>
            <w:tcW w:w="4950" w:type="dxa"/>
          </w:tcPr>
          <w:p w14:paraId="01781230" w14:textId="77777777" w:rsidR="00221942" w:rsidRPr="001F1B2F" w:rsidRDefault="00221942" w:rsidP="00221942">
            <w:pPr>
              <w:spacing w:after="0" w:line="240" w:lineRule="auto"/>
            </w:pPr>
            <w:r w:rsidRPr="001F1B2F">
              <w:t>Open citizen-science microbiome research platform; large-scale microbiome dataset enabling research and downstream nutrition/health insights.</w:t>
            </w:r>
            <w:r>
              <w:t xml:space="preserve"> </w:t>
            </w:r>
            <w:bookmarkStart w:id="90" w:name="ZOTERO_BREF_2G7trjZv2kwN"/>
            <w:r w:rsidRPr="009A7922">
              <w:rPr>
                <w:rFonts w:cs="Times New Roman"/>
              </w:rPr>
              <w:t xml:space="preserve">(McDonald </w:t>
            </w:r>
            <w:r w:rsidRPr="009A7922">
              <w:rPr>
                <w:rFonts w:cs="Times New Roman"/>
                <w:i/>
                <w:iCs/>
              </w:rPr>
              <w:t>et al.</w:t>
            </w:r>
            <w:r w:rsidRPr="009A7922">
              <w:rPr>
                <w:rFonts w:cs="Times New Roman"/>
              </w:rPr>
              <w:t>, 2018)</w:t>
            </w:r>
            <w:bookmarkEnd w:id="90"/>
          </w:p>
        </w:tc>
      </w:tr>
      <w:tr w:rsidR="00221942" w:rsidRPr="001F1B2F" w14:paraId="36450899" w14:textId="77777777" w:rsidTr="00221942">
        <w:trPr>
          <w:jc w:val="center"/>
        </w:trPr>
        <w:tc>
          <w:tcPr>
            <w:tcW w:w="4929" w:type="dxa"/>
            <w:tcBorders>
              <w:bottom w:val="single" w:sz="4" w:space="0" w:color="536374" w:themeColor="text2"/>
            </w:tcBorders>
          </w:tcPr>
          <w:p w14:paraId="1F4ABEC3" w14:textId="77777777" w:rsidR="00221942" w:rsidRPr="001F1B2F" w:rsidRDefault="00221942" w:rsidP="00221942">
            <w:pPr>
              <w:spacing w:after="0" w:line="240" w:lineRule="auto"/>
            </w:pPr>
            <w:proofErr w:type="spellStart"/>
            <w:r w:rsidRPr="001F1B2F">
              <w:t>NutriGen</w:t>
            </w:r>
            <w:proofErr w:type="spellEnd"/>
          </w:p>
        </w:tc>
        <w:tc>
          <w:tcPr>
            <w:tcW w:w="4950" w:type="dxa"/>
            <w:tcBorders>
              <w:bottom w:val="single" w:sz="4" w:space="0" w:color="536374" w:themeColor="text2"/>
            </w:tcBorders>
          </w:tcPr>
          <w:p w14:paraId="1184FF5B" w14:textId="77777777" w:rsidR="00221942" w:rsidRPr="001F1B2F" w:rsidRDefault="00221942" w:rsidP="00221942">
            <w:pPr>
              <w:spacing w:after="0" w:line="240" w:lineRule="auto"/>
            </w:pPr>
            <w:r w:rsidRPr="001F1B2F">
              <w:t>Personalized meal plan generator leveraging large language models to improve dietary and nutritional adherence.</w:t>
            </w:r>
            <w:r>
              <w:t xml:space="preserve"> </w:t>
            </w:r>
            <w:bookmarkStart w:id="91" w:name="ZOTERO_BREF_tXsdoWvD94Kf"/>
            <w:r w:rsidRPr="009A7922">
              <w:rPr>
                <w:rFonts w:cs="Times New Roman"/>
              </w:rPr>
              <w:t>(</w:t>
            </w:r>
            <w:proofErr w:type="spellStart"/>
            <w:r w:rsidRPr="009A7922">
              <w:rPr>
                <w:rFonts w:cs="Times New Roman"/>
              </w:rPr>
              <w:t>Khamesian</w:t>
            </w:r>
            <w:proofErr w:type="spellEnd"/>
            <w:r w:rsidRPr="009A7922">
              <w:rPr>
                <w:rFonts w:cs="Times New Roman"/>
              </w:rPr>
              <w:t xml:space="preserve"> </w:t>
            </w:r>
            <w:r w:rsidRPr="009A7922">
              <w:rPr>
                <w:rFonts w:cs="Times New Roman"/>
                <w:i/>
                <w:iCs/>
              </w:rPr>
              <w:t>et al.</w:t>
            </w:r>
            <w:r w:rsidRPr="009A7922">
              <w:rPr>
                <w:rFonts w:cs="Times New Roman"/>
              </w:rPr>
              <w:t>, 2025)</w:t>
            </w:r>
            <w:bookmarkEnd w:id="91"/>
          </w:p>
        </w:tc>
      </w:tr>
    </w:tbl>
    <w:p w14:paraId="5496AA48" w14:textId="77777777" w:rsidR="00221942" w:rsidRPr="003E6E20" w:rsidRDefault="00221942" w:rsidP="00221942">
      <w:pPr>
        <w:pStyle w:val="Descripcin"/>
        <w:rPr>
          <w:color w:val="808080" w:themeColor="background1" w:themeShade="80"/>
          <w:sz w:val="20"/>
          <w:szCs w:val="20"/>
        </w:rPr>
      </w:pPr>
      <w:r w:rsidRPr="003E6E20">
        <w:rPr>
          <w:i/>
          <w:iCs w:val="0"/>
          <w:color w:val="808080" w:themeColor="background1" w:themeShade="80"/>
          <w:sz w:val="20"/>
          <w:szCs w:val="20"/>
        </w:rPr>
        <w:t>Source</w:t>
      </w:r>
      <w:r w:rsidRPr="003E6E20">
        <w:rPr>
          <w:color w:val="808080" w:themeColor="background1" w:themeShade="80"/>
          <w:sz w:val="20"/>
          <w:szCs w:val="20"/>
        </w:rPr>
        <w:t xml:space="preserve">: Authors' own elaboration. </w:t>
      </w:r>
    </w:p>
    <w:p w14:paraId="411A4141" w14:textId="45350796" w:rsidR="00DA3F52" w:rsidRDefault="00DA3F52">
      <w:pPr>
        <w:rPr>
          <w:b/>
          <w:bCs/>
          <w:color w:val="808080" w:themeColor="background1" w:themeShade="80"/>
          <w:lang w:val="en-CA"/>
        </w:rPr>
      </w:pPr>
      <w:r>
        <w:rPr>
          <w:lang w:val="en-CA"/>
        </w:rPr>
        <w:br w:type="page"/>
      </w:r>
    </w:p>
    <w:p w14:paraId="1E70D658" w14:textId="6B4B5FF0" w:rsidR="00B05DAC" w:rsidRPr="008E5521" w:rsidRDefault="00FA1C65" w:rsidP="00FA1C65">
      <w:pPr>
        <w:pStyle w:val="Ttulo1"/>
        <w:rPr>
          <w:lang w:val="en-CA"/>
        </w:rPr>
      </w:pPr>
      <w:bookmarkStart w:id="92" w:name="_Toc226730555"/>
      <w:r>
        <w:rPr>
          <w:lang w:val="en-CA"/>
        </w:rPr>
        <w:t xml:space="preserve">3. </w:t>
      </w:r>
      <w:bookmarkStart w:id="93" w:name="_Toc225918007"/>
      <w:r w:rsidR="00DA3F52" w:rsidRPr="00DA3F52">
        <w:rPr>
          <w:lang w:val="en-CA"/>
        </w:rPr>
        <w:t>Challenges and limitations to align digital innovations with the public good in food systems</w:t>
      </w:r>
      <w:bookmarkEnd w:id="93"/>
      <w:bookmarkEnd w:id="92"/>
    </w:p>
    <w:p w14:paraId="178212E2" w14:textId="2BE5EB69" w:rsidR="00026406" w:rsidRDefault="00026406" w:rsidP="00026406">
      <w:pPr>
        <w:pStyle w:val="Ttulo2"/>
      </w:pPr>
      <w:bookmarkStart w:id="94" w:name="_Toc459928388"/>
      <w:bookmarkStart w:id="95" w:name="_Toc225918008"/>
      <w:bookmarkStart w:id="96" w:name="_Toc226730556"/>
      <w:r>
        <w:t xml:space="preserve">3.1 </w:t>
      </w:r>
      <w:r>
        <w:t xml:space="preserve">Preconditions: </w:t>
      </w:r>
      <w:r>
        <w:t>d</w:t>
      </w:r>
      <w:r>
        <w:t xml:space="preserve">igitalization, </w:t>
      </w:r>
      <w:r>
        <w:t>i</w:t>
      </w:r>
      <w:r>
        <w:t>nfrastructure and basic conditions</w:t>
      </w:r>
      <w:bookmarkEnd w:id="94"/>
      <w:bookmarkEnd w:id="95"/>
      <w:bookmarkEnd w:id="96"/>
      <w:r>
        <w:t xml:space="preserve"> </w:t>
      </w:r>
    </w:p>
    <w:p w14:paraId="5B9976EB" w14:textId="179F2A0A" w:rsidR="004F442F" w:rsidRDefault="004F442F" w:rsidP="004F442F">
      <w:r>
        <w:t xml:space="preserve">As shown above AI has considerable potential to improve the efficiency of food systems. </w:t>
      </w:r>
      <w:r>
        <w:t>However,</w:t>
      </w:r>
      <w:r>
        <w:t xml:space="preserve"> the realization of this potential is very dependent on contextual conditions and on the specific situation of different categories of actors.</w:t>
      </w:r>
    </w:p>
    <w:p w14:paraId="7034A3E2" w14:textId="77777777" w:rsidR="0095689F" w:rsidRDefault="004F442F" w:rsidP="004F442F">
      <w:r>
        <w:t xml:space="preserve">Many AI applications require substantial investments in energy infrastructure, connectivity, data systems, institutional capacity and digital literacy. These requirements are often underrepresented in narratives that present AI as the stand-alone solution to problems. The </w:t>
      </w:r>
      <w:r w:rsidRPr="004F442F">
        <w:t>IMF</w:t>
      </w:r>
      <w:r>
        <w:t xml:space="preserve"> publishes an AI preparedness index that illustrates the cumulative result of those requirements. On one hand there are high and some </w:t>
      </w:r>
      <w:r>
        <w:t>middle-income</w:t>
      </w:r>
      <w:r>
        <w:t xml:space="preserve"> countries that generally have a high preparedness index and often national or super-national strategies on AI, digitalization and data governance in place. </w:t>
      </w:r>
    </w:p>
    <w:p w14:paraId="7F208CB9" w14:textId="77777777" w:rsidR="0095689F" w:rsidRDefault="004F442F" w:rsidP="004F442F">
      <w:r>
        <w:t xml:space="preserve">On the other </w:t>
      </w:r>
      <w:proofErr w:type="gramStart"/>
      <w:r>
        <w:t>hand</w:t>
      </w:r>
      <w:proofErr w:type="gramEnd"/>
      <w:r>
        <w:t xml:space="preserve"> there are lower- and </w:t>
      </w:r>
      <w:r>
        <w:t>low-income</w:t>
      </w:r>
      <w:r>
        <w:t xml:space="preserve"> countries that do not meet the baseline conditions to adopt AI tools, let alone adapt or invent them </w:t>
      </w:r>
      <w:bookmarkStart w:id="97" w:name="ZOTERO_BREF_1sgaA9RxTJs1"/>
      <w:r w:rsidRPr="00907098">
        <w:rPr>
          <w:rFonts w:cs="Times New Roman"/>
        </w:rPr>
        <w:t>(IMF, undated</w:t>
      </w:r>
      <w:bookmarkEnd w:id="97"/>
      <w:r w:rsidRPr="00907098">
        <w:rPr>
          <w:rFonts w:cs="Times New Roman"/>
        </w:rPr>
        <w:t>)</w:t>
      </w:r>
      <w:r>
        <w:t xml:space="preserve">. This observation of disparity is generally described as the “digital divide”. Such disparities exist both between countries and inside countries, including between rural and urban areas. </w:t>
      </w:r>
    </w:p>
    <w:p w14:paraId="2973F9B4" w14:textId="2E7FFD2E" w:rsidR="004F442F" w:rsidRDefault="004F442F" w:rsidP="004F442F">
      <w:r>
        <w:t xml:space="preserve">The World Bank specifies the necessary pre-conditions to leverage AI as the 4Cs: </w:t>
      </w:r>
      <w:r w:rsidRPr="0E15592A">
        <w:rPr>
          <w:rStyle w:val="Bold"/>
        </w:rPr>
        <w:t>Connectivity, Compute, Context and Competency</w:t>
      </w:r>
      <w:r>
        <w:t xml:space="preserve">. </w:t>
      </w:r>
      <w:r w:rsidRPr="0E15592A">
        <w:rPr>
          <w:rStyle w:val="Bold"/>
        </w:rPr>
        <w:t>Connectivity</w:t>
      </w:r>
      <w:r>
        <w:t xml:space="preserve"> encompasses reliable digital and energy infrastructure, device access and ownership. This can be broadly described as digitalization and is the basic precondition to leverage AI-enabled tools. </w:t>
      </w:r>
      <w:proofErr w:type="gramStart"/>
      <w:r w:rsidRPr="0E15592A">
        <w:rPr>
          <w:rStyle w:val="Bold"/>
        </w:rPr>
        <w:t>Compute</w:t>
      </w:r>
      <w:r>
        <w:t xml:space="preserve"> refers</w:t>
      </w:r>
      <w:proofErr w:type="gramEnd"/>
      <w:r>
        <w:t xml:space="preserve"> to processing power in the form of AI chips, servers, data centers and cloud services. All of these are necessary to train and deploy AI-enabled tools. </w:t>
      </w:r>
      <w:r w:rsidRPr="0E15592A">
        <w:rPr>
          <w:rStyle w:val="Bold"/>
        </w:rPr>
        <w:t>Context</w:t>
      </w:r>
      <w:r>
        <w:t xml:space="preserve"> is specified as training data, models and applications that reflect local realities like language, culture, needs and governance frameworks. It is essential to create solutions that cater to specific needs and that will be trusted and adopted. Finally, </w:t>
      </w:r>
      <w:r w:rsidRPr="0E15592A">
        <w:rPr>
          <w:rStyle w:val="Bold"/>
        </w:rPr>
        <w:t>Competency</w:t>
      </w:r>
      <w:r>
        <w:t xml:space="preserve"> is the set of digital skills that are indispensable for adopting, adapting and innovating with AI. Depending on which of those three activities is suitable for a given country or region, the relative importance of those four preconditions varies </w:t>
      </w:r>
      <w:bookmarkStart w:id="98" w:name="ZOTERO_BREF_1hobS2T09UHs"/>
      <w:r w:rsidRPr="00907098">
        <w:rPr>
          <w:rFonts w:cs="Times New Roman"/>
        </w:rPr>
        <w:t>(World Bank, 2025b</w:t>
      </w:r>
      <w:bookmarkEnd w:id="98"/>
      <w:r w:rsidDel="00907098">
        <w:t>)</w:t>
      </w:r>
      <w:r>
        <w:t xml:space="preserve">. </w:t>
      </w:r>
    </w:p>
    <w:p w14:paraId="1CCFABF9" w14:textId="1B302559" w:rsidR="001D2B27" w:rsidRDefault="001D2B27" w:rsidP="001D2B27">
      <w:pPr>
        <w:pStyle w:val="Ttulo2"/>
      </w:pPr>
      <w:bookmarkStart w:id="99" w:name="_Toc1775112965"/>
      <w:bookmarkStart w:id="100" w:name="_Toc225918009"/>
      <w:bookmarkStart w:id="101" w:name="_Toc226730557"/>
      <w:r>
        <w:t xml:space="preserve">3.2 </w:t>
      </w:r>
      <w:r>
        <w:t>Operational Risks: Intrinsic inaccuracies and lack of measurable real-life impact</w:t>
      </w:r>
      <w:bookmarkEnd w:id="99"/>
      <w:bookmarkEnd w:id="100"/>
      <w:bookmarkEnd w:id="101"/>
      <w:r>
        <w:t xml:space="preserve"> </w:t>
      </w:r>
    </w:p>
    <w:p w14:paraId="60ECDDDB" w14:textId="77777777" w:rsidR="000D6960" w:rsidRDefault="000D6960" w:rsidP="000D6960">
      <w:r>
        <w:t xml:space="preserve">Many high-impact functions in food systems such as early warning, extension advice, nutrition guidance and supply-chain control require contextual </w:t>
      </w:r>
      <w:r w:rsidRPr="008C2659">
        <w:t>sensitivity, accountability, uncertainty handling and reliability. Generalist AI tools are prone to confident but incorrect outputs and cannot reliably signal uncertainty which poses specific risks when used for decision-making affecting livelihoods, food access or health. Hallucinations (outputting confident falsehoods rather than admitting ignorance) are</w:t>
      </w:r>
      <w:r>
        <w:t xml:space="preserve"> an intrinsic feature of how Generalist AI is trained, i.e. by evaluating them against standardized test benchmarks </w:t>
      </w:r>
      <w:bookmarkStart w:id="102" w:name="ZOTERO_BREF_4MVHzbykl4F7"/>
      <w:r w:rsidRPr="00907098">
        <w:rPr>
          <w:rFonts w:cs="Times New Roman"/>
        </w:rPr>
        <w:t xml:space="preserve">(Banerjee, Agarwal and Singla, 2024; Kalai </w:t>
      </w:r>
      <w:r w:rsidRPr="00907098">
        <w:rPr>
          <w:rFonts w:cs="Times New Roman"/>
          <w:i/>
          <w:iCs/>
        </w:rPr>
        <w:t>et al.</w:t>
      </w:r>
      <w:r w:rsidRPr="00907098">
        <w:rPr>
          <w:rFonts w:cs="Times New Roman"/>
        </w:rPr>
        <w:t>, 2025</w:t>
      </w:r>
      <w:bookmarkEnd w:id="102"/>
      <w:r w:rsidRPr="00907098" w:rsidDel="00907098">
        <w:rPr>
          <w:rFonts w:cs="Times New Roman"/>
        </w:rPr>
        <w:t>)</w:t>
      </w:r>
      <w:r>
        <w:t xml:space="preserve">, and thus how they generate output. Research shows </w:t>
      </w:r>
      <w:r w:rsidDel="007C708D">
        <w:t>that</w:t>
      </w:r>
      <w:r>
        <w:t xml:space="preserve"> besides hallucinations</w:t>
      </w:r>
      <w:r w:rsidDel="007C708D">
        <w:t>,</w:t>
      </w:r>
      <w:r>
        <w:t xml:space="preserve"> model output is highly unpredictable with small changes of input parameters causing significant changes of the output </w:t>
      </w:r>
      <w:bookmarkStart w:id="103" w:name="ZOTERO_BREF_W5a14tC4Ow66"/>
      <w:r w:rsidRPr="007C708D">
        <w:rPr>
          <w:rFonts w:cs="Times New Roman"/>
        </w:rPr>
        <w:t xml:space="preserve">(Mirzadeh </w:t>
      </w:r>
      <w:r w:rsidRPr="007C708D">
        <w:rPr>
          <w:rFonts w:cs="Times New Roman"/>
          <w:i/>
          <w:iCs/>
        </w:rPr>
        <w:t>et al.</w:t>
      </w:r>
      <w:r w:rsidRPr="007C708D">
        <w:rPr>
          <w:rFonts w:cs="Times New Roman"/>
        </w:rPr>
        <w:t xml:space="preserve">, </w:t>
      </w:r>
      <w:bookmarkEnd w:id="103"/>
      <w:r w:rsidRPr="007C708D">
        <w:rPr>
          <w:rFonts w:cs="Times New Roman"/>
        </w:rPr>
        <w:t>2025)</w:t>
      </w:r>
      <w:r>
        <w:t xml:space="preserve">. </w:t>
      </w:r>
    </w:p>
    <w:p w14:paraId="219617EE" w14:textId="77777777" w:rsidR="000D6960" w:rsidRDefault="000D6960" w:rsidP="000D6960">
      <w:r>
        <w:t xml:space="preserve">This reliability gap is visible even in information summarization scenarios for which LLMs are often used: a large cross-market evaluation by the European Broadcasting Union (22 public-service media organizations across 18 countries and 14 languages) found that 45% of AI-assistant responses to news questions contained at least one significant issue, and 81% contained at least some issue; sourcing problems were the most frequent driver of significant issues (31%), followed by accuracy-related problems (20%) </w:t>
      </w:r>
      <w:bookmarkStart w:id="104" w:name="ZOTERO_BREF_t7YoVSsOyxnx"/>
      <w:r w:rsidRPr="007C708D">
        <w:rPr>
          <w:rFonts w:cs="Times New Roman"/>
        </w:rPr>
        <w:t>(Union (EBU), 2025</w:t>
      </w:r>
      <w:bookmarkEnd w:id="104"/>
      <w:r w:rsidRPr="007C708D">
        <w:rPr>
          <w:rFonts w:cs="Times New Roman"/>
        </w:rPr>
        <w:t>)</w:t>
      </w:r>
      <w:r>
        <w:t xml:space="preserve">. In other words, fluent text generation can coincide with systematically weak verifiability and factual reliability—properties that are central for policy-relevant communication and decision-making. In high-stakes medical settings, these risks are not merely theoretical: a randomized preregistered study (1,298 participants) found that LLMs can solve the underlying scenarios when tested alone (good performance in standardized test scenarios). </w:t>
      </w:r>
    </w:p>
    <w:p w14:paraId="7EA66B96" w14:textId="7A080ADF" w:rsidR="000D6960" w:rsidRDefault="000D6960" w:rsidP="000D6960">
      <w:r>
        <w:t>However, human medical practitioners</w:t>
      </w:r>
      <w:r w:rsidDel="6EA1A5FF">
        <w:t xml:space="preserve"> </w:t>
      </w:r>
      <w:r>
        <w:t xml:space="preserve">using the same models performed markedly worse and no better than controls on identifying conditions and choosing appropriate disposition </w:t>
      </w:r>
      <w:bookmarkStart w:id="105" w:name="ZOTERO_BREF_DMkiQXqOOdy6"/>
      <w:r w:rsidRPr="007C708D">
        <w:rPr>
          <w:rFonts w:cs="Times New Roman"/>
        </w:rPr>
        <w:t xml:space="preserve">(Bean </w:t>
      </w:r>
      <w:r w:rsidRPr="007C708D">
        <w:rPr>
          <w:rFonts w:cs="Times New Roman"/>
          <w:i/>
          <w:iCs/>
        </w:rPr>
        <w:t>et al.</w:t>
      </w:r>
      <w:r w:rsidRPr="007C708D">
        <w:rPr>
          <w:rFonts w:cs="Times New Roman"/>
        </w:rPr>
        <w:t>, 2026</w:t>
      </w:r>
      <w:bookmarkEnd w:id="105"/>
      <w:r w:rsidRPr="007C708D">
        <w:rPr>
          <w:rFonts w:cs="Times New Roman"/>
        </w:rPr>
        <w:t>)</w:t>
      </w:r>
      <w:r>
        <w:t xml:space="preserve">. Investigative reporting further documents safety incidents and governance challenges as AI-enabled devices enter clinical practice, underscoring the difficulty of ensuring reliable performance and accountability under real operational conditions </w:t>
      </w:r>
      <w:bookmarkStart w:id="106" w:name="ZOTERO_BREF_4IvE1ZrrDEkZ"/>
      <w:r w:rsidRPr="007C708D">
        <w:rPr>
          <w:rFonts w:cs="Times New Roman"/>
        </w:rPr>
        <w:t xml:space="preserve">(Dowdell </w:t>
      </w:r>
      <w:r w:rsidRPr="007C708D">
        <w:rPr>
          <w:rFonts w:cs="Times New Roman"/>
          <w:i/>
          <w:iCs/>
        </w:rPr>
        <w:t>et al.</w:t>
      </w:r>
      <w:r w:rsidRPr="007C708D">
        <w:rPr>
          <w:rFonts w:cs="Times New Roman"/>
        </w:rPr>
        <w:t xml:space="preserve">, </w:t>
      </w:r>
      <w:bookmarkEnd w:id="106"/>
      <w:r w:rsidRPr="007C708D">
        <w:rPr>
          <w:rFonts w:cs="Times New Roman"/>
        </w:rPr>
        <w:t>2026)</w:t>
      </w:r>
      <w:r>
        <w:t xml:space="preserve">. </w:t>
      </w:r>
    </w:p>
    <w:p w14:paraId="517A4CE2" w14:textId="77777777" w:rsidR="000D6960" w:rsidRDefault="000D6960" w:rsidP="000D6960">
      <w:r>
        <w:t xml:space="preserve">In business contexts, evidence from early adopters in the private sector already suggests that reliability is not only a theoretical concern. In PwC’s 29th Global CEO Survey (published 19 Jan 2026), 56% of CEOs report seeing neither higher revenues nor lower costs from AI to date (with only 12% reporting both improvements) </w:t>
      </w:r>
      <w:bookmarkStart w:id="107" w:name="ZOTERO_BREF_TR1qMh37YJnq"/>
      <w:r w:rsidRPr="007C708D">
        <w:rPr>
          <w:rFonts w:cs="Times New Roman"/>
        </w:rPr>
        <w:t>(PricewaterhouseCoopers, undated</w:t>
      </w:r>
      <w:bookmarkEnd w:id="107"/>
      <w:r w:rsidRPr="007C708D">
        <w:rPr>
          <w:rFonts w:cs="Times New Roman"/>
        </w:rPr>
        <w:t>)</w:t>
      </w:r>
      <w:r>
        <w:t xml:space="preserve">. MIT's State of AI in Business report characterizes enterprise results as highly skewed, claiming 95% of organizations in its dataset see zero return from Generalist AI efforts until 2025 </w:t>
      </w:r>
      <w:bookmarkStart w:id="108" w:name="ZOTERO_BREF_HanKOTJMlIIV"/>
      <w:r w:rsidRPr="007C708D">
        <w:rPr>
          <w:rFonts w:cs="Times New Roman"/>
        </w:rPr>
        <w:t>(</w:t>
      </w:r>
      <w:proofErr w:type="spellStart"/>
      <w:r w:rsidRPr="007C708D">
        <w:rPr>
          <w:rFonts w:cs="Times New Roman"/>
        </w:rPr>
        <w:t>Challapally</w:t>
      </w:r>
      <w:proofErr w:type="spellEnd"/>
      <w:r w:rsidRPr="007C708D">
        <w:rPr>
          <w:rFonts w:cs="Times New Roman"/>
        </w:rPr>
        <w:t xml:space="preserve"> </w:t>
      </w:r>
      <w:r w:rsidRPr="007C708D">
        <w:rPr>
          <w:rFonts w:cs="Times New Roman"/>
          <w:i/>
          <w:iCs/>
        </w:rPr>
        <w:t>et al.</w:t>
      </w:r>
      <w:r w:rsidRPr="007C708D">
        <w:rPr>
          <w:rFonts w:cs="Times New Roman"/>
        </w:rPr>
        <w:t xml:space="preserve">, </w:t>
      </w:r>
      <w:bookmarkEnd w:id="108"/>
      <w:r w:rsidRPr="007C708D">
        <w:rPr>
          <w:rFonts w:cs="Times New Roman"/>
        </w:rPr>
        <w:t>undated)</w:t>
      </w:r>
      <w:r>
        <w:t xml:space="preserve">. Ranganathan and Ye’s eight-month field study in a ~200-employee U.S. technology firm finds Generalist AI use can intensify work rather than reduce it: employees work faster, take on a broader scope of tasks, and extend work into more hours of the day, often without being asked. These dynamics (scope creep, boundary creep, and higher cognitive load) can make early speed gains difficult to convert into durable, organization-level productivity gains </w:t>
      </w:r>
      <w:bookmarkStart w:id="109" w:name="ZOTERO_BREF_hh9YaPxdVSlq"/>
      <w:r w:rsidRPr="0029461E">
        <w:rPr>
          <w:rFonts w:cs="Times New Roman"/>
        </w:rPr>
        <w:t>(Aruna, Ranganathan, 2026</w:t>
      </w:r>
      <w:bookmarkEnd w:id="109"/>
      <w:r w:rsidRPr="0029461E">
        <w:rPr>
          <w:rFonts w:cs="Times New Roman"/>
        </w:rPr>
        <w:t>)</w:t>
      </w:r>
      <w:r>
        <w:t xml:space="preserve">. </w:t>
      </w:r>
    </w:p>
    <w:p w14:paraId="456FA8AB" w14:textId="77777777" w:rsidR="00026406" w:rsidRPr="000D6960" w:rsidRDefault="00026406" w:rsidP="000D6960">
      <w:pPr>
        <w:rPr>
          <w:lang w:val="en-CA"/>
        </w:rPr>
      </w:pPr>
    </w:p>
    <w:p w14:paraId="79F718DF" w14:textId="77777777" w:rsidR="00026406" w:rsidRDefault="00026406" w:rsidP="000D6960"/>
    <w:p w14:paraId="2918CC45" w14:textId="0F0E0199" w:rsidR="0020699B" w:rsidRDefault="0020699B" w:rsidP="0020699B">
      <w:pPr>
        <w:pStyle w:val="Ttulo2"/>
      </w:pPr>
      <w:bookmarkStart w:id="110" w:name="_Toc1968104664"/>
      <w:bookmarkStart w:id="111" w:name="_Toc225918010"/>
      <w:bookmarkStart w:id="112" w:name="_Toc226730558"/>
      <w:r>
        <w:t xml:space="preserve">3.3 </w:t>
      </w:r>
      <w:r>
        <w:t>Social &amp; political risks</w:t>
      </w:r>
      <w:bookmarkEnd w:id="110"/>
      <w:bookmarkEnd w:id="111"/>
      <w:bookmarkEnd w:id="112"/>
      <w:r>
        <w:t xml:space="preserve"> </w:t>
      </w:r>
    </w:p>
    <w:p w14:paraId="49525871" w14:textId="77777777" w:rsidR="00A4733E" w:rsidRPr="00A4733E" w:rsidRDefault="00A4733E" w:rsidP="00A4733E">
      <w:pPr>
        <w:rPr>
          <w:color w:val="auto"/>
        </w:rPr>
      </w:pPr>
      <w:r w:rsidRPr="00A4733E">
        <w:rPr>
          <w:color w:val="auto"/>
        </w:rPr>
        <w:t xml:space="preserve">Digital innovations are not neutral technologies. They are developed, deployed, and governed within specific economic and institutional models, and as such tend to reproduce existing power relations in food systems. AI systems reproduce statistical patterns present in their training data, and are therefore inherently backward-looking, generating predictions about the future based on past observations. This means they cannot substitute for structural societal change needed to address inequality, discrimination or power imbalances. In the context of food systems, particular care is required so that algorithmic systems trained on historical data do not reproduce existing biases in access to extension services and public support programmes, or implicitly favour extractive, intensive and monocultural agricultural models. </w:t>
      </w:r>
    </w:p>
    <w:p w14:paraId="5049D846" w14:textId="77777777" w:rsidR="00E259AF" w:rsidRDefault="00A4733E" w:rsidP="00A4733E">
      <w:pPr>
        <w:rPr>
          <w:color w:val="auto"/>
        </w:rPr>
      </w:pPr>
      <w:r w:rsidRPr="00A4733E">
        <w:rPr>
          <w:rStyle w:val="Bold"/>
          <w:color w:val="auto"/>
        </w:rPr>
        <w:t>Accountability, contestability, and institutional capacity</w:t>
      </w:r>
      <w:r w:rsidRPr="00A4733E">
        <w:rPr>
          <w:color w:val="auto"/>
        </w:rPr>
        <w:t xml:space="preserve"> </w:t>
      </w:r>
    </w:p>
    <w:p w14:paraId="7D29488C" w14:textId="77777777" w:rsidR="00E33ADC" w:rsidRDefault="00A4733E" w:rsidP="00A4733E">
      <w:pPr>
        <w:rPr>
          <w:color w:val="auto"/>
        </w:rPr>
      </w:pPr>
      <w:r w:rsidRPr="00A4733E">
        <w:rPr>
          <w:color w:val="auto"/>
        </w:rPr>
        <w:t xml:space="preserve">Where AI is introduced into public decision-making (e.g., targeting of assistance, grievance redress, inspection prioritization), the central governance risk is not only technical performance but institutional accountability: who is responsible when systems fail, how are errors detected and whether affected people can appeal </w:t>
      </w:r>
      <w:r w:rsidR="00E33ADC" w:rsidRPr="00A4733E">
        <w:rPr>
          <w:color w:val="auto"/>
        </w:rPr>
        <w:t>errors are</w:t>
      </w:r>
      <w:r w:rsidRPr="00A4733E">
        <w:rPr>
          <w:color w:val="auto"/>
        </w:rPr>
        <w:t xml:space="preserve"> UNDP explicitly warns that outsourcing core capacities like information gathering, triage, and prioritization to AI tools that governments do not own, train, or fully control can erode institutional capacity. In other words, allowing an external model to make all decisions on triage during disaster response scenarios can result in the institution no longer being able to perform that function without said model </w:t>
      </w:r>
      <w:bookmarkStart w:id="113" w:name="ZOTERO_BREF_BFziNABMnZNi"/>
      <w:r w:rsidRPr="00A4733E">
        <w:rPr>
          <w:rFonts w:cs="Times New Roman"/>
          <w:color w:val="auto"/>
        </w:rPr>
        <w:t>(UNDP, 2025</w:t>
      </w:r>
      <w:bookmarkEnd w:id="113"/>
      <w:r w:rsidRPr="00A4733E">
        <w:rPr>
          <w:rFonts w:cs="Times New Roman"/>
          <w:color w:val="auto"/>
        </w:rPr>
        <w:t>)</w:t>
      </w:r>
      <w:r w:rsidRPr="00A4733E">
        <w:rPr>
          <w:color w:val="auto"/>
        </w:rPr>
        <w:t xml:space="preserve">. </w:t>
      </w:r>
    </w:p>
    <w:p w14:paraId="7717C5AF" w14:textId="182922D0" w:rsidR="00A4733E" w:rsidRPr="00A4733E" w:rsidRDefault="00A4733E" w:rsidP="00A4733E">
      <w:pPr>
        <w:rPr>
          <w:color w:val="auto"/>
        </w:rPr>
      </w:pPr>
      <w:r w:rsidRPr="00A4733E">
        <w:rPr>
          <w:color w:val="auto"/>
        </w:rPr>
        <w:t xml:space="preserve">The institutions work furthermore risks </w:t>
      </w:r>
      <w:proofErr w:type="gramStart"/>
      <w:r w:rsidRPr="00A4733E">
        <w:rPr>
          <w:color w:val="auto"/>
        </w:rPr>
        <w:t>to become</w:t>
      </w:r>
      <w:proofErr w:type="gramEnd"/>
      <w:r w:rsidRPr="00A4733E">
        <w:rPr>
          <w:color w:val="auto"/>
        </w:rPr>
        <w:t xml:space="preserve"> more prone to automation bias (deference to model outputs) and less able to explain or contest decisions. At the institutional level, this can weaken state capacity and increase vendor dependency</w:t>
      </w:r>
      <w:r w:rsidR="00E33ADC">
        <w:rPr>
          <w:color w:val="auto"/>
        </w:rPr>
        <w:t xml:space="preserve">, </w:t>
      </w:r>
      <w:r w:rsidRPr="00A4733E">
        <w:rPr>
          <w:color w:val="auto"/>
        </w:rPr>
        <w:t xml:space="preserve">particularly problematic in high-stakes FSN functions where accountability and auditability are essential. A related political risk is performative participation. “Listening platforms” can create an appearance of inclusion while weakening genuine participation if inputs are collected but do not change decisions (“engineered inclusivity”). AI-based summarization and filtering can also flatten minority or dissenting voices and amplify centrally preferred narratives </w:t>
      </w:r>
      <w:bookmarkStart w:id="114" w:name="ZOTERO_BREF_3Q0d4yRmjsc0"/>
      <w:r w:rsidRPr="00A4733E">
        <w:rPr>
          <w:rFonts w:cs="Times New Roman"/>
          <w:color w:val="auto"/>
        </w:rPr>
        <w:t>(UNDP, 2025</w:t>
      </w:r>
      <w:bookmarkEnd w:id="114"/>
      <w:r w:rsidRPr="00A4733E">
        <w:rPr>
          <w:rFonts w:cs="Times New Roman"/>
          <w:color w:val="auto"/>
        </w:rPr>
        <w:t>)</w:t>
      </w:r>
      <w:r w:rsidRPr="00A4733E">
        <w:rPr>
          <w:color w:val="auto"/>
        </w:rPr>
        <w:t>.</w:t>
      </w:r>
    </w:p>
    <w:p w14:paraId="44B22AFC" w14:textId="77777777" w:rsidR="00E259AF" w:rsidRDefault="00A4733E" w:rsidP="00A4733E">
      <w:pPr>
        <w:rPr>
          <w:color w:val="auto"/>
        </w:rPr>
      </w:pPr>
      <w:r w:rsidRPr="00A4733E">
        <w:rPr>
          <w:b/>
          <w:bCs/>
          <w:color w:val="auto"/>
        </w:rPr>
        <w:t>Financial risks and related power imbalances</w:t>
      </w:r>
      <w:r w:rsidRPr="00A4733E">
        <w:rPr>
          <w:color w:val="auto"/>
        </w:rPr>
        <w:t xml:space="preserve"> </w:t>
      </w:r>
    </w:p>
    <w:p w14:paraId="6607B439" w14:textId="5CE7D3B8" w:rsidR="00A4733E" w:rsidRPr="00A4733E" w:rsidRDefault="00A4733E" w:rsidP="00A4733E">
      <w:pPr>
        <w:rPr>
          <w:color w:val="auto"/>
        </w:rPr>
      </w:pPr>
      <w:r w:rsidRPr="00A4733E">
        <w:rPr>
          <w:color w:val="auto"/>
        </w:rPr>
        <w:t xml:space="preserve">The ability to develop and deploy generalist and big deep learning models is currently in the hands of very few companies whose yearly venture capital funding exceeds the GDPs of most countries, and some big nations like China and India. Relevant layers of the AI technology stack such as data centers, cloud infrastructure and proprietary models are thus in the hands of few, mostly private actors, due to the high investment and infrastructure barriers involved (World Bank, 2025b). This concentration creates a high risk of monopolization of the Generalist AI space, unequal bargaining power, reduced policy autonomy and vendor lock-in particularly for countries lacking domestic data center infrastructure. Building these systems as well as operating them takes a huge amount of </w:t>
      </w:r>
      <w:proofErr w:type="gramStart"/>
      <w:r w:rsidRPr="00A4733E">
        <w:rPr>
          <w:color w:val="auto"/>
        </w:rPr>
        <w:t>compute</w:t>
      </w:r>
      <w:proofErr w:type="gramEnd"/>
      <w:r w:rsidRPr="00A4733E">
        <w:rPr>
          <w:color w:val="auto"/>
        </w:rPr>
        <w:t xml:space="preserve">, prompting the biggest investments in any technology. AI data center investment is projected to reach 7 trillion $ </w:t>
      </w:r>
      <w:bookmarkStart w:id="115" w:name="ZOTERO_BREF_9wzNRq8uA5Vc"/>
      <w:r w:rsidRPr="00A4733E">
        <w:rPr>
          <w:rFonts w:cs="Times New Roman"/>
          <w:color w:val="auto"/>
        </w:rPr>
        <w:t>(McKinsey, 2025</w:t>
      </w:r>
      <w:bookmarkEnd w:id="115"/>
      <w:r w:rsidRPr="00A4733E">
        <w:rPr>
          <w:rFonts w:cs="Times New Roman"/>
          <w:color w:val="auto"/>
        </w:rPr>
        <w:t>)</w:t>
      </w:r>
      <w:r w:rsidRPr="00A4733E">
        <w:rPr>
          <w:color w:val="auto"/>
        </w:rPr>
        <w:t xml:space="preserve">, while vendors are still looking for pathways to get returns on their investments </w:t>
      </w:r>
      <w:bookmarkStart w:id="116" w:name="ZOTERO_BREF_hrXtzVR49jR9"/>
      <w:r w:rsidRPr="00A4733E">
        <w:rPr>
          <w:rFonts w:cs="Times New Roman"/>
          <w:color w:val="auto"/>
        </w:rPr>
        <w:t>(Deloitte US, 2026</w:t>
      </w:r>
      <w:bookmarkEnd w:id="116"/>
      <w:r w:rsidRPr="00A4733E">
        <w:rPr>
          <w:rFonts w:cs="Times New Roman"/>
          <w:color w:val="auto"/>
        </w:rPr>
        <w:t>)</w:t>
      </w:r>
      <w:r w:rsidRPr="00A4733E">
        <w:rPr>
          <w:color w:val="auto"/>
        </w:rPr>
        <w:t>. Operating large Generalist AI systems does not profit from the effects of scale (i.e</w:t>
      </w:r>
      <w:proofErr w:type="gramStart"/>
      <w:r w:rsidRPr="00A4733E">
        <w:rPr>
          <w:color w:val="auto"/>
        </w:rPr>
        <w:t>. that</w:t>
      </w:r>
      <w:proofErr w:type="gramEnd"/>
      <w:r w:rsidRPr="00A4733E">
        <w:rPr>
          <w:color w:val="auto"/>
        </w:rPr>
        <w:t xml:space="preserve"> provisioning a service to 10x more users does take much less than 10x the investment), because each user prompt triggers an expensive computation </w:t>
      </w:r>
      <w:bookmarkStart w:id="117" w:name="ZOTERO_BREF_dVRjM3DxoQgR"/>
      <w:r w:rsidRPr="00A4733E">
        <w:rPr>
          <w:rFonts w:cs="Times New Roman"/>
          <w:color w:val="auto"/>
        </w:rPr>
        <w:t>(James O’Donnell and Casey Crownhart, undated; Ji and Jiang, 2026</w:t>
      </w:r>
      <w:bookmarkEnd w:id="117"/>
      <w:r w:rsidRPr="00A4733E">
        <w:rPr>
          <w:rFonts w:cs="Times New Roman"/>
          <w:color w:val="auto"/>
        </w:rPr>
        <w:t>)</w:t>
      </w:r>
      <w:r w:rsidRPr="00A4733E">
        <w:rPr>
          <w:color w:val="auto"/>
        </w:rPr>
        <w:t xml:space="preserve">. It is projected that this will have to lead to </w:t>
      </w:r>
      <w:proofErr w:type="gramStart"/>
      <w:r w:rsidRPr="00A4733E">
        <w:rPr>
          <w:color w:val="auto"/>
        </w:rPr>
        <w:t>advertisement</w:t>
      </w:r>
      <w:proofErr w:type="gramEnd"/>
      <w:r w:rsidRPr="00A4733E">
        <w:rPr>
          <w:color w:val="auto"/>
        </w:rPr>
        <w:t xml:space="preserve"> and increased costs for the end users soon </w:t>
      </w:r>
      <w:bookmarkStart w:id="118" w:name="ZOTERO_BREF_8rFm48ZNafBg"/>
      <w:r w:rsidRPr="00A4733E">
        <w:rPr>
          <w:rFonts w:cs="Times New Roman"/>
          <w:color w:val="auto"/>
        </w:rPr>
        <w:t>(Thomas Claburn, 2026</w:t>
      </w:r>
      <w:bookmarkEnd w:id="118"/>
      <w:r w:rsidRPr="00A4733E">
        <w:rPr>
          <w:rFonts w:cs="Times New Roman"/>
          <w:color w:val="auto"/>
        </w:rPr>
        <w:t>)</w:t>
      </w:r>
      <w:r w:rsidRPr="00A4733E">
        <w:rPr>
          <w:color w:val="auto"/>
        </w:rPr>
        <w:t xml:space="preserve">. This is of high relevance for FSN contexts: The underlying technology solving a specific task might become prohibitively expensive or might prioritize or recommend responses and content that reflect the commercial and political interest of system providers rather than those of end users. Consequently, models might end up propagating traditional extractive, intensive and monocultural models disregarding their long-term and side effects. An example </w:t>
      </w:r>
      <w:proofErr w:type="gramStart"/>
      <w:r w:rsidRPr="00A4733E">
        <w:rPr>
          <w:color w:val="auto"/>
        </w:rPr>
        <w:t>for</w:t>
      </w:r>
      <w:proofErr w:type="gramEnd"/>
      <w:r w:rsidRPr="00A4733E">
        <w:rPr>
          <w:color w:val="auto"/>
        </w:rPr>
        <w:t xml:space="preserve"> the influence of commercial interests is </w:t>
      </w:r>
      <w:proofErr w:type="spellStart"/>
      <w:r w:rsidRPr="00A4733E">
        <w:rPr>
          <w:color w:val="auto"/>
        </w:rPr>
        <w:t>Plantix</w:t>
      </w:r>
      <w:proofErr w:type="spellEnd"/>
      <w:r w:rsidRPr="00A4733E">
        <w:rPr>
          <w:color w:val="auto"/>
        </w:rPr>
        <w:t xml:space="preserve">, an agricultural advisory application, originally aiming at reducing pesticide usage. Their pivot to also becoming pesticide vendors to satisfy their investors has raised questions on conflicts of interest </w:t>
      </w:r>
      <w:bookmarkStart w:id="119" w:name="ZOTERO_BREF_MF6AiXomyN3m"/>
      <w:r w:rsidRPr="00A4733E">
        <w:rPr>
          <w:rFonts w:cs="Times New Roman"/>
          <w:color w:val="auto"/>
        </w:rPr>
        <w:t>(Miller, 2024</w:t>
      </w:r>
      <w:bookmarkEnd w:id="119"/>
      <w:r w:rsidRPr="00A4733E">
        <w:rPr>
          <w:rFonts w:cs="Times New Roman"/>
          <w:color w:val="auto"/>
        </w:rPr>
        <w:t>)</w:t>
      </w:r>
      <w:r w:rsidRPr="00A4733E">
        <w:rPr>
          <w:color w:val="auto"/>
        </w:rPr>
        <w:t xml:space="preserve"> as it would be simple to tweak the app to suggest higher pesticide usage or promote only pesticides sold by </w:t>
      </w:r>
      <w:proofErr w:type="spellStart"/>
      <w:r w:rsidRPr="00A4733E">
        <w:rPr>
          <w:color w:val="auto"/>
        </w:rPr>
        <w:t>Plantix</w:t>
      </w:r>
      <w:proofErr w:type="spellEnd"/>
      <w:r w:rsidRPr="00A4733E">
        <w:rPr>
          <w:color w:val="auto"/>
        </w:rPr>
        <w:t xml:space="preserve">. </w:t>
      </w:r>
    </w:p>
    <w:p w14:paraId="52D8A968" w14:textId="77777777" w:rsidR="00E259AF" w:rsidRDefault="00A4733E" w:rsidP="00A4733E">
      <w:pPr>
        <w:rPr>
          <w:color w:val="auto"/>
        </w:rPr>
      </w:pPr>
      <w:r w:rsidRPr="00A4733E" w:rsidDel="7FA371D4">
        <w:rPr>
          <w:b/>
          <w:bCs/>
          <w:color w:val="auto"/>
        </w:rPr>
        <w:t>B</w:t>
      </w:r>
      <w:r w:rsidRPr="00A4733E">
        <w:rPr>
          <w:rStyle w:val="Bold"/>
          <w:bCs/>
          <w:color w:val="auto"/>
        </w:rPr>
        <w:t>i</w:t>
      </w:r>
      <w:r w:rsidRPr="00A4733E">
        <w:rPr>
          <w:rStyle w:val="Bold"/>
          <w:color w:val="auto"/>
        </w:rPr>
        <w:t>as, exclusion and data deserts</w:t>
      </w:r>
      <w:r w:rsidRPr="00A4733E">
        <w:rPr>
          <w:rStyle w:val="Refdenotaalpie"/>
          <w:color w:val="auto"/>
        </w:rPr>
        <w:footnoteReference w:id="9"/>
      </w:r>
      <w:r w:rsidRPr="00A4733E">
        <w:rPr>
          <w:color w:val="auto"/>
        </w:rPr>
        <w:t xml:space="preserve"> </w:t>
      </w:r>
    </w:p>
    <w:p w14:paraId="6186C8B7" w14:textId="77777777" w:rsidR="00F03D59" w:rsidRDefault="00A4733E" w:rsidP="00A4733E">
      <w:pPr>
        <w:rPr>
          <w:color w:val="auto"/>
        </w:rPr>
      </w:pPr>
      <w:r w:rsidRPr="00A4733E">
        <w:rPr>
          <w:color w:val="auto"/>
        </w:rPr>
        <w:t xml:space="preserve">Unequal digital access and unequal representation in data can translate into unequal performance and unequal service delivery. Data-driven services tend to work best where digital traces are abundant (connectivity, device access, transaction records, sensor data). This creates a systematic risk that smallholders and remote communities become underrepresented in training data and thus underserved or mis-served by models and targeting systems </w:t>
      </w:r>
      <w:bookmarkStart w:id="120" w:name="ZOTERO_BREF_rxDvy4QhEPmR"/>
      <w:r w:rsidRPr="00A4733E">
        <w:rPr>
          <w:rFonts w:cs="Times New Roman"/>
          <w:color w:val="auto"/>
        </w:rPr>
        <w:t xml:space="preserve">(Mehrabi </w:t>
      </w:r>
      <w:r w:rsidRPr="00A4733E">
        <w:rPr>
          <w:rFonts w:cs="Times New Roman"/>
          <w:i/>
          <w:iCs/>
          <w:color w:val="auto"/>
        </w:rPr>
        <w:t>et al.</w:t>
      </w:r>
      <w:r w:rsidRPr="00A4733E">
        <w:rPr>
          <w:rFonts w:cs="Times New Roman"/>
          <w:color w:val="auto"/>
        </w:rPr>
        <w:t>, 2021</w:t>
      </w:r>
      <w:bookmarkEnd w:id="120"/>
      <w:r w:rsidRPr="00A4733E">
        <w:rPr>
          <w:rFonts w:cs="Times New Roman"/>
          <w:color w:val="auto"/>
        </w:rPr>
        <w:t>)</w:t>
      </w:r>
      <w:r w:rsidRPr="00A4733E">
        <w:rPr>
          <w:color w:val="auto"/>
        </w:rPr>
        <w:t xml:space="preserve">. The UNDP </w:t>
      </w:r>
      <w:bookmarkStart w:id="121" w:name="ZOTERO_BREF_Hz3TDZipd7Va"/>
      <w:r w:rsidRPr="00A4733E">
        <w:rPr>
          <w:rFonts w:cs="Times New Roman"/>
          <w:color w:val="auto"/>
        </w:rPr>
        <w:t>(UNDP, 2025</w:t>
      </w:r>
      <w:bookmarkEnd w:id="121"/>
      <w:r w:rsidRPr="00A4733E" w:rsidDel="0099333F">
        <w:rPr>
          <w:color w:val="auto"/>
        </w:rPr>
        <w:t>)</w:t>
      </w:r>
      <w:r w:rsidRPr="00A4733E">
        <w:rPr>
          <w:color w:val="auto"/>
        </w:rPr>
        <w:t xml:space="preserve"> cautions that large segments of the population can become effectively invisible to algorithms where digital records are sparse, incomplete, or biased, creating risks of algorithmic exclusion and reinforcing deprivation. </w:t>
      </w:r>
    </w:p>
    <w:p w14:paraId="5099CD0B" w14:textId="5119B021" w:rsidR="00A4733E" w:rsidRPr="00A4733E" w:rsidRDefault="00A4733E" w:rsidP="00A4733E">
      <w:pPr>
        <w:rPr>
          <w:color w:val="auto"/>
        </w:rPr>
      </w:pPr>
      <w:r w:rsidRPr="00A4733E">
        <w:rPr>
          <w:color w:val="auto"/>
        </w:rPr>
        <w:t xml:space="preserve">This is true even for inequalities within countries: Rising capital costs, as well as persistent barriers related to access, awareness, trust, accessibility, affordability and digital literacy mean that different categories of actors might see different degrees of benefits or disadvantages from digitalization efforts. A concrete example is rural India, where limited access to and use of mobile phones by women constitutes an inequality that is amplified by digital systems relying on mobile phones to access government entitlements, banking and civic participation </w:t>
      </w:r>
      <w:bookmarkStart w:id="122" w:name="ZOTERO_BREF_BUlgwL7uvQAx"/>
      <w:r w:rsidRPr="00A4733E">
        <w:rPr>
          <w:rFonts w:cs="Times New Roman"/>
          <w:color w:val="auto"/>
        </w:rPr>
        <w:t xml:space="preserve">(Scott </w:t>
      </w:r>
      <w:r w:rsidRPr="00A4733E">
        <w:rPr>
          <w:rFonts w:cs="Times New Roman"/>
          <w:i/>
          <w:iCs/>
          <w:color w:val="auto"/>
        </w:rPr>
        <w:t>et al.</w:t>
      </w:r>
      <w:r w:rsidRPr="00A4733E">
        <w:rPr>
          <w:rFonts w:cs="Times New Roman"/>
          <w:color w:val="auto"/>
        </w:rPr>
        <w:t>, 2021</w:t>
      </w:r>
      <w:bookmarkEnd w:id="122"/>
      <w:r w:rsidRPr="00A4733E">
        <w:rPr>
          <w:rFonts w:cs="Times New Roman"/>
          <w:color w:val="auto"/>
        </w:rPr>
        <w:t>)</w:t>
      </w:r>
      <w:r w:rsidRPr="00A4733E">
        <w:rPr>
          <w:color w:val="auto"/>
        </w:rPr>
        <w:t>. Avoiding digital exclusion in model predictions requires deliberate investment in representative datasets and in rights-respecting data governance, rather than attempting to "de-bias" outputs after deployment. Digital divides</w:t>
      </w:r>
      <w:r w:rsidRPr="00A4733E">
        <w:rPr>
          <w:rStyle w:val="Refdenotaalpie"/>
          <w:color w:val="auto"/>
        </w:rPr>
        <w:footnoteReference w:id="10"/>
      </w:r>
      <w:r w:rsidRPr="00A4733E">
        <w:rPr>
          <w:color w:val="auto"/>
        </w:rPr>
        <w:t xml:space="preserve"> also shape who uses general-purpose tools and who benefits from them. For example, women are severely under-represented in Generalist AI's training data </w:t>
      </w:r>
      <w:bookmarkStart w:id="123" w:name="ZOTERO_BREF_vJtMNrhWkSLB"/>
      <w:r w:rsidRPr="00A4733E">
        <w:rPr>
          <w:rFonts w:cs="Times New Roman"/>
          <w:color w:val="auto"/>
        </w:rPr>
        <w:t xml:space="preserve">(Norori </w:t>
      </w:r>
      <w:r w:rsidRPr="00A4733E">
        <w:rPr>
          <w:rFonts w:cs="Times New Roman"/>
          <w:i/>
          <w:iCs/>
          <w:color w:val="auto"/>
        </w:rPr>
        <w:t>et al.</w:t>
      </w:r>
      <w:r w:rsidRPr="00A4733E">
        <w:rPr>
          <w:rFonts w:cs="Times New Roman"/>
          <w:color w:val="auto"/>
        </w:rPr>
        <w:t>, 2021</w:t>
      </w:r>
      <w:bookmarkEnd w:id="123"/>
      <w:r w:rsidRPr="00A4733E">
        <w:rPr>
          <w:rFonts w:cs="Times New Roman"/>
          <w:color w:val="auto"/>
        </w:rPr>
        <w:t>)</w:t>
      </w:r>
      <w:r w:rsidRPr="00A4733E">
        <w:rPr>
          <w:color w:val="auto"/>
        </w:rPr>
        <w:t xml:space="preserve">. This can compound existing inequalities in digital opportunity, voice and representation </w:t>
      </w:r>
      <w:bookmarkStart w:id="124" w:name="ZOTERO_BREF_W2sOpmGsPe8f"/>
      <w:r w:rsidRPr="00A4733E">
        <w:rPr>
          <w:rFonts w:cs="Times New Roman"/>
          <w:color w:val="auto"/>
        </w:rPr>
        <w:t>(World Bank, 2025b</w:t>
      </w:r>
      <w:bookmarkEnd w:id="124"/>
      <w:r w:rsidRPr="00A4733E">
        <w:rPr>
          <w:rFonts w:cs="Times New Roman"/>
          <w:color w:val="auto"/>
        </w:rPr>
        <w:t>)</w:t>
      </w:r>
      <w:r w:rsidRPr="00A4733E">
        <w:rPr>
          <w:color w:val="auto"/>
        </w:rPr>
        <w:t xml:space="preserve">. </w:t>
      </w:r>
    </w:p>
    <w:p w14:paraId="436503FF" w14:textId="77777777" w:rsidR="00545DDD" w:rsidRDefault="00A4733E" w:rsidP="00A4733E">
      <w:pPr>
        <w:rPr>
          <w:color w:val="auto"/>
        </w:rPr>
      </w:pPr>
      <w:hyperlink w:anchor="org6555351" w:history="1"/>
      <w:hyperlink w:anchor="org6555351" w:history="1"/>
      <w:r w:rsidRPr="00A4733E">
        <w:rPr>
          <w:rStyle w:val="Bold"/>
          <w:color w:val="auto"/>
        </w:rPr>
        <w:t xml:space="preserve">Data sovereignty, vendor lock-in and resulting power imbalances </w:t>
      </w:r>
      <w:r w:rsidRPr="00A4733E">
        <w:rPr>
          <w:color w:val="auto"/>
        </w:rPr>
        <w:t xml:space="preserve"> </w:t>
      </w:r>
    </w:p>
    <w:p w14:paraId="375BECC6" w14:textId="166BDF5F" w:rsidR="00A4733E" w:rsidRPr="00A4733E" w:rsidRDefault="00A4733E" w:rsidP="00A4733E">
      <w:pPr>
        <w:rPr>
          <w:rFonts w:eastAsia="Times New Roman" w:cs="Times New Roman"/>
          <w:color w:val="auto"/>
        </w:rPr>
      </w:pPr>
      <w:r w:rsidRPr="00A4733E">
        <w:rPr>
          <w:rFonts w:eastAsia="Times New Roman" w:cs="Times New Roman"/>
          <w:color w:val="auto"/>
        </w:rPr>
        <w:t xml:space="preserve">Collection and analysis of data </w:t>
      </w:r>
      <w:r w:rsidR="007F4F1C" w:rsidRPr="00A4733E">
        <w:rPr>
          <w:rFonts w:eastAsia="Times New Roman" w:cs="Times New Roman"/>
          <w:color w:val="auto"/>
        </w:rPr>
        <w:t>are</w:t>
      </w:r>
      <w:r w:rsidRPr="00A4733E">
        <w:rPr>
          <w:rFonts w:eastAsia="Times New Roman" w:cs="Times New Roman"/>
          <w:color w:val="auto"/>
        </w:rPr>
        <w:t xml:space="preserve"> essential to management and decision making. States </w:t>
      </w:r>
      <w:r w:rsidR="007F4F1C" w:rsidRPr="00A4733E">
        <w:rPr>
          <w:rFonts w:eastAsia="Times New Roman" w:cs="Times New Roman"/>
          <w:color w:val="auto"/>
        </w:rPr>
        <w:t>have</w:t>
      </w:r>
      <w:r w:rsidRPr="00A4733E">
        <w:rPr>
          <w:rFonts w:eastAsia="Times New Roman" w:cs="Times New Roman"/>
          <w:color w:val="auto"/>
        </w:rPr>
        <w:t xml:space="preserve"> progressively developed rules and principles on data collection, management and conservation for public purposes. Digitalisation and increasingly performant AI have considerably facilitated these operations, making it easier to collect and manage data </w:t>
      </w:r>
      <w:proofErr w:type="gramStart"/>
      <w:r w:rsidRPr="00A4733E">
        <w:rPr>
          <w:rFonts w:eastAsia="Times New Roman" w:cs="Times New Roman"/>
          <w:color w:val="auto"/>
        </w:rPr>
        <w:t>and also</w:t>
      </w:r>
      <w:proofErr w:type="gramEnd"/>
      <w:r w:rsidRPr="00A4733E">
        <w:rPr>
          <w:rFonts w:eastAsia="Times New Roman" w:cs="Times New Roman"/>
          <w:color w:val="auto"/>
        </w:rPr>
        <w:t xml:space="preserve"> adding value to it. In fact, the shift towards a data economy has also occasioned major changes in who collects and holds data. In many cases data is now predominantly collected, processed and held by private firms, traded as a commodity and integrated into proprietary systems that serve commercial ends. The risk is that it also becomes increasingly easy to cross-reference and connect large amounts of data, giving data owners a lot of insight and subsequently power of private firms over the sources of that data, ranging from </w:t>
      </w:r>
      <w:proofErr w:type="gramStart"/>
      <w:r w:rsidRPr="00A4733E">
        <w:rPr>
          <w:rFonts w:eastAsia="Times New Roman" w:cs="Times New Roman"/>
          <w:color w:val="auto"/>
        </w:rPr>
        <w:t>individuals</w:t>
      </w:r>
      <w:proofErr w:type="gramEnd"/>
      <w:r w:rsidRPr="00A4733E">
        <w:rPr>
          <w:rFonts w:eastAsia="Times New Roman" w:cs="Times New Roman"/>
          <w:color w:val="auto"/>
        </w:rPr>
        <w:t xml:space="preserve"> to states. </w:t>
      </w:r>
    </w:p>
    <w:p w14:paraId="5C97303C" w14:textId="1E678455" w:rsidR="00A4733E" w:rsidRPr="00A4733E" w:rsidRDefault="00A4733E" w:rsidP="00A4733E">
      <w:pPr>
        <w:rPr>
          <w:rFonts w:eastAsia="Times New Roman" w:cs="Times New Roman"/>
          <w:color w:val="auto"/>
        </w:rPr>
      </w:pPr>
      <w:r w:rsidRPr="00A4733E">
        <w:rPr>
          <w:rFonts w:eastAsia="Times New Roman" w:cs="Times New Roman"/>
          <w:color w:val="auto"/>
        </w:rPr>
        <w:t xml:space="preserve">Weak and fragmented regulatory frameworks enable large corporations to collect and process data at scale, often leaving producers, workers and smaller actors with limited rights over data access, use, privacy, cybersecurity and the resilience of the digital systems they depend on. A revealing asymmetry has emerged around intellectual property: firms claim that training models on others' data is permissible, while simultaneously arguing that AI-generated outputs and trained models should receive proprietary protection </w:t>
      </w:r>
      <w:bookmarkStart w:id="125" w:name="ZOTERO_BREF_WFIZJktLmZDW"/>
      <w:r w:rsidRPr="00A4733E">
        <w:rPr>
          <w:rFonts w:cs="Times New Roman"/>
          <w:color w:val="auto"/>
        </w:rPr>
        <w:t xml:space="preserve">(Stuart D. Levi and Shannon N. </w:t>
      </w:r>
      <w:bookmarkEnd w:id="125"/>
      <w:r w:rsidRPr="00A4733E">
        <w:rPr>
          <w:rFonts w:cs="Times New Roman"/>
          <w:color w:val="auto"/>
        </w:rPr>
        <w:t>Morgan, undated; Sweney and Milmo, 2025)</w:t>
      </w:r>
      <w:r w:rsidRPr="00A4733E">
        <w:rPr>
          <w:rFonts w:eastAsia="Times New Roman" w:cs="Times New Roman"/>
          <w:color w:val="auto"/>
        </w:rPr>
        <w:t xml:space="preserve">. Even though a US-based class action lawsuit by authors has been settled by a payout of $1.5 bn </w:t>
      </w:r>
      <w:bookmarkStart w:id="126" w:name="ZOTERO_BREF_zAFz5gboRMap"/>
      <w:r w:rsidRPr="00A4733E">
        <w:rPr>
          <w:rFonts w:cs="Times New Roman"/>
          <w:color w:val="auto"/>
        </w:rPr>
        <w:t>(Associated Press, 2025</w:t>
      </w:r>
      <w:bookmarkEnd w:id="126"/>
      <w:r w:rsidRPr="00A4733E">
        <w:rPr>
          <w:rFonts w:cs="Times New Roman"/>
          <w:color w:val="auto"/>
        </w:rPr>
        <w:t>)</w:t>
      </w:r>
      <w:r w:rsidRPr="00A4733E">
        <w:rPr>
          <w:rFonts w:eastAsia="Times New Roman" w:cs="Times New Roman"/>
          <w:color w:val="auto"/>
        </w:rPr>
        <w:t xml:space="preserve">, consolidation of this </w:t>
      </w:r>
      <w:r w:rsidR="00E259AF" w:rsidRPr="00A4733E">
        <w:rPr>
          <w:rFonts w:eastAsia="Times New Roman" w:cs="Times New Roman"/>
          <w:color w:val="auto"/>
        </w:rPr>
        <w:t>position</w:t>
      </w:r>
      <w:r w:rsidRPr="00A4733E">
        <w:rPr>
          <w:rFonts w:eastAsia="Times New Roman" w:cs="Times New Roman"/>
          <w:color w:val="auto"/>
        </w:rPr>
        <w:t xml:space="preserve"> would amount to a one-directional extraction of value from data originators to model operators. Where regulatory capacity is low, these gaps are compounded by vendor lock-in: legal instruments based on copyright protection considerations currently allow hardware manufacturers to restrict owners' ability to install, modify or repair the software running on equipment they have purchased (e.g. mobile phones, tractors or irrigation controllers), not only blocking independent repair or third-party integration but importantly also controlling the flow and storage of data collected using this equipment. Over time, these constraints raise switching costs, weaken the bargaining position of users and governments alike, and entrench dependency on a narrow set of providers.</w:t>
      </w:r>
    </w:p>
    <w:p w14:paraId="2F225280" w14:textId="77777777" w:rsidR="00A4733E" w:rsidRPr="00A4733E" w:rsidRDefault="00A4733E" w:rsidP="00A4733E">
      <w:pPr>
        <w:rPr>
          <w:rFonts w:eastAsia="Times New Roman" w:cs="Times New Roman"/>
          <w:color w:val="auto"/>
        </w:rPr>
      </w:pPr>
      <w:r w:rsidRPr="00A4733E">
        <w:rPr>
          <w:rFonts w:eastAsia="Times New Roman" w:cs="Times New Roman"/>
          <w:color w:val="auto"/>
        </w:rPr>
        <w:t xml:space="preserve">The concentration of data, </w:t>
      </w:r>
      <w:proofErr w:type="gramStart"/>
      <w:r w:rsidRPr="00A4733E">
        <w:rPr>
          <w:rFonts w:eastAsia="Times New Roman" w:cs="Times New Roman"/>
          <w:color w:val="auto"/>
        </w:rPr>
        <w:t>compute</w:t>
      </w:r>
      <w:proofErr w:type="gramEnd"/>
      <w:r w:rsidRPr="00A4733E">
        <w:rPr>
          <w:rFonts w:eastAsia="Times New Roman" w:cs="Times New Roman"/>
          <w:color w:val="auto"/>
        </w:rPr>
        <w:t xml:space="preserve">, talent and frontier models in a small number of firms translates into risks that extend well beyond market power. At the geopolitical level, it can produce asymmetric bargaining power and long-term dependency — what the UNDP characterises as a digital-colonialism dynamic in which countries must pay recurring subscriptions or surrender data to access capabilities </w:t>
      </w:r>
      <w:bookmarkStart w:id="127" w:name="ZOTERO_BREF_8d6V6YMoMAiu"/>
      <w:r w:rsidRPr="00A4733E">
        <w:rPr>
          <w:rFonts w:cs="Times New Roman"/>
          <w:color w:val="auto"/>
        </w:rPr>
        <w:t>(UNDP, 2025</w:t>
      </w:r>
      <w:bookmarkEnd w:id="127"/>
      <w:r w:rsidRPr="00A4733E">
        <w:rPr>
          <w:rFonts w:cs="Times New Roman"/>
          <w:color w:val="auto"/>
        </w:rPr>
        <w:t>)</w:t>
      </w:r>
      <w:r w:rsidRPr="00A4733E">
        <w:rPr>
          <w:rFonts w:eastAsia="Times New Roman" w:cs="Times New Roman"/>
          <w:color w:val="auto"/>
        </w:rPr>
        <w:t xml:space="preserve">. Cloud-hosted data raises direct sovereignty concerns: providers may be legally compelled to share data stored on their infrastructure with their home governments, regardless of the data's origin or sensitivity. As knowledge, analytical capacity and decision-making are progressively transferred to digital systems controlled by these corporations, the risk is not only economic dependency but the narrowing of policy autonomy and food-systems agendas toward frameworks that reflect </w:t>
      </w:r>
      <w:proofErr w:type="gramStart"/>
      <w:r w:rsidRPr="00A4733E">
        <w:rPr>
          <w:rFonts w:eastAsia="Times New Roman" w:cs="Times New Roman"/>
          <w:color w:val="auto"/>
        </w:rPr>
        <w:t>corporate</w:t>
      </w:r>
      <w:proofErr w:type="gramEnd"/>
      <w:r w:rsidRPr="00A4733E">
        <w:rPr>
          <w:rFonts w:eastAsia="Times New Roman" w:cs="Times New Roman"/>
          <w:color w:val="auto"/>
        </w:rPr>
        <w:t xml:space="preserve"> rather than public interest. This is reinforced by dominant narratives that frame digitalisation itself as a primary solution to food insecurity, potentially leading to uncritical policy adoption and unmanaged conflicts of interest where the same firms that sell the tools also shape the policy discourse around them.</w:t>
      </w:r>
    </w:p>
    <w:p w14:paraId="52C3D722" w14:textId="7F7A7530" w:rsidR="00A4733E" w:rsidRPr="00A4733E" w:rsidRDefault="00A4733E" w:rsidP="00A4733E">
      <w:pPr>
        <w:rPr>
          <w:rFonts w:eastAsia="Times New Roman" w:cs="Times New Roman"/>
          <w:color w:val="auto"/>
        </w:rPr>
      </w:pPr>
      <w:r w:rsidRPr="00A4733E">
        <w:rPr>
          <w:rFonts w:eastAsia="Times New Roman" w:cs="Times New Roman"/>
          <w:color w:val="auto"/>
        </w:rPr>
        <w:t xml:space="preserve">Finally, the centralisation of sensitive datasets and expanded data flows create operational risks that compound the structural ones. "Functional creep" </w:t>
      </w:r>
      <w:r w:rsidR="00EA002F" w:rsidRPr="00EA002F">
        <w:rPr>
          <w:rFonts w:eastAsia="Times New Roman" w:cs="Times New Roman"/>
          <w:color w:val="auto"/>
        </w:rPr>
        <w:t>–</w:t>
      </w:r>
      <w:r w:rsidRPr="00A4733E">
        <w:rPr>
          <w:rFonts w:eastAsia="Times New Roman" w:cs="Times New Roman"/>
          <w:color w:val="auto"/>
        </w:rPr>
        <w:t xml:space="preserve"> the repurposing of data and systems beyond their original mandate </w:t>
      </w:r>
      <w:r w:rsidR="00EA002F" w:rsidRPr="00EA002F">
        <w:rPr>
          <w:rFonts w:eastAsia="Times New Roman" w:cs="Times New Roman"/>
          <w:color w:val="auto"/>
        </w:rPr>
        <w:t>–</w:t>
      </w:r>
      <w:r w:rsidRPr="00A4733E">
        <w:rPr>
          <w:rFonts w:eastAsia="Times New Roman" w:cs="Times New Roman"/>
          <w:color w:val="auto"/>
        </w:rPr>
        <w:t xml:space="preserve"> becomes more likely as integrated platforms make cross-referencing technically trivial. National security risks rise with the centralisation of sensitive agricultural, demographic and logistical data, and the heightened cyber-risk surface created by expanded digital integrations means that breaches, when they occur, can expose entire systems rather than isolated datasets.</w:t>
      </w:r>
    </w:p>
    <w:p w14:paraId="7BE608FC" w14:textId="77777777" w:rsidR="00545DDD" w:rsidRDefault="00A4733E" w:rsidP="00A4733E">
      <w:pPr>
        <w:rPr>
          <w:rFonts w:eastAsia="Times New Roman" w:cs="Times New Roman"/>
          <w:b/>
          <w:bCs/>
          <w:color w:val="auto"/>
        </w:rPr>
      </w:pPr>
      <w:r w:rsidRPr="00A4733E">
        <w:rPr>
          <w:rFonts w:eastAsia="Times New Roman" w:cs="Times New Roman"/>
          <w:b/>
          <w:bCs/>
          <w:color w:val="auto"/>
        </w:rPr>
        <w:t>General risks of digital critical infrastructure</w:t>
      </w:r>
    </w:p>
    <w:p w14:paraId="3E211D00" w14:textId="3A417303" w:rsidR="00A4733E" w:rsidRPr="00A4733E" w:rsidRDefault="00A4733E" w:rsidP="00A4733E">
      <w:pPr>
        <w:rPr>
          <w:rFonts w:eastAsia="Times New Roman" w:cs="Times New Roman"/>
          <w:b/>
          <w:bCs/>
          <w:color w:val="auto"/>
        </w:rPr>
      </w:pPr>
      <w:r w:rsidRPr="00A4733E">
        <w:rPr>
          <w:rFonts w:eastAsia="Times New Roman" w:cs="Times New Roman"/>
          <w:color w:val="auto"/>
        </w:rPr>
        <w:t xml:space="preserve">A further dimension of data governance that requires attention in FSN policy debates is operational security: the set of practices required to ensure that digital systems and data remain available, intact, and interpretable over time </w:t>
      </w:r>
      <w:bookmarkStart w:id="128" w:name="ZOTERO_BREF_gMJzxg6JNpDB"/>
      <w:r w:rsidRPr="00A4733E">
        <w:rPr>
          <w:rFonts w:cs="Times New Roman"/>
          <w:color w:val="auto"/>
        </w:rPr>
        <w:t>(Digital Preservation Coalition, 2015)</w:t>
      </w:r>
      <w:bookmarkEnd w:id="128"/>
      <w:r w:rsidRPr="00A4733E">
        <w:rPr>
          <w:rFonts w:eastAsia="Times New Roman" w:cs="Times New Roman"/>
          <w:color w:val="auto"/>
        </w:rPr>
        <w:t xml:space="preserve">. As FSN functions become dependent on digital infrastructure, that infrastructure inherits the vulnerabilities of any critical digital system. Three categories of risk deserve explicit consideration. First, cybersecurity </w:t>
      </w:r>
      <w:bookmarkStart w:id="129" w:name="ZOTERO_BREF_NxvAk2WXPNYV"/>
      <w:r w:rsidRPr="00A4733E">
        <w:rPr>
          <w:rFonts w:cs="Times New Roman"/>
          <w:color w:val="auto"/>
        </w:rPr>
        <w:t xml:space="preserve">(Kulkarni </w:t>
      </w:r>
      <w:r w:rsidRPr="00A4733E">
        <w:rPr>
          <w:rFonts w:cs="Times New Roman"/>
          <w:i/>
          <w:iCs/>
          <w:color w:val="auto"/>
        </w:rPr>
        <w:t>et al.</w:t>
      </w:r>
      <w:r w:rsidRPr="00A4733E">
        <w:rPr>
          <w:rFonts w:cs="Times New Roman"/>
          <w:color w:val="auto"/>
        </w:rPr>
        <w:t>, 2025)</w:t>
      </w:r>
      <w:bookmarkEnd w:id="129"/>
      <w:r w:rsidRPr="00A4733E">
        <w:rPr>
          <w:rFonts w:eastAsia="Times New Roman" w:cs="Times New Roman"/>
          <w:color w:val="auto"/>
        </w:rPr>
        <w:t xml:space="preserve">: digital systems underpinning public FSN functions are exposed to the full spectrum of malicious interference, from ransomware to state-sponsored intrusion, and require the same institutional investment in defense, redundancy, and incident response as any other digital infrastructure. Second, physical and geopolitical threats </w:t>
      </w:r>
      <w:bookmarkStart w:id="130" w:name="ZOTERO_BREF_nb3cJ5FrQLVY"/>
      <w:r w:rsidRPr="00A4733E">
        <w:rPr>
          <w:rFonts w:cs="Times New Roman"/>
          <w:color w:val="auto"/>
        </w:rPr>
        <w:t>(Harding, 2026)</w:t>
      </w:r>
      <w:bookmarkEnd w:id="130"/>
      <w:r w:rsidRPr="00A4733E">
        <w:rPr>
          <w:rFonts w:eastAsia="Times New Roman" w:cs="Times New Roman"/>
          <w:color w:val="auto"/>
        </w:rPr>
        <w:t xml:space="preserve">: data centers are critical infrastructure for modern societies and have emerged as strategic targets in recent conflicts. Concentration of FSN-critical data in a small number of commercial data centers therefore constitutes a resilience risk, beyond the data sovereignty concern. Third, long-term archival integrity </w:t>
      </w:r>
      <w:bookmarkStart w:id="131" w:name="ZOTERO_BREF_fwpqoo2IbEOd"/>
      <w:r w:rsidRPr="00A4733E">
        <w:rPr>
          <w:rFonts w:cs="Times New Roman"/>
          <w:color w:val="auto"/>
        </w:rPr>
        <w:t>(Digital Preservation Coalition, 2015)</w:t>
      </w:r>
      <w:bookmarkEnd w:id="131"/>
      <w:r w:rsidRPr="00A4733E">
        <w:rPr>
          <w:rFonts w:eastAsia="Times New Roman" w:cs="Times New Roman"/>
          <w:color w:val="auto"/>
        </w:rPr>
        <w:t>: digital records degrade and become inaccessible through physical data degradation, hardware failure, format obsolescence, and the discontinuation of proprietary systems. These risks accumulate silently over years and are rarely budgeted for. FSN data carries policy-relevant value over decades, a lifespan that far exceeds typical hardware and software cycles. Without active migration policies, open-format standards, and geographically distributed storage, the institutional memory on which evidence-based FSN policy depends can be quietly lost. Taken together, these risks imply that data governance frameworks for FSN must extend beyond questions of ownership and access to encompass the full lifecycle of data integrity.</w:t>
      </w:r>
    </w:p>
    <w:p w14:paraId="2FF75E73" w14:textId="7BF5B385" w:rsidR="00E56F30" w:rsidRDefault="00C97D73" w:rsidP="00E56F30">
      <w:pPr>
        <w:pStyle w:val="Ttulo2"/>
      </w:pPr>
      <w:bookmarkStart w:id="132" w:name="_Toc1224185997"/>
      <w:bookmarkStart w:id="133" w:name="_Toc225918013"/>
      <w:bookmarkStart w:id="134" w:name="_Toc226730559"/>
      <w:r>
        <w:t xml:space="preserve">3.4 </w:t>
      </w:r>
      <w:r w:rsidR="00E56F30">
        <w:t xml:space="preserve">Environmental </w:t>
      </w:r>
      <w:bookmarkEnd w:id="132"/>
      <w:bookmarkEnd w:id="133"/>
      <w:r w:rsidR="00E56F30">
        <w:t>impacts</w:t>
      </w:r>
      <w:bookmarkEnd w:id="134"/>
    </w:p>
    <w:p w14:paraId="70D5D06A" w14:textId="77777777" w:rsidR="00A238AE" w:rsidRDefault="00B90577" w:rsidP="00E110FA">
      <w:pPr>
        <w:spacing w:after="120" w:line="312" w:lineRule="auto"/>
      </w:pPr>
      <w:r>
        <w:t xml:space="preserve">Vendors are generally not very transparent on the energy and water consumption of their AI models. Estimates are that a single ChatGPT query consumes roughly 25 times as much energy as a Google search and half a liter of water is used for cooling the computers processing every 29-50 ChatGPT queries </w:t>
      </w:r>
      <w:bookmarkStart w:id="135" w:name="ZOTERO_BREF_nQUWygM8nxkQ"/>
      <w:r w:rsidRPr="00E76BA8">
        <w:rPr>
          <w:rFonts w:cs="Times New Roman"/>
        </w:rPr>
        <w:t>(Times, undated</w:t>
      </w:r>
      <w:bookmarkEnd w:id="135"/>
      <w:r w:rsidRPr="00E76BA8">
        <w:rPr>
          <w:rFonts w:cs="Times New Roman"/>
        </w:rPr>
        <w:t>)</w:t>
      </w:r>
      <w:r>
        <w:t xml:space="preserve">. There is a huge variance of energy consumption for different types of queries (text-to-image generation consumes 1000x as much as simple text generation) and these considerations don’t factor in the hundreds of Megawatt-hours needed to train the models </w:t>
      </w:r>
      <w:bookmarkStart w:id="136" w:name="ZOTERO_BREF_WCM290CJpaKn"/>
      <w:r w:rsidRPr="00131AD5">
        <w:rPr>
          <w:rFonts w:cs="Times New Roman"/>
        </w:rPr>
        <w:t>(James O’Donnell and Casey Crownhart, undated; Ji and Jiang, 2026</w:t>
      </w:r>
      <w:bookmarkEnd w:id="136"/>
      <w:r w:rsidRPr="00131AD5">
        <w:rPr>
          <w:rFonts w:cs="Times New Roman"/>
        </w:rPr>
        <w:t>)</w:t>
      </w:r>
      <w:r>
        <w:t xml:space="preserve">. Generally, electricity and water usage of datacenters are thus used as a proxy to estimate the environmental impact of AI, with the IEA estimating that currently 15% of existing data center demand is caused by AI applications. The IEA reports that data centres accounted for around 1.5% of the world’s electricity consumption in 2024, which is expected to double by 2030. </w:t>
      </w:r>
    </w:p>
    <w:p w14:paraId="6FA36106" w14:textId="77777777" w:rsidR="00A238AE" w:rsidRDefault="00B90577" w:rsidP="00E110FA">
      <w:pPr>
        <w:spacing w:after="120" w:line="312" w:lineRule="auto"/>
      </w:pPr>
      <w:r>
        <w:t xml:space="preserve">At the same time there are uncertainties in how quickly AI will be adopted, how capable and productive it will become, how fast efficiency improvements will occur, and whether bottlenecks in the energy sector can be resolved. AI can be a tool in reducing emissions, but it is not a silver bullet and does not remove the need for proactive policy </w:t>
      </w:r>
      <w:bookmarkStart w:id="137" w:name="ZOTERO_BREF_EDrMmJOreFFo"/>
      <w:r w:rsidRPr="00695655">
        <w:rPr>
          <w:rFonts w:cs="Times New Roman"/>
        </w:rPr>
        <w:t>(International Energy Agency, 2025)</w:t>
      </w:r>
      <w:r>
        <w:t xml:space="preserve">. </w:t>
      </w:r>
    </w:p>
    <w:p w14:paraId="17626730" w14:textId="3707EC80" w:rsidR="00A4733E" w:rsidRPr="00370406" w:rsidRDefault="00FE625F" w:rsidP="00E110FA">
      <w:pPr>
        <w:spacing w:after="120" w:line="312" w:lineRule="auto"/>
      </w:pPr>
      <w:r>
        <w:t>A</w:t>
      </w:r>
      <w:r w:rsidR="00B90577">
        <w:t xml:space="preserve"> comprehensive study </w:t>
      </w:r>
      <w:r w:rsidR="00B90577" w:rsidRPr="00F77261">
        <w:rPr>
          <w:rFonts w:cs="Times New Roman"/>
        </w:rPr>
        <w:t xml:space="preserve">(Rolnick </w:t>
      </w:r>
      <w:r w:rsidR="00B90577" w:rsidRPr="00F77261">
        <w:rPr>
          <w:rFonts w:cs="Times New Roman"/>
          <w:i/>
          <w:iCs/>
        </w:rPr>
        <w:t>et al.</w:t>
      </w:r>
      <w:r w:rsidR="00B90577" w:rsidRPr="00F77261">
        <w:rPr>
          <w:rFonts w:cs="Times New Roman"/>
        </w:rPr>
        <w:t xml:space="preserve">, </w:t>
      </w:r>
      <w:bookmarkStart w:id="138" w:name="ZOTERO_BREF_JGH6IshS0wSb"/>
      <w:bookmarkEnd w:id="137"/>
      <w:r w:rsidR="00B90577" w:rsidRPr="00F77261">
        <w:rPr>
          <w:rFonts w:cs="Times New Roman"/>
        </w:rPr>
        <w:t>undated</w:t>
      </w:r>
      <w:bookmarkEnd w:id="138"/>
      <w:r w:rsidR="00B90577" w:rsidRPr="00F77261" w:rsidDel="00F77261">
        <w:rPr>
          <w:rFonts w:cs="Times New Roman"/>
        </w:rPr>
        <w:t>)</w:t>
      </w:r>
      <w:r>
        <w:t xml:space="preserve"> </w:t>
      </w:r>
      <w:r w:rsidR="00B90577">
        <w:t xml:space="preserve">described that most contributions of AI in tackling climate change could be made by small, specific-purpose models. The author later stressed that it is well possible to focus on those impactful models without using Generalist AI at all </w:t>
      </w:r>
      <w:bookmarkStart w:id="139" w:name="ZOTERO_BREF_Bs8SyraseCq7"/>
      <w:r w:rsidR="00B90577" w:rsidRPr="00F77261">
        <w:rPr>
          <w:rFonts w:cs="Times New Roman"/>
        </w:rPr>
        <w:t>(David Rolnick, undated</w:t>
      </w:r>
      <w:bookmarkEnd w:id="139"/>
      <w:r w:rsidR="00B90577" w:rsidRPr="00F77261">
        <w:rPr>
          <w:rFonts w:cs="Times New Roman"/>
        </w:rPr>
        <w:t>)</w:t>
      </w:r>
      <w:r w:rsidR="00B90577">
        <w:t xml:space="preserve">. An investigation financed by environmental interest groups into the claims made by Generalist AI vendors that their models will have a net positive impact on the climate found a similar pattern </w:t>
      </w:r>
      <w:bookmarkStart w:id="140" w:name="ZOTERO_BREF_L50AzyEvmwyS"/>
      <w:r w:rsidR="00B90577" w:rsidRPr="002E2B09">
        <w:rPr>
          <w:rFonts w:cs="Times New Roman"/>
        </w:rPr>
        <w:t>(Ketan Joshi, 2026</w:t>
      </w:r>
      <w:bookmarkEnd w:id="140"/>
      <w:r w:rsidR="00B90577" w:rsidRPr="002E2B09">
        <w:rPr>
          <w:rFonts w:cs="Times New Roman"/>
        </w:rPr>
        <w:t>)</w:t>
      </w:r>
      <w:r w:rsidR="00B90577">
        <w:t xml:space="preserve">: </w:t>
      </w:r>
      <w:r w:rsidR="00A238AE">
        <w:t>s</w:t>
      </w:r>
      <w:r w:rsidR="00B90577">
        <w:t xml:space="preserve">maller, more specific-purpose AI might help solve specific problems, but no substantial proof of large Generalist AI having such a positive impact can be found yet. Besides those direct emissions caused by operating AI, short hardware half-life of 2-3 years </w:t>
      </w:r>
      <w:bookmarkStart w:id="141" w:name="ZOTERO_BREF_3zFVMMbf1Tc2"/>
      <w:r w:rsidR="00B90577" w:rsidRPr="00612684">
        <w:rPr>
          <w:rFonts w:cs="Times New Roman"/>
        </w:rPr>
        <w:t>(Kshirsagar, 2025</w:t>
      </w:r>
      <w:bookmarkEnd w:id="141"/>
      <w:r w:rsidR="00B90577" w:rsidRPr="00612684">
        <w:rPr>
          <w:rFonts w:cs="Times New Roman"/>
        </w:rPr>
        <w:t>)</w:t>
      </w:r>
      <w:r w:rsidR="00B90577">
        <w:t xml:space="preserve"> and construction of new data centers and associated power plants </w:t>
      </w:r>
      <w:bookmarkStart w:id="142" w:name="ZOTERO_BREF_FrJC4PeFhK34"/>
      <w:r w:rsidR="00B90577" w:rsidRPr="002E2B09">
        <w:rPr>
          <w:rFonts w:cs="Times New Roman"/>
        </w:rPr>
        <w:t>(David Nutt, 2025</w:t>
      </w:r>
      <w:bookmarkEnd w:id="142"/>
      <w:r w:rsidR="00B90577" w:rsidRPr="002E2B09">
        <w:rPr>
          <w:rFonts w:cs="Times New Roman"/>
        </w:rPr>
        <w:t>)</w:t>
      </w:r>
      <w:r w:rsidR="00B90577">
        <w:t xml:space="preserve"> have largely negative environmental impacts.</w:t>
      </w:r>
    </w:p>
    <w:p w14:paraId="090764E8" w14:textId="15078147" w:rsidR="00370406" w:rsidRDefault="00370406" w:rsidP="00FE625F">
      <w:pPr>
        <w:pStyle w:val="Ttulo2"/>
        <w:spacing w:before="240" w:line="259" w:lineRule="auto"/>
      </w:pPr>
      <w:bookmarkStart w:id="143" w:name="_Toc783912765"/>
      <w:bookmarkStart w:id="144" w:name="_Toc225918014"/>
      <w:bookmarkStart w:id="145" w:name="_Toc226730560"/>
      <w:r>
        <w:t xml:space="preserve">3.5 </w:t>
      </w:r>
      <w:r>
        <w:t>Conclusions on risks and limitations</w:t>
      </w:r>
      <w:bookmarkEnd w:id="143"/>
      <w:bookmarkEnd w:id="144"/>
      <w:bookmarkEnd w:id="145"/>
    </w:p>
    <w:p w14:paraId="62E3CF64" w14:textId="77777777" w:rsidR="007C16D3" w:rsidRDefault="007C16D3" w:rsidP="007C16D3">
      <w:r>
        <w:t>The studies and scenarios described in this part raise questions on</w:t>
      </w:r>
    </w:p>
    <w:p w14:paraId="58981621" w14:textId="77777777" w:rsidR="007C16D3" w:rsidRPr="00C74516" w:rsidRDefault="007C16D3" w:rsidP="00A238AE">
      <w:pPr>
        <w:pStyle w:val="Prrafodelista"/>
        <w:numPr>
          <w:ilvl w:val="0"/>
          <w:numId w:val="43"/>
        </w:numPr>
        <w:spacing w:after="0"/>
        <w:rPr>
          <w:rFonts w:eastAsia="Times New Roman" w:cs="Times New Roman"/>
          <w:color w:val="242424"/>
        </w:rPr>
      </w:pPr>
      <w:commentRangeStart w:id="146"/>
      <w:r w:rsidRPr="00C74516">
        <w:rPr>
          <w:rFonts w:eastAsia="Times New Roman" w:cs="Times New Roman"/>
          <w:color w:val="242424"/>
        </w:rPr>
        <w:t xml:space="preserve">Who </w:t>
      </w:r>
      <w:r w:rsidRPr="00C74516">
        <w:rPr>
          <w:rFonts w:eastAsia="Times New Roman" w:cs="Times New Roman"/>
          <w:b/>
          <w:bCs/>
          <w:color w:val="242424"/>
        </w:rPr>
        <w:t>captures value and power</w:t>
      </w:r>
      <w:r w:rsidRPr="00C74516">
        <w:rPr>
          <w:rFonts w:eastAsia="Times New Roman" w:cs="Times New Roman"/>
          <w:color w:val="242424"/>
        </w:rPr>
        <w:t xml:space="preserve"> from digital innovations in food systems, and who absorbs their costs and risks?</w:t>
      </w:r>
    </w:p>
    <w:p w14:paraId="5D95D1EB" w14:textId="77777777" w:rsidR="007C16D3" w:rsidRPr="00C74516" w:rsidRDefault="007C16D3" w:rsidP="00A238AE">
      <w:pPr>
        <w:pStyle w:val="Prrafodelista"/>
        <w:numPr>
          <w:ilvl w:val="0"/>
          <w:numId w:val="43"/>
        </w:numPr>
        <w:spacing w:after="0"/>
        <w:rPr>
          <w:rFonts w:eastAsia="Times New Roman" w:cs="Times New Roman"/>
          <w:color w:val="242424"/>
        </w:rPr>
      </w:pPr>
      <w:r w:rsidRPr="00C74516">
        <w:rPr>
          <w:rFonts w:eastAsia="Times New Roman" w:cs="Times New Roman"/>
          <w:b/>
          <w:bCs/>
          <w:color w:val="242424"/>
        </w:rPr>
        <w:t xml:space="preserve">Which food system models, production systems, practices, and diets </w:t>
      </w:r>
      <w:r w:rsidRPr="00C74516">
        <w:rPr>
          <w:rFonts w:eastAsia="Times New Roman" w:cs="Times New Roman"/>
          <w:color w:val="242424"/>
        </w:rPr>
        <w:t>are privileged by prevailing digital innovations, and which are marginalized or are invisible?</w:t>
      </w:r>
    </w:p>
    <w:p w14:paraId="57A30DB8" w14:textId="77777777" w:rsidR="007C16D3" w:rsidRPr="00C74516" w:rsidRDefault="007C16D3" w:rsidP="00A238AE">
      <w:pPr>
        <w:pStyle w:val="Prrafodelista"/>
        <w:numPr>
          <w:ilvl w:val="0"/>
          <w:numId w:val="43"/>
        </w:numPr>
        <w:spacing w:after="0"/>
        <w:rPr>
          <w:rFonts w:eastAsia="Times New Roman" w:cs="Times New Roman"/>
          <w:color w:val="242424"/>
        </w:rPr>
      </w:pPr>
      <w:r w:rsidRPr="00C74516">
        <w:rPr>
          <w:rFonts w:eastAsia="Times New Roman" w:cs="Times New Roman"/>
          <w:b/>
          <w:bCs/>
          <w:color w:val="242424"/>
        </w:rPr>
        <w:t>Under what conditions can different actors meaningfully own, control, use</w:t>
      </w:r>
      <w:r w:rsidRPr="00C74516">
        <w:rPr>
          <w:rFonts w:eastAsia="Times New Roman" w:cs="Times New Roman"/>
          <w:color w:val="242424"/>
        </w:rPr>
        <w:t>, and shape digital technologies, rather than merely adapt or passively access them?</w:t>
      </w:r>
      <w:commentRangeEnd w:id="146"/>
      <w:r>
        <w:rPr>
          <w:rStyle w:val="Refdecomentario"/>
          <w:rFonts w:eastAsia="Times New Roman" w:cs="Times New Roman"/>
          <w:color w:val="242424"/>
          <w:sz w:val="24"/>
          <w:szCs w:val="24"/>
        </w:rPr>
        <w:commentReference w:id="146"/>
      </w:r>
    </w:p>
    <w:p w14:paraId="25523485" w14:textId="77777777" w:rsidR="007C16D3" w:rsidRPr="00C74516" w:rsidRDefault="007C16D3" w:rsidP="00A238AE">
      <w:pPr>
        <w:pStyle w:val="Prrafodelista"/>
        <w:numPr>
          <w:ilvl w:val="0"/>
          <w:numId w:val="43"/>
        </w:numPr>
        <w:spacing w:after="0"/>
        <w:rPr>
          <w:rFonts w:eastAsia="Times New Roman" w:cs="Times New Roman"/>
          <w:color w:val="242424"/>
        </w:rPr>
      </w:pPr>
      <w:r w:rsidRPr="00C74516">
        <w:rPr>
          <w:rFonts w:eastAsia="Times New Roman" w:cs="Times New Roman"/>
          <w:b/>
          <w:bCs/>
          <w:color w:val="242424"/>
        </w:rPr>
        <w:t>Do specific digital innovations deliver measurable improvements</w:t>
      </w:r>
      <w:r w:rsidRPr="00C74516">
        <w:rPr>
          <w:rFonts w:eastAsia="Times New Roman" w:cs="Times New Roman"/>
          <w:color w:val="242424"/>
        </w:rPr>
        <w:t xml:space="preserve"> in FSN or have their benefits been overstated by vendors?</w:t>
      </w:r>
    </w:p>
    <w:p w14:paraId="5DB5A2A3" w14:textId="239CF0C8" w:rsidR="007C16D3" w:rsidRDefault="007C16D3" w:rsidP="00E110FA">
      <w:pPr>
        <w:spacing w:line="312" w:lineRule="auto"/>
        <w:rPr>
          <w:rFonts w:eastAsia="Times New Roman" w:cs="Times New Roman"/>
          <w:color w:val="242424"/>
        </w:rPr>
      </w:pPr>
      <w:r w:rsidRPr="3D0743B9">
        <w:rPr>
          <w:rFonts w:eastAsia="Times New Roman" w:cs="Times New Roman"/>
          <w:color w:val="242424"/>
        </w:rPr>
        <w:t xml:space="preserve">It is important that adoption of any tool must be accompanied </w:t>
      </w:r>
      <w:r w:rsidRPr="3D0743B9">
        <w:rPr>
          <w:rFonts w:eastAsia="Times New Roman" w:cs="Times New Roman"/>
          <w:color w:val="242424"/>
        </w:rPr>
        <w:t>by</w:t>
      </w:r>
      <w:r w:rsidRPr="3D0743B9">
        <w:rPr>
          <w:rFonts w:eastAsia="Times New Roman" w:cs="Times New Roman"/>
          <w:color w:val="242424"/>
        </w:rPr>
        <w:t xml:space="preserve"> critical questions and empirical assessments throughout. This needs to go beyond the ‘human in the loop’ that is being put in place to bear responsibility for errors made by the tool. Critical thinking and observation cannot be done by any digital tool. It is users and decision-makers who must not yield their responsibility and expertise to a tool but ask the tough questions before adopting it and closely monitor outcomes.</w:t>
      </w:r>
    </w:p>
    <w:p w14:paraId="38C7C4E8" w14:textId="4BEED5EE" w:rsidR="00951BF2" w:rsidRPr="001F1B2F" w:rsidRDefault="00951BF2" w:rsidP="00951BF2">
      <w:pPr>
        <w:pStyle w:val="Ttulo1"/>
      </w:pPr>
      <w:bookmarkStart w:id="147" w:name="_Toc226730561"/>
      <w:r>
        <w:t xml:space="preserve">4. </w:t>
      </w:r>
      <w:bookmarkStart w:id="148" w:name="_Toc225918015"/>
      <w:bookmarkStart w:id="149" w:name="OrgXref.org3728ea0"/>
      <w:r>
        <w:t>Way forward</w:t>
      </w:r>
      <w:bookmarkEnd w:id="148"/>
      <w:r>
        <w:t xml:space="preserve"> </w:t>
      </w:r>
      <w:commentRangeStart w:id="150"/>
      <w:commentRangeStart w:id="151"/>
      <w:r>
        <w:t xml:space="preserve"> </w:t>
      </w:r>
      <w:bookmarkEnd w:id="149"/>
      <w:commentRangeEnd w:id="150"/>
      <w:r w:rsidRPr="001F1B2F">
        <w:rPr>
          <w:rStyle w:val="Refdecomentario"/>
          <w:sz w:val="32"/>
          <w:szCs w:val="32"/>
        </w:rPr>
        <w:commentReference w:id="150"/>
      </w:r>
      <w:commentRangeEnd w:id="151"/>
      <w:r w:rsidRPr="001F1B2F">
        <w:rPr>
          <w:rStyle w:val="Refdecomentario"/>
          <w:sz w:val="32"/>
          <w:szCs w:val="32"/>
        </w:rPr>
        <w:commentReference w:id="151"/>
      </w:r>
      <w:bookmarkEnd w:id="147"/>
    </w:p>
    <w:p w14:paraId="4C3A4AB7" w14:textId="77777777" w:rsidR="00CF4491" w:rsidRPr="001F1B2F" w:rsidRDefault="00CF4491" w:rsidP="00CF4491">
      <w:r>
        <w:t xml:space="preserve">The conditions for AI and digital tools to genuinely serve food security and nutrition are sequential and cumulative. At the beginning stands a clear problem framing and assessment of available solutions. Every technical solution requires physical and digital infrastructure; without sound data governance, the infrastructure serves whoever controls the data. Without regulation of platform power, even well-governed data infrastructures risk serving actors who did not build them for the target audience's public good. These considerations highlight that more important than the choice of a particular technology is tackling the systemic and societal issues threatening food security. </w:t>
      </w:r>
    </w:p>
    <w:p w14:paraId="7351294A" w14:textId="77777777" w:rsidR="00CF4491" w:rsidRDefault="00CF4491" w:rsidP="00CF4491">
      <w:r>
        <w:t xml:space="preserve">Digital and AI solutions for many issues related to FSN exist today. Harnessing them requires dissecting which technologies can be leveraged to solve which problems. Effectively leveraging "AI", requires recognizing that it describes a spectrum of technologies ranging from narrow, task-specific systems developed decades ago to </w:t>
      </w:r>
      <w:proofErr w:type="gramStart"/>
      <w:r>
        <w:t>the large</w:t>
      </w:r>
      <w:proofErr w:type="gramEnd"/>
      <w:r>
        <w:t xml:space="preserve"> generalist models that have dominated recent public debate. Being specific in describing and assessing these technologies is essential: many of the most pressing challenges in food systems (e.g. early warning, yield estimation or supply chain optimization) can be addressed by special-purpose AI that is computationally modest, deployable under local conditions, and governable by the institutions that use it. Generalist AI can offer genuine complementary value, particularly as an interface to data and expertise, but carries higher infrastructure requirements, greater dependency risks, and less predictable behavior in high-stakes contexts. Decision-makers need to assess carefully in every individual case if these added costs are justified for the expected and observed returns. </w:t>
      </w:r>
    </w:p>
    <w:p w14:paraId="0BAA01C8" w14:textId="77777777" w:rsidR="00CF4491" w:rsidRDefault="00CF4491" w:rsidP="00CF4491">
      <w:r>
        <w:t xml:space="preserve">The key to digitalization in FSN that has real impact and low risks is to frame problems well and to rely on local human ingenuity to contribute to targeted solutions. This might be more demanding </w:t>
      </w:r>
      <w:proofErr w:type="gramStart"/>
      <w:r>
        <w:t>upfront, but</w:t>
      </w:r>
      <w:proofErr w:type="gramEnd"/>
      <w:r>
        <w:t xml:space="preserve"> will pay off in creating local expertise and strengthen local and institutional problem-solving skills. </w:t>
      </w:r>
      <w:r w:rsidRPr="3D0743B9">
        <w:t xml:space="preserve">Technology amplifies existing human and institutional capacity rather than substituting for it </w:t>
      </w:r>
      <w:bookmarkStart w:id="152" w:name="ZOTERO_BREF_JGWKBktPVsIN"/>
      <w:r w:rsidRPr="00612684">
        <w:rPr>
          <w:rFonts w:cs="Times New Roman"/>
        </w:rPr>
        <w:t>(Toyama, 2011</w:t>
      </w:r>
      <w:bookmarkEnd w:id="152"/>
      <w:r w:rsidRPr="00612684">
        <w:rPr>
          <w:rFonts w:cs="Times New Roman"/>
        </w:rPr>
        <w:t>)</w:t>
      </w:r>
      <w:r w:rsidRPr="3D0743B9">
        <w:t xml:space="preserve">, a finding that the high failure rates of externally designed digital systems in developing countries have repeatedly confirmed </w:t>
      </w:r>
      <w:bookmarkStart w:id="153" w:name="ZOTERO_BREF_qpltIsXYxNH8"/>
      <w:r w:rsidRPr="00C06324">
        <w:rPr>
          <w:rFonts w:cs="Times New Roman"/>
        </w:rPr>
        <w:t>(</w:t>
      </w:r>
      <w:proofErr w:type="spellStart"/>
      <w:r w:rsidRPr="00C06324">
        <w:rPr>
          <w:rFonts w:cs="Times New Roman"/>
        </w:rPr>
        <w:t>Heeks</w:t>
      </w:r>
      <w:proofErr w:type="spellEnd"/>
      <w:r w:rsidRPr="00C06324">
        <w:rPr>
          <w:rFonts w:cs="Times New Roman"/>
        </w:rPr>
        <w:t>, 2002, 2003</w:t>
      </w:r>
      <w:bookmarkEnd w:id="153"/>
      <w:r w:rsidRPr="00C06324">
        <w:rPr>
          <w:rFonts w:cs="Times New Roman"/>
        </w:rPr>
        <w:t>)</w:t>
      </w:r>
      <w:r w:rsidRPr="3D0743B9">
        <w:t>. The cases and evidence reviewed in this note show the same for recent AI technologies and FSN specifically: approaches that invest in local problem-framing, human capacity, and controllable infrastructure outperform those that prioritize speed of adoption over depth of ownership.</w:t>
      </w:r>
    </w:p>
    <w:p w14:paraId="33AAFE5E" w14:textId="77777777" w:rsidR="00CF4491" w:rsidRDefault="00CF4491" w:rsidP="00CF4491">
      <w:r>
        <w:t xml:space="preserve">The cross-cutting foundation in thinking about equity and participation is data. It is often superficially treated as the "oil of the information economy", but the more meaningful perspective is that it is the main point of control of digital systems, making data the strategic lever to establish control and regulation from the beginning. It is important to appreciate that it is the data, not the ingenuity of the models, that affords power. Creation of predictive systems is becoming increasingly easy. Making sure that those predictions are used in the public interest to ensure and protect food security requires robust regulatory frameworks that can't only exist on paper but must be accompanied by actual technical implementations of </w:t>
      </w:r>
      <w:r w:rsidRPr="00CF4491">
        <w:t>them, dataspaces</w:t>
      </w:r>
      <w:r w:rsidRPr="1B25E37D">
        <w:rPr>
          <w:rStyle w:val="Refdenotaalpie"/>
        </w:rPr>
        <w:footnoteReference w:id="11"/>
      </w:r>
      <w:r>
        <w:t xml:space="preserve">. These dataspaces must reflect the same values CFS has long promoted for physical food systems: fair remuneration for producers, transparency across value chains, protection of smallholders and individuals from exploitative market structures, and accountability of actors with disproportionate power. Data governance frameworks must therefore reflect these same standards: sovereignty over what one produces, participation in decisions about how it is used, fair benefit-sharing, and the technical dataspace implementations to make these rights enforceable rather than aspirational. </w:t>
      </w:r>
    </w:p>
    <w:p w14:paraId="14131FEA" w14:textId="4D363563" w:rsidR="00CF4491" w:rsidRPr="001F1B2F" w:rsidRDefault="00CF4491" w:rsidP="00CF4491">
      <w:r>
        <w:t xml:space="preserve">The </w:t>
      </w:r>
      <w:r w:rsidRPr="009A4CBD">
        <w:t>202</w:t>
      </w:r>
      <w:r>
        <w:t>1</w:t>
      </w:r>
      <w:r w:rsidRPr="009A4CBD">
        <w:t xml:space="preserve"> </w:t>
      </w:r>
      <w:r w:rsidRPr="009A4CBD">
        <w:rPr>
          <w:rStyle w:val="nfasis"/>
        </w:rPr>
        <w:t>Data collection and analysis tools for food security and nutrition</w:t>
      </w:r>
      <w:r w:rsidRPr="009A4CBD">
        <w:t xml:space="preserve"> report </w:t>
      </w:r>
      <w:bookmarkStart w:id="154" w:name="ZOTERO_BREF_VCTh162j1bbb"/>
      <w:r w:rsidRPr="003C08B3">
        <w:rPr>
          <w:rFonts w:cs="Times New Roman"/>
        </w:rPr>
        <w:t>(CFS, 2021</w:t>
      </w:r>
      <w:bookmarkEnd w:id="154"/>
      <w:r w:rsidRPr="003C08B3">
        <w:rPr>
          <w:rFonts w:cs="Times New Roman"/>
        </w:rPr>
        <w:t>)</w:t>
      </w:r>
      <w:r>
        <w:t xml:space="preserve"> stated already that FSN data should be accessible, circulated and used in the public interest, while also preserving the rights of data originators and data owners, ensuring data protection and privacy, and taking steps to address imbalances in power among actors with respect to generating, accessing, collecting, storing, processing, sharing and using FSN data. Most existing </w:t>
      </w:r>
      <w:commentRangeStart w:id="155"/>
      <w:commentRangeStart w:id="156"/>
      <w:r>
        <w:t xml:space="preserve">regulatory frameworks </w:t>
      </w:r>
      <w:commentRangeEnd w:id="155"/>
      <w:r>
        <w:rPr>
          <w:rStyle w:val="Refdecomentario"/>
          <w:sz w:val="24"/>
          <w:szCs w:val="24"/>
        </w:rPr>
        <w:commentReference w:id="155"/>
      </w:r>
      <w:commentRangeEnd w:id="156"/>
      <w:r>
        <w:rPr>
          <w:rStyle w:val="Refdecomentario"/>
          <w:sz w:val="24"/>
          <w:szCs w:val="24"/>
        </w:rPr>
        <w:commentReference w:id="156"/>
      </w:r>
      <w:r>
        <w:t xml:space="preserve"> for data around the world reflect these values with different emphasis, but actual technical implementations, especially for FSN data, often are lacking. Without</w:t>
      </w:r>
      <w:r w:rsidDel="2404F030">
        <w:t xml:space="preserve"> </w:t>
      </w:r>
      <w:r>
        <w:t xml:space="preserve">dataspaces implementing the public interest expressed by law and regulations into a technical reality, we already face the risk that private firms create realities that reflect corporate, not public, interest. </w:t>
      </w:r>
    </w:p>
    <w:p w14:paraId="424E92D4" w14:textId="77777777" w:rsidR="00CF4491" w:rsidRDefault="00CF4491" w:rsidP="00CF4491">
      <w:r>
        <w:t xml:space="preserve">Beyond the foundations of physical infrastructure and data, Generalist AI is currently a highly centralized technology. </w:t>
      </w:r>
      <w:proofErr w:type="gramStart"/>
      <w:r>
        <w:t>In order to</w:t>
      </w:r>
      <w:proofErr w:type="gramEnd"/>
      <w:r>
        <w:t xml:space="preserve"> combat concentration and platform power, the international community needs to establish anti-trust, merger control and competition rules to allow for the creation and growth of local and independent digital ecosystems. It is important to strengthen governance in the public interest and sovereignty over technology by closing regulatory gaps, managing conflicts of interest and reducing dependence on externally controlled digital infrastructures. Reducing dependence can be achieved by designing systems with efficiency at heart: As small as possible, as complex as necessary. </w:t>
      </w:r>
    </w:p>
    <w:p w14:paraId="3E3BD50A" w14:textId="41ED291A" w:rsidR="00CF4491" w:rsidRDefault="00CF4491" w:rsidP="00CF4491">
      <w:r>
        <w:t xml:space="preserve">Existing and proven specific-purpose digital tools can give more certain results. Modular, specialized solutions also </w:t>
      </w:r>
      <w:proofErr w:type="gramStart"/>
      <w:r>
        <w:t>allow</w:t>
      </w:r>
      <w:proofErr w:type="gramEnd"/>
      <w:r>
        <w:t xml:space="preserve"> to redirect digital innovation toward context-aware agroecology and diverse food systems. Furthermore, public funding and innovation policy should prioritize agroecology, small-scale fisheries, and Indigenous and local knowledge, rather than reinforcing intensive production or ultra-processed products. </w:t>
      </w:r>
      <w:hyperlink w:anchor="org6555351" w:history="1"/>
    </w:p>
    <w:p w14:paraId="1868BBAC" w14:textId="77777777" w:rsidR="00CF4491" w:rsidRPr="006C5890" w:rsidRDefault="00CF4491" w:rsidP="00CF4491">
      <w:r w:rsidRPr="006C5890">
        <w:t xml:space="preserve">Finally, there is the major challenge of addressing the sheer pace of change in the fields of digital technologies, data and AI innovation. The UN’s multi-stakeholder High-level Advisory Body on Artificial Intelligence has highlighted the need for a globally shared common understanding of these developments as the essential foundation for international capacity building and regulation. This led to their first recommendation in the Governing AI for Humanity report: The foundation of an international scientific panel on AI. CFS should consider mirroring this effort by performing recurring scientific analyses of the use of AI in food </w:t>
      </w:r>
      <w:proofErr w:type="gramStart"/>
      <w:r w:rsidRPr="006C5890">
        <w:t>system</w:t>
      </w:r>
      <w:proofErr w:type="gramEnd"/>
      <w:r w:rsidRPr="006C5890">
        <w:t xml:space="preserve"> and proven impacts on FSN. This could mean disseminating recurring publications, convening events like this forum regularly and liaising with the future UN AI Advisory Body’s scientific panel as a focal point at the interface of AI, digitalization, data and FSN. If there is one lesson to be learned from this report it is the need for scientific empirical evaluation of the actual impact of new innovations and technologies rather than blindly following vendor narratives and the fear of missing out. </w:t>
      </w:r>
    </w:p>
    <w:p w14:paraId="2B2CA3BE" w14:textId="61B7F23D" w:rsidR="00A274D1" w:rsidRDefault="00CF4491" w:rsidP="00994958">
      <w:pPr>
        <w:rPr>
          <w:lang w:val="en-CA"/>
        </w:rPr>
      </w:pPr>
      <w:r w:rsidRPr="006C5890">
        <w:t>Taken together, these dynamics imply that “responsible AI” in food systems is not only a question of technical safeguards, but of institutional design: inclusive access, purpose limitation, contestability and appeal, transparency of model and data provenance, and procurement that preserves public agency and exit options.</w:t>
      </w:r>
      <w:bookmarkStart w:id="157" w:name="_Toc198136181"/>
      <w:bookmarkEnd w:id="12"/>
      <w:bookmarkEnd w:id="13"/>
    </w:p>
    <w:tbl>
      <w:tblPr>
        <w:tblStyle w:val="Tablaconcuadrcula"/>
        <w:tblW w:w="9776" w:type="dxa"/>
        <w:tblLook w:val="04A0" w:firstRow="1" w:lastRow="0" w:firstColumn="1" w:lastColumn="0" w:noHBand="0" w:noVBand="1"/>
      </w:tblPr>
      <w:tblGrid>
        <w:gridCol w:w="9776"/>
      </w:tblGrid>
      <w:tr w:rsidR="005771A8" w14:paraId="3CE297F4" w14:textId="77777777" w:rsidTr="003D49B9">
        <w:trPr>
          <w:cnfStyle w:val="100000000000" w:firstRow="1" w:lastRow="0" w:firstColumn="0" w:lastColumn="0" w:oddVBand="0" w:evenVBand="0" w:oddHBand="0" w:evenHBand="0" w:firstRowFirstColumn="0" w:firstRowLastColumn="0" w:lastRowFirstColumn="0" w:lastRowLastColumn="0"/>
        </w:trPr>
        <w:tc>
          <w:tcPr>
            <w:tcW w:w="9776" w:type="dxa"/>
            <w:shd w:val="clear" w:color="auto" w:fill="D8E9F3" w:themeFill="accent1" w:themeFillTint="33"/>
          </w:tcPr>
          <w:p w14:paraId="18CDE64D" w14:textId="77777777" w:rsidR="0015489F" w:rsidRPr="00994958" w:rsidRDefault="003C645E" w:rsidP="0015489F">
            <w:pPr>
              <w:spacing w:after="80"/>
              <w:rPr>
                <w:b w:val="0"/>
                <w:bCs/>
                <w:color w:val="0994C5" w:themeColor="accent2" w:themeShade="BF"/>
                <w:szCs w:val="22"/>
                <w:shd w:val="clear" w:color="auto" w:fill="D8E9F3" w:themeFill="accent1" w:themeFillTint="33"/>
              </w:rPr>
            </w:pPr>
            <w:r w:rsidRPr="00994958">
              <w:rPr>
                <w:bCs/>
                <w:color w:val="0994C5" w:themeColor="accent2" w:themeShade="BF"/>
                <w:szCs w:val="22"/>
                <w:shd w:val="clear" w:color="auto" w:fill="D8E9F3" w:themeFill="accent1" w:themeFillTint="33"/>
              </w:rPr>
              <w:t xml:space="preserve">Box 1: </w:t>
            </w:r>
            <w:r w:rsidR="0015489F" w:rsidRPr="00994958">
              <w:rPr>
                <w:bCs/>
                <w:color w:val="0994C5" w:themeColor="accent2" w:themeShade="BF"/>
                <w:szCs w:val="22"/>
                <w:shd w:val="clear" w:color="auto" w:fill="D8E9F3" w:themeFill="accent1" w:themeFillTint="33"/>
              </w:rPr>
              <w:t>Considerations when implementing AI in FSN contexts</w:t>
            </w:r>
          </w:p>
          <w:p w14:paraId="3AFB6A19" w14:textId="77777777" w:rsidR="0015489F" w:rsidRPr="00994958" w:rsidRDefault="0015489F" w:rsidP="00C0506B">
            <w:pPr>
              <w:pStyle w:val="Textoindependiente"/>
              <w:numPr>
                <w:ilvl w:val="0"/>
                <w:numId w:val="47"/>
              </w:numPr>
              <w:tabs>
                <w:tab w:val="left" w:pos="720"/>
              </w:tabs>
              <w:spacing w:line="312" w:lineRule="auto"/>
              <w:ind w:left="470" w:right="113" w:hanging="357"/>
              <w:jc w:val="left"/>
              <w:rPr>
                <w:rFonts w:ascii="DINPro-Light" w:hAnsi="DINPro-Light"/>
                <w:b w:val="0"/>
                <w:bCs/>
                <w:sz w:val="22"/>
                <w:szCs w:val="22"/>
              </w:rPr>
            </w:pPr>
            <w:r w:rsidRPr="00994958">
              <w:rPr>
                <w:rFonts w:ascii="DINPro-Light" w:hAnsi="DINPro-Light"/>
                <w:b w:val="0"/>
                <w:bCs/>
                <w:sz w:val="22"/>
                <w:szCs w:val="22"/>
              </w:rPr>
              <w:t xml:space="preserve">For good problem framing experts and practitioners across sectors need to be involved. </w:t>
            </w:r>
          </w:p>
          <w:p w14:paraId="5A22033E" w14:textId="77777777" w:rsidR="0015489F" w:rsidRPr="00994958" w:rsidRDefault="0015489F" w:rsidP="00C0506B">
            <w:pPr>
              <w:pStyle w:val="Textoindependiente"/>
              <w:numPr>
                <w:ilvl w:val="0"/>
                <w:numId w:val="47"/>
              </w:numPr>
              <w:tabs>
                <w:tab w:val="left" w:pos="720"/>
              </w:tabs>
              <w:spacing w:line="312" w:lineRule="auto"/>
              <w:ind w:left="470" w:right="113" w:hanging="357"/>
              <w:jc w:val="left"/>
              <w:rPr>
                <w:rFonts w:ascii="DINPro-Light" w:hAnsi="DINPro-Light"/>
                <w:b w:val="0"/>
                <w:bCs/>
                <w:sz w:val="22"/>
                <w:szCs w:val="22"/>
              </w:rPr>
            </w:pPr>
            <w:r w:rsidRPr="00994958">
              <w:rPr>
                <w:rFonts w:ascii="DINPro-Light" w:hAnsi="DINPro-Light"/>
                <w:b w:val="0"/>
                <w:bCs/>
                <w:sz w:val="22"/>
                <w:szCs w:val="22"/>
              </w:rPr>
              <w:t xml:space="preserve">Evaluation of the performance of digital tools should be done exactly as for analogue approaches. In primary production that means: Does yield increase? Is water usage lower? Are more people fed? Don't rely on KPIs that measure anything but the </w:t>
            </w:r>
            <w:proofErr w:type="gramStart"/>
            <w:r w:rsidRPr="00994958">
              <w:rPr>
                <w:rFonts w:ascii="DINPro-Light" w:hAnsi="DINPro-Light"/>
                <w:b w:val="0"/>
                <w:bCs/>
                <w:sz w:val="22"/>
                <w:szCs w:val="22"/>
              </w:rPr>
              <w:t>final outcome</w:t>
            </w:r>
            <w:proofErr w:type="gramEnd"/>
            <w:r w:rsidRPr="00994958">
              <w:rPr>
                <w:rFonts w:ascii="DINPro-Light" w:hAnsi="DINPro-Light"/>
                <w:b w:val="0"/>
                <w:bCs/>
                <w:sz w:val="22"/>
                <w:szCs w:val="22"/>
              </w:rPr>
              <w:t xml:space="preserve"> (user numbers, clicks are ultimately meaningless) </w:t>
            </w:r>
          </w:p>
          <w:p w14:paraId="65E34A45" w14:textId="77777777" w:rsidR="0015489F" w:rsidRPr="00994958" w:rsidRDefault="0015489F" w:rsidP="00C0506B">
            <w:pPr>
              <w:pStyle w:val="Textoindependiente"/>
              <w:numPr>
                <w:ilvl w:val="0"/>
                <w:numId w:val="47"/>
              </w:numPr>
              <w:tabs>
                <w:tab w:val="left" w:pos="720"/>
              </w:tabs>
              <w:spacing w:line="312" w:lineRule="auto"/>
              <w:ind w:left="470" w:right="113" w:hanging="357"/>
              <w:jc w:val="left"/>
              <w:rPr>
                <w:rFonts w:ascii="DINPro-Light" w:hAnsi="DINPro-Light"/>
                <w:b w:val="0"/>
                <w:bCs/>
                <w:sz w:val="22"/>
                <w:szCs w:val="22"/>
              </w:rPr>
            </w:pPr>
            <w:r w:rsidRPr="00994958">
              <w:rPr>
                <w:rFonts w:ascii="DINPro-Light" w:hAnsi="DINPro-Light"/>
                <w:b w:val="0"/>
                <w:bCs/>
                <w:sz w:val="22"/>
                <w:szCs w:val="22"/>
              </w:rPr>
              <w:t>Digitalization needs to be thought as one dimension of optimization of existing systems. These systems need to exist before they can be optimized. A good combination of enabling access to tools and goods are shared-access models such as the “Uber for tractor businesses” models mentioned in Part 2.1.1. Apps and digital systems can bundle smallholder demand to serve areas that would otherwise not be of sufficient economic interest for vendors of machinery, pesticides or fertilizer.</w:t>
            </w:r>
          </w:p>
          <w:p w14:paraId="5BA536B8" w14:textId="77777777" w:rsidR="0015489F" w:rsidRPr="00994958" w:rsidRDefault="0015489F" w:rsidP="00C0506B">
            <w:pPr>
              <w:pStyle w:val="Textoindependiente"/>
              <w:numPr>
                <w:ilvl w:val="0"/>
                <w:numId w:val="47"/>
              </w:numPr>
              <w:tabs>
                <w:tab w:val="left" w:pos="720"/>
              </w:tabs>
              <w:spacing w:line="312" w:lineRule="auto"/>
              <w:ind w:left="470" w:right="113" w:hanging="357"/>
              <w:jc w:val="left"/>
              <w:rPr>
                <w:rFonts w:ascii="DINPro-Light" w:hAnsi="DINPro-Light"/>
                <w:b w:val="0"/>
                <w:bCs/>
                <w:sz w:val="22"/>
                <w:szCs w:val="22"/>
              </w:rPr>
            </w:pPr>
            <w:r w:rsidRPr="00994958">
              <w:rPr>
                <w:rFonts w:ascii="DINPro-Light" w:hAnsi="DINPro-Light"/>
                <w:b w:val="0"/>
                <w:bCs/>
                <w:sz w:val="22"/>
                <w:szCs w:val="22"/>
              </w:rPr>
              <w:t xml:space="preserve">Apply Ockham's razor logic: What is the simplest possible solution to my problem? 'Simple' doesn't mean simple for the decision-maker (e.g. 'let a chatbot fix all of our communication problems’) but the solution that is most controllable and has the smallest footprint and highest maintainability </w:t>
            </w:r>
          </w:p>
          <w:p w14:paraId="6C312222" w14:textId="77777777" w:rsidR="0015489F" w:rsidRPr="00994958" w:rsidRDefault="0015489F" w:rsidP="00C0506B">
            <w:pPr>
              <w:pStyle w:val="Textoindependiente"/>
              <w:numPr>
                <w:ilvl w:val="0"/>
                <w:numId w:val="47"/>
              </w:numPr>
              <w:tabs>
                <w:tab w:val="left" w:pos="720"/>
              </w:tabs>
              <w:spacing w:line="312" w:lineRule="auto"/>
              <w:ind w:left="470" w:right="113" w:hanging="357"/>
              <w:jc w:val="left"/>
              <w:rPr>
                <w:rFonts w:ascii="DINPro-Light" w:hAnsi="DINPro-Light"/>
                <w:b w:val="0"/>
                <w:bCs/>
                <w:sz w:val="22"/>
                <w:szCs w:val="22"/>
              </w:rPr>
            </w:pPr>
            <w:r w:rsidRPr="00994958">
              <w:rPr>
                <w:rFonts w:ascii="DINPro-Light" w:hAnsi="DINPro-Light"/>
                <w:b w:val="0"/>
                <w:bCs/>
                <w:sz w:val="22"/>
                <w:szCs w:val="22"/>
              </w:rPr>
              <w:t xml:space="preserve">Rollout needs to happen at small, measurable steps that avoid overcommitment </w:t>
            </w:r>
          </w:p>
          <w:p w14:paraId="33F764C5" w14:textId="77777777" w:rsidR="0015489F" w:rsidRPr="00994958" w:rsidRDefault="0015489F" w:rsidP="00C0506B">
            <w:pPr>
              <w:pStyle w:val="Textoindependiente"/>
              <w:numPr>
                <w:ilvl w:val="0"/>
                <w:numId w:val="47"/>
              </w:numPr>
              <w:tabs>
                <w:tab w:val="left" w:pos="720"/>
              </w:tabs>
              <w:spacing w:line="312" w:lineRule="auto"/>
              <w:ind w:left="470" w:right="113" w:hanging="357"/>
              <w:jc w:val="left"/>
              <w:rPr>
                <w:rFonts w:ascii="DINPro-Light" w:hAnsi="DINPro-Light"/>
                <w:b w:val="0"/>
                <w:bCs/>
                <w:sz w:val="22"/>
                <w:szCs w:val="22"/>
              </w:rPr>
            </w:pPr>
            <w:r w:rsidRPr="00994958">
              <w:rPr>
                <w:rFonts w:ascii="DINPro-Light" w:hAnsi="DINPro-Light"/>
                <w:b w:val="0"/>
                <w:bCs/>
                <w:sz w:val="22"/>
                <w:szCs w:val="22"/>
              </w:rPr>
              <w:t xml:space="preserve">Technology is a tool, an extension of human capabilities. It can't be held responsible. Don't replace central decision-making with machines. </w:t>
            </w:r>
          </w:p>
          <w:p w14:paraId="34E19B21" w14:textId="77777777" w:rsidR="0015489F" w:rsidRPr="00994958" w:rsidRDefault="0015489F" w:rsidP="00C0506B">
            <w:pPr>
              <w:pStyle w:val="Textoindependiente"/>
              <w:numPr>
                <w:ilvl w:val="0"/>
                <w:numId w:val="47"/>
              </w:numPr>
              <w:tabs>
                <w:tab w:val="left" w:pos="720"/>
              </w:tabs>
              <w:spacing w:line="312" w:lineRule="auto"/>
              <w:ind w:left="470" w:right="113" w:hanging="357"/>
              <w:jc w:val="left"/>
              <w:rPr>
                <w:rFonts w:ascii="DINPro-Light" w:hAnsi="DINPro-Light"/>
                <w:b w:val="0"/>
                <w:bCs/>
                <w:sz w:val="22"/>
                <w:szCs w:val="22"/>
              </w:rPr>
            </w:pPr>
            <w:r w:rsidRPr="00994958">
              <w:rPr>
                <w:rFonts w:ascii="DINPro-Light" w:hAnsi="DINPro-Light"/>
                <w:b w:val="0"/>
                <w:bCs/>
                <w:sz w:val="22"/>
                <w:szCs w:val="22"/>
              </w:rPr>
              <w:t>Move beyond polarized debates: Progress requires shifting past both uncritical enthusiasm and outright rejection toward confronting the structural barriers that shape how and for whom digital technologies are used.</w:t>
            </w:r>
          </w:p>
          <w:p w14:paraId="4E09185B" w14:textId="77777777" w:rsidR="0015489F" w:rsidRPr="00994958" w:rsidRDefault="0015489F" w:rsidP="00C0506B">
            <w:pPr>
              <w:pStyle w:val="Textoindependiente"/>
              <w:numPr>
                <w:ilvl w:val="0"/>
                <w:numId w:val="47"/>
              </w:numPr>
              <w:tabs>
                <w:tab w:val="left" w:pos="720"/>
              </w:tabs>
              <w:spacing w:line="312" w:lineRule="auto"/>
              <w:ind w:left="470" w:right="113" w:hanging="357"/>
              <w:jc w:val="left"/>
              <w:rPr>
                <w:rFonts w:ascii="DINPro-Light" w:hAnsi="DINPro-Light"/>
                <w:b w:val="0"/>
                <w:bCs/>
                <w:sz w:val="22"/>
                <w:szCs w:val="22"/>
              </w:rPr>
            </w:pPr>
            <w:r w:rsidRPr="00994958">
              <w:rPr>
                <w:rFonts w:ascii="DINPro-Light" w:hAnsi="DINPro-Light"/>
                <w:b w:val="0"/>
                <w:bCs/>
                <w:sz w:val="22"/>
                <w:szCs w:val="22"/>
              </w:rPr>
              <w:t xml:space="preserve">Accompany data strategies with technical implementations where those regulations are embedded. </w:t>
            </w:r>
            <w:proofErr w:type="gramStart"/>
            <w:r w:rsidRPr="00994958">
              <w:rPr>
                <w:rFonts w:ascii="DINPro-Light" w:hAnsi="DINPro-Light"/>
                <w:b w:val="0"/>
                <w:bCs/>
                <w:sz w:val="22"/>
                <w:szCs w:val="22"/>
              </w:rPr>
              <w:t>Otherwise</w:t>
            </w:r>
            <w:proofErr w:type="gramEnd"/>
            <w:r w:rsidRPr="00994958">
              <w:rPr>
                <w:rFonts w:ascii="DINPro-Light" w:hAnsi="DINPro-Light"/>
                <w:b w:val="0"/>
                <w:bCs/>
                <w:sz w:val="22"/>
                <w:szCs w:val="22"/>
              </w:rPr>
              <w:t xml:space="preserve"> facts will be created by engineers, not lawmakers.</w:t>
            </w:r>
          </w:p>
          <w:p w14:paraId="4DF82CF4" w14:textId="77777777" w:rsidR="0015489F" w:rsidRPr="00994958" w:rsidRDefault="0015489F" w:rsidP="00C0506B">
            <w:pPr>
              <w:pStyle w:val="Textoindependiente"/>
              <w:numPr>
                <w:ilvl w:val="0"/>
                <w:numId w:val="47"/>
              </w:numPr>
              <w:tabs>
                <w:tab w:val="left" w:pos="720"/>
              </w:tabs>
              <w:spacing w:line="312" w:lineRule="auto"/>
              <w:ind w:left="470" w:right="113" w:hanging="357"/>
              <w:jc w:val="left"/>
              <w:rPr>
                <w:rFonts w:ascii="DINPro-Light" w:hAnsi="DINPro-Light"/>
                <w:b w:val="0"/>
                <w:bCs/>
                <w:sz w:val="22"/>
                <w:szCs w:val="22"/>
              </w:rPr>
            </w:pPr>
            <w:r w:rsidRPr="00994958">
              <w:rPr>
                <w:rFonts w:ascii="DINPro-Light" w:hAnsi="DINPro-Light"/>
                <w:b w:val="0"/>
                <w:bCs/>
                <w:sz w:val="22"/>
                <w:szCs w:val="22"/>
              </w:rPr>
              <w:t>Ensure clear and direct rewards for data contributors, down to individual farmers. Data collection must not be extractive.</w:t>
            </w:r>
          </w:p>
          <w:p w14:paraId="44E17AEF" w14:textId="77777777" w:rsidR="0015489F" w:rsidRPr="00994958" w:rsidRDefault="0015489F" w:rsidP="00C0506B">
            <w:pPr>
              <w:pStyle w:val="Textoindependiente"/>
              <w:numPr>
                <w:ilvl w:val="0"/>
                <w:numId w:val="47"/>
              </w:numPr>
              <w:tabs>
                <w:tab w:val="left" w:pos="720"/>
              </w:tabs>
              <w:spacing w:line="312" w:lineRule="auto"/>
              <w:ind w:left="470" w:right="113" w:hanging="357"/>
              <w:jc w:val="left"/>
              <w:rPr>
                <w:rFonts w:ascii="DINPro-Light" w:hAnsi="DINPro-Light"/>
                <w:b w:val="0"/>
                <w:bCs/>
                <w:sz w:val="22"/>
                <w:szCs w:val="22"/>
              </w:rPr>
            </w:pPr>
            <w:r w:rsidRPr="00994958">
              <w:rPr>
                <w:rFonts w:ascii="DINPro-Light" w:hAnsi="DINPro-Light"/>
                <w:b w:val="0"/>
                <w:bCs/>
                <w:sz w:val="22"/>
                <w:szCs w:val="22"/>
              </w:rPr>
              <w:t xml:space="preserve">People and their national representatives must have the ultimate say over </w:t>
            </w:r>
            <w:proofErr w:type="gramStart"/>
            <w:r w:rsidRPr="00994958">
              <w:rPr>
                <w:rFonts w:ascii="DINPro-Light" w:hAnsi="DINPro-Light"/>
                <w:b w:val="0"/>
                <w:bCs/>
                <w:sz w:val="22"/>
                <w:szCs w:val="22"/>
              </w:rPr>
              <w:t>use  and</w:t>
            </w:r>
            <w:proofErr w:type="gramEnd"/>
            <w:r w:rsidRPr="00994958">
              <w:rPr>
                <w:rFonts w:ascii="DINPro-Light" w:hAnsi="DINPro-Light"/>
                <w:b w:val="0"/>
                <w:bCs/>
                <w:sz w:val="22"/>
                <w:szCs w:val="22"/>
              </w:rPr>
              <w:t xml:space="preserve"> control of their data, not private firms or other nations. Regulations and dataspace implementations must reflect that.</w:t>
            </w:r>
          </w:p>
          <w:p w14:paraId="19360B0D" w14:textId="77777777" w:rsidR="0015489F" w:rsidRPr="00994958" w:rsidRDefault="0015489F" w:rsidP="00C0506B">
            <w:pPr>
              <w:pStyle w:val="Textoindependiente"/>
              <w:numPr>
                <w:ilvl w:val="0"/>
                <w:numId w:val="47"/>
              </w:numPr>
              <w:tabs>
                <w:tab w:val="left" w:pos="720"/>
              </w:tabs>
              <w:spacing w:line="312" w:lineRule="auto"/>
              <w:ind w:left="470" w:right="113" w:hanging="357"/>
              <w:jc w:val="left"/>
              <w:rPr>
                <w:rFonts w:ascii="DINPro-Light" w:hAnsi="DINPro-Light"/>
                <w:b w:val="0"/>
                <w:bCs/>
                <w:sz w:val="22"/>
                <w:szCs w:val="22"/>
              </w:rPr>
            </w:pPr>
            <w:r w:rsidRPr="00994958">
              <w:rPr>
                <w:rFonts w:ascii="DINPro-Light" w:hAnsi="DINPro-Light"/>
                <w:b w:val="0"/>
                <w:bCs/>
                <w:sz w:val="22"/>
                <w:szCs w:val="22"/>
              </w:rPr>
              <w:t>Publicly funded efforts should result in publicly accessible, FAIR data.</w:t>
            </w:r>
          </w:p>
          <w:p w14:paraId="4952BE99" w14:textId="77777777" w:rsidR="0015489F" w:rsidRPr="00994958" w:rsidRDefault="0015489F" w:rsidP="00C0506B">
            <w:pPr>
              <w:pStyle w:val="Textoindependiente"/>
              <w:numPr>
                <w:ilvl w:val="0"/>
                <w:numId w:val="47"/>
              </w:numPr>
              <w:tabs>
                <w:tab w:val="left" w:pos="720"/>
              </w:tabs>
              <w:spacing w:line="312" w:lineRule="auto"/>
              <w:ind w:left="470" w:right="113" w:hanging="357"/>
              <w:jc w:val="left"/>
              <w:rPr>
                <w:rFonts w:ascii="DINPro-Light" w:hAnsi="DINPro-Light"/>
                <w:b w:val="0"/>
                <w:bCs/>
                <w:sz w:val="22"/>
                <w:szCs w:val="22"/>
              </w:rPr>
            </w:pPr>
            <w:r w:rsidRPr="00994958">
              <w:rPr>
                <w:rFonts w:ascii="DINPro-Light" w:hAnsi="DINPro-Light"/>
                <w:b w:val="0"/>
                <w:bCs/>
                <w:sz w:val="22"/>
                <w:szCs w:val="22"/>
              </w:rPr>
              <w:t xml:space="preserve">Sovereignty strategies need not imply full domestic self-sufficiency. The World </w:t>
            </w:r>
            <w:proofErr w:type="gramStart"/>
            <w:r w:rsidRPr="00994958">
              <w:rPr>
                <w:rFonts w:ascii="DINPro-Light" w:hAnsi="DINPro-Light"/>
                <w:b w:val="0"/>
                <w:bCs/>
                <w:sz w:val="22"/>
                <w:szCs w:val="22"/>
              </w:rPr>
              <w:t>Bank  notes</w:t>
            </w:r>
            <w:proofErr w:type="gramEnd"/>
            <w:r w:rsidRPr="00994958">
              <w:rPr>
                <w:rFonts w:ascii="DINPro-Light" w:hAnsi="DINPro-Light"/>
                <w:b w:val="0"/>
                <w:bCs/>
                <w:sz w:val="22"/>
                <w:szCs w:val="22"/>
              </w:rPr>
              <w:t xml:space="preserve"> that small states may seek economies of scale through regional collaboration and approaches such as data embassies</w:t>
            </w:r>
            <w:r w:rsidRPr="00994958">
              <w:rPr>
                <w:rStyle w:val="Refdenotaalpie"/>
                <w:rFonts w:ascii="DINPro-Light" w:hAnsi="DINPro-Light"/>
                <w:b w:val="0"/>
                <w:bCs/>
                <w:sz w:val="22"/>
                <w:szCs w:val="22"/>
              </w:rPr>
              <w:footnoteReference w:id="12"/>
            </w:r>
            <w:r w:rsidRPr="00994958">
              <w:rPr>
                <w:rFonts w:ascii="DINPro-Light" w:hAnsi="DINPro-Light"/>
                <w:b w:val="0"/>
                <w:bCs/>
                <w:sz w:val="22"/>
                <w:szCs w:val="22"/>
              </w:rPr>
              <w:t xml:space="preserve"> (legal control over data hosted abroad), while emphasizing the high trust and complex legal requirements involved </w:t>
            </w:r>
            <w:bookmarkStart w:id="158" w:name="ZOTERO_BREF_XMoFObolq6Qv"/>
            <w:r w:rsidRPr="00994958">
              <w:rPr>
                <w:rFonts w:ascii="DINPro-Light" w:hAnsi="DINPro-Light" w:cs="Times New Roman"/>
                <w:b w:val="0"/>
                <w:bCs/>
                <w:sz w:val="22"/>
                <w:szCs w:val="22"/>
              </w:rPr>
              <w:t>(World Bank, 2025b</w:t>
            </w:r>
            <w:bookmarkEnd w:id="158"/>
            <w:r w:rsidRPr="00994958">
              <w:rPr>
                <w:rFonts w:ascii="DINPro-Light" w:hAnsi="DINPro-Light" w:cs="Times New Roman"/>
                <w:b w:val="0"/>
                <w:bCs/>
                <w:sz w:val="22"/>
                <w:szCs w:val="22"/>
              </w:rPr>
              <w:t>)</w:t>
            </w:r>
            <w:r w:rsidRPr="00994958">
              <w:rPr>
                <w:rFonts w:ascii="DINPro-Light" w:hAnsi="DINPro-Light"/>
                <w:b w:val="0"/>
                <w:bCs/>
                <w:sz w:val="22"/>
                <w:szCs w:val="22"/>
              </w:rPr>
              <w:t>.</w:t>
            </w:r>
          </w:p>
          <w:p w14:paraId="0666DB5D" w14:textId="77777777" w:rsidR="0015489F" w:rsidRPr="00994958" w:rsidRDefault="0015489F" w:rsidP="00C0506B">
            <w:pPr>
              <w:pStyle w:val="Textoindependiente"/>
              <w:numPr>
                <w:ilvl w:val="0"/>
                <w:numId w:val="47"/>
              </w:numPr>
              <w:tabs>
                <w:tab w:val="left" w:pos="720"/>
              </w:tabs>
              <w:spacing w:line="312" w:lineRule="auto"/>
              <w:ind w:left="470" w:right="113" w:hanging="357"/>
              <w:jc w:val="left"/>
              <w:rPr>
                <w:rFonts w:ascii="DINPro-Light" w:hAnsi="DINPro-Light"/>
                <w:b w:val="0"/>
                <w:bCs/>
                <w:sz w:val="22"/>
                <w:szCs w:val="22"/>
              </w:rPr>
            </w:pPr>
            <w:r w:rsidRPr="00994958">
              <w:rPr>
                <w:rFonts w:ascii="DINPro-Light" w:hAnsi="DINPro-Light"/>
                <w:b w:val="0"/>
                <w:bCs/>
                <w:sz w:val="22"/>
                <w:szCs w:val="22"/>
              </w:rPr>
              <w:t>Digital public infrastructure must become the foundation of digital innovation world-wide. This is necessary to keep monopolies from stifling innovation elsewhere. Specifically, creation of interfaces, modularization and increasing interoperability must be actively supported and not be rendered illegal.</w:t>
            </w:r>
          </w:p>
          <w:p w14:paraId="32FA21DA" w14:textId="77777777" w:rsidR="0015489F" w:rsidRPr="00994958" w:rsidRDefault="0015489F" w:rsidP="00C0506B">
            <w:pPr>
              <w:pStyle w:val="Textoindependiente"/>
              <w:numPr>
                <w:ilvl w:val="0"/>
                <w:numId w:val="47"/>
              </w:numPr>
              <w:tabs>
                <w:tab w:val="left" w:pos="720"/>
              </w:tabs>
              <w:spacing w:line="312" w:lineRule="auto"/>
              <w:ind w:left="470" w:right="113" w:hanging="357"/>
              <w:jc w:val="left"/>
              <w:rPr>
                <w:rFonts w:ascii="DINPro-Light" w:hAnsi="DINPro-Light"/>
                <w:b w:val="0"/>
                <w:bCs/>
                <w:sz w:val="22"/>
                <w:szCs w:val="22"/>
              </w:rPr>
            </w:pPr>
            <w:r w:rsidRPr="00994958">
              <w:rPr>
                <w:rFonts w:ascii="DINPro-Light" w:hAnsi="DINPro-Light"/>
                <w:b w:val="0"/>
                <w:bCs/>
                <w:sz w:val="22"/>
                <w:szCs w:val="22"/>
              </w:rPr>
              <w:t>Hardware (e.g. mobile phones, tractors, sensors) must not enforce which software runs on it. People and their representatives must be able to choose freely which software tool serves their needs while protecting their rights regardless of hardware vendors commercial interests.</w:t>
            </w:r>
          </w:p>
          <w:p w14:paraId="5EA50AD4" w14:textId="77777777" w:rsidR="0015489F" w:rsidRPr="00994958" w:rsidRDefault="0015489F" w:rsidP="003D49B9">
            <w:pPr>
              <w:spacing w:after="80"/>
              <w:rPr>
                <w:szCs w:val="22"/>
                <w:shd w:val="clear" w:color="auto" w:fill="D8E9F3" w:themeFill="accent1" w:themeFillTint="33"/>
                <w:lang w:val="en-CA"/>
              </w:rPr>
            </w:pPr>
          </w:p>
          <w:p w14:paraId="5E35469B" w14:textId="1AA54778" w:rsidR="00F52399" w:rsidRPr="00994958" w:rsidRDefault="003C645E" w:rsidP="00596DBE">
            <w:pPr>
              <w:jc w:val="left"/>
              <w:rPr>
                <w:szCs w:val="22"/>
              </w:rPr>
            </w:pPr>
            <w:r w:rsidRPr="00994958">
              <w:rPr>
                <w:b w:val="0"/>
                <w:i/>
                <w:iCs/>
                <w:szCs w:val="22"/>
                <w:shd w:val="clear" w:color="auto" w:fill="D8E9F3" w:themeFill="accent1" w:themeFillTint="33"/>
              </w:rPr>
              <w:t>Source</w:t>
            </w:r>
            <w:r w:rsidR="003E7DC9" w:rsidRPr="00994958">
              <w:rPr>
                <w:b w:val="0"/>
                <w:szCs w:val="22"/>
                <w:shd w:val="clear" w:color="auto" w:fill="D8E9F3" w:themeFill="accent1" w:themeFillTint="33"/>
              </w:rPr>
              <w:t>:</w:t>
            </w:r>
            <w:r w:rsidR="003E7DC9" w:rsidRPr="00994958">
              <w:rPr>
                <w:b w:val="0"/>
                <w:szCs w:val="22"/>
                <w:shd w:val="clear" w:color="auto" w:fill="D8E9F3" w:themeFill="accent1" w:themeFillTint="33"/>
              </w:rPr>
              <w:t xml:space="preserve"> Authors' own elaboration.</w:t>
            </w:r>
          </w:p>
        </w:tc>
      </w:tr>
    </w:tbl>
    <w:p w14:paraId="1A85E01E" w14:textId="77777777" w:rsidR="008E10DD" w:rsidRDefault="00E505DF" w:rsidP="008E10DD">
      <w:pPr>
        <w:pStyle w:val="Ttulo2"/>
        <w:spacing w:line="259" w:lineRule="auto"/>
      </w:pPr>
      <w:bookmarkStart w:id="159" w:name="_Toc200035645"/>
      <w:bookmarkStart w:id="160" w:name="_Toc226730562"/>
      <w:r>
        <w:rPr>
          <w:lang w:val="en-CA"/>
        </w:rPr>
        <w:t>4.</w:t>
      </w:r>
      <w:r w:rsidR="008E10DD">
        <w:rPr>
          <w:lang w:val="en-CA"/>
        </w:rPr>
        <w:t>1</w:t>
      </w:r>
      <w:r>
        <w:rPr>
          <w:lang w:val="en-CA"/>
        </w:rPr>
        <w:t xml:space="preserve"> </w:t>
      </w:r>
      <w:bookmarkStart w:id="161" w:name="_Toc225918016"/>
      <w:bookmarkEnd w:id="159"/>
      <w:r w:rsidR="008E10DD">
        <w:t>Considerations for CFS</w:t>
      </w:r>
      <w:bookmarkEnd w:id="161"/>
      <w:bookmarkEnd w:id="160"/>
    </w:p>
    <w:p w14:paraId="713BA373" w14:textId="77777777" w:rsidR="003A39C1" w:rsidRDefault="003A39C1" w:rsidP="003A39C1">
      <w:r>
        <w:t>Digitalization, data, and AI intersect with nearly every domain covered by CFS's mandate. This note has examined them through the lens of FSN and highlighted, where possible, opportunities and risks specific to that domain. A consistent finding is that the bottlenecks threatening food security are not simply solved by digital adoption; technologies can contribute to progress, but only where structural conditions are in place and where problem framing precedes tool selection.</w:t>
      </w:r>
    </w:p>
    <w:p w14:paraId="17FA63C6" w14:textId="77777777" w:rsidR="003A39C1" w:rsidRDefault="003A39C1" w:rsidP="003A39C1">
      <w:r>
        <w:t>CFS is well positioned to play a monitoring and evidence-synthesis role as these technologies continue to develop. Given the pace of commercial product cycles and the persistent gap between vendor claims and independently assessed outcomes, there is real value in a multilateral body systematically tracking empirical evidence on the FSN impact of digital tools, distinguishing demonstration pilots from scaled implementations, and presenting findings at regular intervals possibly through regular dedicated forums on AI and digitalization or at central events such as the World Food Forum.</w:t>
      </w:r>
    </w:p>
    <w:p w14:paraId="7BD2531B" w14:textId="77777777" w:rsidR="003A39C1" w:rsidRDefault="003A39C1" w:rsidP="003A39C1">
      <w:r>
        <w:t>At the same time, AI and data governance extend well beyond any single sectoral lens. Engaging with them only from an FSN perspective risks missing the broader regulatory and geopolitical dynamics that determine use and control of digital tools. CFS should therefore follow the UN Secretary-General's call for interdisciplinary exchange and coordinate with the Office for Digital and Emerging Technologies, the High-Level Advisory Body on AI, and the emerging independent international scientific panel on AI to connect CFS's substantive expertise on food systems with the digital governance expertise those bodies carry.</w:t>
      </w:r>
    </w:p>
    <w:p w14:paraId="29EF5EB3" w14:textId="77777777" w:rsidR="003B6000" w:rsidRDefault="003B6000">
      <w:pPr>
        <w:jc w:val="left"/>
        <w:rPr>
          <w:rFonts w:asciiTheme="majorHAnsi" w:eastAsiaTheme="majorEastAsia" w:hAnsiTheme="majorHAnsi" w:cstheme="majorBidi"/>
          <w:b/>
          <w:bCs/>
          <w:caps/>
          <w:color w:val="536374" w:themeColor="text2"/>
          <w:sz w:val="28"/>
          <w:lang w:val="en-CA"/>
        </w:rPr>
      </w:pPr>
      <w:bookmarkStart w:id="162" w:name="_Toc171583971"/>
      <w:bookmarkStart w:id="163" w:name="_Toc200035646"/>
      <w:bookmarkEnd w:id="157"/>
      <w:bookmarkEnd w:id="11"/>
      <w:r>
        <w:rPr>
          <w:lang w:val="en-CA"/>
        </w:rPr>
        <w:br w:type="page"/>
      </w:r>
    </w:p>
    <w:p w14:paraId="5DCA9E95" w14:textId="77777777" w:rsidR="00C62F7A" w:rsidRDefault="005822B4" w:rsidP="00BC2ADC">
      <w:pPr>
        <w:pStyle w:val="Ttulo1"/>
        <w:rPr>
          <w:lang w:val="en-CA"/>
        </w:rPr>
      </w:pPr>
      <w:bookmarkStart w:id="164" w:name="_Toc226730563"/>
      <w:r w:rsidRPr="00AF33E5">
        <w:rPr>
          <w:lang w:val="en-CA"/>
        </w:rPr>
        <w:t>References</w:t>
      </w:r>
      <w:bookmarkEnd w:id="162"/>
      <w:bookmarkEnd w:id="163"/>
      <w:bookmarkEnd w:id="164"/>
      <w:r w:rsidRPr="00AF33E5">
        <w:rPr>
          <w:lang w:val="en-CA"/>
        </w:rPr>
        <w:t xml:space="preserve"> </w:t>
      </w:r>
    </w:p>
    <w:p w14:paraId="4C6C0261" w14:textId="77777777" w:rsidR="00BC2ADC" w:rsidRDefault="00BC2ADC" w:rsidP="00BC2ADC">
      <w:pPr>
        <w:rPr>
          <w:lang w:val="en-CA" w:eastAsia="ja-JP"/>
        </w:rPr>
      </w:pPr>
    </w:p>
    <w:p w14:paraId="66A41043" w14:textId="77777777" w:rsidR="00BC2ADC" w:rsidRDefault="00BC2ADC" w:rsidP="00BC2ADC">
      <w:pPr>
        <w:pStyle w:val="Bibliografa"/>
      </w:pPr>
      <w:bookmarkStart w:id="165" w:name="ZOTERO_BREF_0hDvNkgEAhbn"/>
      <w:r>
        <w:rPr>
          <w:b/>
          <w:bCs/>
        </w:rPr>
        <w:t>AIRC</w:t>
      </w:r>
      <w:r>
        <w:t>. 2026. KIAMIS - Kenya Integrated Agricultural Management Information System. [Cited 25 March 2026]. https://kiamis.kalro.org/</w:t>
      </w:r>
    </w:p>
    <w:p w14:paraId="3F10D00D" w14:textId="77777777" w:rsidR="00BC2ADC" w:rsidRDefault="00BC2ADC" w:rsidP="00BC2ADC">
      <w:pPr>
        <w:pStyle w:val="Bibliografa"/>
      </w:pPr>
      <w:r>
        <w:rPr>
          <w:b/>
          <w:bCs/>
        </w:rPr>
        <w:t>Aruna, Ranganathan, X.M., Ye</w:t>
      </w:r>
      <w:r>
        <w:t xml:space="preserve">. 2026. AI Doesn’t Reduce Work—It Intensifies It. In: </w:t>
      </w:r>
      <w:r>
        <w:rPr>
          <w:i/>
          <w:iCs/>
        </w:rPr>
        <w:t>AI Doesn’t Reduce Work—It Intensifies It</w:t>
      </w:r>
      <w:r>
        <w:t>. [Cited 20 February 2026]. https://hbr.org/2026/02/ai-doesnt-reduce-work-it-intensifies-it</w:t>
      </w:r>
    </w:p>
    <w:p w14:paraId="030A6A47" w14:textId="77777777" w:rsidR="00BC2ADC" w:rsidRDefault="00BC2ADC" w:rsidP="00BC2ADC">
      <w:pPr>
        <w:pStyle w:val="Bibliografa"/>
      </w:pPr>
      <w:r>
        <w:rPr>
          <w:b/>
          <w:bCs/>
        </w:rPr>
        <w:t>Associated Press</w:t>
      </w:r>
      <w:r>
        <w:t xml:space="preserve">. 2025. Judge approves $1.5 billion copyright settlement between AI company Anthropic and authors. In: </w:t>
      </w:r>
      <w:r>
        <w:rPr>
          <w:i/>
          <w:iCs/>
        </w:rPr>
        <w:t>AP News</w:t>
      </w:r>
      <w:r>
        <w:t>. [Cited 26 March 2026]. https://apnews.com/article/anthropic-authors-copyright-judge-artificial-intelligence-9643064e847a5e88ef6ee8b620b3a44c</w:t>
      </w:r>
    </w:p>
    <w:p w14:paraId="419BDA51" w14:textId="77777777" w:rsidR="00BC2ADC" w:rsidRDefault="00BC2ADC" w:rsidP="00BC2ADC">
      <w:pPr>
        <w:pStyle w:val="Bibliografa"/>
      </w:pPr>
      <w:r>
        <w:rPr>
          <w:b/>
          <w:bCs/>
        </w:rPr>
        <w:t>Balkrishna, A., Pathak, R., Kumar, S., Arya, V. &amp; Singh, S.K.</w:t>
      </w:r>
      <w:r>
        <w:t xml:space="preserve"> 2023. A comprehensive analysis of the advances in Indian Digital Agricultural architecture. </w:t>
      </w:r>
      <w:r>
        <w:rPr>
          <w:i/>
          <w:iCs/>
        </w:rPr>
        <w:t>Smart Agricultural Technology</w:t>
      </w:r>
      <w:r>
        <w:t>, 5: 100318. https://doi.org/10.1016/j.atech.2023.100318</w:t>
      </w:r>
    </w:p>
    <w:p w14:paraId="13133BEF" w14:textId="77777777" w:rsidR="00BC2ADC" w:rsidRDefault="00BC2ADC" w:rsidP="00BC2ADC">
      <w:pPr>
        <w:pStyle w:val="Bibliografa"/>
      </w:pPr>
      <w:r>
        <w:rPr>
          <w:b/>
          <w:bCs/>
        </w:rPr>
        <w:t>Banerjee, S., Agarwal, A. &amp; Singla, S.</w:t>
      </w:r>
      <w:r>
        <w:t xml:space="preserve"> 2024. </w:t>
      </w:r>
      <w:r>
        <w:rPr>
          <w:i/>
          <w:iCs/>
        </w:rPr>
        <w:t xml:space="preserve">LLMs Will Always Hallucinate, and We Need to Live </w:t>
      </w:r>
      <w:proofErr w:type="gramStart"/>
      <w:r>
        <w:rPr>
          <w:i/>
          <w:iCs/>
        </w:rPr>
        <w:t>With</w:t>
      </w:r>
      <w:proofErr w:type="gramEnd"/>
      <w:r>
        <w:rPr>
          <w:i/>
          <w:iCs/>
        </w:rPr>
        <w:t xml:space="preserve"> This</w:t>
      </w:r>
      <w:r>
        <w:t xml:space="preserve">. arXiv:2409.05746. </w:t>
      </w:r>
      <w:proofErr w:type="spellStart"/>
      <w:r>
        <w:t>arXiv</w:t>
      </w:r>
      <w:proofErr w:type="spellEnd"/>
      <w:r>
        <w:t>. [Cited 20 February 2026]. http://arxiv.org/abs/2409.05746</w:t>
      </w:r>
    </w:p>
    <w:p w14:paraId="63EEF685" w14:textId="77777777" w:rsidR="00BC2ADC" w:rsidRDefault="00BC2ADC" w:rsidP="00BC2ADC">
      <w:pPr>
        <w:pStyle w:val="Bibliografa"/>
      </w:pPr>
      <w:r>
        <w:rPr>
          <w:b/>
          <w:bCs/>
        </w:rPr>
        <w:t xml:space="preserve">Bean, A.M., Payne, R.E., Parsons, G., Kirk, H.R., Ciro, J., Mosquera-Gómez, R., </w:t>
      </w:r>
      <w:proofErr w:type="spellStart"/>
      <w:r>
        <w:rPr>
          <w:b/>
          <w:bCs/>
        </w:rPr>
        <w:t>Hincapié</w:t>
      </w:r>
      <w:proofErr w:type="spellEnd"/>
      <w:r>
        <w:rPr>
          <w:b/>
          <w:bCs/>
        </w:rPr>
        <w:t xml:space="preserve"> M, S. </w:t>
      </w:r>
      <w:r>
        <w:rPr>
          <w:b/>
          <w:bCs/>
          <w:i/>
          <w:iCs/>
        </w:rPr>
        <w:t>et al.</w:t>
      </w:r>
      <w:r>
        <w:t xml:space="preserve"> 2026. Reliability of LLMs as medical assistants for the </w:t>
      </w:r>
      <w:proofErr w:type="gramStart"/>
      <w:r>
        <w:t>general public</w:t>
      </w:r>
      <w:proofErr w:type="gramEnd"/>
      <w:r>
        <w:t xml:space="preserve">: a randomized preregistered study. </w:t>
      </w:r>
      <w:r>
        <w:rPr>
          <w:i/>
          <w:iCs/>
        </w:rPr>
        <w:t>Nature Medicine</w:t>
      </w:r>
      <w:r>
        <w:t>, 32(2): 609–615. https://doi.org/10.1038/s41591-025-04074-y</w:t>
      </w:r>
    </w:p>
    <w:p w14:paraId="61743D15" w14:textId="77777777" w:rsidR="00BC2ADC" w:rsidRDefault="00BC2ADC" w:rsidP="00BC2ADC">
      <w:pPr>
        <w:pStyle w:val="Bibliografa"/>
      </w:pPr>
      <w:r>
        <w:rPr>
          <w:b/>
          <w:bCs/>
        </w:rPr>
        <w:t xml:space="preserve">Benami, E., Jin, Z., Carter, M.R., Ghosh, A., </w:t>
      </w:r>
      <w:proofErr w:type="spellStart"/>
      <w:r>
        <w:rPr>
          <w:b/>
          <w:bCs/>
        </w:rPr>
        <w:t>Hijmans</w:t>
      </w:r>
      <w:proofErr w:type="spellEnd"/>
      <w:r>
        <w:rPr>
          <w:b/>
          <w:bCs/>
        </w:rPr>
        <w:t xml:space="preserve">, R.J., Hobbs, A., </w:t>
      </w:r>
      <w:proofErr w:type="spellStart"/>
      <w:r>
        <w:rPr>
          <w:b/>
          <w:bCs/>
        </w:rPr>
        <w:t>Kenduiywo</w:t>
      </w:r>
      <w:proofErr w:type="spellEnd"/>
      <w:r>
        <w:rPr>
          <w:b/>
          <w:bCs/>
        </w:rPr>
        <w:t>, B. &amp; Lobell, D.B.</w:t>
      </w:r>
      <w:r>
        <w:t xml:space="preserve"> 2021. Uniting remote sensing, crop modelling and economics for agricultural risk management. </w:t>
      </w:r>
      <w:r>
        <w:rPr>
          <w:i/>
          <w:iCs/>
        </w:rPr>
        <w:t>Nature Reviews Earth &amp; Environment</w:t>
      </w:r>
      <w:r>
        <w:t>, 2(2): 140–159. https://doi.org/10.1038/s43017-020-00122-y</w:t>
      </w:r>
    </w:p>
    <w:p w14:paraId="435836A1" w14:textId="77777777" w:rsidR="00BC2ADC" w:rsidRDefault="00BC2ADC" w:rsidP="00BC2ADC">
      <w:pPr>
        <w:pStyle w:val="Bibliografa"/>
      </w:pPr>
      <w:r>
        <w:rPr>
          <w:b/>
          <w:bCs/>
        </w:rPr>
        <w:t xml:space="preserve">Bermingham, K.M., </w:t>
      </w:r>
      <w:proofErr w:type="spellStart"/>
      <w:r>
        <w:rPr>
          <w:b/>
          <w:bCs/>
        </w:rPr>
        <w:t>Linenberg</w:t>
      </w:r>
      <w:proofErr w:type="spellEnd"/>
      <w:r>
        <w:rPr>
          <w:b/>
          <w:bCs/>
        </w:rPr>
        <w:t xml:space="preserve">, I., Polidori, L., Wolf, J., </w:t>
      </w:r>
      <w:proofErr w:type="spellStart"/>
      <w:r>
        <w:rPr>
          <w:b/>
          <w:bCs/>
        </w:rPr>
        <w:t>Bulsiewicz</w:t>
      </w:r>
      <w:proofErr w:type="spellEnd"/>
      <w:r>
        <w:rPr>
          <w:b/>
          <w:bCs/>
        </w:rPr>
        <w:t>, W.J., Spector, T.D. &amp; Berry, S.E.</w:t>
      </w:r>
      <w:r>
        <w:t xml:space="preserve"> 2023. Improved Cardiometabolic Health Using a </w:t>
      </w:r>
      <w:proofErr w:type="spellStart"/>
      <w:r>
        <w:t>Personalised</w:t>
      </w:r>
      <w:proofErr w:type="spellEnd"/>
      <w:r>
        <w:t xml:space="preserve"> Nutrition Approach: The ZOE METHOD Study. </w:t>
      </w:r>
      <w:r>
        <w:rPr>
          <w:i/>
          <w:iCs/>
        </w:rPr>
        <w:t>Proceedings</w:t>
      </w:r>
      <w:r>
        <w:t>, 91(1). https://doi.org/10.3390/proceedings2023091055</w:t>
      </w:r>
    </w:p>
    <w:p w14:paraId="2A349CD3" w14:textId="77777777" w:rsidR="00BC2ADC" w:rsidRDefault="00BC2ADC" w:rsidP="00BC2ADC">
      <w:pPr>
        <w:pStyle w:val="Bibliografa"/>
      </w:pPr>
      <w:r>
        <w:rPr>
          <w:b/>
          <w:bCs/>
        </w:rPr>
        <w:t>Bhusal, C.S.</w:t>
      </w:r>
      <w:r>
        <w:t xml:space="preserve"> 2021. </w:t>
      </w:r>
      <w:r>
        <w:rPr>
          <w:i/>
          <w:iCs/>
        </w:rPr>
        <w:t>Blockchain Technology in Agriculture: A Case Study of Blockchain Start-Up Companies</w:t>
      </w:r>
      <w:r>
        <w:t>. SSRN Scholarly Paper. 3960631. Rochester, NY, Social Science Research Network. [Cited 25 March 2026]. https://papers.ssrn.com/abstract=3960631</w:t>
      </w:r>
    </w:p>
    <w:p w14:paraId="3F71186E" w14:textId="77777777" w:rsidR="00BC2ADC" w:rsidRDefault="00BC2ADC" w:rsidP="00BC2ADC">
      <w:pPr>
        <w:pStyle w:val="Bibliografa"/>
      </w:pPr>
      <w:r>
        <w:rPr>
          <w:b/>
          <w:bCs/>
        </w:rPr>
        <w:t>Bi, K., Xie, L., Zhang, H., Chen, X., Gu, X. &amp; Tian, Q.</w:t>
      </w:r>
      <w:r>
        <w:t xml:space="preserve"> 2023. Accurate medium-range global weather forecasting with 3D neural networks. </w:t>
      </w:r>
      <w:r>
        <w:rPr>
          <w:i/>
          <w:iCs/>
        </w:rPr>
        <w:t>Nature</w:t>
      </w:r>
      <w:r>
        <w:t>, 619(7970): 533–538. https://doi.org/10.1038/s41586-023-06185-3</w:t>
      </w:r>
    </w:p>
    <w:p w14:paraId="70C2FC44" w14:textId="77777777" w:rsidR="00BC2ADC" w:rsidRDefault="00BC2ADC" w:rsidP="00BC2ADC">
      <w:pPr>
        <w:pStyle w:val="Bibliografa"/>
      </w:pPr>
      <w:r>
        <w:rPr>
          <w:b/>
          <w:bCs/>
        </w:rPr>
        <w:t>CFS</w:t>
      </w:r>
      <w:r>
        <w:t xml:space="preserve">. 2021. </w:t>
      </w:r>
      <w:r>
        <w:rPr>
          <w:i/>
          <w:iCs/>
        </w:rPr>
        <w:t>Global Strategic Framework for Food Security and Nutrition</w:t>
      </w:r>
      <w:r>
        <w:t>. Committee on World Food Security. https://www.fao.org/cfs/policy-products/onlinegsf</w:t>
      </w:r>
    </w:p>
    <w:p w14:paraId="0354A169" w14:textId="77777777" w:rsidR="00BC2ADC" w:rsidRDefault="00BC2ADC" w:rsidP="00BC2ADC">
      <w:pPr>
        <w:pStyle w:val="Bibliografa"/>
      </w:pPr>
      <w:proofErr w:type="spellStart"/>
      <w:r>
        <w:rPr>
          <w:b/>
          <w:bCs/>
        </w:rPr>
        <w:t>Challapally</w:t>
      </w:r>
      <w:proofErr w:type="spellEnd"/>
      <w:r>
        <w:rPr>
          <w:b/>
          <w:bCs/>
        </w:rPr>
        <w:t>, A., Pease, C., Raskar, R. &amp; Chari, P.</w:t>
      </w:r>
      <w:r>
        <w:t xml:space="preserve"> undated. STATE OF AI IN BUSINESS 2025</w:t>
      </w:r>
    </w:p>
    <w:p w14:paraId="60C0F16A" w14:textId="77777777" w:rsidR="00BC2ADC" w:rsidRDefault="00BC2ADC" w:rsidP="00BC2ADC">
      <w:pPr>
        <w:pStyle w:val="Bibliografa"/>
      </w:pPr>
      <w:r w:rsidRPr="006C5890">
        <w:rPr>
          <w:b/>
          <w:bCs/>
          <w:lang w:val="it-IT"/>
        </w:rPr>
        <w:t>Chikuni, T. &amp; Kilima, F.T.M.</w:t>
      </w:r>
      <w:r w:rsidRPr="006C5890">
        <w:rPr>
          <w:lang w:val="it-IT"/>
        </w:rPr>
        <w:t xml:space="preserve"> 2019. </w:t>
      </w:r>
      <w:r>
        <w:t xml:space="preserve">Smallholder farmers’ market participation and mobile phone-based market information services in Lilongwe, Malawi. </w:t>
      </w:r>
      <w:r>
        <w:rPr>
          <w:i/>
          <w:iCs/>
        </w:rPr>
        <w:t>THE ELECTRONIC JOURNAL OF INFORMATION SYSTEMS IN DEVELOPING COUNTRIES</w:t>
      </w:r>
      <w:r>
        <w:t>, 85(6): e12097. https://doi.org/10.1002/isd2.12097</w:t>
      </w:r>
    </w:p>
    <w:p w14:paraId="64FA5928" w14:textId="77777777" w:rsidR="00BC2ADC" w:rsidRDefault="00BC2ADC" w:rsidP="00BC2ADC">
      <w:pPr>
        <w:pStyle w:val="Bibliografa"/>
      </w:pPr>
      <w:r>
        <w:rPr>
          <w:b/>
          <w:bCs/>
        </w:rPr>
        <w:t>Christian Molinari</w:t>
      </w:r>
      <w:r>
        <w:t>. 2025. Major Chilean salmon farmers employing artificial intelligence as industry modernizes. [Cited 9 April 2026]. https://www.seafoodsource.com/news/aquaculture/major-chilean-salmon-farmers-employing-artificial-intelligence-as-industry-modernizes</w:t>
      </w:r>
    </w:p>
    <w:p w14:paraId="733B48B7" w14:textId="77777777" w:rsidR="00BC2ADC" w:rsidRDefault="00BC2ADC" w:rsidP="00BC2ADC">
      <w:pPr>
        <w:pStyle w:val="Bibliografa"/>
      </w:pPr>
      <w:r>
        <w:rPr>
          <w:b/>
          <w:bCs/>
        </w:rPr>
        <w:t xml:space="preserve">Clark, Q.M., </w:t>
      </w:r>
      <w:proofErr w:type="spellStart"/>
      <w:r>
        <w:rPr>
          <w:b/>
          <w:bCs/>
        </w:rPr>
        <w:t>Kanavikar</w:t>
      </w:r>
      <w:proofErr w:type="spellEnd"/>
      <w:r>
        <w:rPr>
          <w:b/>
          <w:bCs/>
        </w:rPr>
        <w:t>, D.B., Clark, J. &amp; Donnelly, P.J.</w:t>
      </w:r>
      <w:r>
        <w:t xml:space="preserve"> 2025. Exploring the potential of AI-driven food waste management strategies used in the hospitality industry for application in household settings. </w:t>
      </w:r>
      <w:r>
        <w:rPr>
          <w:i/>
          <w:iCs/>
        </w:rPr>
        <w:t>Frontiers in Artificial Intelligence</w:t>
      </w:r>
      <w:r>
        <w:t>, 7. https://doi.org/10.3389/frai.2024.1429477</w:t>
      </w:r>
    </w:p>
    <w:p w14:paraId="446197FB" w14:textId="77777777" w:rsidR="00BC2ADC" w:rsidRDefault="00BC2ADC" w:rsidP="00BC2ADC">
      <w:pPr>
        <w:pStyle w:val="Bibliografa"/>
      </w:pPr>
      <w:r>
        <w:rPr>
          <w:b/>
          <w:bCs/>
        </w:rPr>
        <w:t xml:space="preserve">Daum, T., Villalba, R., Anidi, O., </w:t>
      </w:r>
      <w:proofErr w:type="spellStart"/>
      <w:r>
        <w:rPr>
          <w:b/>
          <w:bCs/>
        </w:rPr>
        <w:t>Mayienga</w:t>
      </w:r>
      <w:proofErr w:type="spellEnd"/>
      <w:r>
        <w:rPr>
          <w:b/>
          <w:bCs/>
        </w:rPr>
        <w:t>, S.M., Gupta, S. &amp; Birner, R.</w:t>
      </w:r>
      <w:r>
        <w:t xml:space="preserve"> 2021. Uber for tractors? Opportunities and challenges of digital tools for tractor hire in India and Nigeria. </w:t>
      </w:r>
      <w:r>
        <w:rPr>
          <w:i/>
          <w:iCs/>
        </w:rPr>
        <w:t>World Development</w:t>
      </w:r>
      <w:r>
        <w:t>, 144: 105480. https://doi.org/10.1016/j.worlddev.2021.105480</w:t>
      </w:r>
    </w:p>
    <w:p w14:paraId="6F1049A1" w14:textId="77777777" w:rsidR="00BC2ADC" w:rsidRDefault="00BC2ADC" w:rsidP="00BC2ADC">
      <w:pPr>
        <w:pStyle w:val="Bibliografa"/>
      </w:pPr>
      <w:r>
        <w:rPr>
          <w:b/>
          <w:bCs/>
        </w:rPr>
        <w:t>David Nutt</w:t>
      </w:r>
      <w:r>
        <w:t xml:space="preserve">. </w:t>
      </w:r>
      <w:proofErr w:type="gramStart"/>
      <w:r>
        <w:t>2025. ‘</w:t>
      </w:r>
      <w:proofErr w:type="gramEnd"/>
      <w:r>
        <w:t>Roadmap’ shows the environmental impact of AI data center boom. [Cited 26 March 2026]. https://news.cornell.edu/stories/2025/11/roadmap-shows-environmental-impact-ai-data-center-boom</w:t>
      </w:r>
    </w:p>
    <w:p w14:paraId="5EE59056" w14:textId="77777777" w:rsidR="00BC2ADC" w:rsidRDefault="00BC2ADC" w:rsidP="00BC2ADC">
      <w:pPr>
        <w:pStyle w:val="Bibliografa"/>
      </w:pPr>
      <w:r>
        <w:rPr>
          <w:b/>
          <w:bCs/>
        </w:rPr>
        <w:t>David Rolnick</w:t>
      </w:r>
      <w:r>
        <w:t>. undated. David Rolnick on AI in Climate Action. [Cited 23 February 2026]. https://www.linkedin.com/posts/davidrolnick_im-so-tired-of-this-sales-pitch-ai-is-activity-7215006745826390016-Ujym/?_l=en_US</w:t>
      </w:r>
    </w:p>
    <w:p w14:paraId="27DF0DFB" w14:textId="77777777" w:rsidR="00BC2ADC" w:rsidRPr="006C5890" w:rsidRDefault="00BC2ADC" w:rsidP="00BC2ADC">
      <w:pPr>
        <w:pStyle w:val="Bibliografa"/>
        <w:rPr>
          <w:lang w:val="fr-FR"/>
        </w:rPr>
      </w:pPr>
      <w:r>
        <w:rPr>
          <w:b/>
          <w:bCs/>
        </w:rPr>
        <w:t>De Clercq, D., Nehring, E., Mayne, H. &amp; Mahdi, A.</w:t>
      </w:r>
      <w:r>
        <w:t xml:space="preserve"> 2024. Large language models can help boost food </w:t>
      </w:r>
      <w:proofErr w:type="gramStart"/>
      <w:r>
        <w:t>production, but</w:t>
      </w:r>
      <w:proofErr w:type="gramEnd"/>
      <w:r>
        <w:t xml:space="preserve"> be mindful of their risks. </w:t>
      </w:r>
      <w:proofErr w:type="spellStart"/>
      <w:r w:rsidRPr="006C5890">
        <w:rPr>
          <w:i/>
          <w:iCs/>
          <w:lang w:val="fr-FR"/>
        </w:rPr>
        <w:t>Frontiers</w:t>
      </w:r>
      <w:proofErr w:type="spellEnd"/>
      <w:r w:rsidRPr="006C5890">
        <w:rPr>
          <w:i/>
          <w:iCs/>
          <w:lang w:val="fr-FR"/>
        </w:rPr>
        <w:t xml:space="preserve"> in </w:t>
      </w:r>
      <w:proofErr w:type="spellStart"/>
      <w:r w:rsidRPr="006C5890">
        <w:rPr>
          <w:i/>
          <w:iCs/>
          <w:lang w:val="fr-FR"/>
        </w:rPr>
        <w:t>Artificial</w:t>
      </w:r>
      <w:proofErr w:type="spellEnd"/>
      <w:r w:rsidRPr="006C5890">
        <w:rPr>
          <w:i/>
          <w:iCs/>
          <w:lang w:val="fr-FR"/>
        </w:rPr>
        <w:t xml:space="preserve"> Intelligence</w:t>
      </w:r>
      <w:r w:rsidRPr="006C5890">
        <w:rPr>
          <w:lang w:val="fr-FR"/>
        </w:rPr>
        <w:t>, 7. https://doi.org/10.3389/frai.2024.1326153</w:t>
      </w:r>
    </w:p>
    <w:p w14:paraId="33282EC0" w14:textId="77777777" w:rsidR="00BC2ADC" w:rsidRDefault="00BC2ADC" w:rsidP="00BC2ADC">
      <w:pPr>
        <w:pStyle w:val="Bibliografa"/>
      </w:pPr>
      <w:proofErr w:type="spellStart"/>
      <w:r w:rsidRPr="006C5890">
        <w:rPr>
          <w:b/>
          <w:bCs/>
          <w:lang w:val="fr-FR"/>
        </w:rPr>
        <w:t>Defourny</w:t>
      </w:r>
      <w:proofErr w:type="spellEnd"/>
      <w:r w:rsidRPr="006C5890">
        <w:rPr>
          <w:b/>
          <w:bCs/>
          <w:lang w:val="fr-FR"/>
        </w:rPr>
        <w:t xml:space="preserve">, P., Bontemps, S., </w:t>
      </w:r>
      <w:proofErr w:type="spellStart"/>
      <w:r w:rsidRPr="006C5890">
        <w:rPr>
          <w:b/>
          <w:bCs/>
          <w:lang w:val="fr-FR"/>
        </w:rPr>
        <w:t>Bellemans</w:t>
      </w:r>
      <w:proofErr w:type="spellEnd"/>
      <w:r w:rsidRPr="006C5890">
        <w:rPr>
          <w:b/>
          <w:bCs/>
          <w:lang w:val="fr-FR"/>
        </w:rPr>
        <w:t xml:space="preserve">, N., Cara, C., Dedieu, G., </w:t>
      </w:r>
      <w:proofErr w:type="spellStart"/>
      <w:r w:rsidRPr="006C5890">
        <w:rPr>
          <w:b/>
          <w:bCs/>
          <w:lang w:val="fr-FR"/>
        </w:rPr>
        <w:t>Guzzonato</w:t>
      </w:r>
      <w:proofErr w:type="spellEnd"/>
      <w:r w:rsidRPr="006C5890">
        <w:rPr>
          <w:b/>
          <w:bCs/>
          <w:lang w:val="fr-FR"/>
        </w:rPr>
        <w:t xml:space="preserve">, E., </w:t>
      </w:r>
      <w:proofErr w:type="spellStart"/>
      <w:r w:rsidRPr="006C5890">
        <w:rPr>
          <w:b/>
          <w:bCs/>
          <w:lang w:val="fr-FR"/>
        </w:rPr>
        <w:t>Hagolle</w:t>
      </w:r>
      <w:proofErr w:type="spellEnd"/>
      <w:r w:rsidRPr="006C5890">
        <w:rPr>
          <w:b/>
          <w:bCs/>
          <w:lang w:val="fr-FR"/>
        </w:rPr>
        <w:t xml:space="preserve">, O. </w:t>
      </w:r>
      <w:r w:rsidRPr="006C5890">
        <w:rPr>
          <w:b/>
          <w:bCs/>
          <w:i/>
          <w:iCs/>
          <w:lang w:val="fr-FR"/>
        </w:rPr>
        <w:t>et al.</w:t>
      </w:r>
      <w:r w:rsidRPr="006C5890">
        <w:rPr>
          <w:lang w:val="fr-FR"/>
        </w:rPr>
        <w:t xml:space="preserve"> 2019. </w:t>
      </w:r>
      <w:r>
        <w:t xml:space="preserve">Near real-time agriculture monitoring at national scale at parcel </w:t>
      </w:r>
      <w:proofErr w:type="gramStart"/>
      <w:r>
        <w:t>resolution:</w:t>
      </w:r>
      <w:proofErr w:type="gramEnd"/>
      <w:r>
        <w:t xml:space="preserve"> Performance assessment of the Sen2-Agri automated system in various cropping systems around the world. </w:t>
      </w:r>
      <w:r>
        <w:rPr>
          <w:i/>
          <w:iCs/>
        </w:rPr>
        <w:t>Remote Sensing of Environment</w:t>
      </w:r>
      <w:r>
        <w:t>, 221: 551–568. https://doi.org/10.1016/j.rse.2018.11.007</w:t>
      </w:r>
    </w:p>
    <w:p w14:paraId="27964A0D" w14:textId="77777777" w:rsidR="00BC2ADC" w:rsidRDefault="00BC2ADC" w:rsidP="00BC2ADC">
      <w:pPr>
        <w:pStyle w:val="Bibliografa"/>
      </w:pPr>
      <w:r>
        <w:rPr>
          <w:b/>
          <w:bCs/>
        </w:rPr>
        <w:t>Deloitte US</w:t>
      </w:r>
      <w:r>
        <w:t>. 2026. The State of AI in the Enterprise - 2026 AI report. [Cited 23 February 2026]. https://www.deloitte.com/us/en/what-we-do/capabilities/applied-artificial-intelligence/content/state-of-ai-in-the-enterprise.html</w:t>
      </w:r>
    </w:p>
    <w:p w14:paraId="4BA3A771" w14:textId="77777777" w:rsidR="00BC2ADC" w:rsidRDefault="00BC2ADC" w:rsidP="00BC2ADC">
      <w:pPr>
        <w:pStyle w:val="Bibliografa"/>
      </w:pPr>
      <w:r>
        <w:rPr>
          <w:b/>
          <w:bCs/>
        </w:rPr>
        <w:t>Digital Preservation Coalition</w:t>
      </w:r>
      <w:r>
        <w:t xml:space="preserve">. 2015. </w:t>
      </w:r>
      <w:r>
        <w:rPr>
          <w:i/>
          <w:iCs/>
        </w:rPr>
        <w:t>Digital Preservation Handbook, 2nd Edition</w:t>
      </w:r>
      <w:r>
        <w:t>. https://www.dpconline.org/handbook</w:t>
      </w:r>
    </w:p>
    <w:p w14:paraId="605B8845" w14:textId="77777777" w:rsidR="00BC2ADC" w:rsidRDefault="00BC2ADC" w:rsidP="00BC2ADC">
      <w:pPr>
        <w:pStyle w:val="Bibliografa"/>
      </w:pPr>
      <w:r>
        <w:rPr>
          <w:b/>
          <w:bCs/>
        </w:rPr>
        <w:t xml:space="preserve">Dowdell, J., </w:t>
      </w:r>
      <w:proofErr w:type="spellStart"/>
      <w:r>
        <w:rPr>
          <w:b/>
          <w:bCs/>
        </w:rPr>
        <w:t>Stecklow</w:t>
      </w:r>
      <w:proofErr w:type="spellEnd"/>
      <w:r>
        <w:rPr>
          <w:b/>
          <w:bCs/>
        </w:rPr>
        <w:t xml:space="preserve">, S., Terhune, C., Levy, R., Dowdell, J., </w:t>
      </w:r>
      <w:proofErr w:type="spellStart"/>
      <w:r>
        <w:rPr>
          <w:b/>
          <w:bCs/>
        </w:rPr>
        <w:t>Stecklow</w:t>
      </w:r>
      <w:proofErr w:type="spellEnd"/>
      <w:r>
        <w:rPr>
          <w:b/>
          <w:bCs/>
        </w:rPr>
        <w:t>, S. &amp; Levy, R.</w:t>
      </w:r>
      <w:r>
        <w:t xml:space="preserve"> 2026. As AI enters the operating room, reports arise of botched surgeries and misidentified body parts. </w:t>
      </w:r>
      <w:r>
        <w:rPr>
          <w:i/>
          <w:iCs/>
        </w:rPr>
        <w:t>Reuters</w:t>
      </w:r>
      <w:r>
        <w:t>, 9 February 2026. [Cited 19 February 2026]. https://www.reuters.com/investigations/ai-enters-operating-room-reports-arise-botched-surgeries-misidentified-body-2026-02-09/</w:t>
      </w:r>
    </w:p>
    <w:p w14:paraId="3287A053" w14:textId="77777777" w:rsidR="00BC2ADC" w:rsidRDefault="00BC2ADC" w:rsidP="00BC2ADC">
      <w:pPr>
        <w:pStyle w:val="Bibliografa"/>
      </w:pPr>
      <w:r>
        <w:rPr>
          <w:b/>
          <w:bCs/>
        </w:rPr>
        <w:t>FAO &amp; WUR</w:t>
      </w:r>
      <w:r>
        <w:t xml:space="preserve">. 2021. </w:t>
      </w:r>
      <w:r>
        <w:rPr>
          <w:i/>
          <w:iCs/>
        </w:rPr>
        <w:t>Applying blockchain for climate action in agriculture: state of play and outlook</w:t>
      </w:r>
      <w:r>
        <w:t>. FAO and WUR. https://doi.org/10.4060/cb3495en</w:t>
      </w:r>
    </w:p>
    <w:p w14:paraId="181E6127" w14:textId="77777777" w:rsidR="00BC2ADC" w:rsidRDefault="00BC2ADC" w:rsidP="00BC2ADC">
      <w:pPr>
        <w:pStyle w:val="Bibliografa"/>
      </w:pPr>
      <w:proofErr w:type="spellStart"/>
      <w:r>
        <w:rPr>
          <w:b/>
          <w:bCs/>
        </w:rPr>
        <w:t>Farmonaut</w:t>
      </w:r>
      <w:proofErr w:type="spellEnd"/>
      <w:r>
        <w:t xml:space="preserve">. 2026. </w:t>
      </w:r>
      <w:proofErr w:type="spellStart"/>
      <w:r>
        <w:t>Farmonaut</w:t>
      </w:r>
      <w:proofErr w:type="spellEnd"/>
      <w:r>
        <w:t>. [Cited 20 March 2026]. https://farmonaut.com</w:t>
      </w:r>
    </w:p>
    <w:p w14:paraId="6081D634" w14:textId="77777777" w:rsidR="00BC2ADC" w:rsidRDefault="00BC2ADC" w:rsidP="00BC2ADC">
      <w:pPr>
        <w:pStyle w:val="Bibliografa"/>
      </w:pPr>
      <w:r w:rsidRPr="009A4CBD">
        <w:rPr>
          <w:b/>
          <w:bCs/>
          <w:lang w:val="it-IT"/>
        </w:rPr>
        <w:t xml:space="preserve">Fini, C., Amato, S.G., Scutaru, D., Biancardi, S., Antonucci, F., Violino, S., Ortenzi, L. </w:t>
      </w:r>
      <w:r w:rsidRPr="009A4CBD">
        <w:rPr>
          <w:b/>
          <w:bCs/>
          <w:i/>
          <w:iCs/>
          <w:lang w:val="it-IT"/>
        </w:rPr>
        <w:t>et al.</w:t>
      </w:r>
      <w:r w:rsidRPr="009A4CBD">
        <w:rPr>
          <w:lang w:val="it-IT"/>
        </w:rPr>
        <w:t xml:space="preserve"> 2025. </w:t>
      </w:r>
      <w:r>
        <w:t xml:space="preserve">Application of generative artificial intelligence in the aquacultural sector. </w:t>
      </w:r>
      <w:r>
        <w:rPr>
          <w:i/>
          <w:iCs/>
        </w:rPr>
        <w:t>Aquacultural Engineering</w:t>
      </w:r>
      <w:r>
        <w:t>, 111: 102568. https://doi.org/10.1016/j.aquaeng.2025.102568</w:t>
      </w:r>
    </w:p>
    <w:p w14:paraId="70037C34" w14:textId="77777777" w:rsidR="00BC2ADC" w:rsidRDefault="00BC2ADC" w:rsidP="00BC2ADC">
      <w:pPr>
        <w:pStyle w:val="Bibliografa"/>
      </w:pPr>
      <w:r w:rsidRPr="006C5890">
        <w:rPr>
          <w:b/>
          <w:bCs/>
          <w:lang w:val="en-CA"/>
        </w:rPr>
        <w:t>Fischer, G.</w:t>
      </w:r>
      <w:r w:rsidRPr="006C5890">
        <w:rPr>
          <w:lang w:val="en-CA"/>
        </w:rPr>
        <w:t xml:space="preserve"> 2021. </w:t>
      </w:r>
      <w:r w:rsidRPr="006C5890">
        <w:rPr>
          <w:i/>
          <w:iCs/>
          <w:lang w:val="en-CA"/>
        </w:rPr>
        <w:t xml:space="preserve">Global </w:t>
      </w:r>
      <w:proofErr w:type="spellStart"/>
      <w:r w:rsidRPr="006C5890">
        <w:rPr>
          <w:i/>
          <w:iCs/>
          <w:lang w:val="en-CA"/>
        </w:rPr>
        <w:t>Agro</w:t>
      </w:r>
      <w:proofErr w:type="spellEnd"/>
      <w:r w:rsidRPr="006C5890">
        <w:rPr>
          <w:i/>
          <w:iCs/>
          <w:lang w:val="en-CA"/>
        </w:rPr>
        <w:t>-Ecological Zones v4 – Model documentation</w:t>
      </w:r>
      <w:r w:rsidRPr="006C5890">
        <w:rPr>
          <w:lang w:val="en-CA"/>
        </w:rPr>
        <w:t xml:space="preserve">. </w:t>
      </w:r>
      <w:r>
        <w:t>First edition. Rome, Italy, FAO. https://doi.org/10.4060/cb4744en</w:t>
      </w:r>
    </w:p>
    <w:p w14:paraId="50C0C5A2" w14:textId="77777777" w:rsidR="00BC2ADC" w:rsidRDefault="00BC2ADC" w:rsidP="00BC2ADC">
      <w:pPr>
        <w:pStyle w:val="Bibliografa"/>
      </w:pPr>
      <w:r>
        <w:rPr>
          <w:b/>
          <w:bCs/>
        </w:rPr>
        <w:t xml:space="preserve">Gbashi, S. &amp; </w:t>
      </w:r>
      <w:proofErr w:type="spellStart"/>
      <w:r>
        <w:rPr>
          <w:b/>
          <w:bCs/>
        </w:rPr>
        <w:t>Njobeh</w:t>
      </w:r>
      <w:proofErr w:type="spellEnd"/>
      <w:r>
        <w:rPr>
          <w:b/>
          <w:bCs/>
        </w:rPr>
        <w:t>, P.B.</w:t>
      </w:r>
      <w:r>
        <w:t xml:space="preserve"> 2024. Enhancing Food Integrity through Artificial Intelligence and Machine Learning: A Comprehensive Review. </w:t>
      </w:r>
      <w:r>
        <w:rPr>
          <w:i/>
          <w:iCs/>
        </w:rPr>
        <w:t>Applied Sciences</w:t>
      </w:r>
      <w:r>
        <w:t>, 14(8): 3421. https://doi.org/10.3390/app14083421</w:t>
      </w:r>
    </w:p>
    <w:p w14:paraId="0E6AC3AD" w14:textId="77777777" w:rsidR="00BC2ADC" w:rsidRDefault="00BC2ADC" w:rsidP="00BC2ADC">
      <w:pPr>
        <w:pStyle w:val="Bibliografa"/>
      </w:pPr>
      <w:r>
        <w:rPr>
          <w:b/>
          <w:bCs/>
        </w:rPr>
        <w:t>Harding, E.</w:t>
      </w:r>
      <w:r>
        <w:t xml:space="preserve"> 2026. Data Is Now the Front Line of Warfare. https://www.csis.org/analysis/data-now-front-line-warfare</w:t>
      </w:r>
    </w:p>
    <w:p w14:paraId="30E185F0" w14:textId="77777777" w:rsidR="00BC2ADC" w:rsidRDefault="00BC2ADC" w:rsidP="00BC2ADC">
      <w:pPr>
        <w:pStyle w:val="Bibliografa"/>
      </w:pPr>
      <w:proofErr w:type="spellStart"/>
      <w:r>
        <w:rPr>
          <w:b/>
          <w:bCs/>
        </w:rPr>
        <w:t>Heeks</w:t>
      </w:r>
      <w:proofErr w:type="spellEnd"/>
      <w:r>
        <w:rPr>
          <w:b/>
          <w:bCs/>
        </w:rPr>
        <w:t>, R.</w:t>
      </w:r>
      <w:r>
        <w:t xml:space="preserve"> 2002. Information Systems and Developing Countries: Failure, Success, and Local Improvisations. </w:t>
      </w:r>
      <w:r>
        <w:rPr>
          <w:i/>
          <w:iCs/>
        </w:rPr>
        <w:t>The Information Society</w:t>
      </w:r>
      <w:r>
        <w:t>, 18(2): 101–112. https://doi.org/10.1080/01972240290075039</w:t>
      </w:r>
    </w:p>
    <w:p w14:paraId="56DC039B" w14:textId="77777777" w:rsidR="00BC2ADC" w:rsidRDefault="00BC2ADC" w:rsidP="00BC2ADC">
      <w:pPr>
        <w:pStyle w:val="Bibliografa"/>
      </w:pPr>
      <w:proofErr w:type="spellStart"/>
      <w:r>
        <w:rPr>
          <w:b/>
          <w:bCs/>
        </w:rPr>
        <w:t>Heeks</w:t>
      </w:r>
      <w:proofErr w:type="spellEnd"/>
      <w:r>
        <w:rPr>
          <w:b/>
          <w:bCs/>
        </w:rPr>
        <w:t>, R.</w:t>
      </w:r>
      <w:r>
        <w:t xml:space="preserve"> 2003. Most eGovernment-for-Development Projects Fail: How Can Risks be Reduced? </w:t>
      </w:r>
      <w:r>
        <w:rPr>
          <w:i/>
          <w:iCs/>
        </w:rPr>
        <w:t>SSRN Electronic Journal</w:t>
      </w:r>
      <w:r>
        <w:t>. https://doi.org/10.2139/ssrn.3540052</w:t>
      </w:r>
    </w:p>
    <w:p w14:paraId="51832CB8" w14:textId="77777777" w:rsidR="00BC2ADC" w:rsidRDefault="00BC2ADC" w:rsidP="00BC2ADC">
      <w:pPr>
        <w:pStyle w:val="Bibliografa"/>
      </w:pPr>
      <w:proofErr w:type="spellStart"/>
      <w:r>
        <w:rPr>
          <w:b/>
          <w:bCs/>
        </w:rPr>
        <w:t>Hrast</w:t>
      </w:r>
      <w:proofErr w:type="spellEnd"/>
      <w:r>
        <w:rPr>
          <w:b/>
          <w:bCs/>
        </w:rPr>
        <w:t xml:space="preserve"> </w:t>
      </w:r>
      <w:proofErr w:type="spellStart"/>
      <w:r>
        <w:rPr>
          <w:b/>
          <w:bCs/>
        </w:rPr>
        <w:t>Essenfelder</w:t>
      </w:r>
      <w:proofErr w:type="spellEnd"/>
      <w:r>
        <w:rPr>
          <w:b/>
          <w:bCs/>
        </w:rPr>
        <w:t xml:space="preserve">, A., </w:t>
      </w:r>
      <w:proofErr w:type="spellStart"/>
      <w:r>
        <w:rPr>
          <w:b/>
          <w:bCs/>
        </w:rPr>
        <w:t>Toreti</w:t>
      </w:r>
      <w:proofErr w:type="spellEnd"/>
      <w:r>
        <w:rPr>
          <w:b/>
          <w:bCs/>
        </w:rPr>
        <w:t xml:space="preserve">, A. &amp; </w:t>
      </w:r>
      <w:proofErr w:type="spellStart"/>
      <w:r>
        <w:rPr>
          <w:b/>
          <w:bCs/>
        </w:rPr>
        <w:t>Seguini</w:t>
      </w:r>
      <w:proofErr w:type="spellEnd"/>
      <w:r>
        <w:rPr>
          <w:b/>
          <w:bCs/>
        </w:rPr>
        <w:t>, L.</w:t>
      </w:r>
      <w:r>
        <w:t xml:space="preserve"> 2025. Expert-driven explainable artificial intelligence models can detect multiple climate hazards relevant for agriculture. </w:t>
      </w:r>
      <w:r>
        <w:rPr>
          <w:i/>
          <w:iCs/>
        </w:rPr>
        <w:t>Communications Earth &amp; Environment</w:t>
      </w:r>
      <w:r>
        <w:t>, 6(1): 207. https://doi.org/10.1038/s43247-024-01987-3</w:t>
      </w:r>
    </w:p>
    <w:p w14:paraId="30577FC3" w14:textId="77777777" w:rsidR="00BC2ADC" w:rsidRDefault="00BC2ADC" w:rsidP="00BC2ADC">
      <w:pPr>
        <w:pStyle w:val="Bibliografa"/>
      </w:pPr>
      <w:r>
        <w:rPr>
          <w:b/>
          <w:bCs/>
        </w:rPr>
        <w:t>IMF</w:t>
      </w:r>
      <w:r>
        <w:t>. undated. AI Preparedness Index (AIPI). [Cited 23 January 2026]. https://www.imf.org/external/datamapper/map/AI_PI@AIPI</w:t>
      </w:r>
    </w:p>
    <w:p w14:paraId="27CD2B6A" w14:textId="77777777" w:rsidR="00BC2ADC" w:rsidRPr="006C5890" w:rsidRDefault="00BC2ADC" w:rsidP="00BC2ADC">
      <w:pPr>
        <w:pStyle w:val="Bibliografa"/>
        <w:rPr>
          <w:lang w:val="fr-FR"/>
        </w:rPr>
      </w:pPr>
      <w:r w:rsidRPr="006C5890">
        <w:rPr>
          <w:b/>
          <w:bCs/>
          <w:lang w:val="fr-FR"/>
        </w:rPr>
        <w:t>INRAE</w:t>
      </w:r>
      <w:r w:rsidRPr="006C5890">
        <w:rPr>
          <w:lang w:val="fr-FR"/>
        </w:rPr>
        <w:t xml:space="preserve">. 2026. </w:t>
      </w:r>
      <w:r w:rsidRPr="006C5890">
        <w:rPr>
          <w:i/>
          <w:iCs/>
          <w:lang w:val="fr-FR"/>
        </w:rPr>
        <w:t>Appréhender l’agriculture numérique :  10 ans de recherche d’une communauté scientifique interdisciplinaire dans l’Institut Convergences</w:t>
      </w:r>
    </w:p>
    <w:p w14:paraId="0507579B" w14:textId="77777777" w:rsidR="00BC2ADC" w:rsidRDefault="00BC2ADC" w:rsidP="00BC2ADC">
      <w:pPr>
        <w:pStyle w:val="Bibliografa"/>
      </w:pPr>
      <w:proofErr w:type="spellStart"/>
      <w:r>
        <w:rPr>
          <w:b/>
          <w:bCs/>
        </w:rPr>
        <w:t>Intello</w:t>
      </w:r>
      <w:proofErr w:type="spellEnd"/>
      <w:r>
        <w:rPr>
          <w:b/>
          <w:bCs/>
        </w:rPr>
        <w:t xml:space="preserve"> Labs</w:t>
      </w:r>
      <w:r>
        <w:t xml:space="preserve">. undated. </w:t>
      </w:r>
      <w:proofErr w:type="spellStart"/>
      <w:r>
        <w:t>Intello</w:t>
      </w:r>
      <w:proofErr w:type="spellEnd"/>
      <w:r>
        <w:t xml:space="preserve"> </w:t>
      </w:r>
      <w:proofErr w:type="spellStart"/>
      <w:r>
        <w:t>ShelfEye</w:t>
      </w:r>
      <w:proofErr w:type="spellEnd"/>
      <w:r>
        <w:t>. [Cited 25 March 2026]. https://www.intellolabs.com/intello-shelfeye</w:t>
      </w:r>
    </w:p>
    <w:p w14:paraId="05B87D79" w14:textId="77777777" w:rsidR="00BC2ADC" w:rsidRDefault="00BC2ADC" w:rsidP="00BC2ADC">
      <w:pPr>
        <w:pStyle w:val="Bibliografa"/>
      </w:pPr>
      <w:r>
        <w:rPr>
          <w:b/>
          <w:bCs/>
        </w:rPr>
        <w:t>International Energy Agency</w:t>
      </w:r>
      <w:r>
        <w:t xml:space="preserve">. 2025. Energy and AI – Analysis. In: </w:t>
      </w:r>
      <w:r>
        <w:rPr>
          <w:i/>
          <w:iCs/>
        </w:rPr>
        <w:t>IEA</w:t>
      </w:r>
      <w:r>
        <w:t>. [Cited 23 February 2026]. https://www.iea.org/reports/energy-and-ai</w:t>
      </w:r>
    </w:p>
    <w:p w14:paraId="11B24C39" w14:textId="77777777" w:rsidR="00BC2ADC" w:rsidRDefault="00BC2ADC" w:rsidP="00BC2ADC">
      <w:pPr>
        <w:pStyle w:val="Bibliografa"/>
      </w:pPr>
      <w:r>
        <w:rPr>
          <w:b/>
          <w:bCs/>
        </w:rPr>
        <w:t xml:space="preserve">Islam, M.R., Oliullah, K., Kabir, M.M., Alom, M. &amp; </w:t>
      </w:r>
      <w:proofErr w:type="spellStart"/>
      <w:r>
        <w:rPr>
          <w:b/>
          <w:bCs/>
        </w:rPr>
        <w:t>Mridha</w:t>
      </w:r>
      <w:proofErr w:type="spellEnd"/>
      <w:r>
        <w:rPr>
          <w:b/>
          <w:bCs/>
        </w:rPr>
        <w:t>, M.F.</w:t>
      </w:r>
      <w:r>
        <w:t xml:space="preserve"> 2023. Machine learning enabled IoT system for soil nutrients monitoring and crop recommendation. </w:t>
      </w:r>
      <w:r>
        <w:rPr>
          <w:i/>
          <w:iCs/>
        </w:rPr>
        <w:t>Journal of Agriculture and Food Research</w:t>
      </w:r>
      <w:r>
        <w:t>, 14: 100880. https://doi.org/10.1016/j.jafr.2023.100880</w:t>
      </w:r>
    </w:p>
    <w:p w14:paraId="0022E234" w14:textId="77777777" w:rsidR="00BC2ADC" w:rsidRDefault="00BC2ADC" w:rsidP="00BC2ADC">
      <w:pPr>
        <w:pStyle w:val="Bibliografa"/>
      </w:pPr>
      <w:r>
        <w:rPr>
          <w:b/>
          <w:bCs/>
        </w:rPr>
        <w:t>James O’Donnell &amp; Casey Crownhart</w:t>
      </w:r>
      <w:r>
        <w:t xml:space="preserve">. undated. We did the math on AI’s energy footprint. Here’s the story you haven’t heard. In: </w:t>
      </w:r>
      <w:r>
        <w:rPr>
          <w:i/>
          <w:iCs/>
        </w:rPr>
        <w:t>MIT Technology Review</w:t>
      </w:r>
      <w:r>
        <w:t>. [Cited 26 March 2026]. https://www.technologyreview.com/2025/05/20/1116327/ai-energy-usage-climate-footprint-big-tech/</w:t>
      </w:r>
    </w:p>
    <w:p w14:paraId="554CA0E8" w14:textId="77777777" w:rsidR="00BC2ADC" w:rsidRDefault="00BC2ADC" w:rsidP="00BC2ADC">
      <w:pPr>
        <w:pStyle w:val="Bibliografa"/>
      </w:pPr>
      <w:r>
        <w:rPr>
          <w:b/>
          <w:bCs/>
        </w:rPr>
        <w:t>Ji, Z. &amp; Jiang, M.</w:t>
      </w:r>
      <w:r>
        <w:t xml:space="preserve"> 2026. A systematic review of electricity demand for large language models: evaluations, challenges, and solutions. </w:t>
      </w:r>
      <w:r>
        <w:rPr>
          <w:i/>
          <w:iCs/>
        </w:rPr>
        <w:t>Renewable and Sustainable Energy Reviews</w:t>
      </w:r>
      <w:r>
        <w:t>, 225: 116159. https://doi.org/10.1016/j.rser.2025.116159</w:t>
      </w:r>
    </w:p>
    <w:p w14:paraId="77C5D113" w14:textId="77777777" w:rsidR="00BC2ADC" w:rsidRDefault="00BC2ADC" w:rsidP="00BC2ADC">
      <w:pPr>
        <w:pStyle w:val="Bibliografa"/>
      </w:pPr>
      <w:r>
        <w:rPr>
          <w:b/>
          <w:bCs/>
        </w:rPr>
        <w:t>Kalai, A.T., Nachum, O., Vempala, S.S. &amp; Zhang, E.</w:t>
      </w:r>
      <w:r>
        <w:t xml:space="preserve"> 2025. </w:t>
      </w:r>
      <w:r>
        <w:rPr>
          <w:i/>
          <w:iCs/>
        </w:rPr>
        <w:t>Why Language Models Hallucinate</w:t>
      </w:r>
      <w:r>
        <w:t xml:space="preserve">. arXiv:2509.04664. </w:t>
      </w:r>
      <w:proofErr w:type="spellStart"/>
      <w:r>
        <w:t>arXiv</w:t>
      </w:r>
      <w:proofErr w:type="spellEnd"/>
      <w:r>
        <w:t>. [Cited 23 September 2025]. http://arxiv.org/abs/2509.04664</w:t>
      </w:r>
    </w:p>
    <w:p w14:paraId="7AF2CA99" w14:textId="77777777" w:rsidR="00BC2ADC" w:rsidRDefault="00BC2ADC" w:rsidP="00BC2ADC">
      <w:pPr>
        <w:pStyle w:val="Bibliografa"/>
      </w:pPr>
      <w:r>
        <w:rPr>
          <w:b/>
          <w:bCs/>
        </w:rPr>
        <w:t>Ketan Joshi</w:t>
      </w:r>
      <w:r>
        <w:t xml:space="preserve">. 2026. </w:t>
      </w:r>
      <w:r>
        <w:rPr>
          <w:i/>
          <w:iCs/>
        </w:rPr>
        <w:t>The AI climate hoax</w:t>
      </w:r>
      <w:r>
        <w:t>. https://ketanjoshi.co/2026/02/17/big-tech-greenwashing-report/</w:t>
      </w:r>
    </w:p>
    <w:p w14:paraId="4F5343CC" w14:textId="77777777" w:rsidR="00BC2ADC" w:rsidRDefault="00BC2ADC" w:rsidP="00BC2ADC">
      <w:pPr>
        <w:pStyle w:val="Bibliografa"/>
      </w:pPr>
      <w:proofErr w:type="spellStart"/>
      <w:r>
        <w:rPr>
          <w:b/>
          <w:bCs/>
        </w:rPr>
        <w:t>Khamesian</w:t>
      </w:r>
      <w:proofErr w:type="spellEnd"/>
      <w:r>
        <w:rPr>
          <w:b/>
          <w:bCs/>
        </w:rPr>
        <w:t xml:space="preserve">, S., </w:t>
      </w:r>
      <w:proofErr w:type="spellStart"/>
      <w:r>
        <w:rPr>
          <w:b/>
          <w:bCs/>
        </w:rPr>
        <w:t>Arefeen</w:t>
      </w:r>
      <w:proofErr w:type="spellEnd"/>
      <w:r>
        <w:rPr>
          <w:b/>
          <w:bCs/>
        </w:rPr>
        <w:t>, A., Carpenter, S.M. &amp; Ghasemzadeh, H.</w:t>
      </w:r>
      <w:r>
        <w:t xml:space="preserve"> 2025. </w:t>
      </w:r>
      <w:proofErr w:type="spellStart"/>
      <w:r>
        <w:rPr>
          <w:i/>
          <w:iCs/>
        </w:rPr>
        <w:t>NutriGen</w:t>
      </w:r>
      <w:proofErr w:type="spellEnd"/>
      <w:r>
        <w:rPr>
          <w:i/>
          <w:iCs/>
        </w:rPr>
        <w:t>: Personalized Meal Plan Generator Leveraging Large Language Models to Enhance Dietary and Nutritional Adherence</w:t>
      </w:r>
      <w:r>
        <w:t xml:space="preserve">. In: </w:t>
      </w:r>
      <w:r>
        <w:rPr>
          <w:i/>
          <w:iCs/>
        </w:rPr>
        <w:t>2025 47th Annual International Conference of the IEEE Engineering in Medicine and Biology Society (EMBC)</w:t>
      </w:r>
      <w:r>
        <w:t>. 14 July 2025. https://doi.org/10.1109/EMBC58623.2025.11253879</w:t>
      </w:r>
    </w:p>
    <w:p w14:paraId="485CB875" w14:textId="77777777" w:rsidR="00BC2ADC" w:rsidRDefault="00BC2ADC" w:rsidP="00BC2ADC">
      <w:pPr>
        <w:pStyle w:val="Bibliografa"/>
      </w:pPr>
      <w:r>
        <w:rPr>
          <w:b/>
          <w:bCs/>
        </w:rPr>
        <w:t>Kshirsagar, M.</w:t>
      </w:r>
      <w:r>
        <w:t xml:space="preserve"> 2025. Lifespan of AI Chips: The $300 Billion Question. In: </w:t>
      </w:r>
      <w:r>
        <w:rPr>
          <w:i/>
          <w:iCs/>
        </w:rPr>
        <w:t>CITP Blog</w:t>
      </w:r>
      <w:r>
        <w:t>. [Cited 26 March 2026]. https://blog.citp.princeton.edu/2025/10/15/lifespan-of-ai-chips-the-300-billion-question/</w:t>
      </w:r>
    </w:p>
    <w:p w14:paraId="281D480E" w14:textId="77777777" w:rsidR="00BC2ADC" w:rsidRDefault="00BC2ADC" w:rsidP="00BC2ADC">
      <w:pPr>
        <w:pStyle w:val="Bibliografa"/>
      </w:pPr>
      <w:r w:rsidRPr="009A4CBD">
        <w:rPr>
          <w:b/>
          <w:bCs/>
          <w:lang w:val="de-DE"/>
        </w:rPr>
        <w:t>Kulkarni, A., Wang, Y., Gopinath, M., Sobien, D., Rahman, A. &amp; Batarseh, F.A.</w:t>
      </w:r>
      <w:r w:rsidRPr="009A4CBD">
        <w:rPr>
          <w:lang w:val="de-DE"/>
        </w:rPr>
        <w:t xml:space="preserve"> 2025. </w:t>
      </w:r>
      <w:r>
        <w:t xml:space="preserve">A review of cybersecurity incidents in the food and agriculture sector. </w:t>
      </w:r>
      <w:r>
        <w:rPr>
          <w:i/>
          <w:iCs/>
        </w:rPr>
        <w:t>Journal of Agriculture and Food Research</w:t>
      </w:r>
      <w:r>
        <w:t>, 23: 102245. https://doi.org/10.1016/j.jafr.2025.102245</w:t>
      </w:r>
    </w:p>
    <w:p w14:paraId="06621BFA" w14:textId="77777777" w:rsidR="00BC2ADC" w:rsidRDefault="00BC2ADC" w:rsidP="00BC2ADC">
      <w:pPr>
        <w:pStyle w:val="Bibliografa"/>
      </w:pPr>
      <w:r>
        <w:rPr>
          <w:b/>
          <w:bCs/>
        </w:rPr>
        <w:t>Li, W., Luo, Y., Jiang, P., Dong, X., Tang, K., Liang, Z. &amp; Shi, Y.</w:t>
      </w:r>
      <w:r>
        <w:t xml:space="preserve"> 2025. </w:t>
      </w:r>
      <w:proofErr w:type="gramStart"/>
      <w:r>
        <w:t>A sustainable</w:t>
      </w:r>
      <w:proofErr w:type="gramEnd"/>
      <w:r>
        <w:t xml:space="preserve"> crop protection through integrated technologies: UAV-based detection, real-time pesticide mixing, and adaptive spraying. </w:t>
      </w:r>
      <w:r>
        <w:rPr>
          <w:i/>
          <w:iCs/>
        </w:rPr>
        <w:t>Scientific Reports</w:t>
      </w:r>
      <w:r>
        <w:t>, 15(1): 35748. https://doi.org/10.1038/s41598-025-19473-x</w:t>
      </w:r>
    </w:p>
    <w:p w14:paraId="7CD805F5" w14:textId="77777777" w:rsidR="00BC2ADC" w:rsidRDefault="00BC2ADC" w:rsidP="00BC2ADC">
      <w:pPr>
        <w:pStyle w:val="Bibliografa"/>
      </w:pPr>
      <w:r>
        <w:rPr>
          <w:b/>
          <w:bCs/>
        </w:rPr>
        <w:t>Liakos, K.G., Athanasiadis, V., Bozinou, E. &amp; Lalas, S.I.</w:t>
      </w:r>
      <w:r>
        <w:t xml:space="preserve"> 2025. Machine Learning for Quality Control in the Food Industry: A Review. </w:t>
      </w:r>
      <w:r>
        <w:rPr>
          <w:i/>
          <w:iCs/>
        </w:rPr>
        <w:t>Foods</w:t>
      </w:r>
      <w:r>
        <w:t>, 14(19): 3424. https://doi.org/10.3390/foods14193424</w:t>
      </w:r>
    </w:p>
    <w:p w14:paraId="0669746E" w14:textId="77777777" w:rsidR="00BC2ADC" w:rsidRDefault="00BC2ADC" w:rsidP="00BC2ADC">
      <w:pPr>
        <w:pStyle w:val="Bibliografa"/>
      </w:pPr>
      <w:r>
        <w:rPr>
          <w:b/>
          <w:bCs/>
        </w:rPr>
        <w:t xml:space="preserve">Machefer, M., Thomas, A.-C., Meroni, M., Veiga Lopez Pena, J.M., Ronco, M., </w:t>
      </w:r>
      <w:proofErr w:type="spellStart"/>
      <w:r>
        <w:rPr>
          <w:b/>
          <w:bCs/>
        </w:rPr>
        <w:t>Corbane</w:t>
      </w:r>
      <w:proofErr w:type="spellEnd"/>
      <w:r>
        <w:rPr>
          <w:b/>
          <w:bCs/>
        </w:rPr>
        <w:t>, C. &amp; Rembold, F.</w:t>
      </w:r>
      <w:r>
        <w:t xml:space="preserve"> 2025. Potential and limitations of machine learning modeling for forecasting Acute Food Insecurity. </w:t>
      </w:r>
      <w:r>
        <w:rPr>
          <w:i/>
          <w:iCs/>
        </w:rPr>
        <w:t>Global Food Security</w:t>
      </w:r>
      <w:r>
        <w:t>, 45: 100859. https://doi.org/10.1016/j.gfs.2025.100859</w:t>
      </w:r>
    </w:p>
    <w:p w14:paraId="16A44D25" w14:textId="77777777" w:rsidR="00BC2ADC" w:rsidRPr="006C5890" w:rsidRDefault="00BC2ADC" w:rsidP="00BC2ADC">
      <w:pPr>
        <w:pStyle w:val="Bibliografa"/>
        <w:rPr>
          <w:lang w:val="fr-FR"/>
        </w:rPr>
      </w:pPr>
      <w:r>
        <w:rPr>
          <w:b/>
          <w:bCs/>
        </w:rPr>
        <w:t xml:space="preserve">MacNish, T.R., Danilevicz, M.F., Bayer, P.E., </w:t>
      </w:r>
      <w:proofErr w:type="spellStart"/>
      <w:r>
        <w:rPr>
          <w:b/>
          <w:bCs/>
        </w:rPr>
        <w:t>Bestry</w:t>
      </w:r>
      <w:proofErr w:type="spellEnd"/>
      <w:r>
        <w:rPr>
          <w:b/>
          <w:bCs/>
        </w:rPr>
        <w:t>, M.S. &amp; Edwards, D.</w:t>
      </w:r>
      <w:r>
        <w:t xml:space="preserve"> 2025. Application of machine learning and genomics for orphan crop improvement. </w:t>
      </w:r>
      <w:r w:rsidRPr="006C5890">
        <w:rPr>
          <w:i/>
          <w:iCs/>
          <w:lang w:val="fr-FR"/>
        </w:rPr>
        <w:t>Nature Communications</w:t>
      </w:r>
      <w:r w:rsidRPr="006C5890">
        <w:rPr>
          <w:lang w:val="fr-FR"/>
        </w:rPr>
        <w:t>, 16(1</w:t>
      </w:r>
      <w:proofErr w:type="gramStart"/>
      <w:r w:rsidRPr="006C5890">
        <w:rPr>
          <w:lang w:val="fr-FR"/>
        </w:rPr>
        <w:t>):</w:t>
      </w:r>
      <w:proofErr w:type="gramEnd"/>
      <w:r w:rsidRPr="006C5890">
        <w:rPr>
          <w:lang w:val="fr-FR"/>
        </w:rPr>
        <w:t xml:space="preserve"> 982. https://doi.org/10.1038/s41467-025-56330-x</w:t>
      </w:r>
    </w:p>
    <w:p w14:paraId="38304C39" w14:textId="77777777" w:rsidR="00BC2ADC" w:rsidRDefault="00BC2ADC" w:rsidP="00BC2ADC">
      <w:pPr>
        <w:pStyle w:val="Bibliografa"/>
      </w:pPr>
      <w:r w:rsidRPr="006C5890">
        <w:rPr>
          <w:b/>
          <w:bCs/>
          <w:lang w:val="fr-FR"/>
        </w:rPr>
        <w:t xml:space="preserve">Manogna, R.L., </w:t>
      </w:r>
      <w:proofErr w:type="spellStart"/>
      <w:r w:rsidRPr="006C5890">
        <w:rPr>
          <w:b/>
          <w:bCs/>
          <w:lang w:val="fr-FR"/>
        </w:rPr>
        <w:t>Dharmaji</w:t>
      </w:r>
      <w:proofErr w:type="spellEnd"/>
      <w:r w:rsidRPr="006C5890">
        <w:rPr>
          <w:b/>
          <w:bCs/>
          <w:lang w:val="fr-FR"/>
        </w:rPr>
        <w:t>, V. &amp; Sarang, S.</w:t>
      </w:r>
      <w:r w:rsidRPr="006C5890">
        <w:rPr>
          <w:lang w:val="fr-FR"/>
        </w:rPr>
        <w:t xml:space="preserve"> 2025. </w:t>
      </w:r>
      <w:r>
        <w:t xml:space="preserve">Enhancing agricultural commodity price forecasting with deep learning. </w:t>
      </w:r>
      <w:r>
        <w:rPr>
          <w:i/>
          <w:iCs/>
        </w:rPr>
        <w:t>Scientific Reports</w:t>
      </w:r>
      <w:r>
        <w:t>, 15(1): 20903. https://doi.org/10.1038/s41598-025-05103-z</w:t>
      </w:r>
    </w:p>
    <w:p w14:paraId="2FE900FF" w14:textId="77777777" w:rsidR="00BC2ADC" w:rsidRDefault="00BC2ADC" w:rsidP="00BC2ADC">
      <w:pPr>
        <w:pStyle w:val="Bibliografa"/>
      </w:pPr>
      <w:r>
        <w:rPr>
          <w:b/>
          <w:bCs/>
        </w:rPr>
        <w:t xml:space="preserve">McDonald, D., Hyde, E., Debelius, J.W., Morton, J.T., Gonzalez, A., Ackermann, G., Aksenov, A.A. </w:t>
      </w:r>
      <w:r>
        <w:rPr>
          <w:b/>
          <w:bCs/>
          <w:i/>
          <w:iCs/>
        </w:rPr>
        <w:t>et al.</w:t>
      </w:r>
      <w:r>
        <w:t xml:space="preserve"> 2018. American Gut: </w:t>
      </w:r>
      <w:proofErr w:type="gramStart"/>
      <w:r>
        <w:t>an</w:t>
      </w:r>
      <w:proofErr w:type="gramEnd"/>
      <w:r>
        <w:t xml:space="preserve"> Open Platform for Citizen Science Microbiome Research. </w:t>
      </w:r>
      <w:proofErr w:type="spellStart"/>
      <w:r>
        <w:rPr>
          <w:i/>
          <w:iCs/>
        </w:rPr>
        <w:t>mSystems</w:t>
      </w:r>
      <w:proofErr w:type="spellEnd"/>
      <w:r>
        <w:t>, 3(3): e00031-18. https://doi.org/10.1128/mSystems.00031-18</w:t>
      </w:r>
    </w:p>
    <w:p w14:paraId="18D80BC2" w14:textId="77777777" w:rsidR="00BC2ADC" w:rsidRDefault="00BC2ADC" w:rsidP="00BC2ADC">
      <w:pPr>
        <w:pStyle w:val="Bibliografa"/>
      </w:pPr>
      <w:r>
        <w:rPr>
          <w:b/>
          <w:bCs/>
        </w:rPr>
        <w:t>McKinsey</w:t>
      </w:r>
      <w:r>
        <w:t>. 2025. The future of US hyperscale data centers. [Cited 26 March 2026]. https://www.mckinsey.com/industries/public-sector/our-insights/the-data-center-balance-how-us-states-can-navigate-the-opportunities-and-challenges</w:t>
      </w:r>
    </w:p>
    <w:p w14:paraId="3347D224" w14:textId="77777777" w:rsidR="00BC2ADC" w:rsidRDefault="00BC2ADC" w:rsidP="00BC2ADC">
      <w:pPr>
        <w:pStyle w:val="Bibliografa"/>
      </w:pPr>
      <w:r>
        <w:rPr>
          <w:b/>
          <w:bCs/>
        </w:rPr>
        <w:t xml:space="preserve">Mehrabi, Z., McDowell, M.J., Ricciardi, V., Levers, C., Martinez, J.D., Mehrabi, N., Wittman, H., </w:t>
      </w:r>
      <w:proofErr w:type="spellStart"/>
      <w:r>
        <w:rPr>
          <w:b/>
          <w:bCs/>
        </w:rPr>
        <w:t>Ramankutty</w:t>
      </w:r>
      <w:proofErr w:type="spellEnd"/>
      <w:r>
        <w:rPr>
          <w:b/>
          <w:bCs/>
        </w:rPr>
        <w:t>, N. &amp; Jarvis, A.</w:t>
      </w:r>
      <w:r>
        <w:t xml:space="preserve"> 2021. The global divide </w:t>
      </w:r>
      <w:proofErr w:type="gramStart"/>
      <w:r>
        <w:t>in</w:t>
      </w:r>
      <w:proofErr w:type="gramEnd"/>
      <w:r>
        <w:t xml:space="preserve"> data-driven farming. </w:t>
      </w:r>
      <w:r>
        <w:rPr>
          <w:i/>
          <w:iCs/>
        </w:rPr>
        <w:t>Nature Sustainability</w:t>
      </w:r>
      <w:r>
        <w:t>, 4(2): 154–160. https://doi.org/10.1038/s41893-020-00631-0</w:t>
      </w:r>
    </w:p>
    <w:p w14:paraId="65557F8D" w14:textId="77777777" w:rsidR="00BC2ADC" w:rsidRDefault="00BC2ADC" w:rsidP="00BC2ADC">
      <w:pPr>
        <w:pStyle w:val="Bibliografa"/>
      </w:pPr>
      <w:r>
        <w:rPr>
          <w:b/>
          <w:bCs/>
        </w:rPr>
        <w:t>Miller, S.R.</w:t>
      </w:r>
      <w:r>
        <w:t xml:space="preserve"> 2024. This App Set Out to Fight Pesticides. After VCs Stepped In, Now It Helps Sell Them. </w:t>
      </w:r>
      <w:r>
        <w:rPr>
          <w:i/>
          <w:iCs/>
        </w:rPr>
        <w:t>Wired</w:t>
      </w:r>
      <w:r>
        <w:t>. [Cited 16 March 2026]. https://www.wired.com/story/plantix-pesticides-venture-capital-app/</w:t>
      </w:r>
    </w:p>
    <w:p w14:paraId="1C0B2136" w14:textId="77777777" w:rsidR="00BC2ADC" w:rsidRDefault="00BC2ADC" w:rsidP="00BC2ADC">
      <w:pPr>
        <w:pStyle w:val="Bibliografa"/>
      </w:pPr>
      <w:r>
        <w:rPr>
          <w:b/>
          <w:bCs/>
        </w:rPr>
        <w:t xml:space="preserve">Mirzadeh, I., Alizadeh, K., Shahrokhi, H., </w:t>
      </w:r>
      <w:proofErr w:type="spellStart"/>
      <w:r>
        <w:rPr>
          <w:b/>
          <w:bCs/>
        </w:rPr>
        <w:t>Tuzel</w:t>
      </w:r>
      <w:proofErr w:type="spellEnd"/>
      <w:r>
        <w:rPr>
          <w:b/>
          <w:bCs/>
        </w:rPr>
        <w:t xml:space="preserve">, O., Bengio, S. &amp; </w:t>
      </w:r>
      <w:proofErr w:type="spellStart"/>
      <w:r>
        <w:rPr>
          <w:b/>
          <w:bCs/>
        </w:rPr>
        <w:t>Farajtabar</w:t>
      </w:r>
      <w:proofErr w:type="spellEnd"/>
      <w:r>
        <w:rPr>
          <w:b/>
          <w:bCs/>
        </w:rPr>
        <w:t>, M.</w:t>
      </w:r>
      <w:r>
        <w:t xml:space="preserve"> 2025. </w:t>
      </w:r>
      <w:r>
        <w:rPr>
          <w:i/>
          <w:iCs/>
        </w:rPr>
        <w:t>GSM-Symbolic: Understanding the Limitations of Mathematical Reasoning in Large Language Models</w:t>
      </w:r>
      <w:r>
        <w:t xml:space="preserve">. arXiv:2410.05229. </w:t>
      </w:r>
      <w:proofErr w:type="spellStart"/>
      <w:r>
        <w:t>arXiv</w:t>
      </w:r>
      <w:proofErr w:type="spellEnd"/>
      <w:r>
        <w:t>. [Cited 20 February 2026]. http://arxiv.org/abs/2410.05229</w:t>
      </w:r>
    </w:p>
    <w:p w14:paraId="7205D80D" w14:textId="77777777" w:rsidR="00BC2ADC" w:rsidRDefault="00BC2ADC" w:rsidP="00BC2ADC">
      <w:pPr>
        <w:pStyle w:val="Bibliografa"/>
      </w:pPr>
      <w:r>
        <w:rPr>
          <w:b/>
          <w:bCs/>
        </w:rPr>
        <w:t>Moyee Coffee</w:t>
      </w:r>
      <w:r>
        <w:t xml:space="preserve">. undated. Blockchain and Coffee. In: </w:t>
      </w:r>
      <w:r>
        <w:rPr>
          <w:i/>
          <w:iCs/>
        </w:rPr>
        <w:t>Moyee Coffee</w:t>
      </w:r>
      <w:r>
        <w:t>. [Cited 25 March 2026]. https://moyeecoffee.ie/pages/building-a-digital-supply-chain</w:t>
      </w:r>
    </w:p>
    <w:p w14:paraId="653E56D8" w14:textId="77777777" w:rsidR="00BC2ADC" w:rsidRDefault="00BC2ADC" w:rsidP="00BC2ADC">
      <w:pPr>
        <w:pStyle w:val="Bibliografa"/>
      </w:pPr>
      <w:r>
        <w:rPr>
          <w:b/>
          <w:bCs/>
        </w:rPr>
        <w:t>Ng, H.F., Lin, C.-Y., Chuah, J.H., Tan, H.K. &amp; Leung, K.H.</w:t>
      </w:r>
      <w:r>
        <w:t xml:space="preserve"> 2021. </w:t>
      </w:r>
      <w:r>
        <w:rPr>
          <w:i/>
          <w:iCs/>
        </w:rPr>
        <w:t>Plant Disease Detection Mobile Application Development using Deep Learning</w:t>
      </w:r>
      <w:r>
        <w:t xml:space="preserve">. In: </w:t>
      </w:r>
      <w:r>
        <w:rPr>
          <w:i/>
          <w:iCs/>
        </w:rPr>
        <w:t>2021 International Conference on Computer &amp; Information Sciences (ICCOINS)</w:t>
      </w:r>
      <w:r>
        <w:t>. 2021 International Conference on Computer &amp; Information Sciences (ICCOINS), Kuching, Malaysia, IEEE, 13 July 2021. https://doi.org/10.1109/ICCOINS49721.2021.9497190</w:t>
      </w:r>
    </w:p>
    <w:p w14:paraId="23967A81" w14:textId="77777777" w:rsidR="00BC2ADC" w:rsidRDefault="00BC2ADC" w:rsidP="00BC2ADC">
      <w:pPr>
        <w:pStyle w:val="Bibliografa"/>
      </w:pPr>
      <w:r>
        <w:rPr>
          <w:b/>
          <w:bCs/>
        </w:rPr>
        <w:t xml:space="preserve">Nguyen, T.T., Mushtaq, S., Kath, J., Nguyen-Huy, T. &amp; </w:t>
      </w:r>
      <w:proofErr w:type="spellStart"/>
      <w:r>
        <w:rPr>
          <w:b/>
          <w:bCs/>
        </w:rPr>
        <w:t>Reymondin</w:t>
      </w:r>
      <w:proofErr w:type="spellEnd"/>
      <w:r>
        <w:rPr>
          <w:b/>
          <w:bCs/>
        </w:rPr>
        <w:t>, L.</w:t>
      </w:r>
      <w:r>
        <w:t xml:space="preserve"> 2025. Satellite-based data for agricultural index insurance: a systematic quantitative literature review. </w:t>
      </w:r>
      <w:r>
        <w:rPr>
          <w:i/>
          <w:iCs/>
        </w:rPr>
        <w:t>Natural Hazards and Earth System Sciences</w:t>
      </w:r>
      <w:r>
        <w:t>, 25(2): 913–927. https://doi.org/10.5194/nhess-25-913-2025</w:t>
      </w:r>
    </w:p>
    <w:p w14:paraId="5EE67F21" w14:textId="77777777" w:rsidR="00BC2ADC" w:rsidRDefault="00BC2ADC" w:rsidP="00BC2ADC">
      <w:pPr>
        <w:pStyle w:val="Bibliografa"/>
      </w:pPr>
      <w:r w:rsidRPr="006C5890">
        <w:rPr>
          <w:b/>
          <w:bCs/>
          <w:lang w:val="en-CA"/>
        </w:rPr>
        <w:t xml:space="preserve">Norori, N., Hu, Q., </w:t>
      </w:r>
      <w:proofErr w:type="spellStart"/>
      <w:r w:rsidRPr="006C5890">
        <w:rPr>
          <w:b/>
          <w:bCs/>
          <w:lang w:val="en-CA"/>
        </w:rPr>
        <w:t>Aellen</w:t>
      </w:r>
      <w:proofErr w:type="spellEnd"/>
      <w:r w:rsidRPr="006C5890">
        <w:rPr>
          <w:b/>
          <w:bCs/>
          <w:lang w:val="en-CA"/>
        </w:rPr>
        <w:t xml:space="preserve">, F.M., Faraci, F.D. &amp; </w:t>
      </w:r>
      <w:proofErr w:type="spellStart"/>
      <w:r w:rsidRPr="006C5890">
        <w:rPr>
          <w:b/>
          <w:bCs/>
          <w:lang w:val="en-CA"/>
        </w:rPr>
        <w:t>Tzovara</w:t>
      </w:r>
      <w:proofErr w:type="spellEnd"/>
      <w:r w:rsidRPr="006C5890">
        <w:rPr>
          <w:b/>
          <w:bCs/>
          <w:lang w:val="en-CA"/>
        </w:rPr>
        <w:t>, A.</w:t>
      </w:r>
      <w:r w:rsidRPr="006C5890">
        <w:rPr>
          <w:lang w:val="en-CA"/>
        </w:rPr>
        <w:t xml:space="preserve"> 2021. </w:t>
      </w:r>
      <w:r>
        <w:t xml:space="preserve">Addressing bias in big data and AI for health care: A call for open science. </w:t>
      </w:r>
      <w:r>
        <w:rPr>
          <w:i/>
          <w:iCs/>
        </w:rPr>
        <w:t>Patterns</w:t>
      </w:r>
      <w:r>
        <w:t>, 2(10): 100347. https://doi.org/10.1016/j.patter.2021.100347</w:t>
      </w:r>
    </w:p>
    <w:p w14:paraId="4BA7EDC7" w14:textId="77777777" w:rsidR="00BC2ADC" w:rsidRDefault="00BC2ADC" w:rsidP="00BC2ADC">
      <w:pPr>
        <w:pStyle w:val="Bibliografa"/>
      </w:pPr>
      <w:r>
        <w:rPr>
          <w:b/>
          <w:bCs/>
        </w:rPr>
        <w:t xml:space="preserve">O’Donncha, F., Stockwell, C.L., Planellas, S.R., Micallef, G., Palmes, P., Webb, C., </w:t>
      </w:r>
      <w:proofErr w:type="spellStart"/>
      <w:r>
        <w:rPr>
          <w:b/>
          <w:bCs/>
        </w:rPr>
        <w:t>Filgueira</w:t>
      </w:r>
      <w:proofErr w:type="spellEnd"/>
      <w:r>
        <w:rPr>
          <w:b/>
          <w:bCs/>
        </w:rPr>
        <w:t>, R. &amp; Grant, J.</w:t>
      </w:r>
      <w:r>
        <w:t xml:space="preserve"> 2021. Data Driven Insight </w:t>
      </w:r>
      <w:proofErr w:type="gramStart"/>
      <w:r>
        <w:t>Into</w:t>
      </w:r>
      <w:proofErr w:type="gramEnd"/>
      <w:r>
        <w:t xml:space="preserve"> Fish </w:t>
      </w:r>
      <w:proofErr w:type="spellStart"/>
      <w:r>
        <w:t>Behaviour</w:t>
      </w:r>
      <w:proofErr w:type="spellEnd"/>
      <w:r>
        <w:t xml:space="preserve"> and Their Use for Precision Aquaculture. </w:t>
      </w:r>
      <w:r>
        <w:rPr>
          <w:i/>
          <w:iCs/>
        </w:rPr>
        <w:t>Frontiers in Animal Science</w:t>
      </w:r>
      <w:r>
        <w:t>, 2. https://doi.org/10.3389/fanim.2021.695054</w:t>
      </w:r>
    </w:p>
    <w:p w14:paraId="0459CE81" w14:textId="77777777" w:rsidR="00BC2ADC" w:rsidRDefault="00BC2ADC" w:rsidP="00BC2ADC">
      <w:pPr>
        <w:pStyle w:val="Bibliografa"/>
      </w:pPr>
      <w:r>
        <w:rPr>
          <w:b/>
          <w:bCs/>
        </w:rPr>
        <w:t>Onoufriou, G., Bickerton, R., Pearson, S. &amp; Leontidis, G.</w:t>
      </w:r>
      <w:r>
        <w:t xml:space="preserve"> 2019. </w:t>
      </w:r>
      <w:proofErr w:type="spellStart"/>
      <w:r>
        <w:t>Nemesyst</w:t>
      </w:r>
      <w:proofErr w:type="spellEnd"/>
      <w:r>
        <w:t xml:space="preserve">: A hybrid parallelism deep learning-based framework applied for internet of things enabled food retailing refrigeration systems. </w:t>
      </w:r>
      <w:r>
        <w:rPr>
          <w:i/>
          <w:iCs/>
        </w:rPr>
        <w:t>Computers in Industry</w:t>
      </w:r>
      <w:r>
        <w:t>, 113: 103133. https://doi.org/10.1016/j.compind.2019.103133</w:t>
      </w:r>
    </w:p>
    <w:p w14:paraId="0453CADD" w14:textId="77777777" w:rsidR="00BC2ADC" w:rsidRDefault="00BC2ADC" w:rsidP="00BC2ADC">
      <w:pPr>
        <w:pStyle w:val="Bibliografa"/>
      </w:pPr>
      <w:r>
        <w:rPr>
          <w:b/>
          <w:bCs/>
        </w:rPr>
        <w:t>Oxfam</w:t>
      </w:r>
      <w:r>
        <w:t xml:space="preserve">. undated. </w:t>
      </w:r>
      <w:proofErr w:type="spellStart"/>
      <w:r>
        <w:t>BlockChain</w:t>
      </w:r>
      <w:proofErr w:type="spellEnd"/>
      <w:r>
        <w:t xml:space="preserve"> For Livelihoods </w:t>
      </w:r>
      <w:proofErr w:type="gramStart"/>
      <w:r>
        <w:t>From</w:t>
      </w:r>
      <w:proofErr w:type="gramEnd"/>
      <w:r>
        <w:t xml:space="preserve"> Organic Cambodian Rice (</w:t>
      </w:r>
      <w:proofErr w:type="spellStart"/>
      <w:r>
        <w:t>BlocRice</w:t>
      </w:r>
      <w:proofErr w:type="spellEnd"/>
      <w:r>
        <w:t>) Project. [Cited 25 March 2026]. https://cambodia.oxfam.org/BlocRice</w:t>
      </w:r>
    </w:p>
    <w:p w14:paraId="1D9A22E8" w14:textId="77777777" w:rsidR="00BC2ADC" w:rsidRDefault="00BC2ADC" w:rsidP="00BC2ADC">
      <w:pPr>
        <w:pStyle w:val="Bibliografa"/>
      </w:pPr>
      <w:r>
        <w:rPr>
          <w:b/>
          <w:bCs/>
        </w:rPr>
        <w:t>Patel, P.</w:t>
      </w:r>
      <w:r>
        <w:t xml:space="preserve"> 2025. </w:t>
      </w:r>
      <w:r>
        <w:rPr>
          <w:i/>
          <w:iCs/>
        </w:rPr>
        <w:t>Machine Learning Applications in Agriculture: A Software Engineering Perspective</w:t>
      </w:r>
      <w:r>
        <w:t>. Engineering Archive. [Cited 20 March 2026]. https://engrxiv.org/preprint/view/4824</w:t>
      </w:r>
    </w:p>
    <w:p w14:paraId="3D39CE9C" w14:textId="77777777" w:rsidR="00BC2ADC" w:rsidRDefault="00BC2ADC" w:rsidP="00BC2ADC">
      <w:pPr>
        <w:pStyle w:val="Bibliografa"/>
      </w:pPr>
      <w:r>
        <w:rPr>
          <w:b/>
          <w:bCs/>
        </w:rPr>
        <w:t>PricewaterhouseCoopers</w:t>
      </w:r>
      <w:r>
        <w:t xml:space="preserve">. undated. 29th Global CEO Survey. In: </w:t>
      </w:r>
      <w:r>
        <w:rPr>
          <w:i/>
          <w:iCs/>
        </w:rPr>
        <w:t>PwC</w:t>
      </w:r>
      <w:r>
        <w:t>. [Cited 20 February 2026]. https://www.pwc.com/gx/en/issues/c-suite-insights/ceo-survey.html</w:t>
      </w:r>
    </w:p>
    <w:p w14:paraId="6DB81694" w14:textId="77777777" w:rsidR="00BC2ADC" w:rsidRDefault="00BC2ADC" w:rsidP="00BC2ADC">
      <w:pPr>
        <w:pStyle w:val="Bibliografa"/>
      </w:pPr>
      <w:r>
        <w:rPr>
          <w:b/>
          <w:bCs/>
        </w:rPr>
        <w:t>Qian, C., Murphy, S.I., Orsi, R.H. &amp; Wiedmann, M.</w:t>
      </w:r>
      <w:r>
        <w:t xml:space="preserve"> 2023. How Can AI Help Improve Food Safety? </w:t>
      </w:r>
      <w:r>
        <w:rPr>
          <w:i/>
          <w:iCs/>
        </w:rPr>
        <w:t>Annual Review of Food Science and Technology</w:t>
      </w:r>
      <w:r>
        <w:t>, 14(1): 517–538. https://doi.org/10.1146/annurev-food-060721-013815</w:t>
      </w:r>
    </w:p>
    <w:p w14:paraId="4A4718C9" w14:textId="77777777" w:rsidR="00BC2ADC" w:rsidRDefault="00BC2ADC" w:rsidP="00BC2ADC">
      <w:pPr>
        <w:pStyle w:val="Bibliografa"/>
      </w:pPr>
      <w:r>
        <w:rPr>
          <w:b/>
          <w:bCs/>
        </w:rPr>
        <w:t>Ramcharan, A., Baranowski, K., McCloskey, P., Ahmed, B., Legg, J. &amp; Hughes, D.P.</w:t>
      </w:r>
      <w:r>
        <w:t xml:space="preserve"> 2017. Deep Learning for Image-Based Cassava Disease Detection. </w:t>
      </w:r>
      <w:r>
        <w:rPr>
          <w:i/>
          <w:iCs/>
        </w:rPr>
        <w:t>Frontiers in Plant Science</w:t>
      </w:r>
      <w:r>
        <w:t>, 8. https://doi.org/10.3389/fpls.2017.01852</w:t>
      </w:r>
    </w:p>
    <w:p w14:paraId="248EBBF3" w14:textId="77777777" w:rsidR="00BC2ADC" w:rsidRDefault="00BC2ADC" w:rsidP="00BC2ADC">
      <w:pPr>
        <w:pStyle w:val="Bibliografa"/>
      </w:pPr>
      <w:r w:rsidRPr="009A4CBD">
        <w:rPr>
          <w:b/>
          <w:bCs/>
          <w:lang w:val="de-DE"/>
        </w:rPr>
        <w:t xml:space="preserve">Rashvand, M., Ren, Y., Sun, D.-W., Senge, J., Krupitzer, C., Fadiji, T., Miró, M.S. </w:t>
      </w:r>
      <w:r w:rsidRPr="009A4CBD">
        <w:rPr>
          <w:b/>
          <w:bCs/>
          <w:i/>
          <w:iCs/>
          <w:lang w:val="de-DE"/>
        </w:rPr>
        <w:t>et al.</w:t>
      </w:r>
      <w:r w:rsidRPr="009A4CBD">
        <w:rPr>
          <w:lang w:val="de-DE"/>
        </w:rPr>
        <w:t xml:space="preserve"> 2025. </w:t>
      </w:r>
      <w:r>
        <w:t xml:space="preserve">Artificial intelligence for prediction of shelf-life of various food products: Recent advances and ongoing challenges. </w:t>
      </w:r>
      <w:r>
        <w:rPr>
          <w:i/>
          <w:iCs/>
        </w:rPr>
        <w:t>Trends in Food Science &amp; Technology</w:t>
      </w:r>
      <w:r>
        <w:t>, 159: 104989. https://doi.org/10.1016/j.tifs.2025.104989</w:t>
      </w:r>
    </w:p>
    <w:p w14:paraId="12CD2675" w14:textId="77777777" w:rsidR="00BC2ADC" w:rsidRDefault="00BC2ADC" w:rsidP="00BC2ADC">
      <w:pPr>
        <w:pStyle w:val="Bibliografa"/>
      </w:pPr>
      <w:r>
        <w:rPr>
          <w:b/>
          <w:bCs/>
        </w:rPr>
        <w:t>Remi Lam, Alvaro Sanchez-Gonzales, Matthew Wilson, Peter Wirnsberger &amp; Meire Fortunato</w:t>
      </w:r>
      <w:r>
        <w:t xml:space="preserve">. 2023. Learning skillful medium-range global weather forecasting. </w:t>
      </w:r>
      <w:r>
        <w:rPr>
          <w:i/>
          <w:iCs/>
        </w:rPr>
        <w:t>Science</w:t>
      </w:r>
      <w:r>
        <w:t>, 382(6677): 1416–1421. https://doi.org/10.1126/science.adi2336</w:t>
      </w:r>
    </w:p>
    <w:p w14:paraId="63490D6D" w14:textId="77777777" w:rsidR="00BC2ADC" w:rsidRDefault="00BC2ADC" w:rsidP="00BC2ADC">
      <w:pPr>
        <w:pStyle w:val="Bibliografa"/>
      </w:pPr>
      <w:r>
        <w:rPr>
          <w:b/>
          <w:bCs/>
        </w:rPr>
        <w:t xml:space="preserve">Rolnick, D., Donti, P.L., </w:t>
      </w:r>
      <w:proofErr w:type="spellStart"/>
      <w:r>
        <w:rPr>
          <w:b/>
          <w:bCs/>
        </w:rPr>
        <w:t>Kaack</w:t>
      </w:r>
      <w:proofErr w:type="spellEnd"/>
      <w:r>
        <w:rPr>
          <w:b/>
          <w:bCs/>
        </w:rPr>
        <w:t xml:space="preserve">, L.H., Kochanski, K., Lacoste, A., Ai, E., Sankaran, K. </w:t>
      </w:r>
      <w:r>
        <w:rPr>
          <w:b/>
          <w:bCs/>
          <w:i/>
          <w:iCs/>
        </w:rPr>
        <w:t>et al.</w:t>
      </w:r>
      <w:r>
        <w:t xml:space="preserve"> undated. Tackling Climate Change with Machine Learning. </w:t>
      </w:r>
      <w:r>
        <w:rPr>
          <w:i/>
          <w:iCs/>
        </w:rPr>
        <w:t>ACM Computing Surveys</w:t>
      </w:r>
      <w:r>
        <w:t>, 55(2).</w:t>
      </w:r>
    </w:p>
    <w:p w14:paraId="0494EDE9" w14:textId="77777777" w:rsidR="00BC2ADC" w:rsidRDefault="00BC2ADC" w:rsidP="00BC2ADC">
      <w:pPr>
        <w:pStyle w:val="Bibliografa"/>
      </w:pPr>
      <w:r>
        <w:rPr>
          <w:b/>
          <w:bCs/>
        </w:rPr>
        <w:t>Scott, K., Shinde, A., Ummer, O., Yadav, S., Sharma, M., Purty, N., Jairath, A., Chamberlain, S. &amp; LeFevre, A.E.</w:t>
      </w:r>
      <w:r>
        <w:t xml:space="preserve"> 2021. Freedom within a cage: how patriarchal gender norms limit women’s use of mobile phones in rural central India. </w:t>
      </w:r>
      <w:r>
        <w:rPr>
          <w:i/>
          <w:iCs/>
        </w:rPr>
        <w:t>BMJ Global Health</w:t>
      </w:r>
      <w:r>
        <w:t>, 6(Suppl 5): e005596. https://doi.org/10.1136/bmjgh-2021-005596</w:t>
      </w:r>
    </w:p>
    <w:p w14:paraId="6077B8EB" w14:textId="77777777" w:rsidR="00BC2ADC" w:rsidRDefault="00BC2ADC" w:rsidP="00BC2ADC">
      <w:pPr>
        <w:pStyle w:val="Bibliografa"/>
      </w:pPr>
      <w:r>
        <w:rPr>
          <w:b/>
          <w:bCs/>
        </w:rPr>
        <w:t xml:space="preserve">Shafay, M., Hassan, T., Owais, M., Hussain, I., Khawaja, S.G., Seneviratne, L. &amp; </w:t>
      </w:r>
      <w:proofErr w:type="spellStart"/>
      <w:r>
        <w:rPr>
          <w:b/>
          <w:bCs/>
        </w:rPr>
        <w:t>Werghi</w:t>
      </w:r>
      <w:proofErr w:type="spellEnd"/>
      <w:r>
        <w:rPr>
          <w:b/>
          <w:bCs/>
        </w:rPr>
        <w:t>, N.</w:t>
      </w:r>
      <w:r>
        <w:t xml:space="preserve"> 2025. Recent advances in plant disease detection: challenges and opportunities. </w:t>
      </w:r>
      <w:r>
        <w:rPr>
          <w:i/>
          <w:iCs/>
        </w:rPr>
        <w:t>Plant Methods</w:t>
      </w:r>
      <w:r>
        <w:t>, 21(1): 140. https://doi.org/10.1186/s13007-025-01450-0</w:t>
      </w:r>
    </w:p>
    <w:p w14:paraId="6BFDEED4" w14:textId="77777777" w:rsidR="00BC2ADC" w:rsidRDefault="00BC2ADC" w:rsidP="00BC2ADC">
      <w:pPr>
        <w:pStyle w:val="Bibliografa"/>
      </w:pPr>
      <w:r>
        <w:rPr>
          <w:b/>
          <w:bCs/>
        </w:rPr>
        <w:t>Singh, P. &amp; Singh, N.</w:t>
      </w:r>
      <w:r>
        <w:t xml:space="preserve"> 2020. Blockchain With IoT and AI: A Review of Agriculture and Healthcare. </w:t>
      </w:r>
      <w:r>
        <w:rPr>
          <w:i/>
          <w:iCs/>
        </w:rPr>
        <w:t>International Journal of Applied Evolutionary Computation (IJAEC)</w:t>
      </w:r>
      <w:r>
        <w:t>, 11(4): 13–27.</w:t>
      </w:r>
    </w:p>
    <w:p w14:paraId="07C02498" w14:textId="77777777" w:rsidR="00BC2ADC" w:rsidRDefault="00BC2ADC" w:rsidP="00BC2ADC">
      <w:pPr>
        <w:pStyle w:val="Bibliografa"/>
      </w:pPr>
      <w:r>
        <w:rPr>
          <w:b/>
          <w:bCs/>
        </w:rPr>
        <w:t>Soldani, E.</w:t>
      </w:r>
      <w:r>
        <w:t xml:space="preserve"> 2014. </w:t>
      </w:r>
      <w:proofErr w:type="gramStart"/>
      <w:r>
        <w:t>Information is</w:t>
      </w:r>
      <w:proofErr w:type="gramEnd"/>
      <w:r>
        <w:t xml:space="preserve"> </w:t>
      </w:r>
      <w:proofErr w:type="gramStart"/>
      <w:r>
        <w:t>power?</w:t>
      </w:r>
      <w:proofErr w:type="gramEnd"/>
      <w:r>
        <w:t xml:space="preserve"> Impact of an SMS-based Market Information System on Farmers in Ghana. https://www.academia.edu/65239733/Information_is_power_Impact_of_an_SMS_based_Market_Information_System_on_Farmers_in_Ghana</w:t>
      </w:r>
    </w:p>
    <w:p w14:paraId="71488C25" w14:textId="77777777" w:rsidR="00BC2ADC" w:rsidRDefault="00BC2ADC" w:rsidP="00BC2ADC">
      <w:pPr>
        <w:pStyle w:val="Bibliografa"/>
      </w:pPr>
      <w:r w:rsidRPr="009A4CBD">
        <w:rPr>
          <w:b/>
          <w:bCs/>
          <w:lang w:val="it-IT"/>
        </w:rPr>
        <w:t>Spadine, M. &amp; Patterson, M.S.</w:t>
      </w:r>
      <w:r w:rsidRPr="009A4CBD">
        <w:rPr>
          <w:lang w:val="it-IT"/>
        </w:rPr>
        <w:t xml:space="preserve"> 2022. </w:t>
      </w:r>
      <w:r>
        <w:t xml:space="preserve">Social Influence on Fad Diet Use: A Systematic Literature Review. </w:t>
      </w:r>
      <w:r>
        <w:rPr>
          <w:i/>
          <w:iCs/>
        </w:rPr>
        <w:t>Nutrition and Health</w:t>
      </w:r>
      <w:r>
        <w:t>, 28(3): 369–388. https://doi.org/10.1177/02601060211072370</w:t>
      </w:r>
    </w:p>
    <w:p w14:paraId="073558BD" w14:textId="77777777" w:rsidR="00BC2ADC" w:rsidRDefault="00BC2ADC" w:rsidP="00BC2ADC">
      <w:pPr>
        <w:pStyle w:val="Bibliografa"/>
      </w:pPr>
      <w:r>
        <w:rPr>
          <w:b/>
          <w:bCs/>
        </w:rPr>
        <w:t>Stuart D. Levi &amp; Shannon N. Morgan</w:t>
      </w:r>
      <w:r>
        <w:t>. undated. District Court Affirms Human Authorship Requirement for the Copyrightability of Autonomously Generated AI Works</w:t>
      </w:r>
    </w:p>
    <w:p w14:paraId="2499F05A" w14:textId="77777777" w:rsidR="00BC2ADC" w:rsidRDefault="00BC2ADC" w:rsidP="00BC2ADC">
      <w:pPr>
        <w:pStyle w:val="Bibliografa"/>
      </w:pPr>
      <w:r>
        <w:rPr>
          <w:b/>
          <w:bCs/>
        </w:rPr>
        <w:t>Subramaniam, N.</w:t>
      </w:r>
      <w:r>
        <w:t xml:space="preserve"> 2021. Why The Indian Government </w:t>
      </w:r>
      <w:proofErr w:type="gramStart"/>
      <w:r>
        <w:t>And</w:t>
      </w:r>
      <w:proofErr w:type="gramEnd"/>
      <w:r>
        <w:t xml:space="preserve"> Microsoft’s </w:t>
      </w:r>
      <w:proofErr w:type="spellStart"/>
      <w:r>
        <w:t>Agristack</w:t>
      </w:r>
      <w:proofErr w:type="spellEnd"/>
      <w:r>
        <w:t xml:space="preserve"> Project Has Alarmed IFF, Farmer Bodies. In: </w:t>
      </w:r>
      <w:r>
        <w:rPr>
          <w:i/>
          <w:iCs/>
        </w:rPr>
        <w:t>Inc42 Media</w:t>
      </w:r>
      <w:r>
        <w:t>. [Cited 25 February 2026]. https://inc42.com/features/why-the-indian-government-and-microsofts-agristack-project-has-alarmed-iff-farmer-bodies/</w:t>
      </w:r>
    </w:p>
    <w:p w14:paraId="40A66E2F" w14:textId="77777777" w:rsidR="00BC2ADC" w:rsidRDefault="00BC2ADC" w:rsidP="00BC2ADC">
      <w:pPr>
        <w:pStyle w:val="Bibliografa"/>
      </w:pPr>
      <w:r>
        <w:rPr>
          <w:b/>
          <w:bCs/>
        </w:rPr>
        <w:t>Sweney, M. &amp; Milmo, D.</w:t>
      </w:r>
      <w:r>
        <w:t xml:space="preserve"> 2025. OpenAI ‘reviewing’ allegations that its AI models were used to make DeepSeek. </w:t>
      </w:r>
      <w:r>
        <w:rPr>
          <w:i/>
          <w:iCs/>
        </w:rPr>
        <w:t>The Guardian</w:t>
      </w:r>
      <w:r>
        <w:t>, 29 January 2025. [Cited 26 March 2026]. https://www.theguardian.com/technology/2025/jan/29/openai-chatgpt-deepseek-china-us-ai-models</w:t>
      </w:r>
    </w:p>
    <w:p w14:paraId="4BDDD179" w14:textId="77777777" w:rsidR="00BC2ADC" w:rsidRDefault="00BC2ADC" w:rsidP="00BC2ADC">
      <w:pPr>
        <w:pStyle w:val="Bibliografa"/>
      </w:pPr>
      <w:proofErr w:type="spellStart"/>
      <w:r w:rsidRPr="006C5890">
        <w:rPr>
          <w:b/>
          <w:bCs/>
          <w:lang w:val="fr-FR"/>
        </w:rPr>
        <w:t>Theofilou</w:t>
      </w:r>
      <w:proofErr w:type="spellEnd"/>
      <w:r w:rsidRPr="006C5890">
        <w:rPr>
          <w:b/>
          <w:bCs/>
          <w:lang w:val="fr-FR"/>
        </w:rPr>
        <w:t xml:space="preserve">, A., </w:t>
      </w:r>
      <w:proofErr w:type="spellStart"/>
      <w:r w:rsidRPr="006C5890">
        <w:rPr>
          <w:b/>
          <w:bCs/>
          <w:lang w:val="fr-FR"/>
        </w:rPr>
        <w:t>Nastis</w:t>
      </w:r>
      <w:proofErr w:type="spellEnd"/>
      <w:r w:rsidRPr="006C5890">
        <w:rPr>
          <w:b/>
          <w:bCs/>
          <w:lang w:val="fr-FR"/>
        </w:rPr>
        <w:t xml:space="preserve">, S.A., Michailidis, A., </w:t>
      </w:r>
      <w:proofErr w:type="spellStart"/>
      <w:r w:rsidRPr="006C5890">
        <w:rPr>
          <w:b/>
          <w:bCs/>
          <w:lang w:val="fr-FR"/>
        </w:rPr>
        <w:t>Bournaris</w:t>
      </w:r>
      <w:proofErr w:type="spellEnd"/>
      <w:r w:rsidRPr="006C5890">
        <w:rPr>
          <w:b/>
          <w:bCs/>
          <w:lang w:val="fr-FR"/>
        </w:rPr>
        <w:t>, T. &amp; Mattas, K.</w:t>
      </w:r>
      <w:r w:rsidRPr="006C5890">
        <w:rPr>
          <w:lang w:val="fr-FR"/>
        </w:rPr>
        <w:t xml:space="preserve"> 2025. </w:t>
      </w:r>
      <w:r>
        <w:t xml:space="preserve">Predicting Prices of Staple Crops Using Machine Learning: A Systematic Review of Studies on Wheat, Corn, and Rice. </w:t>
      </w:r>
      <w:r>
        <w:rPr>
          <w:i/>
          <w:iCs/>
        </w:rPr>
        <w:t>Sustainability</w:t>
      </w:r>
      <w:r>
        <w:t>, 17(12). https://doi.org/10.3390/su17125456</w:t>
      </w:r>
    </w:p>
    <w:p w14:paraId="17B9E4FA" w14:textId="77777777" w:rsidR="00BC2ADC" w:rsidRDefault="00BC2ADC" w:rsidP="00BC2ADC">
      <w:pPr>
        <w:pStyle w:val="Bibliografa"/>
      </w:pPr>
      <w:r>
        <w:rPr>
          <w:b/>
          <w:bCs/>
        </w:rPr>
        <w:t>Thomas Claburn</w:t>
      </w:r>
      <w:r>
        <w:t>. 2026. ChatGPT will get ads. Free and Go users first. [Cited 19 January 2026]. https://www.theregister.com/2026/01/17/openai_chatgpt_ads/</w:t>
      </w:r>
    </w:p>
    <w:p w14:paraId="51921260" w14:textId="77777777" w:rsidR="00BC2ADC" w:rsidRDefault="00BC2ADC" w:rsidP="00BC2ADC">
      <w:pPr>
        <w:pStyle w:val="Bibliografa"/>
      </w:pPr>
      <w:r>
        <w:rPr>
          <w:b/>
          <w:bCs/>
        </w:rPr>
        <w:t>Times, T.B.</w:t>
      </w:r>
      <w:r>
        <w:t xml:space="preserve"> undated. ChatGPT consumes 25 times more energy than Google. [Cited 26 March 2026]. https://www.brusselstimes.com/1042696/chatgpt-consumes-25-times-more-energy-than-google</w:t>
      </w:r>
    </w:p>
    <w:p w14:paraId="6BD7D89F" w14:textId="77777777" w:rsidR="00BC2ADC" w:rsidRDefault="00BC2ADC" w:rsidP="00BC2ADC">
      <w:pPr>
        <w:pStyle w:val="Bibliografa"/>
      </w:pPr>
      <w:r>
        <w:rPr>
          <w:b/>
          <w:bCs/>
        </w:rPr>
        <w:t>Toyama, K.</w:t>
      </w:r>
      <w:r>
        <w:t xml:space="preserve"> 2011. </w:t>
      </w:r>
      <w:r>
        <w:rPr>
          <w:i/>
          <w:iCs/>
        </w:rPr>
        <w:t>Technology as amplifier in international development</w:t>
      </w:r>
      <w:r>
        <w:t xml:space="preserve">. In: </w:t>
      </w:r>
      <w:r>
        <w:rPr>
          <w:i/>
          <w:iCs/>
        </w:rPr>
        <w:t xml:space="preserve">Proceedings of the 2011 </w:t>
      </w:r>
      <w:proofErr w:type="spellStart"/>
      <w:r>
        <w:rPr>
          <w:i/>
          <w:iCs/>
        </w:rPr>
        <w:t>iConference</w:t>
      </w:r>
      <w:proofErr w:type="spellEnd"/>
      <w:r>
        <w:t xml:space="preserve">. </w:t>
      </w:r>
      <w:proofErr w:type="spellStart"/>
      <w:r>
        <w:t>iConference</w:t>
      </w:r>
      <w:proofErr w:type="spellEnd"/>
      <w:r>
        <w:t xml:space="preserve"> ’11. New York, NY, USA, Association for Computing Machinery, 8 February 2011. https://doi.org/10.1145/1940761.1940772</w:t>
      </w:r>
    </w:p>
    <w:p w14:paraId="529E2D3E" w14:textId="77777777" w:rsidR="00BC2ADC" w:rsidRDefault="00BC2ADC" w:rsidP="00BC2ADC">
      <w:pPr>
        <w:pStyle w:val="Bibliografa"/>
      </w:pPr>
      <w:r>
        <w:rPr>
          <w:b/>
          <w:bCs/>
        </w:rPr>
        <w:t>UNDP</w:t>
      </w:r>
      <w:r>
        <w:t xml:space="preserve">. 2025. </w:t>
      </w:r>
      <w:r>
        <w:rPr>
          <w:i/>
          <w:iCs/>
        </w:rPr>
        <w:t>The Next Great Divergence</w:t>
      </w:r>
      <w:r>
        <w:t xml:space="preserve">. United Nations Development </w:t>
      </w:r>
      <w:proofErr w:type="spellStart"/>
      <w:r>
        <w:t>Programme</w:t>
      </w:r>
      <w:proofErr w:type="spellEnd"/>
      <w:r>
        <w:t>. https://www.undp.org/asia-pacific/publications/next-great-divergence</w:t>
      </w:r>
    </w:p>
    <w:p w14:paraId="193A8981" w14:textId="77777777" w:rsidR="00BC2ADC" w:rsidRDefault="00BC2ADC" w:rsidP="00BC2ADC">
      <w:pPr>
        <w:pStyle w:val="Bibliografa"/>
      </w:pPr>
      <w:r>
        <w:rPr>
          <w:b/>
          <w:bCs/>
        </w:rPr>
        <w:t>Union (EBU), E.B.</w:t>
      </w:r>
      <w:r>
        <w:t xml:space="preserve"> 2025. </w:t>
      </w:r>
      <w:r>
        <w:rPr>
          <w:i/>
          <w:iCs/>
        </w:rPr>
        <w:t>News Integrity in AI Assistants</w:t>
      </w:r>
      <w:r>
        <w:t>. https://www.ebu.ch/research/open/report/news-integrity-in-ai-assistants</w:t>
      </w:r>
    </w:p>
    <w:p w14:paraId="75B9D581" w14:textId="77777777" w:rsidR="00BC2ADC" w:rsidRDefault="00BC2ADC" w:rsidP="00BC2ADC">
      <w:pPr>
        <w:pStyle w:val="Bibliografa"/>
      </w:pPr>
      <w:r>
        <w:rPr>
          <w:b/>
          <w:bCs/>
        </w:rPr>
        <w:t>United Nations</w:t>
      </w:r>
      <w:r>
        <w:t xml:space="preserve">. 2024. </w:t>
      </w:r>
      <w:r>
        <w:rPr>
          <w:i/>
          <w:iCs/>
        </w:rPr>
        <w:t>Pact for the Future, Global Digital Compact and Declaration on Future Generations</w:t>
      </w:r>
      <w:r>
        <w:t>. 2024. https://unsdg.un.org/resources/pact-future-global-digital-compact-and-declaration-future-generations</w:t>
      </w:r>
    </w:p>
    <w:p w14:paraId="7540A62E" w14:textId="77777777" w:rsidR="00BC2ADC" w:rsidRDefault="00BC2ADC" w:rsidP="00BC2ADC">
      <w:pPr>
        <w:pStyle w:val="Bibliografa"/>
      </w:pPr>
      <w:proofErr w:type="spellStart"/>
      <w:r>
        <w:rPr>
          <w:b/>
          <w:bCs/>
        </w:rPr>
        <w:t>Viome</w:t>
      </w:r>
      <w:proofErr w:type="spellEnd"/>
      <w:r>
        <w:rPr>
          <w:b/>
          <w:bCs/>
        </w:rPr>
        <w:t xml:space="preserve"> Life Sciences, Inc</w:t>
      </w:r>
      <w:r>
        <w:t>. 2026. At-home Microbiome Health Tests. [Cited 25 March 2026]. https://www.viome.com</w:t>
      </w:r>
    </w:p>
    <w:p w14:paraId="4C341757" w14:textId="77777777" w:rsidR="00BC2ADC" w:rsidRDefault="00BC2ADC" w:rsidP="00BC2ADC">
      <w:pPr>
        <w:pStyle w:val="Bibliografa"/>
      </w:pPr>
      <w:r>
        <w:rPr>
          <w:b/>
          <w:bCs/>
        </w:rPr>
        <w:t>WFP</w:t>
      </w:r>
      <w:r>
        <w:t>. 2025. Route The Meals. [Cited 9 February 2026]. https://innovation.wfp.org/project/route-meals</w:t>
      </w:r>
    </w:p>
    <w:p w14:paraId="05703C5A" w14:textId="77777777" w:rsidR="00BC2ADC" w:rsidRDefault="00BC2ADC" w:rsidP="00BC2ADC">
      <w:pPr>
        <w:pStyle w:val="Bibliografa"/>
      </w:pPr>
      <w:r>
        <w:rPr>
          <w:b/>
          <w:bCs/>
        </w:rPr>
        <w:t>WHO</w:t>
      </w:r>
      <w:r>
        <w:t xml:space="preserve">. 2025. Foodborne Diseases Estimates. In: </w:t>
      </w:r>
      <w:r>
        <w:rPr>
          <w:i/>
          <w:iCs/>
        </w:rPr>
        <w:t>Foodborne Diseases Estimates</w:t>
      </w:r>
      <w:r>
        <w:t>. [Cited 9 February 2026]. https://www.who.int/data/gho/data/themes/topics/foodborne-diseases-estimates</w:t>
      </w:r>
    </w:p>
    <w:p w14:paraId="3DC7F0B5" w14:textId="77777777" w:rsidR="00BC2ADC" w:rsidRDefault="00BC2ADC" w:rsidP="00BC2ADC">
      <w:pPr>
        <w:pStyle w:val="Bibliografa"/>
      </w:pPr>
      <w:r>
        <w:rPr>
          <w:b/>
          <w:bCs/>
        </w:rPr>
        <w:t>World Bank</w:t>
      </w:r>
      <w:r>
        <w:t xml:space="preserve">. 2025a. </w:t>
      </w:r>
      <w:r>
        <w:rPr>
          <w:i/>
          <w:iCs/>
        </w:rPr>
        <w:t>Harnessing Artificial Intelligence for Agricultural Transformation</w:t>
      </w:r>
      <w:r>
        <w:t>. World Bank. https://www.worldbank.org/en/topic/agriculture/publication/harnessing-artificial-intelligence-for-agricultural-transformation</w:t>
      </w:r>
    </w:p>
    <w:p w14:paraId="3A6A2972" w14:textId="77777777" w:rsidR="00BC2ADC" w:rsidRPr="009A4CBD" w:rsidRDefault="00BC2ADC" w:rsidP="00BC2ADC">
      <w:pPr>
        <w:pStyle w:val="Bibliografa"/>
        <w:rPr>
          <w:lang w:val="de-DE"/>
        </w:rPr>
      </w:pPr>
      <w:r>
        <w:rPr>
          <w:b/>
          <w:bCs/>
        </w:rPr>
        <w:t>World Bank</w:t>
      </w:r>
      <w:r>
        <w:t xml:space="preserve">. 2025b. </w:t>
      </w:r>
      <w:r>
        <w:rPr>
          <w:i/>
          <w:iCs/>
        </w:rPr>
        <w:t>Digital Progress and Trends Report 2025: Strengthening AI Foundations</w:t>
      </w:r>
      <w:r>
        <w:t xml:space="preserve">. </w:t>
      </w:r>
      <w:r w:rsidRPr="009A4CBD">
        <w:rPr>
          <w:lang w:val="de-DE"/>
        </w:rPr>
        <w:t>World Bank. https://hdl.handle.net/10986/43822</w:t>
      </w:r>
    </w:p>
    <w:p w14:paraId="15C4BE27" w14:textId="77777777" w:rsidR="00BC2ADC" w:rsidRDefault="00BC2ADC" w:rsidP="00BC2ADC">
      <w:pPr>
        <w:pStyle w:val="Bibliografa"/>
      </w:pPr>
      <w:r w:rsidRPr="009A4CBD">
        <w:rPr>
          <w:b/>
          <w:bCs/>
          <w:lang w:val="de-DE"/>
        </w:rPr>
        <w:t xml:space="preserve">Wu, B., Gommes, R., Zhang, M., Zeng, H., Yan, N., Zou, W., Zheng, Y. </w:t>
      </w:r>
      <w:r w:rsidRPr="009A4CBD">
        <w:rPr>
          <w:b/>
          <w:bCs/>
          <w:i/>
          <w:iCs/>
          <w:lang w:val="de-DE"/>
        </w:rPr>
        <w:t>et al.</w:t>
      </w:r>
      <w:r w:rsidRPr="009A4CBD">
        <w:rPr>
          <w:lang w:val="de-DE"/>
        </w:rPr>
        <w:t xml:space="preserve"> 2015. </w:t>
      </w:r>
      <w:r>
        <w:t xml:space="preserve">Global Crop Monitoring: A Satellite-Based Hierarchical Approach. </w:t>
      </w:r>
      <w:r>
        <w:rPr>
          <w:i/>
          <w:iCs/>
        </w:rPr>
        <w:t>Remote Sensing</w:t>
      </w:r>
      <w:r>
        <w:t>, 7(4): 3907–3933. https://doi.org/10.3390/rs70403907</w:t>
      </w:r>
    </w:p>
    <w:p w14:paraId="37BF9970" w14:textId="77777777" w:rsidR="00BC2ADC" w:rsidRDefault="00BC2ADC" w:rsidP="00BC2ADC">
      <w:pPr>
        <w:pStyle w:val="Bibliografa"/>
      </w:pPr>
      <w:r w:rsidRPr="009A4CBD">
        <w:rPr>
          <w:b/>
          <w:bCs/>
          <w:lang w:val="de-DE"/>
        </w:rPr>
        <w:t xml:space="preserve">Wu, B., Zhang, M., Zeng, H., Tian, F., Potgieter, A.B., Qin, X., Yan, N. </w:t>
      </w:r>
      <w:r w:rsidRPr="009A4CBD">
        <w:rPr>
          <w:b/>
          <w:bCs/>
          <w:i/>
          <w:iCs/>
          <w:lang w:val="de-DE"/>
        </w:rPr>
        <w:t>et al.</w:t>
      </w:r>
      <w:r w:rsidRPr="009A4CBD">
        <w:rPr>
          <w:lang w:val="de-DE"/>
        </w:rPr>
        <w:t xml:space="preserve"> 2023. </w:t>
      </w:r>
      <w:r>
        <w:t xml:space="preserve">Challenges and opportunities in remote sensing-based crop monitoring: a review. </w:t>
      </w:r>
      <w:r>
        <w:rPr>
          <w:i/>
          <w:iCs/>
        </w:rPr>
        <w:t>National Science Review</w:t>
      </w:r>
      <w:r>
        <w:t>, 10(4): nwac290. https://doi.org/10.1093/nsr/nwac290</w:t>
      </w:r>
    </w:p>
    <w:p w14:paraId="4C6E2B2A" w14:textId="77777777" w:rsidR="00BC2ADC" w:rsidRDefault="00BC2ADC" w:rsidP="00BC2ADC">
      <w:pPr>
        <w:pStyle w:val="Bibliografa"/>
      </w:pPr>
      <w:r>
        <w:rPr>
          <w:b/>
          <w:bCs/>
        </w:rPr>
        <w:t>Zhang, Q., Yang, W., Zhao, A., Wang, X., Wang, Z. &amp; Zhang, L.</w:t>
      </w:r>
      <w:r>
        <w:t xml:space="preserve"> 2024. Short-term forecasting of vegetable prices based on LSTM model—Evidence from Beijing’s vegetable data. </w:t>
      </w:r>
      <w:r>
        <w:rPr>
          <w:i/>
          <w:iCs/>
        </w:rPr>
        <w:t>PLOS ONE</w:t>
      </w:r>
      <w:r>
        <w:t>, 19(7): e0304881. https://doi.org/10.1371/journal.pone.0304881</w:t>
      </w:r>
    </w:p>
    <w:p w14:paraId="397ABD0E" w14:textId="77777777" w:rsidR="00BC2ADC" w:rsidRDefault="00BC2ADC" w:rsidP="00BC2ADC">
      <w:pPr>
        <w:pStyle w:val="Bibliografa"/>
      </w:pPr>
      <w:r>
        <w:rPr>
          <w:b/>
          <w:bCs/>
        </w:rPr>
        <w:t>Zhu, H., Lin, C., Liu, G., Wang, D., Qin, S., Li, A., Xu, J.-L. &amp; He, Y.</w:t>
      </w:r>
      <w:r>
        <w:t xml:space="preserve"> 2024. Intelligent agriculture: deep learning in UAV-based remote sensing imagery for crop diseases and </w:t>
      </w:r>
      <w:proofErr w:type="gramStart"/>
      <w:r>
        <w:t>pests</w:t>
      </w:r>
      <w:proofErr w:type="gramEnd"/>
      <w:r>
        <w:t xml:space="preserve"> detection. </w:t>
      </w:r>
      <w:r>
        <w:rPr>
          <w:i/>
          <w:iCs/>
        </w:rPr>
        <w:t>Frontiers in Plant Science</w:t>
      </w:r>
      <w:r>
        <w:t>, 15. https://doi.org/10.3389/fpls.2024.1435016</w:t>
      </w:r>
    </w:p>
    <w:p w14:paraId="2A050EAB" w14:textId="6ECABC8E" w:rsidR="00BC2ADC" w:rsidRPr="00C94065" w:rsidRDefault="00BC2ADC" w:rsidP="00C94065">
      <w:pPr>
        <w:pStyle w:val="Bibliografa"/>
        <w:sectPr w:rsidR="00BC2ADC" w:rsidRPr="00C94065" w:rsidSect="00DE2C6D">
          <w:headerReference w:type="even" r:id="rId31"/>
          <w:headerReference w:type="default" r:id="rId32"/>
          <w:footerReference w:type="even" r:id="rId33"/>
          <w:footerReference w:type="default" r:id="rId34"/>
          <w:headerReference w:type="first" r:id="rId35"/>
          <w:footerReference w:type="first" r:id="rId36"/>
          <w:type w:val="continuous"/>
          <w:pgSz w:w="11906" w:h="16838"/>
          <w:pgMar w:top="720" w:right="1008" w:bottom="720" w:left="1008" w:header="706" w:footer="706" w:gutter="0"/>
          <w:cols w:space="708"/>
          <w:titlePg/>
          <w:docGrid w:linePitch="360"/>
        </w:sectPr>
      </w:pPr>
      <w:r>
        <w:rPr>
          <w:b/>
          <w:bCs/>
        </w:rPr>
        <w:t>ZOE Limited</w:t>
      </w:r>
      <w:r>
        <w:t>. 2026. ZOE — Feel healthier. In weeks. [Cited 25 March 2026]. https://zoe.com/</w:t>
      </w:r>
      <w:r w:rsidRPr="00C94065">
        <w:rPr>
          <w:highlight w:val="yellow"/>
        </w:rPr>
        <w:t>[locale]</w:t>
      </w:r>
      <w:bookmarkStart w:id="166" w:name="OrgXref.orga4fe2f0"/>
      <w:bookmarkStart w:id="167" w:name="orga4fe2f0"/>
      <w:bookmarkStart w:id="168" w:name="OrgXref.org4276c2b"/>
      <w:bookmarkStart w:id="169" w:name="org4276c2b"/>
      <w:bookmarkStart w:id="170" w:name="OrgXref.orge47725d"/>
      <w:bookmarkStart w:id="171" w:name="orge47725d"/>
      <w:bookmarkStart w:id="172" w:name="OrgXref.org4fb2336"/>
      <w:bookmarkStart w:id="173" w:name="org4fb2336"/>
      <w:bookmarkStart w:id="174" w:name="OrgXref.org8f365ba"/>
      <w:bookmarkStart w:id="175" w:name="org8f365ba"/>
      <w:bookmarkStart w:id="176" w:name="OrgXref.orgcba3abe"/>
      <w:bookmarkStart w:id="177" w:name="orgcba3abe"/>
      <w:bookmarkStart w:id="178" w:name="OrgXref.org746066e"/>
      <w:bookmarkStart w:id="179" w:name="org746066e"/>
      <w:bookmarkStart w:id="180" w:name="OrgXref.org139b43f"/>
      <w:bookmarkStart w:id="181" w:name="org139b43f"/>
      <w:bookmarkStart w:id="182" w:name="OrgXref.org3dffc74"/>
      <w:bookmarkStart w:id="183" w:name="org3dffc74"/>
      <w:bookmarkStart w:id="184" w:name="OrgXref.orgdcc4548"/>
      <w:bookmarkStart w:id="185" w:name="orgdcc4548"/>
      <w:bookmarkStart w:id="186" w:name="OrgXref.org2acf5f4"/>
      <w:bookmarkStart w:id="187" w:name="org2acf5f4"/>
      <w:bookmarkStart w:id="188" w:name="OrgXref.org3926c12"/>
      <w:bookmarkStart w:id="189" w:name="org3926c12"/>
      <w:bookmarkStart w:id="190" w:name="OrgXref.org3b82199"/>
      <w:bookmarkStart w:id="191" w:name="org3b82199"/>
      <w:bookmarkStart w:id="192" w:name="OrgXref.orgc6c4190"/>
      <w:bookmarkStart w:id="193" w:name="orgc6c4190"/>
      <w:bookmarkStart w:id="194" w:name="OrgXref.orga7b338b"/>
      <w:bookmarkStart w:id="195" w:name="orga7b338b"/>
      <w:bookmarkStart w:id="196" w:name="OrgXref.orgc7dea75"/>
      <w:bookmarkStart w:id="197" w:name="orgc7dea75"/>
      <w:bookmarkStart w:id="198" w:name="OrgXref.org95c5e55"/>
      <w:bookmarkStart w:id="199" w:name="org95c5e55"/>
      <w:bookmarkStart w:id="200" w:name="OrgXref.org9dad3f1"/>
      <w:bookmarkStart w:id="201" w:name="org9dad3f1"/>
      <w:bookmarkStart w:id="202" w:name="OrgXref.orge0e7b09"/>
      <w:bookmarkStart w:id="203" w:name="orge0e7b09"/>
      <w:bookmarkStart w:id="204" w:name="OrgXref.org150038a"/>
      <w:bookmarkStart w:id="205" w:name="org150038a"/>
      <w:bookmarkStart w:id="206" w:name="OrgXref.orgb85914c"/>
      <w:bookmarkStart w:id="207" w:name="orgb85914c"/>
      <w:bookmarkStart w:id="208" w:name="OrgXref.orgb4b616e"/>
      <w:bookmarkStart w:id="209" w:name="orgb4b616e"/>
      <w:bookmarkStart w:id="210" w:name="OrgXref.org9a68dc2"/>
      <w:bookmarkStart w:id="211" w:name="org9a68dc2"/>
      <w:bookmarkStart w:id="212" w:name="OrgXref.orge021cdf"/>
      <w:bookmarkStart w:id="213" w:name="orge021cdf"/>
      <w:bookmarkStart w:id="214" w:name="OrgXref.org1906478"/>
      <w:bookmarkStart w:id="215" w:name="org1906478"/>
      <w:bookmarkStart w:id="216" w:name="OrgXref.org55beb83"/>
      <w:bookmarkStart w:id="217" w:name="org55beb83"/>
      <w:bookmarkStart w:id="218" w:name="OrgXref.org895d0d3"/>
      <w:bookmarkStart w:id="219" w:name="org895d0d3"/>
      <w:bookmarkStart w:id="220" w:name="OrgXref.orgca68966"/>
      <w:bookmarkStart w:id="221" w:name="orgca68966"/>
      <w:bookmarkStart w:id="222" w:name="OrgXref.org14a2710"/>
      <w:bookmarkStart w:id="223" w:name="org14a2710"/>
      <w:bookmarkStart w:id="224" w:name="OrgXref.orga31d5b7"/>
      <w:bookmarkStart w:id="225" w:name="orga31d5b7"/>
      <w:bookmarkStart w:id="226" w:name="OrgXref.org5334d21"/>
      <w:bookmarkStart w:id="227" w:name="org5334d21"/>
      <w:bookmarkStart w:id="228" w:name="OrgXref.orgdcd2f45"/>
      <w:bookmarkStart w:id="229" w:name="orgdcd2f45"/>
      <w:bookmarkStart w:id="230" w:name="OrgXref.org72d4146"/>
      <w:bookmarkStart w:id="231" w:name="org72d4146"/>
      <w:bookmarkStart w:id="232" w:name="OrgXref.orgc2bb076"/>
      <w:bookmarkStart w:id="233" w:name="orgc2bb076"/>
      <w:bookmarkStart w:id="234" w:name="OrgXref.org2e468e6"/>
      <w:bookmarkStart w:id="235" w:name="org2e468e6"/>
      <w:bookmarkStart w:id="236" w:name="OrgXref.orgad7b915"/>
      <w:bookmarkStart w:id="237" w:name="orgad7b915"/>
      <w:bookmarkStart w:id="238" w:name="OrgXref.org8519955"/>
      <w:bookmarkStart w:id="239" w:name="org8519955"/>
      <w:bookmarkStart w:id="240" w:name="OrgXref.orga08d91d"/>
      <w:bookmarkStart w:id="241" w:name="orga08d91d"/>
      <w:bookmarkStart w:id="242" w:name="OrgXref.orgefd9046"/>
      <w:bookmarkStart w:id="243" w:name="orgefd9046"/>
      <w:bookmarkStart w:id="244" w:name="OrgXref.org6555351"/>
      <w:bookmarkStart w:id="245" w:name="org6555351"/>
      <w:bookmarkStart w:id="246" w:name="OrgXref.org3a9602d"/>
      <w:bookmarkStart w:id="247" w:name="org3a9602d"/>
      <w:bookmarkStart w:id="248" w:name="OrgXref.org23ed8bc"/>
      <w:bookmarkStart w:id="249" w:name="org23ed8bc"/>
      <w:bookmarkStart w:id="250" w:name="OrgXref.orgf8265e3"/>
      <w:bookmarkStart w:id="251" w:name="orgf8265e3"/>
      <w:bookmarkStart w:id="252" w:name="OrgXref.org47566b1"/>
      <w:bookmarkStart w:id="253" w:name="org47566b1"/>
      <w:bookmarkStart w:id="254" w:name="OrgXref.orgbc4736f"/>
      <w:bookmarkStart w:id="255" w:name="orgbc4736f"/>
      <w:bookmarkStart w:id="256" w:name="OrgXref.orgf6b1167"/>
      <w:bookmarkStart w:id="257" w:name="orgf6b1167"/>
      <w:bookmarkStart w:id="258" w:name="OrgXref.org41fc963"/>
      <w:bookmarkStart w:id="259" w:name="org41fc963"/>
      <w:bookmarkStart w:id="260" w:name="OrgXref.org2a25682"/>
      <w:bookmarkStart w:id="261" w:name="org2a25682"/>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4A9ED97B" w14:textId="77777777" w:rsidR="00AA5DFC" w:rsidRPr="00EE5251" w:rsidRDefault="00AA5DFC" w:rsidP="004A0C4A">
      <w:pPr>
        <w:spacing w:before="240" w:after="0" w:line="240" w:lineRule="auto"/>
        <w:ind w:left="1440"/>
        <w:rPr>
          <w:sz w:val="20"/>
          <w:lang w:val="en-CA"/>
        </w:rPr>
      </w:pPr>
    </w:p>
    <w:p w14:paraId="42DB16D6" w14:textId="77777777" w:rsidR="004D4025" w:rsidRPr="00EE5251" w:rsidRDefault="004D4025" w:rsidP="004A0C4A">
      <w:pPr>
        <w:spacing w:before="240" w:after="0" w:line="240" w:lineRule="auto"/>
        <w:ind w:left="1440"/>
        <w:rPr>
          <w:sz w:val="20"/>
          <w:lang w:val="en-CA"/>
        </w:rPr>
      </w:pPr>
    </w:p>
    <w:p w14:paraId="34F8FD6B" w14:textId="77777777" w:rsidR="004D4025" w:rsidRPr="00EE5251" w:rsidRDefault="004D4025" w:rsidP="004A0C4A">
      <w:pPr>
        <w:spacing w:before="240" w:after="0" w:line="240" w:lineRule="auto"/>
        <w:ind w:left="1440"/>
        <w:rPr>
          <w:sz w:val="20"/>
          <w:lang w:val="en-CA"/>
        </w:rPr>
      </w:pPr>
    </w:p>
    <w:p w14:paraId="639B0117" w14:textId="77777777" w:rsidR="004D4025" w:rsidRPr="00EE5251" w:rsidRDefault="004D4025" w:rsidP="004A0C4A">
      <w:pPr>
        <w:spacing w:before="240" w:after="0" w:line="240" w:lineRule="auto"/>
        <w:ind w:left="1440"/>
        <w:rPr>
          <w:sz w:val="20"/>
          <w:lang w:val="en-CA"/>
        </w:rPr>
      </w:pPr>
    </w:p>
    <w:p w14:paraId="30FDC41B" w14:textId="77777777" w:rsidR="004A6D71" w:rsidRPr="00EE5251" w:rsidRDefault="0006500D" w:rsidP="004A0C4A">
      <w:pPr>
        <w:pStyle w:val="FigTabledescriptionheading"/>
        <w:ind w:left="1440"/>
        <w:rPr>
          <w:noProof/>
          <w:lang w:val="en-CA" w:eastAsia="en-US"/>
        </w:rPr>
      </w:pPr>
      <w:bookmarkStart w:id="262" w:name="_Hlk104305216"/>
      <w:r w:rsidRPr="00EE5251">
        <w:rPr>
          <w:noProof/>
          <w:lang w:val="en-CA" w:eastAsia="en-US"/>
        </w:rPr>
        <mc:AlternateContent>
          <mc:Choice Requires="wps">
            <w:drawing>
              <wp:anchor distT="0" distB="0" distL="114300" distR="114300" simplePos="0" relativeHeight="251658243" behindDoc="1" locked="1" layoutInCell="1" allowOverlap="1" wp14:anchorId="16AEF7F9" wp14:editId="4CBD6AFA">
                <wp:simplePos x="0" y="0"/>
                <wp:positionH relativeFrom="page">
                  <wp:posOffset>-28575</wp:posOffset>
                </wp:positionH>
                <wp:positionV relativeFrom="page">
                  <wp:posOffset>-130629</wp:posOffset>
                </wp:positionV>
                <wp:extent cx="7837200" cy="10256400"/>
                <wp:effectExtent l="0" t="0" r="0" b="0"/>
                <wp:wrapNone/>
                <wp:docPr id="37" name="Rectangle 37" descr="colored contents page background"/>
                <wp:cNvGraphicFramePr/>
                <a:graphic xmlns:a="http://schemas.openxmlformats.org/drawingml/2006/main">
                  <a:graphicData uri="http://schemas.microsoft.com/office/word/2010/wordprocessingShape">
                    <wps:wsp>
                      <wps:cNvSpPr/>
                      <wps:spPr>
                        <a:xfrm>
                          <a:off x="0" y="0"/>
                          <a:ext cx="7837200" cy="102564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DDCF1F" w14:textId="77777777" w:rsidR="0060651B" w:rsidRDefault="0060651B" w:rsidP="005655BE"/>
                          <w:p w14:paraId="2F5FA2D1" w14:textId="77777777" w:rsidR="0060651B" w:rsidRDefault="0060651B"/>
                          <w:p w14:paraId="02F5FB81" w14:textId="77777777" w:rsidR="0060651B" w:rsidRDefault="0060651B" w:rsidP="005655BE"/>
                          <w:p w14:paraId="31BE3398" w14:textId="77777777" w:rsidR="0060651B" w:rsidRDefault="0060651B"/>
                          <w:p w14:paraId="68CE1CBE" w14:textId="77777777" w:rsidR="0060651B" w:rsidRDefault="0060651B" w:rsidP="005655BE"/>
                          <w:p w14:paraId="4631A3A7" w14:textId="77777777" w:rsidR="0060651B" w:rsidRDefault="0060651B"/>
                          <w:p w14:paraId="79601674" w14:textId="77777777" w:rsidR="0060651B" w:rsidRDefault="0060651B" w:rsidP="005655BE"/>
                          <w:p w14:paraId="764A69B5" w14:textId="77777777" w:rsidR="0060651B" w:rsidRDefault="0060651B"/>
                          <w:p w14:paraId="52C48829" w14:textId="77777777" w:rsidR="0060651B" w:rsidRDefault="0060651B" w:rsidP="005655BE"/>
                          <w:p w14:paraId="58A864C9" w14:textId="77777777" w:rsidR="0060651B" w:rsidRDefault="0060651B"/>
                          <w:p w14:paraId="4F2F4F55" w14:textId="77777777" w:rsidR="0060651B" w:rsidRDefault="0060651B" w:rsidP="005655BE"/>
                          <w:p w14:paraId="65034153" w14:textId="77777777" w:rsidR="0060651B" w:rsidRDefault="0060651B"/>
                          <w:p w14:paraId="074D4BAC" w14:textId="77777777" w:rsidR="0060651B" w:rsidRDefault="0060651B" w:rsidP="005655BE"/>
                          <w:p w14:paraId="3B5CC553" w14:textId="50FBE25C" w:rsidR="0060651B" w:rsidRDefault="0060651B"/>
                          <w:p w14:paraId="6ABBE139" w14:textId="7AA40B7B" w:rsidR="0060651B" w:rsidRDefault="0060651B" w:rsidP="005655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EF7F9" id="Rectangle 37" o:spid="_x0000_s1031" alt="colored contents page background" style="position:absolute;left:0;text-align:left;margin-left:-2.25pt;margin-top:-10.3pt;width:617.1pt;height:807.6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" fillcolor="#d8d8d8 [2732]" stroked="f" strokeweight="2pt">
                <v:textbox>
                  <w:txbxContent>
                    <w:p w14:paraId="43DDCF1F" w14:textId="77777777" w:rsidR="0060651B" w:rsidRDefault="0060651B" w:rsidP="005655BE"/>
                    <w:p w14:paraId="2F5FA2D1" w14:textId="77777777" w:rsidR="0060651B" w:rsidRDefault="0060651B"/>
                    <w:p w14:paraId="02F5FB81" w14:textId="77777777" w:rsidR="0060651B" w:rsidRDefault="0060651B" w:rsidP="005655BE"/>
                    <w:p w14:paraId="31BE3398" w14:textId="77777777" w:rsidR="0060651B" w:rsidRDefault="0060651B"/>
                    <w:p w14:paraId="68CE1CBE" w14:textId="77777777" w:rsidR="0060651B" w:rsidRDefault="0060651B" w:rsidP="005655BE"/>
                    <w:p w14:paraId="4631A3A7" w14:textId="77777777" w:rsidR="0060651B" w:rsidRDefault="0060651B"/>
                    <w:p w14:paraId="79601674" w14:textId="77777777" w:rsidR="0060651B" w:rsidRDefault="0060651B" w:rsidP="005655BE"/>
                    <w:p w14:paraId="764A69B5" w14:textId="77777777" w:rsidR="0060651B" w:rsidRDefault="0060651B"/>
                    <w:p w14:paraId="52C48829" w14:textId="77777777" w:rsidR="0060651B" w:rsidRDefault="0060651B" w:rsidP="005655BE"/>
                    <w:p w14:paraId="58A864C9" w14:textId="77777777" w:rsidR="0060651B" w:rsidRDefault="0060651B"/>
                    <w:p w14:paraId="4F2F4F55" w14:textId="77777777" w:rsidR="0060651B" w:rsidRDefault="0060651B" w:rsidP="005655BE"/>
                    <w:p w14:paraId="65034153" w14:textId="77777777" w:rsidR="0060651B" w:rsidRDefault="0060651B"/>
                    <w:p w14:paraId="074D4BAC" w14:textId="77777777" w:rsidR="0060651B" w:rsidRDefault="0060651B" w:rsidP="005655BE"/>
                    <w:p w14:paraId="3B5CC553" w14:textId="50FBE25C" w:rsidR="0060651B" w:rsidRDefault="0060651B"/>
                    <w:p w14:paraId="6ABBE139" w14:textId="7AA40B7B" w:rsidR="0060651B" w:rsidRDefault="0060651B" w:rsidP="005655BE"/>
                  </w:txbxContent>
                </v:textbox>
                <w10:wrap anchorx="page" anchory="page"/>
                <w10:anchorlock/>
              </v:rect>
            </w:pict>
          </mc:Fallback>
        </mc:AlternateContent>
      </w:r>
    </w:p>
    <w:p w14:paraId="1258FB88" w14:textId="77777777" w:rsidR="004A6D71" w:rsidRPr="00EE5251" w:rsidRDefault="004A6D71" w:rsidP="004A0C4A">
      <w:pPr>
        <w:ind w:left="1440"/>
        <w:rPr>
          <w:noProof/>
          <w:lang w:val="en-CA" w:eastAsia="en-US"/>
        </w:rPr>
      </w:pPr>
    </w:p>
    <w:p w14:paraId="7AB63AF6" w14:textId="77777777" w:rsidR="00EB0DCA" w:rsidRPr="00EE5251" w:rsidRDefault="00EB0DCA" w:rsidP="004A0C4A">
      <w:pPr>
        <w:ind w:left="1440"/>
        <w:rPr>
          <w:noProof/>
          <w:lang w:val="en-CA" w:eastAsia="en-US"/>
        </w:rPr>
      </w:pPr>
    </w:p>
    <w:p w14:paraId="3C00F62A" w14:textId="77777777" w:rsidR="00EB0DCA" w:rsidRPr="00EE5251" w:rsidRDefault="00EB0DCA" w:rsidP="004A0C4A">
      <w:pPr>
        <w:ind w:left="1440"/>
        <w:rPr>
          <w:noProof/>
          <w:lang w:val="en-CA" w:eastAsia="en-US"/>
        </w:rPr>
      </w:pPr>
      <w:r w:rsidRPr="00EE5251">
        <w:rPr>
          <w:noProof/>
          <w:lang w:val="en-CA" w:eastAsia="en-US"/>
        </w:rPr>
        <w:drawing>
          <wp:anchor distT="0" distB="0" distL="114300" distR="114300" simplePos="0" relativeHeight="251658245" behindDoc="0" locked="0" layoutInCell="1" allowOverlap="1" wp14:anchorId="2E68DE69" wp14:editId="247AD5B8">
            <wp:simplePos x="0" y="0"/>
            <wp:positionH relativeFrom="margin">
              <wp:posOffset>-47625</wp:posOffset>
            </wp:positionH>
            <wp:positionV relativeFrom="paragraph">
              <wp:posOffset>339725</wp:posOffset>
            </wp:positionV>
            <wp:extent cx="4177862" cy="1784121"/>
            <wp:effectExtent l="0" t="0" r="0" b="6985"/>
            <wp:wrapNone/>
            <wp:docPr id="3" name="Picture 23" descr="E:\HLPE\MATERIALES\LOGO\CFS_HLPE_logo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LPE\MATERIALES\LOGO\CFS_HLPE_logo 201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7862" cy="17841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07A69" w14:textId="77777777" w:rsidR="00EB0DCA" w:rsidRPr="00EE5251" w:rsidRDefault="00EB0DCA" w:rsidP="004A0C4A">
      <w:pPr>
        <w:ind w:left="1440"/>
        <w:rPr>
          <w:noProof/>
          <w:lang w:val="en-CA" w:eastAsia="en-US"/>
        </w:rPr>
      </w:pPr>
    </w:p>
    <w:p w14:paraId="2394B6C2" w14:textId="77777777" w:rsidR="00EB0DCA" w:rsidRPr="00EE5251" w:rsidRDefault="00EB0DCA" w:rsidP="004A0C4A">
      <w:pPr>
        <w:ind w:left="1440"/>
        <w:rPr>
          <w:noProof/>
          <w:lang w:val="en-CA" w:eastAsia="en-US"/>
        </w:rPr>
      </w:pPr>
    </w:p>
    <w:p w14:paraId="1B33F530" w14:textId="77777777" w:rsidR="00EB0DCA" w:rsidRPr="00EE5251" w:rsidRDefault="00EB0DCA" w:rsidP="004A0C4A">
      <w:pPr>
        <w:ind w:left="1440"/>
        <w:rPr>
          <w:noProof/>
          <w:lang w:val="en-CA" w:eastAsia="en-US"/>
        </w:rPr>
      </w:pPr>
    </w:p>
    <w:p w14:paraId="3351FB92" w14:textId="77777777" w:rsidR="00EB0DCA" w:rsidRPr="00EE5251" w:rsidRDefault="00EB0DCA" w:rsidP="004A0C4A">
      <w:pPr>
        <w:ind w:left="1440"/>
        <w:rPr>
          <w:noProof/>
          <w:lang w:val="en-CA" w:eastAsia="en-US"/>
        </w:rPr>
      </w:pPr>
    </w:p>
    <w:p w14:paraId="6B2CCE4D" w14:textId="23966173" w:rsidR="004A6D71" w:rsidRPr="00EE5251" w:rsidRDefault="004A6D71" w:rsidP="004A0C4A">
      <w:pPr>
        <w:ind w:left="1440"/>
        <w:rPr>
          <w:noProof/>
          <w:lang w:val="en-CA" w:eastAsia="en-US"/>
        </w:rPr>
      </w:pPr>
    </w:p>
    <w:p w14:paraId="30F35E01" w14:textId="77777777" w:rsidR="002B42FA" w:rsidRPr="00EE5251" w:rsidRDefault="002B42FA" w:rsidP="004A0C4A">
      <w:pPr>
        <w:ind w:left="1440"/>
        <w:rPr>
          <w:lang w:val="en-CA"/>
        </w:rPr>
      </w:pPr>
    </w:p>
    <w:p w14:paraId="29C53397" w14:textId="7D7E2A9D" w:rsidR="000435DC" w:rsidRPr="00EE5251" w:rsidRDefault="00CD0695" w:rsidP="004A0C4A">
      <w:pPr>
        <w:ind w:left="1440"/>
        <w:rPr>
          <w:rStyle w:val="Hipervnculo"/>
          <w:noProof/>
          <w:color w:val="1FB47C"/>
          <w:sz w:val="40"/>
          <w:szCs w:val="40"/>
          <w:u w:val="none"/>
          <w:shd w:val="clear" w:color="auto" w:fill="auto"/>
          <w:lang w:val="en-CA" w:eastAsia="en-US"/>
        </w:rPr>
      </w:pPr>
      <w:r w:rsidRPr="00EE5251">
        <w:rPr>
          <w:bCs/>
          <w:noProof/>
          <w:color w:val="1FB47C"/>
          <w:sz w:val="40"/>
          <w:szCs w:val="40"/>
          <w:shd w:val="clear" w:color="auto" w:fill="auto"/>
          <w:lang w:val="en-CA" w:eastAsia="en-US"/>
        </w:rPr>
        <w:drawing>
          <wp:anchor distT="0" distB="0" distL="114300" distR="114300" simplePos="0" relativeHeight="251658247" behindDoc="0" locked="0" layoutInCell="1" allowOverlap="1" wp14:anchorId="4EE90A09" wp14:editId="372EC8A5">
            <wp:simplePos x="0" y="0"/>
            <wp:positionH relativeFrom="column">
              <wp:posOffset>118745</wp:posOffset>
            </wp:positionH>
            <wp:positionV relativeFrom="paragraph">
              <wp:posOffset>480695</wp:posOffset>
            </wp:positionV>
            <wp:extent cx="298800" cy="298800"/>
            <wp:effectExtent l="0" t="0" r="6350" b="6350"/>
            <wp:wrapThrough wrapText="bothSides">
              <wp:wrapPolygon edited="0">
                <wp:start x="4136" y="0"/>
                <wp:lineTo x="0" y="4136"/>
                <wp:lineTo x="0" y="16545"/>
                <wp:lineTo x="4136" y="20681"/>
                <wp:lineTo x="16545" y="20681"/>
                <wp:lineTo x="20681" y="16545"/>
                <wp:lineTo x="20681" y="4136"/>
                <wp:lineTo x="16545" y="0"/>
                <wp:lineTo x="4136" y="0"/>
              </wp:wrapPolygon>
            </wp:wrapThrough>
            <wp:docPr id="987974380" name="Picture 1" descr="E:\HLPE\MATERIALES\iconos\Icono Flaticon\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LPE\MATERIALES\iconos\Icono Flaticon\we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800" cy="2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42FA" w:rsidRPr="00EE5251">
        <w:rPr>
          <w:noProof/>
          <w:lang w:val="en-CA" w:eastAsia="en-US"/>
        </w:rPr>
        <w:drawing>
          <wp:anchor distT="0" distB="0" distL="114300" distR="114300" simplePos="0" relativeHeight="251658246" behindDoc="0" locked="0" layoutInCell="1" allowOverlap="1" wp14:anchorId="2EB01E16" wp14:editId="1765CB23">
            <wp:simplePos x="0" y="0"/>
            <wp:positionH relativeFrom="column">
              <wp:posOffset>0</wp:posOffset>
            </wp:positionH>
            <wp:positionV relativeFrom="paragraph">
              <wp:posOffset>139700</wp:posOffset>
            </wp:positionV>
            <wp:extent cx="6286500" cy="285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6500"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2FA" w:rsidRPr="00EE5251">
        <w:rPr>
          <w:lang w:val="en-CA"/>
        </w:rPr>
        <w:br w:type="textWrapping" w:clear="all"/>
      </w:r>
      <w:r w:rsidR="00177DDD" w:rsidRPr="00EE5251">
        <w:rPr>
          <w:lang w:val="en-CA"/>
        </w:rPr>
        <w:br/>
      </w:r>
      <w:r w:rsidR="000435DC" w:rsidRPr="00EE5251">
        <w:rPr>
          <w:rStyle w:val="Hipervnculo"/>
          <w:noProof/>
          <w:color w:val="1FB47C"/>
          <w:sz w:val="40"/>
          <w:szCs w:val="40"/>
          <w:u w:val="none"/>
          <w:shd w:val="clear" w:color="auto" w:fill="auto"/>
          <w:lang w:val="en-CA" w:eastAsia="en-US"/>
        </w:rPr>
        <w:t xml:space="preserve">  </w:t>
      </w:r>
      <w:r w:rsidR="000435DC" w:rsidRPr="00EE5251">
        <w:rPr>
          <w:noProof/>
          <w:color w:val="1FB47C"/>
          <w:sz w:val="40"/>
          <w:szCs w:val="40"/>
          <w:shd w:val="clear" w:color="auto" w:fill="auto"/>
          <w:lang w:val="en-CA" w:eastAsia="en-US"/>
        </w:rPr>
        <w:t xml:space="preserve"> </w:t>
      </w:r>
      <w:r w:rsidR="000435DC" w:rsidRPr="00EE5251">
        <w:rPr>
          <w:rStyle w:val="Hipervnculo"/>
          <w:noProof/>
          <w:color w:val="1FB47C"/>
          <w:sz w:val="40"/>
          <w:szCs w:val="40"/>
          <w:u w:val="none"/>
          <w:shd w:val="clear" w:color="auto" w:fill="auto"/>
          <w:lang w:val="en-CA" w:eastAsia="en-US"/>
        </w:rPr>
        <w:t>www.fao.org/cfs/cfs-hlpe</w:t>
      </w:r>
    </w:p>
    <w:p w14:paraId="0987AC04" w14:textId="79FA707C" w:rsidR="000435DC" w:rsidRPr="00EE5251" w:rsidRDefault="000435DC" w:rsidP="004A0C4A">
      <w:pPr>
        <w:ind w:left="1440"/>
        <w:rPr>
          <w:rStyle w:val="Hipervnculo"/>
          <w:noProof/>
          <w:color w:val="1FB47C"/>
          <w:sz w:val="32"/>
          <w:szCs w:val="32"/>
          <w:u w:val="none"/>
          <w:shd w:val="clear" w:color="auto" w:fill="auto"/>
          <w:lang w:val="en-CA" w:eastAsia="en-US"/>
        </w:rPr>
      </w:pPr>
    </w:p>
    <w:p w14:paraId="557D5794" w14:textId="77777777" w:rsidR="000435DC" w:rsidRPr="00EE5251" w:rsidRDefault="000435DC" w:rsidP="004A0C4A">
      <w:pPr>
        <w:ind w:left="1440"/>
        <w:rPr>
          <w:rStyle w:val="Hipervnculo"/>
          <w:noProof/>
          <w:color w:val="1FB47C"/>
          <w:sz w:val="32"/>
          <w:szCs w:val="32"/>
          <w:u w:val="none"/>
          <w:shd w:val="clear" w:color="auto" w:fill="auto"/>
          <w:lang w:val="en-CA" w:eastAsia="en-US"/>
        </w:rPr>
      </w:pPr>
    </w:p>
    <w:p w14:paraId="376D9ABC" w14:textId="77777777" w:rsidR="000435DC" w:rsidRPr="00EE5251" w:rsidRDefault="000435DC" w:rsidP="004A0C4A">
      <w:pPr>
        <w:ind w:left="1440"/>
        <w:rPr>
          <w:rStyle w:val="Hipervnculo"/>
          <w:noProof/>
          <w:color w:val="1FB47C"/>
          <w:sz w:val="32"/>
          <w:szCs w:val="32"/>
          <w:u w:val="none"/>
          <w:shd w:val="clear" w:color="auto" w:fill="auto"/>
          <w:lang w:val="en-CA" w:eastAsia="en-US"/>
        </w:rPr>
      </w:pPr>
    </w:p>
    <w:p w14:paraId="0CAD543A" w14:textId="77777777" w:rsidR="000435DC" w:rsidRPr="00EE5251" w:rsidRDefault="000435DC" w:rsidP="004A0C4A">
      <w:pPr>
        <w:ind w:left="1440"/>
        <w:rPr>
          <w:lang w:val="en-CA"/>
        </w:rPr>
      </w:pPr>
    </w:p>
    <w:bookmarkEnd w:id="262"/>
    <w:p w14:paraId="1D382925" w14:textId="2A91AE81" w:rsidR="0006500D" w:rsidRPr="00EE5251" w:rsidRDefault="0006500D" w:rsidP="004A0C4A">
      <w:pPr>
        <w:ind w:left="1440"/>
        <w:rPr>
          <w:lang w:val="en-CA"/>
        </w:rPr>
      </w:pPr>
    </w:p>
    <w:sectPr w:rsidR="0006500D" w:rsidRPr="00EE5251" w:rsidSect="00A251E4">
      <w:pgSz w:w="12240" w:h="15840" w:code="1"/>
      <w:pgMar w:top="720" w:right="1152" w:bottom="720" w:left="1152" w:header="0" w:footer="4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6" w:author="Meybeck, Alexandre (DDCC)" w:date="1900-01-01T00:00:00Z" w:initials="AM">
    <w:p w14:paraId="0E7BB82B" w14:textId="77777777" w:rsidR="007C16D3" w:rsidRDefault="007C16D3" w:rsidP="007C16D3">
      <w:r>
        <w:annotationRef/>
      </w:r>
      <w:r w:rsidRPr="0841E1CE">
        <w:t>I am a bit leess convinced by this. I would realign it with differences between actors and contexts (rather than by models) to say that these differences have to b e taken into account for implementation to maximize benefits and reduce trade offs.</w:t>
      </w:r>
    </w:p>
  </w:comment>
  <w:comment w:id="150" w:author="Meybeck, Alexandre (DDCC)" w:date="2026-03-14T22:15:00Z" w:initials="AM">
    <w:p w14:paraId="62D9DAF6" w14:textId="77777777" w:rsidR="00951BF2" w:rsidRDefault="00951BF2" w:rsidP="00951BF2">
      <w:pPr>
        <w:pStyle w:val="Textocomentario"/>
      </w:pPr>
      <w:r>
        <w:rPr>
          <w:rStyle w:val="Refdecomentario"/>
        </w:rPr>
        <w:annotationRef/>
      </w:r>
      <w:r>
        <w:t>One other major challenge is how to address the sheer pace of change: what institutions? What methodologies? To keep up dated and to provide to all actors the best available methods and tools?  How to ensure proper monitorin? What role for CFS? Could it be a platform for regular exchanges on lessons learned and up dates on recent innovations?</w:t>
      </w:r>
    </w:p>
  </w:comment>
  <w:comment w:id="151" w:author="Wiessalla, Tristan (OIN)" w:date="2026-03-31T15:22:00Z" w:initials="WT">
    <w:p w14:paraId="5AB1F1AC" w14:textId="77777777" w:rsidR="00951BF2" w:rsidRDefault="00951BF2" w:rsidP="00951BF2">
      <w:pPr>
        <w:pStyle w:val="Textocomentario"/>
      </w:pPr>
      <w:r>
        <w:rPr>
          <w:rStyle w:val="Refdecomentario"/>
        </w:rPr>
        <w:annotationRef/>
      </w:r>
      <w:r w:rsidRPr="31E7FB16">
        <w:t xml:space="preserve">The answer, in my opinion, was given here: </w:t>
      </w:r>
      <w:hyperlink r:id="rId1">
        <w:r w:rsidRPr="1803839C">
          <w:rPr>
            <w:rStyle w:val="Hipervnculo"/>
          </w:rPr>
          <w:t>https://www.un.org/sites/un2.un.org/files/governing_ai_for_humanity_final_report_en.pdf</w:t>
        </w:r>
      </w:hyperlink>
    </w:p>
    <w:p w14:paraId="7791394F" w14:textId="77777777" w:rsidR="00951BF2" w:rsidRDefault="00951BF2" w:rsidP="00951BF2">
      <w:pPr>
        <w:pStyle w:val="Textocomentario"/>
      </w:pPr>
      <w:r w:rsidRPr="7ADABF54">
        <w:t xml:space="preserve">p 48ff speaks about the creation of a scientific panel for AI. </w:t>
      </w:r>
    </w:p>
  </w:comment>
  <w:comment w:id="155" w:author="Meybeck, Alexandre (DDCC)" w:date="2026-03-31T15:22:00Z" w:initials="AM">
    <w:p w14:paraId="34676B35" w14:textId="77777777" w:rsidR="00CF4491" w:rsidRDefault="00CF4491" w:rsidP="00CF4491">
      <w:pPr>
        <w:pStyle w:val="Textocomentario"/>
      </w:pPr>
      <w:r>
        <w:rPr>
          <w:rStyle w:val="Refdecomentario"/>
        </w:rPr>
        <w:annotationRef/>
      </w:r>
      <w:r>
        <w:t>For what? Data?</w:t>
      </w:r>
    </w:p>
  </w:comment>
  <w:comment w:id="156" w:author="Wiessalla, Tristan (OIN)" w:date="2026-03-31T15:26:00Z" w:initials="WT">
    <w:p w14:paraId="7E88B062" w14:textId="77777777" w:rsidR="00CF4491" w:rsidRDefault="00CF4491" w:rsidP="00CF4491">
      <w:pPr>
        <w:pStyle w:val="Textocomentario"/>
      </w:pPr>
      <w:r>
        <w:rPr>
          <w:rStyle w:val="Refdecomentario"/>
        </w:rPr>
        <w:annotationRef/>
      </w:r>
      <w:r w:rsidRPr="2145C0C1">
        <w:t>yes, summarizing the data part I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E7BB82B" w15:done="1"/>
  <w15:commentEx w15:paraId="62D9DAF6" w15:done="1"/>
  <w15:commentEx w15:paraId="7791394F" w15:paraIdParent="62D9DAF6" w15:done="1"/>
  <w15:commentEx w15:paraId="34676B35" w15:done="1"/>
  <w15:commentEx w15:paraId="7E88B062" w15:paraIdParent="34676B3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5530811" w16cex:dateUtc="2026-03-14T07:03:00Z"/>
  <w16cex:commentExtensible w16cex:durableId="32E63C41" w16cex:dateUtc="2026-03-14T21:15:00Z"/>
  <w16cex:commentExtensible w16cex:durableId="4F3E386B" w16cex:dateUtc="2026-03-31T13:22:00Z"/>
  <w16cex:commentExtensible w16cex:durableId="7C642BC3" w16cex:dateUtc="2026-03-31T13:22:00Z"/>
  <w16cex:commentExtensible w16cex:durableId="5B4E9CC7" w16cex:dateUtc="2026-03-31T13: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E7BB82B" w16cid:durableId="15530811"/>
  <w16cid:commentId w16cid:paraId="62D9DAF6" w16cid:durableId="32E63C41"/>
  <w16cid:commentId w16cid:paraId="7791394F" w16cid:durableId="4F3E386B"/>
  <w16cid:commentId w16cid:paraId="34676B35" w16cid:durableId="7C642BC3"/>
  <w16cid:commentId w16cid:paraId="7E88B062" w16cid:durableId="5B4E9C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85106" w14:textId="77777777" w:rsidR="0066540D" w:rsidRDefault="0066540D" w:rsidP="005655BE">
      <w:r>
        <w:separator/>
      </w:r>
    </w:p>
  </w:endnote>
  <w:endnote w:type="continuationSeparator" w:id="0">
    <w:p w14:paraId="5EF0A405" w14:textId="77777777" w:rsidR="0066540D" w:rsidRDefault="0066540D" w:rsidP="005655BE">
      <w:r>
        <w:continuationSeparator/>
      </w:r>
    </w:p>
  </w:endnote>
  <w:endnote w:type="continuationNotice" w:id="1">
    <w:p w14:paraId="075DAED7" w14:textId="77777777" w:rsidR="0066540D" w:rsidRDefault="0066540D" w:rsidP="005655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Pro-Light">
    <w:altName w:val="Calibri"/>
    <w:charset w:val="00"/>
    <w:family w:val="swiss"/>
    <w:pitch w:val="variable"/>
    <w:sig w:usb0="A00002B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HGPGothicE">
    <w:altName w:val="HGPｺﾞｼｯｸE"/>
    <w:charset w:val="80"/>
    <w:family w:val="swiss"/>
    <w:pitch w:val="variable"/>
    <w:sig w:usb0="E00002FF" w:usb1="2AC7EDFE" w:usb2="00000012" w:usb3="00000000" w:csb0="00020001" w:csb1="00000000"/>
  </w:font>
  <w:font w:name="DIN Next LT Pro Medium Cond">
    <w:altName w:val="Calibri"/>
    <w:charset w:val="00"/>
    <w:family w:val="swiss"/>
    <w:pitch w:val="variable"/>
    <w:sig w:usb0="A00000AF" w:usb1="5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INPro-Bold">
    <w:altName w:val="Calibri"/>
    <w:panose1 w:val="00000000000000000000"/>
    <w:charset w:val="00"/>
    <w:family w:val="swiss"/>
    <w:notTrueType/>
    <w:pitch w:val="variable"/>
    <w:sig w:usb0="A00002BF" w:usb1="4000207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6777F" w14:textId="77777777" w:rsidR="00211316" w:rsidRDefault="0021131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E0239" w14:textId="2FC56F18" w:rsidR="0060651B" w:rsidRPr="003155AB" w:rsidRDefault="00794300" w:rsidP="005655BE">
    <w:pPr>
      <w:pStyle w:val="Piedepgina"/>
    </w:pPr>
    <w:r w:rsidRPr="008759A8">
      <w:rPr>
        <w:noProof/>
        <w:lang w:eastAsia="en-US"/>
      </w:rPr>
      <mc:AlternateContent>
        <mc:Choice Requires="wps">
          <w:drawing>
            <wp:anchor distT="0" distB="0" distL="114300" distR="114300" simplePos="0" relativeHeight="251658241" behindDoc="0" locked="0" layoutInCell="1" allowOverlap="1" wp14:anchorId="5DB92F2A" wp14:editId="3484DA20">
              <wp:simplePos x="0" y="0"/>
              <wp:positionH relativeFrom="column">
                <wp:posOffset>-690880</wp:posOffset>
              </wp:positionH>
              <wp:positionV relativeFrom="paragraph">
                <wp:posOffset>-9559950</wp:posOffset>
              </wp:positionV>
              <wp:extent cx="1444752" cy="0"/>
              <wp:effectExtent l="19050" t="19050" r="22225" b="38100"/>
              <wp:wrapNone/>
              <wp:docPr id="17" name="Straight Connector 17" descr="straight line"/>
              <wp:cNvGraphicFramePr/>
              <a:graphic xmlns:a="http://schemas.openxmlformats.org/drawingml/2006/main">
                <a:graphicData uri="http://schemas.microsoft.com/office/word/2010/wordprocessingShape">
                  <wps:wsp>
                    <wps:cNvCnPr/>
                    <wps:spPr>
                      <a:xfrm flipH="1">
                        <a:off x="0" y="0"/>
                        <a:ext cx="1444752" cy="0"/>
                      </a:xfrm>
                      <a:prstGeom prst="line">
                        <a:avLst/>
                      </a:prstGeom>
                      <a:ln w="57150">
                        <a:solidFill>
                          <a:srgbClr val="0088B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13C320C" id="Straight Connector 17" o:spid="_x0000_s1026" alt="straight line" style="position:absolute;flip:x;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4pt,-752.75pt" to="59.35pt,-7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" strokecolor="#0088b4" strokeweight="4.5pt"/>
          </w:pict>
        </mc:Fallback>
      </mc:AlternateContent>
    </w:r>
  </w:p>
  <w:p w14:paraId="71890BBD" w14:textId="4904A666" w:rsidR="0042017A" w:rsidRDefault="006E7F1E" w:rsidP="006E7F1E">
    <w:pPr>
      <w:pStyle w:val="Piedepgina"/>
    </w:pPr>
    <w:r w:rsidRPr="006E7F1E">
      <w:rPr>
        <w:i/>
        <w:iCs/>
      </w:rPr>
      <w:t>Harnessing Artificial Intelligence, digitalization and data governance for food security and nutrition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C3317" w14:textId="77777777" w:rsidR="00211316" w:rsidRDefault="002113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60AA1" w14:textId="77777777" w:rsidR="0066540D" w:rsidRDefault="0066540D" w:rsidP="005655BE">
      <w:r>
        <w:separator/>
      </w:r>
    </w:p>
  </w:footnote>
  <w:footnote w:type="continuationSeparator" w:id="0">
    <w:p w14:paraId="72E94B52" w14:textId="77777777" w:rsidR="0066540D" w:rsidRDefault="0066540D" w:rsidP="005655BE">
      <w:r>
        <w:continuationSeparator/>
      </w:r>
    </w:p>
  </w:footnote>
  <w:footnote w:type="continuationNotice" w:id="1">
    <w:p w14:paraId="1C5F05A5" w14:textId="77777777" w:rsidR="0066540D" w:rsidRDefault="0066540D" w:rsidP="005655BE"/>
  </w:footnote>
  <w:footnote w:id="2">
    <w:p w14:paraId="721753D4" w14:textId="77777777" w:rsidR="00B20251" w:rsidRDefault="00B20251" w:rsidP="00B20251">
      <w:pPr>
        <w:pStyle w:val="Textonotapie"/>
      </w:pPr>
      <w:r w:rsidRPr="0752B6A1">
        <w:rPr>
          <w:rStyle w:val="Refdenotaalpie"/>
        </w:rPr>
        <w:footnoteRef/>
      </w:r>
      <w:r>
        <w:t xml:space="preserve"> </w:t>
      </w:r>
      <w:r w:rsidRPr="0752B6A1">
        <w:t>Machine learning describes computational systems that improve at tasks through training on data, enabling predictions about previously unseen inputs within the domain they were trained on. It encompasses a wide array of algorithms</w:t>
      </w:r>
    </w:p>
  </w:footnote>
  <w:footnote w:id="3">
    <w:p w14:paraId="6F2CECDA" w14:textId="77777777" w:rsidR="009712D5" w:rsidRPr="00674B7A" w:rsidRDefault="009712D5" w:rsidP="009712D5">
      <w:pPr>
        <w:pStyle w:val="Textonotapie"/>
      </w:pPr>
      <w:r>
        <w:rPr>
          <w:rStyle w:val="Refdenotaalpie"/>
        </w:rPr>
        <w:footnoteRef/>
      </w:r>
      <w:r>
        <w:t xml:space="preserve"> Agentic systems or AI interface directly with computer systems with minimal human supervision. </w:t>
      </w:r>
      <w:proofErr w:type="gramStart"/>
      <w:r>
        <w:t>Often</w:t>
      </w:r>
      <w:proofErr w:type="gramEnd"/>
      <w:r>
        <w:t xml:space="preserve"> they consist of a central coordinating model that </w:t>
      </w:r>
      <w:proofErr w:type="gramStart"/>
      <w:r>
        <w:t>is able to</w:t>
      </w:r>
      <w:proofErr w:type="gramEnd"/>
      <w:r>
        <w:t xml:space="preserve"> start tasks for other, specialized models or on the hardware it operates on. </w:t>
      </w:r>
    </w:p>
  </w:footnote>
  <w:footnote w:id="4">
    <w:p w14:paraId="29874ED3" w14:textId="77777777" w:rsidR="009712D5" w:rsidRDefault="009712D5" w:rsidP="009712D5">
      <w:pPr>
        <w:pStyle w:val="Textonotapie"/>
      </w:pPr>
      <w:r w:rsidRPr="1B25E37D">
        <w:rPr>
          <w:rStyle w:val="Refdenotaalpie"/>
        </w:rPr>
        <w:footnoteRef/>
      </w:r>
      <w:r>
        <w:t xml:space="preserve"> IoT (Internet of Things) describes physical objects that are embedded with sensors, processing ability, software, and other technologies that connect and exchange data with other devices and systems over the Internet or other communication networks. </w:t>
      </w:r>
    </w:p>
  </w:footnote>
  <w:footnote w:id="5">
    <w:p w14:paraId="337AE043" w14:textId="77777777" w:rsidR="00BA2849" w:rsidRDefault="00BA2849" w:rsidP="00BA2849">
      <w:pPr>
        <w:pStyle w:val="Textonotapie"/>
      </w:pPr>
      <w:r w:rsidRPr="0752B6A1">
        <w:rPr>
          <w:rStyle w:val="Refdenotaalpie"/>
        </w:rPr>
        <w:footnoteRef/>
      </w:r>
      <w:r>
        <w:t xml:space="preserve"> Deep learning is a subset of machine learning using multilayered (‘deep’, meaning multiple subsequent processing layers) neuronal networks. It is usually not generalist but has a specific purpose. At the same time, it is often able to address very complex tasks, requiring substantial amounts of training and compute. As such it’s simple classification in the Small/Generalist AI spectrum shows that this spectrum is a simplification.</w:t>
      </w:r>
    </w:p>
    <w:p w14:paraId="0BFA3B91" w14:textId="77777777" w:rsidR="00BA2849" w:rsidRDefault="00BA2849" w:rsidP="00BA2849">
      <w:pPr>
        <w:pStyle w:val="Textonotapie"/>
      </w:pPr>
    </w:p>
  </w:footnote>
  <w:footnote w:id="6">
    <w:p w14:paraId="4EE2E746" w14:textId="367CF99C" w:rsidR="00CF05E9" w:rsidRDefault="00CF05E9" w:rsidP="00CF05E9">
      <w:pPr>
        <w:pStyle w:val="Textonotapie"/>
      </w:pPr>
      <w:r w:rsidRPr="1B25E37D">
        <w:rPr>
          <w:rStyle w:val="Refdenotaalpie"/>
        </w:rPr>
        <w:footnoteRef/>
      </w:r>
      <w:r>
        <w:t xml:space="preserve"> Research &amp; development</w:t>
      </w:r>
      <w:r>
        <w:t>.</w:t>
      </w:r>
    </w:p>
  </w:footnote>
  <w:footnote w:id="7">
    <w:p w14:paraId="4C2F3363" w14:textId="77777777" w:rsidR="00DA6741" w:rsidRDefault="00DA6741" w:rsidP="00DA6741">
      <w:pPr>
        <w:pStyle w:val="Textonotapie"/>
      </w:pPr>
      <w:r w:rsidRPr="04AEF506">
        <w:rPr>
          <w:rStyle w:val="Refdenotaalpie"/>
        </w:rPr>
        <w:footnoteRef/>
      </w:r>
      <w:r>
        <w:t xml:space="preserve"> Generally, those systems use a combination of photo or video recordings in combination with scales weighing the food, summarized in the source as camera and scale systems.</w:t>
      </w:r>
    </w:p>
    <w:p w14:paraId="49D3348E" w14:textId="77777777" w:rsidR="00DA6741" w:rsidRDefault="00DA6741" w:rsidP="00DA6741">
      <w:pPr>
        <w:pStyle w:val="Textonotapie"/>
      </w:pPr>
    </w:p>
  </w:footnote>
  <w:footnote w:id="8">
    <w:p w14:paraId="0493194C" w14:textId="77777777" w:rsidR="006E4DAD" w:rsidRDefault="006E4DAD" w:rsidP="006E4DAD">
      <w:pPr>
        <w:pStyle w:val="Textonotapie"/>
      </w:pPr>
      <w:r w:rsidRPr="6BF372EC">
        <w:rPr>
          <w:rStyle w:val="Refdenotaalpie"/>
        </w:rPr>
        <w:footnoteRef/>
      </w:r>
      <w:r>
        <w:t xml:space="preserve"> In an analogy to public infrastructure, digital public infrastructure (DPI) describes foundational digital solutions that form the basis for economical and societal digital development. A simple example is comparing </w:t>
      </w:r>
      <w:proofErr w:type="spellStart"/>
      <w:r>
        <w:t>fibreglass</w:t>
      </w:r>
      <w:proofErr w:type="spellEnd"/>
      <w:r>
        <w:t xml:space="preserve"> data cables with road infrastructure. The Digital Impact Alliance qualifies DPI as maximizing public value creation, following open, modular, interoperable and extensible design principles and giving people agency over data usage and participation in the data economy.</w:t>
      </w:r>
    </w:p>
    <w:p w14:paraId="1A3E3D2C" w14:textId="77777777" w:rsidR="006E4DAD" w:rsidRDefault="006E4DAD" w:rsidP="006E4DAD">
      <w:pPr>
        <w:pStyle w:val="Textonotapie"/>
      </w:pPr>
    </w:p>
  </w:footnote>
  <w:footnote w:id="9">
    <w:p w14:paraId="50C9A10B" w14:textId="77777777" w:rsidR="00A4733E" w:rsidRDefault="00A4733E" w:rsidP="00A4733E">
      <w:pPr>
        <w:pStyle w:val="Textonotapie"/>
      </w:pPr>
      <w:r w:rsidRPr="6541D616">
        <w:rPr>
          <w:rStyle w:val="Refdenotaalpie"/>
        </w:rPr>
        <w:footnoteRef/>
      </w:r>
      <w:r>
        <w:t xml:space="preserve"> A data desert refers to a lack of reliable data about a specific population or location, leading to their exclusion from policy and decision-making processes. This absence of information means the stories, needs, and realities of the people living in these areas go unheard and unseen by decision-makers.</w:t>
      </w:r>
    </w:p>
  </w:footnote>
  <w:footnote w:id="10">
    <w:p w14:paraId="62340813" w14:textId="77777777" w:rsidR="00A4733E" w:rsidRDefault="00A4733E" w:rsidP="00A4733E">
      <w:pPr>
        <w:pStyle w:val="Textonotapie"/>
      </w:pPr>
      <w:r w:rsidRPr="0E15592A">
        <w:rPr>
          <w:rStyle w:val="Refdenotaalpie"/>
        </w:rPr>
        <w:footnoteRef/>
      </w:r>
      <w:r>
        <w:t xml:space="preserve"> The digital divide characterizes the gap between those who have access to telecommunications and information technologies and those who do not. This ranges from access to high-speed internet, to mobile coverage, literacy and the skills needed to operate and use apps and devices.</w:t>
      </w:r>
    </w:p>
  </w:footnote>
  <w:footnote w:id="11">
    <w:p w14:paraId="7FEAC02C" w14:textId="77777777" w:rsidR="00CF4491" w:rsidRDefault="00CF4491" w:rsidP="00CF4491">
      <w:pPr>
        <w:pStyle w:val="Textonotapie"/>
        <w:spacing w:before="240" w:after="240"/>
      </w:pPr>
      <w:r w:rsidRPr="1B25E37D">
        <w:rPr>
          <w:rStyle w:val="Refdenotaalpie"/>
        </w:rPr>
        <w:footnoteRef/>
      </w:r>
      <w:r>
        <w:t xml:space="preserve"> A dataspace is an interoperable framework, based on common governance principles, standards, practices and enabling services, that enables trusted data transactions between participants.</w:t>
      </w:r>
    </w:p>
    <w:p w14:paraId="6BDB4D9F" w14:textId="77777777" w:rsidR="00CF4491" w:rsidRDefault="00CF4491" w:rsidP="00CF4491">
      <w:pPr>
        <w:pStyle w:val="Textonotapie"/>
      </w:pPr>
    </w:p>
  </w:footnote>
  <w:footnote w:id="12">
    <w:p w14:paraId="40F18256" w14:textId="77777777" w:rsidR="0015489F" w:rsidRDefault="0015489F" w:rsidP="0015489F">
      <w:pPr>
        <w:pStyle w:val="Textonotapie"/>
      </w:pPr>
      <w:r w:rsidRPr="0E15592A">
        <w:rPr>
          <w:rStyle w:val="Refdenotaalpie"/>
        </w:rPr>
        <w:footnoteRef/>
      </w:r>
      <w:r>
        <w:t xml:space="preserve"> A data embassy is a solution implemented by nation states to ensure a country's digital continuity with </w:t>
      </w:r>
      <w:proofErr w:type="gramStart"/>
      <w:r>
        <w:t>particular respect</w:t>
      </w:r>
      <w:proofErr w:type="gramEnd"/>
      <w:r>
        <w:t xml:space="preserve"> to critical databases. It consists of a set of servers that store one country's data and are under that country's jurisdiction while </w:t>
      </w:r>
      <w:proofErr w:type="gramStart"/>
      <w:r>
        <w:t>being located in</w:t>
      </w:r>
      <w:proofErr w:type="gramEnd"/>
      <w:r>
        <w:t xml:space="preserve"> another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41EBC" w14:textId="6AB9BEBA" w:rsidR="00211316" w:rsidRDefault="00C37274">
    <w:pPr>
      <w:pStyle w:val="Encabezado"/>
    </w:pPr>
    <w:r>
      <w:rPr>
        <w:noProof/>
      </w:rPr>
      <w:pict w14:anchorId="17BDE2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8383141" o:spid="_x0000_s1034" type="#_x0000_t136" style="position:absolute;left:0;text-align:left;margin-left:0;margin-top:0;width:498pt;height:199.2pt;rotation:315;z-index:-251658236;mso-position-horizontal:center;mso-position-horizontal-relative:margin;mso-position-vertical:center;mso-position-vertical-relative:margin" o:allowincell="f" fillcolor="silver" stroked="f">
          <v:fill opacity=".5"/>
          <v:textpath style="font-family:&quot;DINPro-Ligh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5E2560" w:rsidRPr="003F512F" w14:paraId="683E4493" w14:textId="77777777" w:rsidTr="00EA71F2">
      <w:trPr>
        <w:trHeight w:val="178"/>
      </w:trPr>
      <w:tc>
        <w:tcPr>
          <w:tcW w:w="5861" w:type="dxa"/>
        </w:tcPr>
        <w:p w14:paraId="2C1978CE" w14:textId="2B245ED7" w:rsidR="0060651B" w:rsidRPr="003F512F" w:rsidRDefault="0060651B" w:rsidP="005655BE">
          <w:pPr>
            <w:pStyle w:val="Encabezado"/>
            <w:rPr>
              <w:sz w:val="2"/>
              <w:szCs w:val="2"/>
            </w:rPr>
          </w:pPr>
        </w:p>
      </w:tc>
      <w:tc>
        <w:tcPr>
          <w:tcW w:w="6420" w:type="dxa"/>
        </w:tcPr>
        <w:p w14:paraId="683C315A" w14:textId="4BD1F57B" w:rsidR="0060651B" w:rsidRPr="003F512F" w:rsidRDefault="00AB2797" w:rsidP="005655BE">
          <w:pPr>
            <w:pStyle w:val="Encabezado"/>
            <w:rPr>
              <w:sz w:val="2"/>
              <w:szCs w:val="2"/>
            </w:rPr>
          </w:pPr>
          <w:r w:rsidRPr="003F512F">
            <w:rPr>
              <w:noProof/>
              <w:sz w:val="2"/>
              <w:szCs w:val="2"/>
              <w:lang w:eastAsia="en-US"/>
            </w:rPr>
            <mc:AlternateContent>
              <mc:Choice Requires="wps">
                <w:drawing>
                  <wp:anchor distT="0" distB="0" distL="114300" distR="114300" simplePos="0" relativeHeight="251658240" behindDoc="0" locked="0" layoutInCell="1" allowOverlap="1" wp14:anchorId="54C39280" wp14:editId="35B8FCE7">
                    <wp:simplePos x="0" y="0"/>
                    <wp:positionH relativeFrom="column">
                      <wp:posOffset>2645410</wp:posOffset>
                    </wp:positionH>
                    <wp:positionV relativeFrom="paragraph">
                      <wp:posOffset>-220345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9B1C5" w14:textId="77777777" w:rsidR="0060651B" w:rsidRPr="00D476F7" w:rsidRDefault="0060651B" w:rsidP="00DE2C6D">
                                <w:pPr>
                                  <w:pStyle w:val="Subttulo"/>
                                  <w:jc w:val="right"/>
                                </w:pPr>
                                <w:r>
                                  <w:fldChar w:fldCharType="begin"/>
                                </w:r>
                                <w:r>
                                  <w:instrText xml:space="preserve"> PAGE  \* Arabic  \* MERGEFORMAT </w:instrText>
                                </w:r>
                                <w:r>
                                  <w:fldChar w:fldCharType="separate"/>
                                </w:r>
                                <w:r w:rsidR="002F494F">
                                  <w:rPr>
                                    <w:noProof/>
                                  </w:rPr>
                                  <w:t>12</w:t>
                                </w:r>
                                <w: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39280" id="_x0000_t202" coordsize="21600,21600" o:spt="202" path="m,l,21600r21600,l21600,xe">
                    <v:stroke joinstyle="miter"/>
                    <v:path gradientshapeok="t" o:connecttype="rect"/>
                  </v:shapetype>
                  <v:shape id="Text Box 20" o:spid="_x0000_s1032" type="#_x0000_t202" style="position:absolute;left:0;text-align:left;margin-left:208.3pt;margin-top:-17.35pt;width:64.9pt;height:2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" filled="f" stroked="f" strokeweight=".5pt">
                    <v:textbox inset="0,0,0,0">
                      <w:txbxContent>
                        <w:p w14:paraId="7B39B1C5" w14:textId="77777777" w:rsidR="0060651B" w:rsidRPr="00D476F7" w:rsidRDefault="0060651B" w:rsidP="00DE2C6D">
                          <w:pPr>
                            <w:pStyle w:val="Subttulo"/>
                            <w:jc w:val="right"/>
                          </w:pPr>
                          <w:r>
                            <w:fldChar w:fldCharType="begin"/>
                          </w:r>
                          <w:r>
                            <w:instrText xml:space="preserve"> PAGE  \* Arabic  \* MERGEFORMAT </w:instrText>
                          </w:r>
                          <w:r>
                            <w:fldChar w:fldCharType="separate"/>
                          </w:r>
                          <w:r w:rsidR="002F494F">
                            <w:rPr>
                              <w:noProof/>
                            </w:rPr>
                            <w:t>12</w:t>
                          </w:r>
                          <w:r>
                            <w:fldChar w:fldCharType="end"/>
                          </w:r>
                        </w:p>
                      </w:txbxContent>
                    </v:textbox>
                  </v:shape>
                </w:pict>
              </mc:Fallback>
            </mc:AlternateContent>
          </w:r>
        </w:p>
      </w:tc>
    </w:tr>
  </w:tbl>
  <w:p w14:paraId="29E288A1" w14:textId="691E470C" w:rsidR="00E93CC6" w:rsidRDefault="00C37274">
    <w:r>
      <w:rPr>
        <w:noProof/>
      </w:rPr>
      <w:pict w14:anchorId="337D04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8383142" o:spid="_x0000_s1035" type="#_x0000_t136" style="position:absolute;left:0;text-align:left;margin-left:0;margin-top:0;width:498pt;height:199.2pt;rotation:315;z-index:-251658235;mso-position-horizontal:center;mso-position-horizontal-relative:margin;mso-position-vertical:center;mso-position-vertical-relative:margin" o:allowincell="f" fillcolor="silver" stroked="f">
          <v:fill opacity=".5"/>
          <v:textpath style="font-family:&quot;DINPro-Light&quot;;font-size:1pt" string="DRAFT"/>
          <w10:wrap anchorx="margin" anchory="margin"/>
        </v:shape>
      </w:pict>
    </w:r>
    <w:r w:rsidR="00E93CC6">
      <w:rPr>
        <w:noProof/>
      </w:rPr>
      <w:pict w14:anchorId="389E8EE8">
        <v:shape id="_x0000_s1039" type="#_x0000_t136" style="position:absolute;left:0;text-align:left;margin-left:0;margin-top:0;width:1in;height:1in;z-index:251658242;mso-position-horizontal-relative:text;mso-position-vertical-relative:tex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E2ADC" w14:textId="7CD81919" w:rsidR="002F2828" w:rsidRPr="002F2828" w:rsidRDefault="00C37274">
    <w:pPr>
      <w:pStyle w:val="Encabezado"/>
      <w:jc w:val="right"/>
      <w:rPr>
        <w:rFonts w:ascii="DIN Next LT Pro Medium Cond" w:hAnsi="DIN Next LT Pro Medium Cond"/>
        <w:b/>
        <w:noProof/>
        <w:color w:val="536374" w:themeColor="text2"/>
        <w:sz w:val="36"/>
        <w:szCs w:val="36"/>
      </w:rPr>
    </w:pPr>
    <w:r>
      <w:rPr>
        <w:noProof/>
      </w:rPr>
      <w:pict w14:anchorId="42456F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8383140" o:spid="_x0000_s1037" type="#_x0000_t136" style="position:absolute;left:0;text-align:left;margin-left:0;margin-top:0;width:498pt;height:199.2pt;rotation:315;z-index:-251658237;mso-position-horizontal:center;mso-position-horizontal-relative:margin;mso-position-vertical:center;mso-position-vertical-relative:margin" o:allowincell="f" fillcolor="silver" stroked="f">
          <v:fill opacity=".5"/>
          <v:textpath style="font-family:&quot;DINPro-Light&quot;;font-size:1pt" string="DRAFT"/>
          <w10:wrap anchorx="margin" anchory="margin"/>
        </v:shape>
      </w:pict>
    </w:r>
  </w:p>
  <w:p w14:paraId="179677BD" w14:textId="3C2BB792" w:rsidR="002F2828" w:rsidRDefault="002F2828" w:rsidP="002F2828">
    <w:pPr>
      <w:pStyle w:val="Encabezado"/>
      <w:tabs>
        <w:tab w:val="left" w:pos="1308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63CE8"/>
    <w:multiLevelType w:val="hybridMultilevel"/>
    <w:tmpl w:val="0F7413E4"/>
    <w:lvl w:ilvl="0" w:tplc="2B0496F2">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71090"/>
    <w:multiLevelType w:val="hybridMultilevel"/>
    <w:tmpl w:val="24EA954A"/>
    <w:lvl w:ilvl="0" w:tplc="E124D52E">
      <w:numFmt w:val="bullet"/>
      <w:lvlText w:val="•"/>
      <w:lvlJc w:val="left"/>
      <w:pPr>
        <w:ind w:left="1440" w:hanging="720"/>
      </w:pPr>
      <w:rPr>
        <w:rFonts w:ascii="DINPro-Light" w:eastAsiaTheme="minorHAnsi" w:hAnsi="DINPro-Light"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177A5D83"/>
    <w:multiLevelType w:val="hybridMultilevel"/>
    <w:tmpl w:val="3EC21642"/>
    <w:lvl w:ilvl="0" w:tplc="52DC3A72">
      <w:start w:val="1"/>
      <w:numFmt w:val="bullet"/>
      <w:lvlText w:val="o"/>
      <w:lvlJc w:val="left"/>
      <w:pPr>
        <w:ind w:left="720" w:hanging="360"/>
      </w:pPr>
      <w:rPr>
        <w:rFonts w:ascii="Courier New" w:hAnsi="Courier New"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7C21E5A"/>
    <w:multiLevelType w:val="hybridMultilevel"/>
    <w:tmpl w:val="932C7E92"/>
    <w:lvl w:ilvl="0" w:tplc="0C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577388"/>
    <w:multiLevelType w:val="multilevel"/>
    <w:tmpl w:val="053632D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FBE03AF"/>
    <w:multiLevelType w:val="multilevel"/>
    <w:tmpl w:val="6D12B98C"/>
    <w:lvl w:ilvl="0">
      <w:start w:val="1"/>
      <w:numFmt w:val="bullet"/>
      <w:lvlText w:val="o"/>
      <w:lvlJc w:val="left"/>
      <w:pPr>
        <w:tabs>
          <w:tab w:val="num" w:pos="475"/>
        </w:tabs>
        <w:ind w:left="475" w:hanging="360"/>
      </w:pPr>
      <w:rPr>
        <w:rFonts w:ascii="Courier New" w:hAnsi="Courier New" w:cs="Courier New" w:hint="default"/>
      </w:rPr>
    </w:lvl>
    <w:lvl w:ilvl="1">
      <w:start w:val="1"/>
      <w:numFmt w:val="bullet"/>
      <w:lvlText w:val=""/>
      <w:lvlJc w:val="left"/>
      <w:pPr>
        <w:tabs>
          <w:tab w:val="num" w:pos="835"/>
        </w:tabs>
        <w:ind w:left="835" w:hanging="360"/>
      </w:pPr>
      <w:rPr>
        <w:rFonts w:ascii="Symbol" w:hAnsi="Symbol" w:cs="Symbol" w:hint="default"/>
      </w:rPr>
    </w:lvl>
    <w:lvl w:ilvl="2">
      <w:start w:val="1"/>
      <w:numFmt w:val="bullet"/>
      <w:lvlText w:val=""/>
      <w:lvlJc w:val="left"/>
      <w:pPr>
        <w:tabs>
          <w:tab w:val="num" w:pos="1195"/>
        </w:tabs>
        <w:ind w:left="1195" w:hanging="360"/>
      </w:pPr>
      <w:rPr>
        <w:rFonts w:ascii="Symbol" w:hAnsi="Symbol" w:cs="Symbol" w:hint="default"/>
      </w:rPr>
    </w:lvl>
    <w:lvl w:ilvl="3">
      <w:start w:val="1"/>
      <w:numFmt w:val="bullet"/>
      <w:lvlText w:val=""/>
      <w:lvlJc w:val="left"/>
      <w:pPr>
        <w:tabs>
          <w:tab w:val="num" w:pos="1555"/>
        </w:tabs>
        <w:ind w:left="1555" w:hanging="360"/>
      </w:pPr>
      <w:rPr>
        <w:rFonts w:ascii="Symbol" w:hAnsi="Symbol" w:cs="Symbol" w:hint="default"/>
      </w:rPr>
    </w:lvl>
    <w:lvl w:ilvl="4">
      <w:start w:val="1"/>
      <w:numFmt w:val="bullet"/>
      <w:lvlText w:val=""/>
      <w:lvlJc w:val="left"/>
      <w:pPr>
        <w:tabs>
          <w:tab w:val="num" w:pos="1915"/>
        </w:tabs>
        <w:ind w:left="1915" w:hanging="360"/>
      </w:pPr>
      <w:rPr>
        <w:rFonts w:ascii="Symbol" w:hAnsi="Symbol" w:cs="Symbol" w:hint="default"/>
      </w:rPr>
    </w:lvl>
    <w:lvl w:ilvl="5">
      <w:start w:val="1"/>
      <w:numFmt w:val="bullet"/>
      <w:lvlText w:val=""/>
      <w:lvlJc w:val="left"/>
      <w:pPr>
        <w:tabs>
          <w:tab w:val="num" w:pos="2275"/>
        </w:tabs>
        <w:ind w:left="2275" w:hanging="360"/>
      </w:pPr>
      <w:rPr>
        <w:rFonts w:ascii="Symbol" w:hAnsi="Symbol" w:cs="Symbol" w:hint="default"/>
      </w:rPr>
    </w:lvl>
    <w:lvl w:ilvl="6">
      <w:start w:val="1"/>
      <w:numFmt w:val="bullet"/>
      <w:lvlText w:val=""/>
      <w:lvlJc w:val="left"/>
      <w:pPr>
        <w:tabs>
          <w:tab w:val="num" w:pos="2635"/>
        </w:tabs>
        <w:ind w:left="2635" w:hanging="360"/>
      </w:pPr>
      <w:rPr>
        <w:rFonts w:ascii="Symbol" w:hAnsi="Symbol" w:cs="Symbol" w:hint="default"/>
      </w:rPr>
    </w:lvl>
    <w:lvl w:ilvl="7">
      <w:start w:val="1"/>
      <w:numFmt w:val="bullet"/>
      <w:lvlText w:val=""/>
      <w:lvlJc w:val="left"/>
      <w:pPr>
        <w:tabs>
          <w:tab w:val="num" w:pos="2995"/>
        </w:tabs>
        <w:ind w:left="2995" w:hanging="360"/>
      </w:pPr>
      <w:rPr>
        <w:rFonts w:ascii="Symbol" w:hAnsi="Symbol" w:cs="Symbol" w:hint="default"/>
      </w:rPr>
    </w:lvl>
    <w:lvl w:ilvl="8">
      <w:start w:val="1"/>
      <w:numFmt w:val="bullet"/>
      <w:lvlText w:val=""/>
      <w:lvlJc w:val="left"/>
      <w:pPr>
        <w:tabs>
          <w:tab w:val="num" w:pos="3355"/>
        </w:tabs>
        <w:ind w:left="3355" w:hanging="360"/>
      </w:pPr>
      <w:rPr>
        <w:rFonts w:ascii="Symbol" w:hAnsi="Symbol" w:cs="Symbol" w:hint="default"/>
      </w:rPr>
    </w:lvl>
  </w:abstractNum>
  <w:abstractNum w:abstractNumId="6" w15:restartNumberingAfterBreak="0">
    <w:nsid w:val="214874DA"/>
    <w:multiLevelType w:val="hybridMultilevel"/>
    <w:tmpl w:val="35FA2704"/>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7" w15:restartNumberingAfterBreak="0">
    <w:nsid w:val="234E21A9"/>
    <w:multiLevelType w:val="hybridMultilevel"/>
    <w:tmpl w:val="869473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3C32B9D"/>
    <w:multiLevelType w:val="hybridMultilevel"/>
    <w:tmpl w:val="6614790A"/>
    <w:lvl w:ilvl="0" w:tplc="EAB6DB1A">
      <w:start w:val="1"/>
      <w:numFmt w:val="bullet"/>
      <w:pStyle w:val="Listaconnmeros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1D020D"/>
    <w:multiLevelType w:val="hybridMultilevel"/>
    <w:tmpl w:val="C6BEF84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690806"/>
    <w:multiLevelType w:val="hybridMultilevel"/>
    <w:tmpl w:val="DCEAB2D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E2867B0"/>
    <w:multiLevelType w:val="hybridMultilevel"/>
    <w:tmpl w:val="56429B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11F31AC"/>
    <w:multiLevelType w:val="hybridMultilevel"/>
    <w:tmpl w:val="9356ACA8"/>
    <w:lvl w:ilvl="0" w:tplc="08090011">
      <w:start w:val="1"/>
      <w:numFmt w:val="decimal"/>
      <w:lvlText w:val="%1)"/>
      <w:lvlJc w:val="left"/>
      <w:pPr>
        <w:ind w:left="835" w:hanging="360"/>
      </w:pPr>
    </w:lvl>
    <w:lvl w:ilvl="1" w:tplc="08090019" w:tentative="1">
      <w:start w:val="1"/>
      <w:numFmt w:val="lowerLetter"/>
      <w:lvlText w:val="%2."/>
      <w:lvlJc w:val="left"/>
      <w:pPr>
        <w:ind w:left="1555" w:hanging="360"/>
      </w:pPr>
    </w:lvl>
    <w:lvl w:ilvl="2" w:tplc="0809001B" w:tentative="1">
      <w:start w:val="1"/>
      <w:numFmt w:val="lowerRoman"/>
      <w:lvlText w:val="%3."/>
      <w:lvlJc w:val="right"/>
      <w:pPr>
        <w:ind w:left="2275" w:hanging="180"/>
      </w:pPr>
    </w:lvl>
    <w:lvl w:ilvl="3" w:tplc="0809000F" w:tentative="1">
      <w:start w:val="1"/>
      <w:numFmt w:val="decimal"/>
      <w:lvlText w:val="%4."/>
      <w:lvlJc w:val="left"/>
      <w:pPr>
        <w:ind w:left="2995" w:hanging="360"/>
      </w:pPr>
    </w:lvl>
    <w:lvl w:ilvl="4" w:tplc="08090019" w:tentative="1">
      <w:start w:val="1"/>
      <w:numFmt w:val="lowerLetter"/>
      <w:lvlText w:val="%5."/>
      <w:lvlJc w:val="left"/>
      <w:pPr>
        <w:ind w:left="3715" w:hanging="360"/>
      </w:pPr>
    </w:lvl>
    <w:lvl w:ilvl="5" w:tplc="0809001B" w:tentative="1">
      <w:start w:val="1"/>
      <w:numFmt w:val="lowerRoman"/>
      <w:lvlText w:val="%6."/>
      <w:lvlJc w:val="right"/>
      <w:pPr>
        <w:ind w:left="4435" w:hanging="180"/>
      </w:pPr>
    </w:lvl>
    <w:lvl w:ilvl="6" w:tplc="0809000F" w:tentative="1">
      <w:start w:val="1"/>
      <w:numFmt w:val="decimal"/>
      <w:lvlText w:val="%7."/>
      <w:lvlJc w:val="left"/>
      <w:pPr>
        <w:ind w:left="5155" w:hanging="360"/>
      </w:pPr>
    </w:lvl>
    <w:lvl w:ilvl="7" w:tplc="08090019" w:tentative="1">
      <w:start w:val="1"/>
      <w:numFmt w:val="lowerLetter"/>
      <w:lvlText w:val="%8."/>
      <w:lvlJc w:val="left"/>
      <w:pPr>
        <w:ind w:left="5875" w:hanging="360"/>
      </w:pPr>
    </w:lvl>
    <w:lvl w:ilvl="8" w:tplc="0809001B" w:tentative="1">
      <w:start w:val="1"/>
      <w:numFmt w:val="lowerRoman"/>
      <w:lvlText w:val="%9."/>
      <w:lvlJc w:val="right"/>
      <w:pPr>
        <w:ind w:left="6595" w:hanging="180"/>
      </w:pPr>
    </w:lvl>
  </w:abstractNum>
  <w:abstractNum w:abstractNumId="13" w15:restartNumberingAfterBreak="0">
    <w:nsid w:val="32273B14"/>
    <w:multiLevelType w:val="hybridMultilevel"/>
    <w:tmpl w:val="8BE44F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3E64360"/>
    <w:multiLevelType w:val="hybridMultilevel"/>
    <w:tmpl w:val="FF68CE6A"/>
    <w:lvl w:ilvl="0" w:tplc="52DC3A72">
      <w:start w:val="1"/>
      <w:numFmt w:val="bullet"/>
      <w:lvlText w:val="o"/>
      <w:lvlJc w:val="left"/>
      <w:pPr>
        <w:ind w:left="720" w:hanging="360"/>
      </w:pPr>
      <w:rPr>
        <w:rFonts w:ascii="Courier New" w:hAnsi="Courier New"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B07069"/>
    <w:multiLevelType w:val="hybridMultilevel"/>
    <w:tmpl w:val="ABE2854E"/>
    <w:lvl w:ilvl="0" w:tplc="52DC3A72">
      <w:start w:val="1"/>
      <w:numFmt w:val="bullet"/>
      <w:lvlText w:val="o"/>
      <w:lvlJc w:val="left"/>
      <w:pPr>
        <w:ind w:left="720" w:hanging="360"/>
      </w:pPr>
      <w:rPr>
        <w:rFonts w:ascii="Courier New" w:hAnsi="Courier New"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9D7694"/>
    <w:multiLevelType w:val="hybridMultilevel"/>
    <w:tmpl w:val="9A4849EA"/>
    <w:lvl w:ilvl="0" w:tplc="BA2E1950">
      <w:start w:val="2"/>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267921"/>
    <w:multiLevelType w:val="hybridMultilevel"/>
    <w:tmpl w:val="8482E1DA"/>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18" w15:restartNumberingAfterBreak="0">
    <w:nsid w:val="42B7227D"/>
    <w:multiLevelType w:val="hybridMultilevel"/>
    <w:tmpl w:val="1D56AE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83612B7"/>
    <w:multiLevelType w:val="hybridMultilevel"/>
    <w:tmpl w:val="33DAA414"/>
    <w:lvl w:ilvl="0" w:tplc="2B0496F2">
      <w:start w:val="2"/>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E61A0E"/>
    <w:multiLevelType w:val="hybridMultilevel"/>
    <w:tmpl w:val="1E18FD06"/>
    <w:lvl w:ilvl="0" w:tplc="A4CCBDC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9D7718"/>
    <w:multiLevelType w:val="hybridMultilevel"/>
    <w:tmpl w:val="D1FE780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83F3B89"/>
    <w:multiLevelType w:val="hybridMultilevel"/>
    <w:tmpl w:val="D2C8D73C"/>
    <w:lvl w:ilvl="0" w:tplc="E124D52E">
      <w:numFmt w:val="bullet"/>
      <w:lvlText w:val="•"/>
      <w:lvlJc w:val="left"/>
      <w:pPr>
        <w:ind w:left="1080" w:hanging="720"/>
      </w:pPr>
      <w:rPr>
        <w:rFonts w:ascii="DINPro-Light" w:eastAsiaTheme="minorHAnsi" w:hAnsi="DINPro-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8766348"/>
    <w:multiLevelType w:val="hybridMultilevel"/>
    <w:tmpl w:val="1BFAA9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99F78E1"/>
    <w:multiLevelType w:val="hybridMultilevel"/>
    <w:tmpl w:val="F8649F9A"/>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A066238"/>
    <w:multiLevelType w:val="hybridMultilevel"/>
    <w:tmpl w:val="0C14B9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5F020F"/>
    <w:multiLevelType w:val="hybridMultilevel"/>
    <w:tmpl w:val="6B6A3E2A"/>
    <w:lvl w:ilvl="0" w:tplc="E124D52E">
      <w:numFmt w:val="bullet"/>
      <w:lvlText w:val="•"/>
      <w:lvlJc w:val="left"/>
      <w:pPr>
        <w:ind w:left="1080" w:hanging="720"/>
      </w:pPr>
      <w:rPr>
        <w:rFonts w:ascii="DINPro-Light" w:eastAsiaTheme="minorHAnsi" w:hAnsi="DINPro-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DD502E9"/>
    <w:multiLevelType w:val="hybridMultilevel"/>
    <w:tmpl w:val="9356ACA8"/>
    <w:lvl w:ilvl="0" w:tplc="FFFFFFFF">
      <w:start w:val="1"/>
      <w:numFmt w:val="decimal"/>
      <w:lvlText w:val="%1)"/>
      <w:lvlJc w:val="left"/>
      <w:pPr>
        <w:ind w:left="835" w:hanging="360"/>
      </w:pPr>
    </w:lvl>
    <w:lvl w:ilvl="1" w:tplc="FFFFFFFF" w:tentative="1">
      <w:start w:val="1"/>
      <w:numFmt w:val="lowerLetter"/>
      <w:lvlText w:val="%2."/>
      <w:lvlJc w:val="left"/>
      <w:pPr>
        <w:ind w:left="1555" w:hanging="360"/>
      </w:pPr>
    </w:lvl>
    <w:lvl w:ilvl="2" w:tplc="FFFFFFFF" w:tentative="1">
      <w:start w:val="1"/>
      <w:numFmt w:val="lowerRoman"/>
      <w:lvlText w:val="%3."/>
      <w:lvlJc w:val="right"/>
      <w:pPr>
        <w:ind w:left="2275" w:hanging="180"/>
      </w:pPr>
    </w:lvl>
    <w:lvl w:ilvl="3" w:tplc="FFFFFFFF" w:tentative="1">
      <w:start w:val="1"/>
      <w:numFmt w:val="decimal"/>
      <w:lvlText w:val="%4."/>
      <w:lvlJc w:val="left"/>
      <w:pPr>
        <w:ind w:left="2995" w:hanging="360"/>
      </w:pPr>
    </w:lvl>
    <w:lvl w:ilvl="4" w:tplc="FFFFFFFF" w:tentative="1">
      <w:start w:val="1"/>
      <w:numFmt w:val="lowerLetter"/>
      <w:lvlText w:val="%5."/>
      <w:lvlJc w:val="left"/>
      <w:pPr>
        <w:ind w:left="3715" w:hanging="360"/>
      </w:pPr>
    </w:lvl>
    <w:lvl w:ilvl="5" w:tplc="FFFFFFFF" w:tentative="1">
      <w:start w:val="1"/>
      <w:numFmt w:val="lowerRoman"/>
      <w:lvlText w:val="%6."/>
      <w:lvlJc w:val="right"/>
      <w:pPr>
        <w:ind w:left="4435" w:hanging="180"/>
      </w:pPr>
    </w:lvl>
    <w:lvl w:ilvl="6" w:tplc="FFFFFFFF" w:tentative="1">
      <w:start w:val="1"/>
      <w:numFmt w:val="decimal"/>
      <w:lvlText w:val="%7."/>
      <w:lvlJc w:val="left"/>
      <w:pPr>
        <w:ind w:left="5155" w:hanging="360"/>
      </w:pPr>
    </w:lvl>
    <w:lvl w:ilvl="7" w:tplc="FFFFFFFF" w:tentative="1">
      <w:start w:val="1"/>
      <w:numFmt w:val="lowerLetter"/>
      <w:lvlText w:val="%8."/>
      <w:lvlJc w:val="left"/>
      <w:pPr>
        <w:ind w:left="5875" w:hanging="360"/>
      </w:pPr>
    </w:lvl>
    <w:lvl w:ilvl="8" w:tplc="FFFFFFFF" w:tentative="1">
      <w:start w:val="1"/>
      <w:numFmt w:val="lowerRoman"/>
      <w:lvlText w:val="%9."/>
      <w:lvlJc w:val="right"/>
      <w:pPr>
        <w:ind w:left="6595" w:hanging="180"/>
      </w:pPr>
    </w:lvl>
  </w:abstractNum>
  <w:abstractNum w:abstractNumId="28" w15:restartNumberingAfterBreak="0">
    <w:nsid w:val="5FAD4AED"/>
    <w:multiLevelType w:val="hybridMultilevel"/>
    <w:tmpl w:val="5210C80C"/>
    <w:lvl w:ilvl="0" w:tplc="AE30F67E">
      <w:start w:val="1"/>
      <w:numFmt w:val="decimal"/>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7C14EB"/>
    <w:multiLevelType w:val="multilevel"/>
    <w:tmpl w:val="B728ED06"/>
    <w:lvl w:ilvl="0">
      <w:start w:val="1"/>
      <w:numFmt w:val="bullet"/>
      <w:pStyle w:val="Listaconvietas"/>
      <w:lvlText w:val=""/>
      <w:lvlJc w:val="left"/>
      <w:pPr>
        <w:ind w:left="360" w:hanging="360"/>
      </w:pPr>
      <w:rPr>
        <w:rFonts w:ascii="Symbol" w:hAnsi="Symbol" w:hint="default"/>
        <w:color w:val="3D94C4" w:themeColor="accent1"/>
      </w:rPr>
    </w:lvl>
    <w:lvl w:ilvl="1">
      <w:start w:val="1"/>
      <w:numFmt w:val="bullet"/>
      <w:lvlText w:val="•"/>
      <w:lvlJc w:val="left"/>
      <w:pPr>
        <w:tabs>
          <w:tab w:val="num" w:pos="648"/>
        </w:tabs>
        <w:ind w:left="720" w:hanging="360"/>
      </w:pPr>
      <w:rPr>
        <w:rFonts w:ascii="Cambria" w:hAnsi="Cambria" w:hint="default"/>
        <w:color w:val="3D94C4" w:themeColor="accent1"/>
      </w:rPr>
    </w:lvl>
    <w:lvl w:ilvl="2">
      <w:start w:val="1"/>
      <w:numFmt w:val="bullet"/>
      <w:lvlText w:val="•"/>
      <w:lvlJc w:val="left"/>
      <w:pPr>
        <w:tabs>
          <w:tab w:val="num" w:pos="1008"/>
        </w:tabs>
        <w:ind w:left="1080" w:hanging="360"/>
      </w:pPr>
      <w:rPr>
        <w:rFonts w:ascii="Cambria" w:hAnsi="Cambria" w:hint="default"/>
        <w:color w:val="3D94C4" w:themeColor="accent1"/>
      </w:rPr>
    </w:lvl>
    <w:lvl w:ilvl="3">
      <w:start w:val="1"/>
      <w:numFmt w:val="bullet"/>
      <w:lvlText w:val="•"/>
      <w:lvlJc w:val="left"/>
      <w:pPr>
        <w:tabs>
          <w:tab w:val="num" w:pos="1368"/>
        </w:tabs>
        <w:ind w:left="1440" w:hanging="360"/>
      </w:pPr>
      <w:rPr>
        <w:rFonts w:ascii="Cambria" w:hAnsi="Cambria" w:hint="default"/>
        <w:color w:val="3D94C4" w:themeColor="accent1"/>
      </w:rPr>
    </w:lvl>
    <w:lvl w:ilvl="4">
      <w:start w:val="1"/>
      <w:numFmt w:val="bullet"/>
      <w:lvlText w:val="•"/>
      <w:lvlJc w:val="left"/>
      <w:pPr>
        <w:tabs>
          <w:tab w:val="num" w:pos="1728"/>
        </w:tabs>
        <w:ind w:left="1800" w:hanging="360"/>
      </w:pPr>
      <w:rPr>
        <w:rFonts w:ascii="Cambria" w:hAnsi="Cambria" w:hint="default"/>
        <w:color w:val="3D94C4" w:themeColor="accent1"/>
      </w:rPr>
    </w:lvl>
    <w:lvl w:ilvl="5">
      <w:start w:val="1"/>
      <w:numFmt w:val="bullet"/>
      <w:lvlText w:val=""/>
      <w:lvlJc w:val="left"/>
      <w:pPr>
        <w:tabs>
          <w:tab w:val="num" w:pos="2088"/>
        </w:tabs>
        <w:ind w:left="2160" w:hanging="360"/>
      </w:pPr>
      <w:rPr>
        <w:rFonts w:ascii="Wingdings" w:hAnsi="Wingdings" w:hint="default"/>
        <w:color w:val="3D94C4" w:themeColor="accent1"/>
      </w:rPr>
    </w:lvl>
    <w:lvl w:ilvl="6">
      <w:start w:val="1"/>
      <w:numFmt w:val="bullet"/>
      <w:lvlText w:val=""/>
      <w:lvlJc w:val="left"/>
      <w:pPr>
        <w:tabs>
          <w:tab w:val="num" w:pos="2448"/>
        </w:tabs>
        <w:ind w:left="2520" w:hanging="360"/>
      </w:pPr>
      <w:rPr>
        <w:rFonts w:ascii="Symbol" w:hAnsi="Symbol" w:hint="default"/>
        <w:color w:val="3D94C4" w:themeColor="accent1"/>
      </w:rPr>
    </w:lvl>
    <w:lvl w:ilvl="7">
      <w:start w:val="1"/>
      <w:numFmt w:val="bullet"/>
      <w:lvlText w:val="o"/>
      <w:lvlJc w:val="left"/>
      <w:pPr>
        <w:tabs>
          <w:tab w:val="num" w:pos="2808"/>
        </w:tabs>
        <w:ind w:left="2880" w:hanging="360"/>
      </w:pPr>
      <w:rPr>
        <w:rFonts w:ascii="Courier New" w:hAnsi="Courier New" w:hint="default"/>
        <w:color w:val="3D94C4" w:themeColor="accent1"/>
      </w:rPr>
    </w:lvl>
    <w:lvl w:ilvl="8">
      <w:start w:val="1"/>
      <w:numFmt w:val="bullet"/>
      <w:lvlText w:val=""/>
      <w:lvlJc w:val="left"/>
      <w:pPr>
        <w:tabs>
          <w:tab w:val="num" w:pos="3168"/>
        </w:tabs>
        <w:ind w:left="3240" w:hanging="360"/>
      </w:pPr>
      <w:rPr>
        <w:rFonts w:ascii="Wingdings" w:hAnsi="Wingdings" w:hint="default"/>
        <w:color w:val="3D94C4" w:themeColor="accent1"/>
      </w:rPr>
    </w:lvl>
  </w:abstractNum>
  <w:abstractNum w:abstractNumId="30" w15:restartNumberingAfterBreak="0">
    <w:nsid w:val="62E23272"/>
    <w:multiLevelType w:val="multilevel"/>
    <w:tmpl w:val="63122E2C"/>
    <w:lvl w:ilvl="0">
      <w:start w:val="1"/>
      <w:numFmt w:val="bullet"/>
      <w:lvlText w:val=""/>
      <w:lvlJc w:val="left"/>
      <w:pPr>
        <w:tabs>
          <w:tab w:val="num" w:pos="475"/>
        </w:tabs>
        <w:ind w:left="475" w:hanging="360"/>
      </w:pPr>
      <w:rPr>
        <w:rFonts w:ascii="Symbol" w:hAnsi="Symbol" w:hint="default"/>
      </w:rPr>
    </w:lvl>
    <w:lvl w:ilvl="1">
      <w:start w:val="1"/>
      <w:numFmt w:val="bullet"/>
      <w:lvlText w:val=""/>
      <w:lvlJc w:val="left"/>
      <w:pPr>
        <w:tabs>
          <w:tab w:val="num" w:pos="835"/>
        </w:tabs>
        <w:ind w:left="835" w:hanging="360"/>
      </w:pPr>
      <w:rPr>
        <w:rFonts w:ascii="Symbol" w:hAnsi="Symbol" w:cs="Symbol" w:hint="default"/>
      </w:rPr>
    </w:lvl>
    <w:lvl w:ilvl="2">
      <w:start w:val="1"/>
      <w:numFmt w:val="bullet"/>
      <w:lvlText w:val=""/>
      <w:lvlJc w:val="left"/>
      <w:pPr>
        <w:tabs>
          <w:tab w:val="num" w:pos="1195"/>
        </w:tabs>
        <w:ind w:left="1195" w:hanging="360"/>
      </w:pPr>
      <w:rPr>
        <w:rFonts w:ascii="Symbol" w:hAnsi="Symbol" w:cs="Symbol" w:hint="default"/>
      </w:rPr>
    </w:lvl>
    <w:lvl w:ilvl="3">
      <w:start w:val="1"/>
      <w:numFmt w:val="bullet"/>
      <w:lvlText w:val=""/>
      <w:lvlJc w:val="left"/>
      <w:pPr>
        <w:tabs>
          <w:tab w:val="num" w:pos="1555"/>
        </w:tabs>
        <w:ind w:left="1555" w:hanging="360"/>
      </w:pPr>
      <w:rPr>
        <w:rFonts w:ascii="Symbol" w:hAnsi="Symbol" w:cs="Symbol" w:hint="default"/>
      </w:rPr>
    </w:lvl>
    <w:lvl w:ilvl="4">
      <w:start w:val="1"/>
      <w:numFmt w:val="bullet"/>
      <w:lvlText w:val=""/>
      <w:lvlJc w:val="left"/>
      <w:pPr>
        <w:tabs>
          <w:tab w:val="num" w:pos="1915"/>
        </w:tabs>
        <w:ind w:left="1915" w:hanging="360"/>
      </w:pPr>
      <w:rPr>
        <w:rFonts w:ascii="Symbol" w:hAnsi="Symbol" w:cs="Symbol" w:hint="default"/>
      </w:rPr>
    </w:lvl>
    <w:lvl w:ilvl="5">
      <w:start w:val="1"/>
      <w:numFmt w:val="bullet"/>
      <w:lvlText w:val=""/>
      <w:lvlJc w:val="left"/>
      <w:pPr>
        <w:tabs>
          <w:tab w:val="num" w:pos="2275"/>
        </w:tabs>
        <w:ind w:left="2275" w:hanging="360"/>
      </w:pPr>
      <w:rPr>
        <w:rFonts w:ascii="Symbol" w:hAnsi="Symbol" w:cs="Symbol" w:hint="default"/>
      </w:rPr>
    </w:lvl>
    <w:lvl w:ilvl="6">
      <w:start w:val="1"/>
      <w:numFmt w:val="bullet"/>
      <w:lvlText w:val=""/>
      <w:lvlJc w:val="left"/>
      <w:pPr>
        <w:tabs>
          <w:tab w:val="num" w:pos="2635"/>
        </w:tabs>
        <w:ind w:left="2635" w:hanging="360"/>
      </w:pPr>
      <w:rPr>
        <w:rFonts w:ascii="Symbol" w:hAnsi="Symbol" w:cs="Symbol" w:hint="default"/>
      </w:rPr>
    </w:lvl>
    <w:lvl w:ilvl="7">
      <w:start w:val="1"/>
      <w:numFmt w:val="bullet"/>
      <w:lvlText w:val=""/>
      <w:lvlJc w:val="left"/>
      <w:pPr>
        <w:tabs>
          <w:tab w:val="num" w:pos="2995"/>
        </w:tabs>
        <w:ind w:left="2995" w:hanging="360"/>
      </w:pPr>
      <w:rPr>
        <w:rFonts w:ascii="Symbol" w:hAnsi="Symbol" w:cs="Symbol" w:hint="default"/>
      </w:rPr>
    </w:lvl>
    <w:lvl w:ilvl="8">
      <w:start w:val="1"/>
      <w:numFmt w:val="bullet"/>
      <w:lvlText w:val=""/>
      <w:lvlJc w:val="left"/>
      <w:pPr>
        <w:tabs>
          <w:tab w:val="num" w:pos="3355"/>
        </w:tabs>
        <w:ind w:left="3355" w:hanging="360"/>
      </w:pPr>
      <w:rPr>
        <w:rFonts w:ascii="Symbol" w:hAnsi="Symbol" w:cs="Symbol" w:hint="default"/>
      </w:rPr>
    </w:lvl>
  </w:abstractNum>
  <w:abstractNum w:abstractNumId="31" w15:restartNumberingAfterBreak="0">
    <w:nsid w:val="64D57EA9"/>
    <w:multiLevelType w:val="hybridMultilevel"/>
    <w:tmpl w:val="3F5C1E1A"/>
    <w:lvl w:ilvl="0" w:tplc="52DC3A72">
      <w:start w:val="1"/>
      <w:numFmt w:val="bullet"/>
      <w:lvlText w:val="o"/>
      <w:lvlJc w:val="left"/>
      <w:pPr>
        <w:ind w:left="720" w:hanging="360"/>
      </w:pPr>
      <w:rPr>
        <w:rFonts w:ascii="Courier New" w:hAnsi="Courier New"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8D33C76"/>
    <w:multiLevelType w:val="hybridMultilevel"/>
    <w:tmpl w:val="68447836"/>
    <w:lvl w:ilvl="0" w:tplc="52DC3A72">
      <w:start w:val="1"/>
      <w:numFmt w:val="bullet"/>
      <w:lvlText w:val="o"/>
      <w:lvlJc w:val="left"/>
      <w:pPr>
        <w:ind w:left="720" w:hanging="360"/>
      </w:pPr>
      <w:rPr>
        <w:rFonts w:ascii="Courier New" w:hAnsi="Courier New"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20DEDE"/>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69D448F4"/>
    <w:multiLevelType w:val="hybridMultilevel"/>
    <w:tmpl w:val="923EC4AA"/>
    <w:lvl w:ilvl="0" w:tplc="F0B6FEC6">
      <w:start w:val="1"/>
      <w:numFmt w:val="decimal"/>
      <w:lvlText w:val="%1."/>
      <w:lvlJc w:val="left"/>
      <w:pPr>
        <w:ind w:left="432" w:hanging="360"/>
      </w:pPr>
      <w:rPr>
        <w:rFonts w:asciiTheme="majorHAnsi" w:eastAsiaTheme="majorEastAsia" w:hAnsiTheme="majorHAnsi" w:cstheme="majorBidi" w:hint="default"/>
        <w:b/>
        <w:color w:val="536374" w:themeColor="text2"/>
        <w:sz w:val="28"/>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5" w15:restartNumberingAfterBreak="0">
    <w:nsid w:val="6EB43877"/>
    <w:multiLevelType w:val="hybridMultilevel"/>
    <w:tmpl w:val="C670378A"/>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36" w15:restartNumberingAfterBreak="0">
    <w:nsid w:val="73097A79"/>
    <w:multiLevelType w:val="hybridMultilevel"/>
    <w:tmpl w:val="C0A40A0A"/>
    <w:lvl w:ilvl="0" w:tplc="980A5C10">
      <w:start w:val="1"/>
      <w:numFmt w:val="decimal"/>
      <w:lvlText w:val="%1."/>
      <w:lvlJc w:val="left"/>
      <w:pPr>
        <w:ind w:left="1080" w:hanging="360"/>
      </w:pPr>
      <w:rPr>
        <w:rFonts w:hint="default"/>
        <w:color w:val="007BB8"/>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7439127C"/>
    <w:multiLevelType w:val="hybridMultilevel"/>
    <w:tmpl w:val="03263C90"/>
    <w:lvl w:ilvl="0" w:tplc="52DC3A72">
      <w:start w:val="1"/>
      <w:numFmt w:val="bullet"/>
      <w:lvlText w:val="o"/>
      <w:lvlJc w:val="left"/>
      <w:pPr>
        <w:ind w:left="1080" w:hanging="720"/>
      </w:pPr>
      <w:rPr>
        <w:rFonts w:ascii="Courier New" w:hAnsi="Courier New"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4F810F7"/>
    <w:multiLevelType w:val="hybridMultilevel"/>
    <w:tmpl w:val="27CC1AE2"/>
    <w:lvl w:ilvl="0" w:tplc="2B0496F2">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45244C"/>
    <w:multiLevelType w:val="hybridMultilevel"/>
    <w:tmpl w:val="5DEEC60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5F56A0"/>
    <w:multiLevelType w:val="hybridMultilevel"/>
    <w:tmpl w:val="DE5AD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7850D69"/>
    <w:multiLevelType w:val="multilevel"/>
    <w:tmpl w:val="FFFFFFFF"/>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2" w15:restartNumberingAfterBreak="0">
    <w:nsid w:val="797D09D8"/>
    <w:multiLevelType w:val="hybridMultilevel"/>
    <w:tmpl w:val="CA3E2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546045"/>
    <w:multiLevelType w:val="hybridMultilevel"/>
    <w:tmpl w:val="4C282FC0"/>
    <w:lvl w:ilvl="0" w:tplc="52DC3A72">
      <w:start w:val="1"/>
      <w:numFmt w:val="bullet"/>
      <w:lvlText w:val="o"/>
      <w:lvlJc w:val="left"/>
      <w:pPr>
        <w:ind w:left="720" w:hanging="360"/>
      </w:pPr>
      <w:rPr>
        <w:rFonts w:ascii="Courier New" w:hAnsi="Courier New"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DD3686A"/>
    <w:multiLevelType w:val="hybridMultilevel"/>
    <w:tmpl w:val="E8DCFAD8"/>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num w:numId="1" w16cid:durableId="2094423894">
    <w:abstractNumId w:val="29"/>
  </w:num>
  <w:num w:numId="2" w16cid:durableId="1426149330">
    <w:abstractNumId w:val="8"/>
  </w:num>
  <w:num w:numId="3" w16cid:durableId="1476488017">
    <w:abstractNumId w:val="28"/>
  </w:num>
  <w:num w:numId="4" w16cid:durableId="1198740558">
    <w:abstractNumId w:val="32"/>
  </w:num>
  <w:num w:numId="5" w16cid:durableId="1871262911">
    <w:abstractNumId w:val="14"/>
  </w:num>
  <w:num w:numId="6" w16cid:durableId="1692102639">
    <w:abstractNumId w:val="37"/>
  </w:num>
  <w:num w:numId="7" w16cid:durableId="1526792495">
    <w:abstractNumId w:val="31"/>
  </w:num>
  <w:num w:numId="8" w16cid:durableId="1705405346">
    <w:abstractNumId w:val="10"/>
  </w:num>
  <w:num w:numId="9" w16cid:durableId="325012677">
    <w:abstractNumId w:val="40"/>
  </w:num>
  <w:num w:numId="10" w16cid:durableId="1527018599">
    <w:abstractNumId w:val="22"/>
  </w:num>
  <w:num w:numId="11" w16cid:durableId="986125273">
    <w:abstractNumId w:val="1"/>
  </w:num>
  <w:num w:numId="12" w16cid:durableId="1192449331">
    <w:abstractNumId w:val="26"/>
  </w:num>
  <w:num w:numId="13" w16cid:durableId="2052341585">
    <w:abstractNumId w:val="7"/>
  </w:num>
  <w:num w:numId="14" w16cid:durableId="941912300">
    <w:abstractNumId w:val="35"/>
  </w:num>
  <w:num w:numId="15" w16cid:durableId="963267769">
    <w:abstractNumId w:val="9"/>
  </w:num>
  <w:num w:numId="16" w16cid:durableId="884607874">
    <w:abstractNumId w:val="12"/>
  </w:num>
  <w:num w:numId="17" w16cid:durableId="1569418595">
    <w:abstractNumId w:val="27"/>
  </w:num>
  <w:num w:numId="18" w16cid:durableId="2057972166">
    <w:abstractNumId w:val="20"/>
  </w:num>
  <w:num w:numId="19" w16cid:durableId="380522430">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76657216">
    <w:abstractNumId w:val="38"/>
  </w:num>
  <w:num w:numId="21" w16cid:durableId="1321613122">
    <w:abstractNumId w:val="0"/>
  </w:num>
  <w:num w:numId="22" w16cid:durableId="311299020">
    <w:abstractNumId w:val="19"/>
  </w:num>
  <w:num w:numId="23" w16cid:durableId="245039764">
    <w:abstractNumId w:val="25"/>
  </w:num>
  <w:num w:numId="24" w16cid:durableId="657075052">
    <w:abstractNumId w:val="18"/>
  </w:num>
  <w:num w:numId="25" w16cid:durableId="205143151">
    <w:abstractNumId w:val="39"/>
  </w:num>
  <w:num w:numId="26" w16cid:durableId="311452634">
    <w:abstractNumId w:val="42"/>
  </w:num>
  <w:num w:numId="27" w16cid:durableId="826290590">
    <w:abstractNumId w:val="15"/>
  </w:num>
  <w:num w:numId="28" w16cid:durableId="983199359">
    <w:abstractNumId w:val="16"/>
  </w:num>
  <w:num w:numId="29" w16cid:durableId="1641377235">
    <w:abstractNumId w:val="23"/>
  </w:num>
  <w:num w:numId="30" w16cid:durableId="872108490">
    <w:abstractNumId w:val="21"/>
  </w:num>
  <w:num w:numId="31" w16cid:durableId="1230187256">
    <w:abstractNumId w:val="36"/>
  </w:num>
  <w:num w:numId="32" w16cid:durableId="323555236">
    <w:abstractNumId w:val="3"/>
  </w:num>
  <w:num w:numId="33" w16cid:durableId="1159493146">
    <w:abstractNumId w:val="2"/>
  </w:num>
  <w:num w:numId="34" w16cid:durableId="1106660454">
    <w:abstractNumId w:val="6"/>
  </w:num>
  <w:num w:numId="35" w16cid:durableId="454951388">
    <w:abstractNumId w:val="44"/>
  </w:num>
  <w:num w:numId="36" w16cid:durableId="1873877418">
    <w:abstractNumId w:val="17"/>
  </w:num>
  <w:num w:numId="37" w16cid:durableId="1597326289">
    <w:abstractNumId w:val="34"/>
  </w:num>
  <w:num w:numId="38" w16cid:durableId="222983741">
    <w:abstractNumId w:val="33"/>
  </w:num>
  <w:num w:numId="39" w16cid:durableId="836843796">
    <w:abstractNumId w:val="33"/>
    <w:lvlOverride w:ilvl="0">
      <w:startOverride w:val="1"/>
    </w:lvlOverride>
  </w:num>
  <w:num w:numId="40" w16cid:durableId="1856337855">
    <w:abstractNumId w:val="13"/>
  </w:num>
  <w:num w:numId="41" w16cid:durableId="1121996858">
    <w:abstractNumId w:val="4"/>
  </w:num>
  <w:num w:numId="42" w16cid:durableId="98137426">
    <w:abstractNumId w:val="11"/>
  </w:num>
  <w:num w:numId="43" w16cid:durableId="2092190979">
    <w:abstractNumId w:val="43"/>
  </w:num>
  <w:num w:numId="44" w16cid:durableId="1219630494">
    <w:abstractNumId w:val="41"/>
  </w:num>
  <w:num w:numId="45" w16cid:durableId="304091230">
    <w:abstractNumId w:val="41"/>
    <w:lvlOverride w:ilvl="0">
      <w:startOverride w:val="1"/>
    </w:lvlOverride>
  </w:num>
  <w:num w:numId="46" w16cid:durableId="163932925">
    <w:abstractNumId w:val="5"/>
  </w:num>
  <w:num w:numId="47" w16cid:durableId="179396585">
    <w:abstractNumId w:val="30"/>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ybeck, Alexandre (DDCC)">
    <w15:presenceInfo w15:providerId="AD" w15:userId="S::Alexandre.Meybeck@fao.org::1a984697-b1de-4fd1-b922-e57fe7697db7"/>
  </w15:person>
  <w15:person w15:author="Wiessalla, Tristan (OIN)">
    <w15:presenceInfo w15:providerId="AD" w15:userId="S::tristan.wiessalla@fao.org::a9b3bfd7-b589-4449-a627-ac169e0d73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068"/>
    <w:rsid w:val="000006B7"/>
    <w:rsid w:val="0000073C"/>
    <w:rsid w:val="00000AA1"/>
    <w:rsid w:val="00001504"/>
    <w:rsid w:val="00001B9D"/>
    <w:rsid w:val="0000213C"/>
    <w:rsid w:val="00002E49"/>
    <w:rsid w:val="00003100"/>
    <w:rsid w:val="00003172"/>
    <w:rsid w:val="000035B0"/>
    <w:rsid w:val="00003A1C"/>
    <w:rsid w:val="00003CE6"/>
    <w:rsid w:val="00004092"/>
    <w:rsid w:val="000057AE"/>
    <w:rsid w:val="00005A26"/>
    <w:rsid w:val="00005B6F"/>
    <w:rsid w:val="00005D7F"/>
    <w:rsid w:val="00005E2A"/>
    <w:rsid w:val="0000607A"/>
    <w:rsid w:val="000062B3"/>
    <w:rsid w:val="00006D80"/>
    <w:rsid w:val="00006EB5"/>
    <w:rsid w:val="00007DB7"/>
    <w:rsid w:val="00010641"/>
    <w:rsid w:val="00010B12"/>
    <w:rsid w:val="00011095"/>
    <w:rsid w:val="00011112"/>
    <w:rsid w:val="0001117A"/>
    <w:rsid w:val="00011263"/>
    <w:rsid w:val="0001130B"/>
    <w:rsid w:val="000115AC"/>
    <w:rsid w:val="00011BC1"/>
    <w:rsid w:val="00012ED1"/>
    <w:rsid w:val="000131F5"/>
    <w:rsid w:val="000151ED"/>
    <w:rsid w:val="00015222"/>
    <w:rsid w:val="00015268"/>
    <w:rsid w:val="00016953"/>
    <w:rsid w:val="00016A9B"/>
    <w:rsid w:val="0002111D"/>
    <w:rsid w:val="00022B3D"/>
    <w:rsid w:val="0002369B"/>
    <w:rsid w:val="000250F0"/>
    <w:rsid w:val="00025D1E"/>
    <w:rsid w:val="000261EF"/>
    <w:rsid w:val="00026406"/>
    <w:rsid w:val="00026957"/>
    <w:rsid w:val="00027731"/>
    <w:rsid w:val="00030B40"/>
    <w:rsid w:val="00030F93"/>
    <w:rsid w:val="000312E7"/>
    <w:rsid w:val="00031EE1"/>
    <w:rsid w:val="00032199"/>
    <w:rsid w:val="00032A68"/>
    <w:rsid w:val="000334B0"/>
    <w:rsid w:val="00033C05"/>
    <w:rsid w:val="00033C28"/>
    <w:rsid w:val="00035A35"/>
    <w:rsid w:val="00036E2A"/>
    <w:rsid w:val="00037D18"/>
    <w:rsid w:val="00037E21"/>
    <w:rsid w:val="00037FBF"/>
    <w:rsid w:val="00040364"/>
    <w:rsid w:val="000406A8"/>
    <w:rsid w:val="00041137"/>
    <w:rsid w:val="0004152A"/>
    <w:rsid w:val="000416E0"/>
    <w:rsid w:val="000416F5"/>
    <w:rsid w:val="00042B22"/>
    <w:rsid w:val="00042E26"/>
    <w:rsid w:val="00042FE7"/>
    <w:rsid w:val="000433D9"/>
    <w:rsid w:val="000435D6"/>
    <w:rsid w:val="000435DC"/>
    <w:rsid w:val="00043C8D"/>
    <w:rsid w:val="00043F33"/>
    <w:rsid w:val="00044372"/>
    <w:rsid w:val="000445FB"/>
    <w:rsid w:val="00044694"/>
    <w:rsid w:val="000446B3"/>
    <w:rsid w:val="000450DA"/>
    <w:rsid w:val="00045370"/>
    <w:rsid w:val="0004543A"/>
    <w:rsid w:val="0004551C"/>
    <w:rsid w:val="00045895"/>
    <w:rsid w:val="00045E7A"/>
    <w:rsid w:val="00045F27"/>
    <w:rsid w:val="00046702"/>
    <w:rsid w:val="00046B26"/>
    <w:rsid w:val="00047043"/>
    <w:rsid w:val="000471D2"/>
    <w:rsid w:val="00047D4A"/>
    <w:rsid w:val="000506E2"/>
    <w:rsid w:val="0005096E"/>
    <w:rsid w:val="000509BD"/>
    <w:rsid w:val="00051019"/>
    <w:rsid w:val="000520D3"/>
    <w:rsid w:val="000522F1"/>
    <w:rsid w:val="00052DAF"/>
    <w:rsid w:val="00052DD1"/>
    <w:rsid w:val="00053F84"/>
    <w:rsid w:val="00054305"/>
    <w:rsid w:val="00054593"/>
    <w:rsid w:val="000549F2"/>
    <w:rsid w:val="00054D07"/>
    <w:rsid w:val="00054D1A"/>
    <w:rsid w:val="00055510"/>
    <w:rsid w:val="00055CF2"/>
    <w:rsid w:val="00056BDB"/>
    <w:rsid w:val="00057799"/>
    <w:rsid w:val="00057D1B"/>
    <w:rsid w:val="00060332"/>
    <w:rsid w:val="000605AD"/>
    <w:rsid w:val="00060DB4"/>
    <w:rsid w:val="00061213"/>
    <w:rsid w:val="00061520"/>
    <w:rsid w:val="00061810"/>
    <w:rsid w:val="000621A4"/>
    <w:rsid w:val="000624C1"/>
    <w:rsid w:val="00062ACE"/>
    <w:rsid w:val="00062D00"/>
    <w:rsid w:val="00062DB0"/>
    <w:rsid w:val="00063084"/>
    <w:rsid w:val="00063097"/>
    <w:rsid w:val="00063610"/>
    <w:rsid w:val="00064A48"/>
    <w:rsid w:val="00064B13"/>
    <w:rsid w:val="0006500D"/>
    <w:rsid w:val="00065409"/>
    <w:rsid w:val="00065B81"/>
    <w:rsid w:val="00065CE5"/>
    <w:rsid w:val="00066813"/>
    <w:rsid w:val="0006721F"/>
    <w:rsid w:val="000672F6"/>
    <w:rsid w:val="000673EB"/>
    <w:rsid w:val="00070357"/>
    <w:rsid w:val="00070514"/>
    <w:rsid w:val="000705C2"/>
    <w:rsid w:val="0007069D"/>
    <w:rsid w:val="000708F3"/>
    <w:rsid w:val="00070957"/>
    <w:rsid w:val="00070A30"/>
    <w:rsid w:val="000710EC"/>
    <w:rsid w:val="00071777"/>
    <w:rsid w:val="000718CE"/>
    <w:rsid w:val="00071A38"/>
    <w:rsid w:val="00071EA9"/>
    <w:rsid w:val="0007259D"/>
    <w:rsid w:val="0007347F"/>
    <w:rsid w:val="00073F7A"/>
    <w:rsid w:val="0007534D"/>
    <w:rsid w:val="00075461"/>
    <w:rsid w:val="00076C80"/>
    <w:rsid w:val="000806AD"/>
    <w:rsid w:val="00080C7C"/>
    <w:rsid w:val="00080C8D"/>
    <w:rsid w:val="00081D91"/>
    <w:rsid w:val="00082B1A"/>
    <w:rsid w:val="00082B74"/>
    <w:rsid w:val="00083A63"/>
    <w:rsid w:val="00083E97"/>
    <w:rsid w:val="0008415C"/>
    <w:rsid w:val="000854DF"/>
    <w:rsid w:val="00085812"/>
    <w:rsid w:val="000866D0"/>
    <w:rsid w:val="00086AF4"/>
    <w:rsid w:val="00086DCD"/>
    <w:rsid w:val="00087586"/>
    <w:rsid w:val="000902DA"/>
    <w:rsid w:val="00090637"/>
    <w:rsid w:val="00090D73"/>
    <w:rsid w:val="00090D79"/>
    <w:rsid w:val="0009106E"/>
    <w:rsid w:val="00091904"/>
    <w:rsid w:val="000927B9"/>
    <w:rsid w:val="00093748"/>
    <w:rsid w:val="0009392E"/>
    <w:rsid w:val="00093D5F"/>
    <w:rsid w:val="0009435F"/>
    <w:rsid w:val="000945DC"/>
    <w:rsid w:val="0009491A"/>
    <w:rsid w:val="00095085"/>
    <w:rsid w:val="0009508A"/>
    <w:rsid w:val="000958F9"/>
    <w:rsid w:val="0009599D"/>
    <w:rsid w:val="000959E7"/>
    <w:rsid w:val="00095A22"/>
    <w:rsid w:val="00095EBE"/>
    <w:rsid w:val="00097CD3"/>
    <w:rsid w:val="00097D10"/>
    <w:rsid w:val="000A06B9"/>
    <w:rsid w:val="000A09D7"/>
    <w:rsid w:val="000A12EF"/>
    <w:rsid w:val="000A154D"/>
    <w:rsid w:val="000A166F"/>
    <w:rsid w:val="000A188D"/>
    <w:rsid w:val="000A2042"/>
    <w:rsid w:val="000A2385"/>
    <w:rsid w:val="000A359D"/>
    <w:rsid w:val="000A396D"/>
    <w:rsid w:val="000A3D9E"/>
    <w:rsid w:val="000A4432"/>
    <w:rsid w:val="000A453D"/>
    <w:rsid w:val="000A4C7F"/>
    <w:rsid w:val="000A5048"/>
    <w:rsid w:val="000A5D2D"/>
    <w:rsid w:val="000A636A"/>
    <w:rsid w:val="000A7E00"/>
    <w:rsid w:val="000B06A7"/>
    <w:rsid w:val="000B08B9"/>
    <w:rsid w:val="000B17E8"/>
    <w:rsid w:val="000B1A6D"/>
    <w:rsid w:val="000B1FD9"/>
    <w:rsid w:val="000B1FF9"/>
    <w:rsid w:val="000B2602"/>
    <w:rsid w:val="000B294A"/>
    <w:rsid w:val="000B2BA2"/>
    <w:rsid w:val="000B382A"/>
    <w:rsid w:val="000B497C"/>
    <w:rsid w:val="000B4F3F"/>
    <w:rsid w:val="000B5341"/>
    <w:rsid w:val="000B53D6"/>
    <w:rsid w:val="000B5BB5"/>
    <w:rsid w:val="000B6E3F"/>
    <w:rsid w:val="000B705F"/>
    <w:rsid w:val="000B7171"/>
    <w:rsid w:val="000B779D"/>
    <w:rsid w:val="000C0DC6"/>
    <w:rsid w:val="000C0EEA"/>
    <w:rsid w:val="000C126E"/>
    <w:rsid w:val="000C188C"/>
    <w:rsid w:val="000C2F10"/>
    <w:rsid w:val="000C3AFA"/>
    <w:rsid w:val="000C47D4"/>
    <w:rsid w:val="000C4B23"/>
    <w:rsid w:val="000C53C4"/>
    <w:rsid w:val="000C6291"/>
    <w:rsid w:val="000C66E9"/>
    <w:rsid w:val="000C692E"/>
    <w:rsid w:val="000C6B33"/>
    <w:rsid w:val="000C6EB9"/>
    <w:rsid w:val="000C7461"/>
    <w:rsid w:val="000C7BDA"/>
    <w:rsid w:val="000D1143"/>
    <w:rsid w:val="000D186F"/>
    <w:rsid w:val="000D197E"/>
    <w:rsid w:val="000D1F9C"/>
    <w:rsid w:val="000D25DF"/>
    <w:rsid w:val="000D2DE7"/>
    <w:rsid w:val="000D3615"/>
    <w:rsid w:val="000D3982"/>
    <w:rsid w:val="000D3A98"/>
    <w:rsid w:val="000D46A6"/>
    <w:rsid w:val="000D4714"/>
    <w:rsid w:val="000D4C01"/>
    <w:rsid w:val="000D5366"/>
    <w:rsid w:val="000D54C1"/>
    <w:rsid w:val="000D6071"/>
    <w:rsid w:val="000D6087"/>
    <w:rsid w:val="000D6883"/>
    <w:rsid w:val="000D6960"/>
    <w:rsid w:val="000D6EB7"/>
    <w:rsid w:val="000D7D97"/>
    <w:rsid w:val="000E03F8"/>
    <w:rsid w:val="000E0A5F"/>
    <w:rsid w:val="000E0C41"/>
    <w:rsid w:val="000E2356"/>
    <w:rsid w:val="000E2ABF"/>
    <w:rsid w:val="000E2DDE"/>
    <w:rsid w:val="000E2E99"/>
    <w:rsid w:val="000E36E3"/>
    <w:rsid w:val="000E3EB3"/>
    <w:rsid w:val="000E468C"/>
    <w:rsid w:val="000E4ABF"/>
    <w:rsid w:val="000E4DCA"/>
    <w:rsid w:val="000E66EF"/>
    <w:rsid w:val="000E7015"/>
    <w:rsid w:val="000E7F53"/>
    <w:rsid w:val="000F01E1"/>
    <w:rsid w:val="000F02A4"/>
    <w:rsid w:val="000F0316"/>
    <w:rsid w:val="000F045F"/>
    <w:rsid w:val="000F0BDB"/>
    <w:rsid w:val="000F0F5B"/>
    <w:rsid w:val="000F11E0"/>
    <w:rsid w:val="000F124A"/>
    <w:rsid w:val="000F226C"/>
    <w:rsid w:val="000F4063"/>
    <w:rsid w:val="000F4666"/>
    <w:rsid w:val="000F5331"/>
    <w:rsid w:val="000F5597"/>
    <w:rsid w:val="000F5CD3"/>
    <w:rsid w:val="000F63D2"/>
    <w:rsid w:val="000F63ED"/>
    <w:rsid w:val="000F70E5"/>
    <w:rsid w:val="000F7113"/>
    <w:rsid w:val="000F72D2"/>
    <w:rsid w:val="001014FA"/>
    <w:rsid w:val="00102914"/>
    <w:rsid w:val="00102A1B"/>
    <w:rsid w:val="00102C1F"/>
    <w:rsid w:val="00103172"/>
    <w:rsid w:val="00103365"/>
    <w:rsid w:val="00105FA3"/>
    <w:rsid w:val="0010633D"/>
    <w:rsid w:val="00106351"/>
    <w:rsid w:val="001072FD"/>
    <w:rsid w:val="001075F7"/>
    <w:rsid w:val="00107C54"/>
    <w:rsid w:val="001105F2"/>
    <w:rsid w:val="00111516"/>
    <w:rsid w:val="00111A62"/>
    <w:rsid w:val="001121B6"/>
    <w:rsid w:val="0011263C"/>
    <w:rsid w:val="00112CAD"/>
    <w:rsid w:val="00112E32"/>
    <w:rsid w:val="00113D5E"/>
    <w:rsid w:val="001158B9"/>
    <w:rsid w:val="001164AD"/>
    <w:rsid w:val="001168CF"/>
    <w:rsid w:val="0011727F"/>
    <w:rsid w:val="001172D5"/>
    <w:rsid w:val="001176ED"/>
    <w:rsid w:val="00117C2B"/>
    <w:rsid w:val="001208AB"/>
    <w:rsid w:val="0012165B"/>
    <w:rsid w:val="00121B92"/>
    <w:rsid w:val="001220D8"/>
    <w:rsid w:val="00122189"/>
    <w:rsid w:val="00122393"/>
    <w:rsid w:val="00122845"/>
    <w:rsid w:val="001236B0"/>
    <w:rsid w:val="00123D18"/>
    <w:rsid w:val="001256AD"/>
    <w:rsid w:val="00126056"/>
    <w:rsid w:val="00126954"/>
    <w:rsid w:val="00126997"/>
    <w:rsid w:val="00126A66"/>
    <w:rsid w:val="00126C41"/>
    <w:rsid w:val="00127058"/>
    <w:rsid w:val="00127838"/>
    <w:rsid w:val="00127894"/>
    <w:rsid w:val="00127E41"/>
    <w:rsid w:val="001303ED"/>
    <w:rsid w:val="001314B2"/>
    <w:rsid w:val="0013187B"/>
    <w:rsid w:val="00131995"/>
    <w:rsid w:val="00133EF1"/>
    <w:rsid w:val="001342B2"/>
    <w:rsid w:val="00135737"/>
    <w:rsid w:val="0013577D"/>
    <w:rsid w:val="00136152"/>
    <w:rsid w:val="001369A9"/>
    <w:rsid w:val="00136A73"/>
    <w:rsid w:val="001376AB"/>
    <w:rsid w:val="00137BF6"/>
    <w:rsid w:val="00137C0B"/>
    <w:rsid w:val="00137C57"/>
    <w:rsid w:val="00140C10"/>
    <w:rsid w:val="00141000"/>
    <w:rsid w:val="00141107"/>
    <w:rsid w:val="001414F6"/>
    <w:rsid w:val="00141598"/>
    <w:rsid w:val="00141614"/>
    <w:rsid w:val="00141A4A"/>
    <w:rsid w:val="001427A8"/>
    <w:rsid w:val="00142FB0"/>
    <w:rsid w:val="00143647"/>
    <w:rsid w:val="00143EE5"/>
    <w:rsid w:val="00144353"/>
    <w:rsid w:val="00144BEF"/>
    <w:rsid w:val="00144F66"/>
    <w:rsid w:val="00145935"/>
    <w:rsid w:val="00145A53"/>
    <w:rsid w:val="00145DAB"/>
    <w:rsid w:val="001464DF"/>
    <w:rsid w:val="00146754"/>
    <w:rsid w:val="00146805"/>
    <w:rsid w:val="00146A45"/>
    <w:rsid w:val="00150174"/>
    <w:rsid w:val="00150603"/>
    <w:rsid w:val="001509E6"/>
    <w:rsid w:val="00150B14"/>
    <w:rsid w:val="00150EF8"/>
    <w:rsid w:val="00151EFA"/>
    <w:rsid w:val="001523DF"/>
    <w:rsid w:val="0015265A"/>
    <w:rsid w:val="00152A05"/>
    <w:rsid w:val="00152C89"/>
    <w:rsid w:val="00152CE7"/>
    <w:rsid w:val="00153261"/>
    <w:rsid w:val="00154119"/>
    <w:rsid w:val="001546DC"/>
    <w:rsid w:val="0015489F"/>
    <w:rsid w:val="00154FB3"/>
    <w:rsid w:val="0015585E"/>
    <w:rsid w:val="001560CF"/>
    <w:rsid w:val="00156216"/>
    <w:rsid w:val="00156B93"/>
    <w:rsid w:val="00157243"/>
    <w:rsid w:val="001573B0"/>
    <w:rsid w:val="00157671"/>
    <w:rsid w:val="00157A83"/>
    <w:rsid w:val="00161501"/>
    <w:rsid w:val="001628C6"/>
    <w:rsid w:val="0016406A"/>
    <w:rsid w:val="00165224"/>
    <w:rsid w:val="00165274"/>
    <w:rsid w:val="001655C1"/>
    <w:rsid w:val="001655EA"/>
    <w:rsid w:val="00165F88"/>
    <w:rsid w:val="00166104"/>
    <w:rsid w:val="00166550"/>
    <w:rsid w:val="0016781E"/>
    <w:rsid w:val="001702FF"/>
    <w:rsid w:val="00171AFD"/>
    <w:rsid w:val="0017266A"/>
    <w:rsid w:val="0017326C"/>
    <w:rsid w:val="00173426"/>
    <w:rsid w:val="00173896"/>
    <w:rsid w:val="0017523B"/>
    <w:rsid w:val="0017563B"/>
    <w:rsid w:val="001758D3"/>
    <w:rsid w:val="001758FB"/>
    <w:rsid w:val="001759D5"/>
    <w:rsid w:val="00175BF7"/>
    <w:rsid w:val="00175FE6"/>
    <w:rsid w:val="00176B2A"/>
    <w:rsid w:val="00177033"/>
    <w:rsid w:val="00177769"/>
    <w:rsid w:val="00177BEF"/>
    <w:rsid w:val="00177DDD"/>
    <w:rsid w:val="00177DFE"/>
    <w:rsid w:val="00177ED6"/>
    <w:rsid w:val="0018017B"/>
    <w:rsid w:val="001806A0"/>
    <w:rsid w:val="00180794"/>
    <w:rsid w:val="001817E9"/>
    <w:rsid w:val="00181C6A"/>
    <w:rsid w:val="001825E4"/>
    <w:rsid w:val="00182C82"/>
    <w:rsid w:val="00184B35"/>
    <w:rsid w:val="00184EA7"/>
    <w:rsid w:val="00184EBB"/>
    <w:rsid w:val="00184F8A"/>
    <w:rsid w:val="00185321"/>
    <w:rsid w:val="0018553F"/>
    <w:rsid w:val="00185CCA"/>
    <w:rsid w:val="001865F2"/>
    <w:rsid w:val="0018681A"/>
    <w:rsid w:val="001869B6"/>
    <w:rsid w:val="00191E6A"/>
    <w:rsid w:val="001928A6"/>
    <w:rsid w:val="00192EBC"/>
    <w:rsid w:val="001954FE"/>
    <w:rsid w:val="00195AE2"/>
    <w:rsid w:val="00196888"/>
    <w:rsid w:val="00196AFA"/>
    <w:rsid w:val="001976BA"/>
    <w:rsid w:val="00197933"/>
    <w:rsid w:val="00197CB6"/>
    <w:rsid w:val="00197EA7"/>
    <w:rsid w:val="001A08ED"/>
    <w:rsid w:val="001A0ACF"/>
    <w:rsid w:val="001A0ADC"/>
    <w:rsid w:val="001A0C41"/>
    <w:rsid w:val="001A0FB0"/>
    <w:rsid w:val="001A195E"/>
    <w:rsid w:val="001A1F03"/>
    <w:rsid w:val="001A2335"/>
    <w:rsid w:val="001A2616"/>
    <w:rsid w:val="001A27BA"/>
    <w:rsid w:val="001A2AD6"/>
    <w:rsid w:val="001A3131"/>
    <w:rsid w:val="001A341D"/>
    <w:rsid w:val="001A34E8"/>
    <w:rsid w:val="001A36EA"/>
    <w:rsid w:val="001A3813"/>
    <w:rsid w:val="001A39A7"/>
    <w:rsid w:val="001A3A2D"/>
    <w:rsid w:val="001A404A"/>
    <w:rsid w:val="001A57C6"/>
    <w:rsid w:val="001A6284"/>
    <w:rsid w:val="001A6AE4"/>
    <w:rsid w:val="001A718A"/>
    <w:rsid w:val="001A7F37"/>
    <w:rsid w:val="001B0220"/>
    <w:rsid w:val="001B0AD9"/>
    <w:rsid w:val="001B0EFB"/>
    <w:rsid w:val="001B127E"/>
    <w:rsid w:val="001B129C"/>
    <w:rsid w:val="001B1686"/>
    <w:rsid w:val="001B1928"/>
    <w:rsid w:val="001B1B37"/>
    <w:rsid w:val="001B1BE8"/>
    <w:rsid w:val="001B1F9B"/>
    <w:rsid w:val="001B2122"/>
    <w:rsid w:val="001B25E4"/>
    <w:rsid w:val="001B2B09"/>
    <w:rsid w:val="001B3B9F"/>
    <w:rsid w:val="001B3E85"/>
    <w:rsid w:val="001B4E7A"/>
    <w:rsid w:val="001B5515"/>
    <w:rsid w:val="001B5EC5"/>
    <w:rsid w:val="001B633A"/>
    <w:rsid w:val="001B6BD0"/>
    <w:rsid w:val="001B6D98"/>
    <w:rsid w:val="001B6E32"/>
    <w:rsid w:val="001B6EF9"/>
    <w:rsid w:val="001B6F1E"/>
    <w:rsid w:val="001B7F9A"/>
    <w:rsid w:val="001C0188"/>
    <w:rsid w:val="001C091A"/>
    <w:rsid w:val="001C17E8"/>
    <w:rsid w:val="001C19E3"/>
    <w:rsid w:val="001C1ECF"/>
    <w:rsid w:val="001C21C5"/>
    <w:rsid w:val="001C23ED"/>
    <w:rsid w:val="001C373C"/>
    <w:rsid w:val="001C390B"/>
    <w:rsid w:val="001C3C5F"/>
    <w:rsid w:val="001C3FBB"/>
    <w:rsid w:val="001C4FBB"/>
    <w:rsid w:val="001C61DD"/>
    <w:rsid w:val="001C6DAE"/>
    <w:rsid w:val="001C71E7"/>
    <w:rsid w:val="001C7FFE"/>
    <w:rsid w:val="001D073B"/>
    <w:rsid w:val="001D0D6A"/>
    <w:rsid w:val="001D1772"/>
    <w:rsid w:val="001D18E5"/>
    <w:rsid w:val="001D2B27"/>
    <w:rsid w:val="001D4060"/>
    <w:rsid w:val="001D500B"/>
    <w:rsid w:val="001D512C"/>
    <w:rsid w:val="001D521C"/>
    <w:rsid w:val="001D560F"/>
    <w:rsid w:val="001D5A53"/>
    <w:rsid w:val="001D610F"/>
    <w:rsid w:val="001D63A6"/>
    <w:rsid w:val="001D72C9"/>
    <w:rsid w:val="001D7B96"/>
    <w:rsid w:val="001D7E21"/>
    <w:rsid w:val="001E0B63"/>
    <w:rsid w:val="001E1719"/>
    <w:rsid w:val="001E1880"/>
    <w:rsid w:val="001E1953"/>
    <w:rsid w:val="001E2370"/>
    <w:rsid w:val="001E25DF"/>
    <w:rsid w:val="001E3385"/>
    <w:rsid w:val="001E33D1"/>
    <w:rsid w:val="001E3F84"/>
    <w:rsid w:val="001E429F"/>
    <w:rsid w:val="001E467A"/>
    <w:rsid w:val="001E4A61"/>
    <w:rsid w:val="001E4B33"/>
    <w:rsid w:val="001E4DC4"/>
    <w:rsid w:val="001E5889"/>
    <w:rsid w:val="001E59F3"/>
    <w:rsid w:val="001E623B"/>
    <w:rsid w:val="001E62C6"/>
    <w:rsid w:val="001E6705"/>
    <w:rsid w:val="001E6EB9"/>
    <w:rsid w:val="001E7CC9"/>
    <w:rsid w:val="001F08BE"/>
    <w:rsid w:val="001F0A51"/>
    <w:rsid w:val="001F0B6D"/>
    <w:rsid w:val="001F0DC2"/>
    <w:rsid w:val="001F1994"/>
    <w:rsid w:val="001F1ADE"/>
    <w:rsid w:val="001F1F8B"/>
    <w:rsid w:val="001F2C90"/>
    <w:rsid w:val="001F2D30"/>
    <w:rsid w:val="001F2E1B"/>
    <w:rsid w:val="001F3445"/>
    <w:rsid w:val="001F37B6"/>
    <w:rsid w:val="001F3DCA"/>
    <w:rsid w:val="001F47FD"/>
    <w:rsid w:val="001F487A"/>
    <w:rsid w:val="001F4A82"/>
    <w:rsid w:val="001F59AC"/>
    <w:rsid w:val="001F693D"/>
    <w:rsid w:val="001F6B72"/>
    <w:rsid w:val="001F739F"/>
    <w:rsid w:val="001F7586"/>
    <w:rsid w:val="0020029D"/>
    <w:rsid w:val="0020040C"/>
    <w:rsid w:val="00200620"/>
    <w:rsid w:val="0020087D"/>
    <w:rsid w:val="0020119D"/>
    <w:rsid w:val="002019C8"/>
    <w:rsid w:val="00201BB9"/>
    <w:rsid w:val="00201FB9"/>
    <w:rsid w:val="002028BA"/>
    <w:rsid w:val="00202B0C"/>
    <w:rsid w:val="00202C32"/>
    <w:rsid w:val="00203511"/>
    <w:rsid w:val="002041A3"/>
    <w:rsid w:val="0020447A"/>
    <w:rsid w:val="0020465B"/>
    <w:rsid w:val="00204FE8"/>
    <w:rsid w:val="00205311"/>
    <w:rsid w:val="00205CBB"/>
    <w:rsid w:val="00206052"/>
    <w:rsid w:val="00206318"/>
    <w:rsid w:val="002063EE"/>
    <w:rsid w:val="00206640"/>
    <w:rsid w:val="00206879"/>
    <w:rsid w:val="00206940"/>
    <w:rsid w:val="0020699B"/>
    <w:rsid w:val="00206BD3"/>
    <w:rsid w:val="00206FE1"/>
    <w:rsid w:val="002074A4"/>
    <w:rsid w:val="002105CC"/>
    <w:rsid w:val="0021081F"/>
    <w:rsid w:val="002112B2"/>
    <w:rsid w:val="00211316"/>
    <w:rsid w:val="002113DB"/>
    <w:rsid w:val="00211A79"/>
    <w:rsid w:val="002127C4"/>
    <w:rsid w:val="00212963"/>
    <w:rsid w:val="00212D8C"/>
    <w:rsid w:val="00214016"/>
    <w:rsid w:val="00215582"/>
    <w:rsid w:val="002155B5"/>
    <w:rsid w:val="00215B37"/>
    <w:rsid w:val="00215C07"/>
    <w:rsid w:val="00216345"/>
    <w:rsid w:val="00217926"/>
    <w:rsid w:val="00217965"/>
    <w:rsid w:val="00217C36"/>
    <w:rsid w:val="0022038A"/>
    <w:rsid w:val="0022056E"/>
    <w:rsid w:val="00220C2D"/>
    <w:rsid w:val="002213D0"/>
    <w:rsid w:val="002216C4"/>
    <w:rsid w:val="00221942"/>
    <w:rsid w:val="00221E3D"/>
    <w:rsid w:val="002225DF"/>
    <w:rsid w:val="00222841"/>
    <w:rsid w:val="002233B4"/>
    <w:rsid w:val="0022403C"/>
    <w:rsid w:val="0022414B"/>
    <w:rsid w:val="00224804"/>
    <w:rsid w:val="00224897"/>
    <w:rsid w:val="00225BB2"/>
    <w:rsid w:val="00225D80"/>
    <w:rsid w:val="00225E6F"/>
    <w:rsid w:val="00226FF2"/>
    <w:rsid w:val="002276D6"/>
    <w:rsid w:val="002279C5"/>
    <w:rsid w:val="00227B30"/>
    <w:rsid w:val="00227D96"/>
    <w:rsid w:val="0023025D"/>
    <w:rsid w:val="00230A20"/>
    <w:rsid w:val="00230BB9"/>
    <w:rsid w:val="002314C3"/>
    <w:rsid w:val="002316D4"/>
    <w:rsid w:val="00231F64"/>
    <w:rsid w:val="00231F87"/>
    <w:rsid w:val="00232184"/>
    <w:rsid w:val="00232219"/>
    <w:rsid w:val="00232C54"/>
    <w:rsid w:val="00233C20"/>
    <w:rsid w:val="002348EF"/>
    <w:rsid w:val="002348FC"/>
    <w:rsid w:val="00234976"/>
    <w:rsid w:val="00234ABD"/>
    <w:rsid w:val="00234E59"/>
    <w:rsid w:val="00234FE8"/>
    <w:rsid w:val="002352D8"/>
    <w:rsid w:val="00235E10"/>
    <w:rsid w:val="002361FA"/>
    <w:rsid w:val="002362BF"/>
    <w:rsid w:val="00236C3A"/>
    <w:rsid w:val="00236C7D"/>
    <w:rsid w:val="00237018"/>
    <w:rsid w:val="002371E4"/>
    <w:rsid w:val="002376C3"/>
    <w:rsid w:val="00237AD2"/>
    <w:rsid w:val="00240406"/>
    <w:rsid w:val="00240495"/>
    <w:rsid w:val="00240AED"/>
    <w:rsid w:val="00240B7D"/>
    <w:rsid w:val="00240D8C"/>
    <w:rsid w:val="0024101D"/>
    <w:rsid w:val="002426D8"/>
    <w:rsid w:val="00242900"/>
    <w:rsid w:val="00242C7E"/>
    <w:rsid w:val="0024333D"/>
    <w:rsid w:val="00243472"/>
    <w:rsid w:val="00243D0D"/>
    <w:rsid w:val="00243E1E"/>
    <w:rsid w:val="00244F04"/>
    <w:rsid w:val="00245352"/>
    <w:rsid w:val="002461E0"/>
    <w:rsid w:val="0024643A"/>
    <w:rsid w:val="0024680D"/>
    <w:rsid w:val="00246B7D"/>
    <w:rsid w:val="00250173"/>
    <w:rsid w:val="002506BD"/>
    <w:rsid w:val="00251A9C"/>
    <w:rsid w:val="00251AE6"/>
    <w:rsid w:val="002522F2"/>
    <w:rsid w:val="00252F9F"/>
    <w:rsid w:val="00253408"/>
    <w:rsid w:val="00253456"/>
    <w:rsid w:val="0025444E"/>
    <w:rsid w:val="00255AA4"/>
    <w:rsid w:val="002566CF"/>
    <w:rsid w:val="00256995"/>
    <w:rsid w:val="00256DC1"/>
    <w:rsid w:val="00257562"/>
    <w:rsid w:val="002575BF"/>
    <w:rsid w:val="00257A24"/>
    <w:rsid w:val="00257B32"/>
    <w:rsid w:val="00257C7D"/>
    <w:rsid w:val="00260E5C"/>
    <w:rsid w:val="00261C8A"/>
    <w:rsid w:val="002621A5"/>
    <w:rsid w:val="00262271"/>
    <w:rsid w:val="00263D9A"/>
    <w:rsid w:val="002652FE"/>
    <w:rsid w:val="00265C7C"/>
    <w:rsid w:val="00265DC3"/>
    <w:rsid w:val="002673BA"/>
    <w:rsid w:val="0027045F"/>
    <w:rsid w:val="002707C2"/>
    <w:rsid w:val="00270A0F"/>
    <w:rsid w:val="00270A52"/>
    <w:rsid w:val="00270A5F"/>
    <w:rsid w:val="002719FC"/>
    <w:rsid w:val="00271D97"/>
    <w:rsid w:val="00272B8B"/>
    <w:rsid w:val="00273508"/>
    <w:rsid w:val="002738F0"/>
    <w:rsid w:val="00273977"/>
    <w:rsid w:val="00273EAB"/>
    <w:rsid w:val="0027537A"/>
    <w:rsid w:val="002766D6"/>
    <w:rsid w:val="00277F6F"/>
    <w:rsid w:val="002802F2"/>
    <w:rsid w:val="002811E1"/>
    <w:rsid w:val="002820B7"/>
    <w:rsid w:val="002822D6"/>
    <w:rsid w:val="00282781"/>
    <w:rsid w:val="002829CC"/>
    <w:rsid w:val="00282E5F"/>
    <w:rsid w:val="002836FD"/>
    <w:rsid w:val="00283774"/>
    <w:rsid w:val="0028550D"/>
    <w:rsid w:val="00285827"/>
    <w:rsid w:val="00285F85"/>
    <w:rsid w:val="00286041"/>
    <w:rsid w:val="0028616C"/>
    <w:rsid w:val="0028654B"/>
    <w:rsid w:val="00286593"/>
    <w:rsid w:val="002869CC"/>
    <w:rsid w:val="00286CF5"/>
    <w:rsid w:val="002879D8"/>
    <w:rsid w:val="002906DF"/>
    <w:rsid w:val="002909A2"/>
    <w:rsid w:val="00290E03"/>
    <w:rsid w:val="00291108"/>
    <w:rsid w:val="00291BF3"/>
    <w:rsid w:val="002920B3"/>
    <w:rsid w:val="00292DC0"/>
    <w:rsid w:val="002947FA"/>
    <w:rsid w:val="0029484B"/>
    <w:rsid w:val="00294ABC"/>
    <w:rsid w:val="00294C4D"/>
    <w:rsid w:val="002960AC"/>
    <w:rsid w:val="0029611C"/>
    <w:rsid w:val="00297587"/>
    <w:rsid w:val="00297741"/>
    <w:rsid w:val="00297750"/>
    <w:rsid w:val="00297941"/>
    <w:rsid w:val="002A0918"/>
    <w:rsid w:val="002A0C38"/>
    <w:rsid w:val="002A15F9"/>
    <w:rsid w:val="002A21D0"/>
    <w:rsid w:val="002A23E4"/>
    <w:rsid w:val="002A3944"/>
    <w:rsid w:val="002A3BB1"/>
    <w:rsid w:val="002A3C2B"/>
    <w:rsid w:val="002A4426"/>
    <w:rsid w:val="002A4B89"/>
    <w:rsid w:val="002A5461"/>
    <w:rsid w:val="002A5BC2"/>
    <w:rsid w:val="002A5BFB"/>
    <w:rsid w:val="002A6330"/>
    <w:rsid w:val="002A722C"/>
    <w:rsid w:val="002A74DE"/>
    <w:rsid w:val="002A7873"/>
    <w:rsid w:val="002A7958"/>
    <w:rsid w:val="002A7BB1"/>
    <w:rsid w:val="002A7D74"/>
    <w:rsid w:val="002B0741"/>
    <w:rsid w:val="002B084A"/>
    <w:rsid w:val="002B0DE6"/>
    <w:rsid w:val="002B1C66"/>
    <w:rsid w:val="002B1C74"/>
    <w:rsid w:val="002B3001"/>
    <w:rsid w:val="002B34E7"/>
    <w:rsid w:val="002B3E9C"/>
    <w:rsid w:val="002B42FA"/>
    <w:rsid w:val="002B4E3D"/>
    <w:rsid w:val="002B4F5B"/>
    <w:rsid w:val="002B594C"/>
    <w:rsid w:val="002B5982"/>
    <w:rsid w:val="002B6040"/>
    <w:rsid w:val="002B6705"/>
    <w:rsid w:val="002B6B25"/>
    <w:rsid w:val="002B6D04"/>
    <w:rsid w:val="002B70C0"/>
    <w:rsid w:val="002C0154"/>
    <w:rsid w:val="002C088A"/>
    <w:rsid w:val="002C0BEF"/>
    <w:rsid w:val="002C0E67"/>
    <w:rsid w:val="002C12A5"/>
    <w:rsid w:val="002C130E"/>
    <w:rsid w:val="002C1438"/>
    <w:rsid w:val="002C197F"/>
    <w:rsid w:val="002C20A1"/>
    <w:rsid w:val="002C215F"/>
    <w:rsid w:val="002C22B8"/>
    <w:rsid w:val="002C2AE5"/>
    <w:rsid w:val="002C3218"/>
    <w:rsid w:val="002C32F1"/>
    <w:rsid w:val="002C3B17"/>
    <w:rsid w:val="002C3B45"/>
    <w:rsid w:val="002C3F87"/>
    <w:rsid w:val="002C4657"/>
    <w:rsid w:val="002C4D10"/>
    <w:rsid w:val="002C6046"/>
    <w:rsid w:val="002C6340"/>
    <w:rsid w:val="002C701D"/>
    <w:rsid w:val="002C7339"/>
    <w:rsid w:val="002D00E5"/>
    <w:rsid w:val="002D00EA"/>
    <w:rsid w:val="002D027A"/>
    <w:rsid w:val="002D039B"/>
    <w:rsid w:val="002D2E25"/>
    <w:rsid w:val="002D35FD"/>
    <w:rsid w:val="002D364D"/>
    <w:rsid w:val="002D4034"/>
    <w:rsid w:val="002D410E"/>
    <w:rsid w:val="002D4542"/>
    <w:rsid w:val="002D4D5C"/>
    <w:rsid w:val="002D67E2"/>
    <w:rsid w:val="002D6B28"/>
    <w:rsid w:val="002D749D"/>
    <w:rsid w:val="002E0468"/>
    <w:rsid w:val="002E0776"/>
    <w:rsid w:val="002E11EB"/>
    <w:rsid w:val="002E2070"/>
    <w:rsid w:val="002E2700"/>
    <w:rsid w:val="002E2AD4"/>
    <w:rsid w:val="002E2EAB"/>
    <w:rsid w:val="002E317F"/>
    <w:rsid w:val="002E33D6"/>
    <w:rsid w:val="002E355A"/>
    <w:rsid w:val="002E3B90"/>
    <w:rsid w:val="002E3C6C"/>
    <w:rsid w:val="002E3CB6"/>
    <w:rsid w:val="002E3E3A"/>
    <w:rsid w:val="002E4C4C"/>
    <w:rsid w:val="002E4D00"/>
    <w:rsid w:val="002E524B"/>
    <w:rsid w:val="002E70EC"/>
    <w:rsid w:val="002E7D9A"/>
    <w:rsid w:val="002E7ED9"/>
    <w:rsid w:val="002F0F04"/>
    <w:rsid w:val="002F25B3"/>
    <w:rsid w:val="002F2828"/>
    <w:rsid w:val="002F28E4"/>
    <w:rsid w:val="002F2D81"/>
    <w:rsid w:val="002F3DB1"/>
    <w:rsid w:val="002F47FE"/>
    <w:rsid w:val="002F494F"/>
    <w:rsid w:val="002F497D"/>
    <w:rsid w:val="002F4DE6"/>
    <w:rsid w:val="002F5B4D"/>
    <w:rsid w:val="002F5B58"/>
    <w:rsid w:val="002F687D"/>
    <w:rsid w:val="002F754F"/>
    <w:rsid w:val="002F7AE4"/>
    <w:rsid w:val="002F7E20"/>
    <w:rsid w:val="00300149"/>
    <w:rsid w:val="00301791"/>
    <w:rsid w:val="00301B70"/>
    <w:rsid w:val="00301EAD"/>
    <w:rsid w:val="00302846"/>
    <w:rsid w:val="00302C0E"/>
    <w:rsid w:val="0030366B"/>
    <w:rsid w:val="003046B7"/>
    <w:rsid w:val="003058F5"/>
    <w:rsid w:val="003061D5"/>
    <w:rsid w:val="0030687D"/>
    <w:rsid w:val="00306F6F"/>
    <w:rsid w:val="003073D7"/>
    <w:rsid w:val="00307816"/>
    <w:rsid w:val="00307E3D"/>
    <w:rsid w:val="003116F5"/>
    <w:rsid w:val="00311914"/>
    <w:rsid w:val="00311952"/>
    <w:rsid w:val="00311AB6"/>
    <w:rsid w:val="00311E57"/>
    <w:rsid w:val="00311F30"/>
    <w:rsid w:val="00312503"/>
    <w:rsid w:val="00312C41"/>
    <w:rsid w:val="00313F83"/>
    <w:rsid w:val="0031500F"/>
    <w:rsid w:val="003153DA"/>
    <w:rsid w:val="003153DE"/>
    <w:rsid w:val="003155AB"/>
    <w:rsid w:val="003157C7"/>
    <w:rsid w:val="00315DB7"/>
    <w:rsid w:val="00315EFD"/>
    <w:rsid w:val="0031660C"/>
    <w:rsid w:val="00316823"/>
    <w:rsid w:val="00316AB4"/>
    <w:rsid w:val="00316B68"/>
    <w:rsid w:val="003179E5"/>
    <w:rsid w:val="00317ABB"/>
    <w:rsid w:val="003203F7"/>
    <w:rsid w:val="00320993"/>
    <w:rsid w:val="00321ECB"/>
    <w:rsid w:val="003223B7"/>
    <w:rsid w:val="00322766"/>
    <w:rsid w:val="0032286A"/>
    <w:rsid w:val="00322BD1"/>
    <w:rsid w:val="00323A54"/>
    <w:rsid w:val="00323CD4"/>
    <w:rsid w:val="003241C1"/>
    <w:rsid w:val="00325182"/>
    <w:rsid w:val="003254A3"/>
    <w:rsid w:val="003257E8"/>
    <w:rsid w:val="0032613D"/>
    <w:rsid w:val="00326662"/>
    <w:rsid w:val="00326DC4"/>
    <w:rsid w:val="00327A91"/>
    <w:rsid w:val="00327EAA"/>
    <w:rsid w:val="00327EEF"/>
    <w:rsid w:val="00330126"/>
    <w:rsid w:val="003304B3"/>
    <w:rsid w:val="003319D7"/>
    <w:rsid w:val="00331B2A"/>
    <w:rsid w:val="0033251C"/>
    <w:rsid w:val="00332A17"/>
    <w:rsid w:val="0033377C"/>
    <w:rsid w:val="00333F6E"/>
    <w:rsid w:val="00334ACC"/>
    <w:rsid w:val="00334C31"/>
    <w:rsid w:val="00334D59"/>
    <w:rsid w:val="00334F0B"/>
    <w:rsid w:val="003358F8"/>
    <w:rsid w:val="00335A85"/>
    <w:rsid w:val="00336201"/>
    <w:rsid w:val="0033625F"/>
    <w:rsid w:val="0033672A"/>
    <w:rsid w:val="003369B7"/>
    <w:rsid w:val="00336E17"/>
    <w:rsid w:val="00336E4D"/>
    <w:rsid w:val="003370C2"/>
    <w:rsid w:val="0033712E"/>
    <w:rsid w:val="003377CA"/>
    <w:rsid w:val="00337DAA"/>
    <w:rsid w:val="00340D15"/>
    <w:rsid w:val="003412B0"/>
    <w:rsid w:val="00342438"/>
    <w:rsid w:val="00343097"/>
    <w:rsid w:val="003432C6"/>
    <w:rsid w:val="00343663"/>
    <w:rsid w:val="00344716"/>
    <w:rsid w:val="00344AB8"/>
    <w:rsid w:val="00344DCB"/>
    <w:rsid w:val="00345952"/>
    <w:rsid w:val="00345C51"/>
    <w:rsid w:val="0034625B"/>
    <w:rsid w:val="00346543"/>
    <w:rsid w:val="0034696C"/>
    <w:rsid w:val="00347487"/>
    <w:rsid w:val="003500EE"/>
    <w:rsid w:val="00350909"/>
    <w:rsid w:val="00350D28"/>
    <w:rsid w:val="003511AF"/>
    <w:rsid w:val="00352D10"/>
    <w:rsid w:val="00353415"/>
    <w:rsid w:val="00353A01"/>
    <w:rsid w:val="00354006"/>
    <w:rsid w:val="00354676"/>
    <w:rsid w:val="00354F12"/>
    <w:rsid w:val="00355E27"/>
    <w:rsid w:val="003562A6"/>
    <w:rsid w:val="00356822"/>
    <w:rsid w:val="00356D81"/>
    <w:rsid w:val="00357AAC"/>
    <w:rsid w:val="00360188"/>
    <w:rsid w:val="00360403"/>
    <w:rsid w:val="003608B1"/>
    <w:rsid w:val="00360A39"/>
    <w:rsid w:val="00360DC7"/>
    <w:rsid w:val="00361FCF"/>
    <w:rsid w:val="00362861"/>
    <w:rsid w:val="00363033"/>
    <w:rsid w:val="0036381E"/>
    <w:rsid w:val="00363A2E"/>
    <w:rsid w:val="00363F83"/>
    <w:rsid w:val="0036406A"/>
    <w:rsid w:val="00364503"/>
    <w:rsid w:val="0036514C"/>
    <w:rsid w:val="003653D8"/>
    <w:rsid w:val="00365CC0"/>
    <w:rsid w:val="00366CDF"/>
    <w:rsid w:val="00367710"/>
    <w:rsid w:val="00367779"/>
    <w:rsid w:val="00367F5B"/>
    <w:rsid w:val="00370406"/>
    <w:rsid w:val="00370A79"/>
    <w:rsid w:val="00370C2F"/>
    <w:rsid w:val="00370C3E"/>
    <w:rsid w:val="00370F56"/>
    <w:rsid w:val="003713B7"/>
    <w:rsid w:val="003714FF"/>
    <w:rsid w:val="00371596"/>
    <w:rsid w:val="0037202C"/>
    <w:rsid w:val="00372B7D"/>
    <w:rsid w:val="00372ED8"/>
    <w:rsid w:val="00373F4C"/>
    <w:rsid w:val="00374322"/>
    <w:rsid w:val="0037454E"/>
    <w:rsid w:val="00374624"/>
    <w:rsid w:val="00374F3B"/>
    <w:rsid w:val="00375095"/>
    <w:rsid w:val="00375738"/>
    <w:rsid w:val="003757B1"/>
    <w:rsid w:val="003757DB"/>
    <w:rsid w:val="003759DC"/>
    <w:rsid w:val="00375C9A"/>
    <w:rsid w:val="00375F5D"/>
    <w:rsid w:val="00376363"/>
    <w:rsid w:val="00376896"/>
    <w:rsid w:val="003768AB"/>
    <w:rsid w:val="00377679"/>
    <w:rsid w:val="00380875"/>
    <w:rsid w:val="00381BE5"/>
    <w:rsid w:val="00381C1C"/>
    <w:rsid w:val="00382C2A"/>
    <w:rsid w:val="00382F73"/>
    <w:rsid w:val="003831E9"/>
    <w:rsid w:val="0038320B"/>
    <w:rsid w:val="003841C7"/>
    <w:rsid w:val="003851FB"/>
    <w:rsid w:val="0038550C"/>
    <w:rsid w:val="00386286"/>
    <w:rsid w:val="0038741F"/>
    <w:rsid w:val="00387998"/>
    <w:rsid w:val="00387AEA"/>
    <w:rsid w:val="00390008"/>
    <w:rsid w:val="00390445"/>
    <w:rsid w:val="0039072E"/>
    <w:rsid w:val="0039083C"/>
    <w:rsid w:val="00390905"/>
    <w:rsid w:val="00390A13"/>
    <w:rsid w:val="003928C6"/>
    <w:rsid w:val="00393B61"/>
    <w:rsid w:val="00393C57"/>
    <w:rsid w:val="00395482"/>
    <w:rsid w:val="003956FF"/>
    <w:rsid w:val="003964EF"/>
    <w:rsid w:val="003973BA"/>
    <w:rsid w:val="003A07FF"/>
    <w:rsid w:val="003A154E"/>
    <w:rsid w:val="003A17C7"/>
    <w:rsid w:val="003A2FE9"/>
    <w:rsid w:val="003A321F"/>
    <w:rsid w:val="003A343A"/>
    <w:rsid w:val="003A3727"/>
    <w:rsid w:val="003A39C1"/>
    <w:rsid w:val="003A3B63"/>
    <w:rsid w:val="003A3CF4"/>
    <w:rsid w:val="003A4D41"/>
    <w:rsid w:val="003A54F8"/>
    <w:rsid w:val="003A563C"/>
    <w:rsid w:val="003A5B2D"/>
    <w:rsid w:val="003A69A8"/>
    <w:rsid w:val="003A6CB8"/>
    <w:rsid w:val="003A71D2"/>
    <w:rsid w:val="003A770F"/>
    <w:rsid w:val="003A7732"/>
    <w:rsid w:val="003A7AEE"/>
    <w:rsid w:val="003A7BC2"/>
    <w:rsid w:val="003B0155"/>
    <w:rsid w:val="003B08D5"/>
    <w:rsid w:val="003B0FA2"/>
    <w:rsid w:val="003B15CF"/>
    <w:rsid w:val="003B16F2"/>
    <w:rsid w:val="003B2B42"/>
    <w:rsid w:val="003B2C60"/>
    <w:rsid w:val="003B2D74"/>
    <w:rsid w:val="003B349C"/>
    <w:rsid w:val="003B398A"/>
    <w:rsid w:val="003B3FAC"/>
    <w:rsid w:val="003B4532"/>
    <w:rsid w:val="003B53F6"/>
    <w:rsid w:val="003B5658"/>
    <w:rsid w:val="003B5AEA"/>
    <w:rsid w:val="003B6000"/>
    <w:rsid w:val="003B6424"/>
    <w:rsid w:val="003B6A8E"/>
    <w:rsid w:val="003B6CD9"/>
    <w:rsid w:val="003B7D8D"/>
    <w:rsid w:val="003C069C"/>
    <w:rsid w:val="003C088A"/>
    <w:rsid w:val="003C1055"/>
    <w:rsid w:val="003C11C5"/>
    <w:rsid w:val="003C1590"/>
    <w:rsid w:val="003C1CE5"/>
    <w:rsid w:val="003C1EAB"/>
    <w:rsid w:val="003C3AFC"/>
    <w:rsid w:val="003C3BBC"/>
    <w:rsid w:val="003C3DCB"/>
    <w:rsid w:val="003C45CC"/>
    <w:rsid w:val="003C4AC6"/>
    <w:rsid w:val="003C5459"/>
    <w:rsid w:val="003C5660"/>
    <w:rsid w:val="003C603D"/>
    <w:rsid w:val="003C645E"/>
    <w:rsid w:val="003C68DC"/>
    <w:rsid w:val="003C743A"/>
    <w:rsid w:val="003C7442"/>
    <w:rsid w:val="003C7C9F"/>
    <w:rsid w:val="003C7E11"/>
    <w:rsid w:val="003D09C1"/>
    <w:rsid w:val="003D17FC"/>
    <w:rsid w:val="003D1F8A"/>
    <w:rsid w:val="003D2137"/>
    <w:rsid w:val="003D27D6"/>
    <w:rsid w:val="003D2958"/>
    <w:rsid w:val="003D2BC0"/>
    <w:rsid w:val="003D32EE"/>
    <w:rsid w:val="003D3400"/>
    <w:rsid w:val="003D3835"/>
    <w:rsid w:val="003D3AB1"/>
    <w:rsid w:val="003D3AB6"/>
    <w:rsid w:val="003D3E7E"/>
    <w:rsid w:val="003D4297"/>
    <w:rsid w:val="003D49B9"/>
    <w:rsid w:val="003D4FC2"/>
    <w:rsid w:val="003D52C2"/>
    <w:rsid w:val="003D52FA"/>
    <w:rsid w:val="003D59CC"/>
    <w:rsid w:val="003D5D15"/>
    <w:rsid w:val="003D6B48"/>
    <w:rsid w:val="003D7B4D"/>
    <w:rsid w:val="003D7DC7"/>
    <w:rsid w:val="003D7E91"/>
    <w:rsid w:val="003E020A"/>
    <w:rsid w:val="003E08B0"/>
    <w:rsid w:val="003E0AD8"/>
    <w:rsid w:val="003E16CB"/>
    <w:rsid w:val="003E1B8B"/>
    <w:rsid w:val="003E1DAE"/>
    <w:rsid w:val="003E1EEB"/>
    <w:rsid w:val="003E1F69"/>
    <w:rsid w:val="003E226C"/>
    <w:rsid w:val="003E2293"/>
    <w:rsid w:val="003E2884"/>
    <w:rsid w:val="003E2EEC"/>
    <w:rsid w:val="003E370C"/>
    <w:rsid w:val="003E59F1"/>
    <w:rsid w:val="003E6982"/>
    <w:rsid w:val="003E6AD2"/>
    <w:rsid w:val="003E6E20"/>
    <w:rsid w:val="003E6FE3"/>
    <w:rsid w:val="003E7110"/>
    <w:rsid w:val="003E7228"/>
    <w:rsid w:val="003E7904"/>
    <w:rsid w:val="003E7DC9"/>
    <w:rsid w:val="003F0A87"/>
    <w:rsid w:val="003F0F02"/>
    <w:rsid w:val="003F1E27"/>
    <w:rsid w:val="003F2F09"/>
    <w:rsid w:val="003F405F"/>
    <w:rsid w:val="003F429C"/>
    <w:rsid w:val="003F4696"/>
    <w:rsid w:val="003F4766"/>
    <w:rsid w:val="003F4A59"/>
    <w:rsid w:val="003F4F83"/>
    <w:rsid w:val="003F512F"/>
    <w:rsid w:val="003F5636"/>
    <w:rsid w:val="003F5798"/>
    <w:rsid w:val="003F57F6"/>
    <w:rsid w:val="003F599A"/>
    <w:rsid w:val="003F5BCF"/>
    <w:rsid w:val="003F5C4F"/>
    <w:rsid w:val="003F5F3D"/>
    <w:rsid w:val="003F7F87"/>
    <w:rsid w:val="00400095"/>
    <w:rsid w:val="00400C3C"/>
    <w:rsid w:val="00400EA1"/>
    <w:rsid w:val="00401403"/>
    <w:rsid w:val="0040177A"/>
    <w:rsid w:val="004019BB"/>
    <w:rsid w:val="004027CA"/>
    <w:rsid w:val="00402B01"/>
    <w:rsid w:val="00403272"/>
    <w:rsid w:val="004046F1"/>
    <w:rsid w:val="00404A5E"/>
    <w:rsid w:val="00404B8A"/>
    <w:rsid w:val="00404BA8"/>
    <w:rsid w:val="00405789"/>
    <w:rsid w:val="004057A6"/>
    <w:rsid w:val="004059C1"/>
    <w:rsid w:val="00406953"/>
    <w:rsid w:val="00406982"/>
    <w:rsid w:val="00406BD7"/>
    <w:rsid w:val="0040712C"/>
    <w:rsid w:val="00407642"/>
    <w:rsid w:val="0040777B"/>
    <w:rsid w:val="00407E17"/>
    <w:rsid w:val="00410DB4"/>
    <w:rsid w:val="00411029"/>
    <w:rsid w:val="00411396"/>
    <w:rsid w:val="004123D6"/>
    <w:rsid w:val="004126F6"/>
    <w:rsid w:val="00412AC3"/>
    <w:rsid w:val="00412ED9"/>
    <w:rsid w:val="004130C4"/>
    <w:rsid w:val="00413782"/>
    <w:rsid w:val="004138D1"/>
    <w:rsid w:val="00413B13"/>
    <w:rsid w:val="004146C4"/>
    <w:rsid w:val="00414A11"/>
    <w:rsid w:val="00414DAF"/>
    <w:rsid w:val="00414E72"/>
    <w:rsid w:val="0041516C"/>
    <w:rsid w:val="004153A1"/>
    <w:rsid w:val="004154B0"/>
    <w:rsid w:val="00415ADB"/>
    <w:rsid w:val="00415AF0"/>
    <w:rsid w:val="00415FBA"/>
    <w:rsid w:val="00416630"/>
    <w:rsid w:val="00417ECC"/>
    <w:rsid w:val="0042017A"/>
    <w:rsid w:val="00420577"/>
    <w:rsid w:val="004209F0"/>
    <w:rsid w:val="004209F6"/>
    <w:rsid w:val="00420F32"/>
    <w:rsid w:val="00422512"/>
    <w:rsid w:val="00423F5C"/>
    <w:rsid w:val="0042452B"/>
    <w:rsid w:val="0042498D"/>
    <w:rsid w:val="0042539C"/>
    <w:rsid w:val="004255AA"/>
    <w:rsid w:val="00425D40"/>
    <w:rsid w:val="00425E28"/>
    <w:rsid w:val="00426B83"/>
    <w:rsid w:val="004301CF"/>
    <w:rsid w:val="004319BD"/>
    <w:rsid w:val="00431B76"/>
    <w:rsid w:val="0043212B"/>
    <w:rsid w:val="00432A72"/>
    <w:rsid w:val="004335B0"/>
    <w:rsid w:val="00433A58"/>
    <w:rsid w:val="00433C08"/>
    <w:rsid w:val="004346B7"/>
    <w:rsid w:val="00434874"/>
    <w:rsid w:val="004354FB"/>
    <w:rsid w:val="0043603C"/>
    <w:rsid w:val="0043647C"/>
    <w:rsid w:val="00437BB7"/>
    <w:rsid w:val="00437F00"/>
    <w:rsid w:val="00440300"/>
    <w:rsid w:val="004411F2"/>
    <w:rsid w:val="0044167C"/>
    <w:rsid w:val="00441CAF"/>
    <w:rsid w:val="0044226C"/>
    <w:rsid w:val="004427F0"/>
    <w:rsid w:val="00443068"/>
    <w:rsid w:val="004433D5"/>
    <w:rsid w:val="004434BA"/>
    <w:rsid w:val="00443B76"/>
    <w:rsid w:val="004452B8"/>
    <w:rsid w:val="004457B4"/>
    <w:rsid w:val="0044582F"/>
    <w:rsid w:val="00445A33"/>
    <w:rsid w:val="00445A9A"/>
    <w:rsid w:val="00445E9D"/>
    <w:rsid w:val="00446BBF"/>
    <w:rsid w:val="004475B6"/>
    <w:rsid w:val="004503F7"/>
    <w:rsid w:val="0045050C"/>
    <w:rsid w:val="00451565"/>
    <w:rsid w:val="0045222F"/>
    <w:rsid w:val="00452F6F"/>
    <w:rsid w:val="004534D2"/>
    <w:rsid w:val="00454349"/>
    <w:rsid w:val="00454D24"/>
    <w:rsid w:val="004559F8"/>
    <w:rsid w:val="004563CB"/>
    <w:rsid w:val="00456DF2"/>
    <w:rsid w:val="004571C4"/>
    <w:rsid w:val="00457343"/>
    <w:rsid w:val="00457AED"/>
    <w:rsid w:val="004603A3"/>
    <w:rsid w:val="0046059A"/>
    <w:rsid w:val="00460761"/>
    <w:rsid w:val="0046193C"/>
    <w:rsid w:val="00461E22"/>
    <w:rsid w:val="00462127"/>
    <w:rsid w:val="00462CDC"/>
    <w:rsid w:val="00463535"/>
    <w:rsid w:val="004641BD"/>
    <w:rsid w:val="00464D57"/>
    <w:rsid w:val="0046609C"/>
    <w:rsid w:val="00466507"/>
    <w:rsid w:val="004669A4"/>
    <w:rsid w:val="00466DFA"/>
    <w:rsid w:val="00466F10"/>
    <w:rsid w:val="0046732D"/>
    <w:rsid w:val="00467567"/>
    <w:rsid w:val="004679E2"/>
    <w:rsid w:val="004702D3"/>
    <w:rsid w:val="00471C49"/>
    <w:rsid w:val="00472076"/>
    <w:rsid w:val="0047277A"/>
    <w:rsid w:val="00472817"/>
    <w:rsid w:val="00472C26"/>
    <w:rsid w:val="00473370"/>
    <w:rsid w:val="00473622"/>
    <w:rsid w:val="004739AB"/>
    <w:rsid w:val="00473D42"/>
    <w:rsid w:val="004741CC"/>
    <w:rsid w:val="004744ED"/>
    <w:rsid w:val="00474986"/>
    <w:rsid w:val="00474D42"/>
    <w:rsid w:val="00475B7B"/>
    <w:rsid w:val="004771B2"/>
    <w:rsid w:val="0048001C"/>
    <w:rsid w:val="00480856"/>
    <w:rsid w:val="0048181B"/>
    <w:rsid w:val="00482157"/>
    <w:rsid w:val="004827AA"/>
    <w:rsid w:val="00483669"/>
    <w:rsid w:val="004838C1"/>
    <w:rsid w:val="00484EE9"/>
    <w:rsid w:val="00484F30"/>
    <w:rsid w:val="00485865"/>
    <w:rsid w:val="00485930"/>
    <w:rsid w:val="00486299"/>
    <w:rsid w:val="0048652F"/>
    <w:rsid w:val="00486DCB"/>
    <w:rsid w:val="0048783B"/>
    <w:rsid w:val="00487ADA"/>
    <w:rsid w:val="004908F2"/>
    <w:rsid w:val="00490DD4"/>
    <w:rsid w:val="00491080"/>
    <w:rsid w:val="004918A4"/>
    <w:rsid w:val="00492284"/>
    <w:rsid w:val="0049256C"/>
    <w:rsid w:val="004925FB"/>
    <w:rsid w:val="00493DC7"/>
    <w:rsid w:val="00493F2A"/>
    <w:rsid w:val="0049407B"/>
    <w:rsid w:val="004949BB"/>
    <w:rsid w:val="00494CA5"/>
    <w:rsid w:val="00495663"/>
    <w:rsid w:val="004956FD"/>
    <w:rsid w:val="00496131"/>
    <w:rsid w:val="00496993"/>
    <w:rsid w:val="0049742D"/>
    <w:rsid w:val="004A02D5"/>
    <w:rsid w:val="004A0C4A"/>
    <w:rsid w:val="004A137B"/>
    <w:rsid w:val="004A224A"/>
    <w:rsid w:val="004A2297"/>
    <w:rsid w:val="004A27D4"/>
    <w:rsid w:val="004A28C0"/>
    <w:rsid w:val="004A2BFF"/>
    <w:rsid w:val="004A2C94"/>
    <w:rsid w:val="004A2D0B"/>
    <w:rsid w:val="004A3A34"/>
    <w:rsid w:val="004A42AF"/>
    <w:rsid w:val="004A5A1D"/>
    <w:rsid w:val="004A6D6F"/>
    <w:rsid w:val="004A6D71"/>
    <w:rsid w:val="004A7BA8"/>
    <w:rsid w:val="004A7C2C"/>
    <w:rsid w:val="004B0847"/>
    <w:rsid w:val="004B2249"/>
    <w:rsid w:val="004B22E4"/>
    <w:rsid w:val="004B2977"/>
    <w:rsid w:val="004B2CE3"/>
    <w:rsid w:val="004B3827"/>
    <w:rsid w:val="004B3BC9"/>
    <w:rsid w:val="004B4258"/>
    <w:rsid w:val="004B56CD"/>
    <w:rsid w:val="004B5B90"/>
    <w:rsid w:val="004B5F2E"/>
    <w:rsid w:val="004B6CA1"/>
    <w:rsid w:val="004B7412"/>
    <w:rsid w:val="004C105A"/>
    <w:rsid w:val="004C18F6"/>
    <w:rsid w:val="004C20D9"/>
    <w:rsid w:val="004C2141"/>
    <w:rsid w:val="004C23D2"/>
    <w:rsid w:val="004C26A9"/>
    <w:rsid w:val="004C2DA1"/>
    <w:rsid w:val="004C3219"/>
    <w:rsid w:val="004C3A35"/>
    <w:rsid w:val="004C3D01"/>
    <w:rsid w:val="004C3EFA"/>
    <w:rsid w:val="004C3FC2"/>
    <w:rsid w:val="004C453A"/>
    <w:rsid w:val="004C4A6C"/>
    <w:rsid w:val="004C51AD"/>
    <w:rsid w:val="004C69AC"/>
    <w:rsid w:val="004C6C83"/>
    <w:rsid w:val="004C70C4"/>
    <w:rsid w:val="004C7671"/>
    <w:rsid w:val="004C7EC8"/>
    <w:rsid w:val="004D015A"/>
    <w:rsid w:val="004D10F6"/>
    <w:rsid w:val="004D1353"/>
    <w:rsid w:val="004D1848"/>
    <w:rsid w:val="004D19F7"/>
    <w:rsid w:val="004D2320"/>
    <w:rsid w:val="004D2DB2"/>
    <w:rsid w:val="004D2E6A"/>
    <w:rsid w:val="004D31F7"/>
    <w:rsid w:val="004D3392"/>
    <w:rsid w:val="004D37B3"/>
    <w:rsid w:val="004D3B38"/>
    <w:rsid w:val="004D3D40"/>
    <w:rsid w:val="004D4025"/>
    <w:rsid w:val="004D5BFF"/>
    <w:rsid w:val="004D5DE5"/>
    <w:rsid w:val="004D7AD3"/>
    <w:rsid w:val="004E0126"/>
    <w:rsid w:val="004E0E0A"/>
    <w:rsid w:val="004E1958"/>
    <w:rsid w:val="004E1C6F"/>
    <w:rsid w:val="004E2404"/>
    <w:rsid w:val="004E2510"/>
    <w:rsid w:val="004E3E94"/>
    <w:rsid w:val="004E4044"/>
    <w:rsid w:val="004E4328"/>
    <w:rsid w:val="004E4357"/>
    <w:rsid w:val="004E46EE"/>
    <w:rsid w:val="004E4A98"/>
    <w:rsid w:val="004E5584"/>
    <w:rsid w:val="004E57B0"/>
    <w:rsid w:val="004E7AD0"/>
    <w:rsid w:val="004E7D8A"/>
    <w:rsid w:val="004E7E56"/>
    <w:rsid w:val="004E7F5A"/>
    <w:rsid w:val="004F0644"/>
    <w:rsid w:val="004F1101"/>
    <w:rsid w:val="004F131A"/>
    <w:rsid w:val="004F1933"/>
    <w:rsid w:val="004F2432"/>
    <w:rsid w:val="004F2943"/>
    <w:rsid w:val="004F310F"/>
    <w:rsid w:val="004F313F"/>
    <w:rsid w:val="004F395B"/>
    <w:rsid w:val="004F3CC0"/>
    <w:rsid w:val="004F3F83"/>
    <w:rsid w:val="004F442F"/>
    <w:rsid w:val="004F4681"/>
    <w:rsid w:val="004F4794"/>
    <w:rsid w:val="004F546B"/>
    <w:rsid w:val="004F620D"/>
    <w:rsid w:val="004F642C"/>
    <w:rsid w:val="004F6EBC"/>
    <w:rsid w:val="004F7602"/>
    <w:rsid w:val="004F7659"/>
    <w:rsid w:val="00500B07"/>
    <w:rsid w:val="00502067"/>
    <w:rsid w:val="00502C48"/>
    <w:rsid w:val="005034E7"/>
    <w:rsid w:val="00503F5A"/>
    <w:rsid w:val="0050404E"/>
    <w:rsid w:val="00504972"/>
    <w:rsid w:val="00504A9B"/>
    <w:rsid w:val="005052CC"/>
    <w:rsid w:val="0050545B"/>
    <w:rsid w:val="005066A8"/>
    <w:rsid w:val="00506D34"/>
    <w:rsid w:val="00506FD1"/>
    <w:rsid w:val="0050763A"/>
    <w:rsid w:val="00507855"/>
    <w:rsid w:val="00507C47"/>
    <w:rsid w:val="0051000E"/>
    <w:rsid w:val="00510258"/>
    <w:rsid w:val="00510284"/>
    <w:rsid w:val="00510E21"/>
    <w:rsid w:val="005110DB"/>
    <w:rsid w:val="00511BA5"/>
    <w:rsid w:val="00512E74"/>
    <w:rsid w:val="005134EB"/>
    <w:rsid w:val="00513660"/>
    <w:rsid w:val="00513A96"/>
    <w:rsid w:val="00513EF9"/>
    <w:rsid w:val="00513F7F"/>
    <w:rsid w:val="00514682"/>
    <w:rsid w:val="005147EA"/>
    <w:rsid w:val="00514B21"/>
    <w:rsid w:val="00514DF1"/>
    <w:rsid w:val="005153B2"/>
    <w:rsid w:val="00515906"/>
    <w:rsid w:val="00517AA7"/>
    <w:rsid w:val="00517C28"/>
    <w:rsid w:val="00521843"/>
    <w:rsid w:val="00521A7C"/>
    <w:rsid w:val="00522499"/>
    <w:rsid w:val="00522D20"/>
    <w:rsid w:val="00523235"/>
    <w:rsid w:val="005237EF"/>
    <w:rsid w:val="00523CEF"/>
    <w:rsid w:val="00523D61"/>
    <w:rsid w:val="00524726"/>
    <w:rsid w:val="005248AC"/>
    <w:rsid w:val="00525130"/>
    <w:rsid w:val="00525773"/>
    <w:rsid w:val="00526281"/>
    <w:rsid w:val="00526766"/>
    <w:rsid w:val="0052682A"/>
    <w:rsid w:val="00526D50"/>
    <w:rsid w:val="00526D52"/>
    <w:rsid w:val="005318F7"/>
    <w:rsid w:val="00531CD8"/>
    <w:rsid w:val="00531E99"/>
    <w:rsid w:val="005327AF"/>
    <w:rsid w:val="00534065"/>
    <w:rsid w:val="0053430A"/>
    <w:rsid w:val="005348B8"/>
    <w:rsid w:val="00534A40"/>
    <w:rsid w:val="005353BE"/>
    <w:rsid w:val="005365BB"/>
    <w:rsid w:val="00536E6A"/>
    <w:rsid w:val="0053730F"/>
    <w:rsid w:val="00537641"/>
    <w:rsid w:val="00540166"/>
    <w:rsid w:val="00540861"/>
    <w:rsid w:val="005409FB"/>
    <w:rsid w:val="00540B2D"/>
    <w:rsid w:val="00540BB7"/>
    <w:rsid w:val="00541151"/>
    <w:rsid w:val="005414AB"/>
    <w:rsid w:val="00543217"/>
    <w:rsid w:val="00543279"/>
    <w:rsid w:val="00543B47"/>
    <w:rsid w:val="00543D99"/>
    <w:rsid w:val="00543DF3"/>
    <w:rsid w:val="00543FDB"/>
    <w:rsid w:val="00544307"/>
    <w:rsid w:val="00544BCD"/>
    <w:rsid w:val="005452BC"/>
    <w:rsid w:val="0054536F"/>
    <w:rsid w:val="00545DDD"/>
    <w:rsid w:val="00545E18"/>
    <w:rsid w:val="00546210"/>
    <w:rsid w:val="0054673A"/>
    <w:rsid w:val="00546EC7"/>
    <w:rsid w:val="00547136"/>
    <w:rsid w:val="0054715F"/>
    <w:rsid w:val="0054764A"/>
    <w:rsid w:val="005478CF"/>
    <w:rsid w:val="005501CA"/>
    <w:rsid w:val="00551480"/>
    <w:rsid w:val="00551860"/>
    <w:rsid w:val="005518DB"/>
    <w:rsid w:val="00551A00"/>
    <w:rsid w:val="00551B26"/>
    <w:rsid w:val="0055269A"/>
    <w:rsid w:val="00552BCF"/>
    <w:rsid w:val="00552D9C"/>
    <w:rsid w:val="005535A9"/>
    <w:rsid w:val="00553810"/>
    <w:rsid w:val="005538EF"/>
    <w:rsid w:val="00554007"/>
    <w:rsid w:val="0055492E"/>
    <w:rsid w:val="00554981"/>
    <w:rsid w:val="00556101"/>
    <w:rsid w:val="00556F41"/>
    <w:rsid w:val="0055738E"/>
    <w:rsid w:val="00557EA4"/>
    <w:rsid w:val="00560D10"/>
    <w:rsid w:val="005612B1"/>
    <w:rsid w:val="00561330"/>
    <w:rsid w:val="00561F5B"/>
    <w:rsid w:val="005621FA"/>
    <w:rsid w:val="005623C0"/>
    <w:rsid w:val="00563C34"/>
    <w:rsid w:val="00563FAC"/>
    <w:rsid w:val="00564EF4"/>
    <w:rsid w:val="005655BE"/>
    <w:rsid w:val="00565ECC"/>
    <w:rsid w:val="005664B0"/>
    <w:rsid w:val="005665F4"/>
    <w:rsid w:val="00566765"/>
    <w:rsid w:val="00566A32"/>
    <w:rsid w:val="005673EE"/>
    <w:rsid w:val="00567D0D"/>
    <w:rsid w:val="0057024B"/>
    <w:rsid w:val="005707ED"/>
    <w:rsid w:val="005708B3"/>
    <w:rsid w:val="00570971"/>
    <w:rsid w:val="00570CD3"/>
    <w:rsid w:val="005714ED"/>
    <w:rsid w:val="00571F41"/>
    <w:rsid w:val="00572126"/>
    <w:rsid w:val="005723E6"/>
    <w:rsid w:val="00573B53"/>
    <w:rsid w:val="00574350"/>
    <w:rsid w:val="005743E4"/>
    <w:rsid w:val="0057479D"/>
    <w:rsid w:val="00574CA9"/>
    <w:rsid w:val="00574EB9"/>
    <w:rsid w:val="00575165"/>
    <w:rsid w:val="00575874"/>
    <w:rsid w:val="00576CF9"/>
    <w:rsid w:val="005771A8"/>
    <w:rsid w:val="00577305"/>
    <w:rsid w:val="005777BA"/>
    <w:rsid w:val="0057790C"/>
    <w:rsid w:val="0058040A"/>
    <w:rsid w:val="0058168F"/>
    <w:rsid w:val="00581C49"/>
    <w:rsid w:val="00582011"/>
    <w:rsid w:val="00582135"/>
    <w:rsid w:val="005822B4"/>
    <w:rsid w:val="00582730"/>
    <w:rsid w:val="00582964"/>
    <w:rsid w:val="00582F97"/>
    <w:rsid w:val="00583088"/>
    <w:rsid w:val="005830CC"/>
    <w:rsid w:val="0058312D"/>
    <w:rsid w:val="00583214"/>
    <w:rsid w:val="00583A45"/>
    <w:rsid w:val="005841AE"/>
    <w:rsid w:val="00584B51"/>
    <w:rsid w:val="005857C7"/>
    <w:rsid w:val="00585CEA"/>
    <w:rsid w:val="0058631E"/>
    <w:rsid w:val="005864C1"/>
    <w:rsid w:val="005865A7"/>
    <w:rsid w:val="00586D3B"/>
    <w:rsid w:val="00586F1A"/>
    <w:rsid w:val="00587612"/>
    <w:rsid w:val="005900E0"/>
    <w:rsid w:val="00590965"/>
    <w:rsid w:val="00591650"/>
    <w:rsid w:val="00591E38"/>
    <w:rsid w:val="00591E75"/>
    <w:rsid w:val="00591FD7"/>
    <w:rsid w:val="005928F4"/>
    <w:rsid w:val="00592EEB"/>
    <w:rsid w:val="005944E2"/>
    <w:rsid w:val="005952AF"/>
    <w:rsid w:val="00595700"/>
    <w:rsid w:val="005958C6"/>
    <w:rsid w:val="00595F2F"/>
    <w:rsid w:val="00596DBE"/>
    <w:rsid w:val="00597B91"/>
    <w:rsid w:val="00597D8C"/>
    <w:rsid w:val="005A0C27"/>
    <w:rsid w:val="005A1601"/>
    <w:rsid w:val="005A192E"/>
    <w:rsid w:val="005A1F94"/>
    <w:rsid w:val="005A209F"/>
    <w:rsid w:val="005A44DD"/>
    <w:rsid w:val="005A4A6E"/>
    <w:rsid w:val="005A52A2"/>
    <w:rsid w:val="005A5B54"/>
    <w:rsid w:val="005A5E6B"/>
    <w:rsid w:val="005A64EB"/>
    <w:rsid w:val="005A6C89"/>
    <w:rsid w:val="005A6E5C"/>
    <w:rsid w:val="005A70DA"/>
    <w:rsid w:val="005A72BE"/>
    <w:rsid w:val="005A7862"/>
    <w:rsid w:val="005A7AAC"/>
    <w:rsid w:val="005A7B26"/>
    <w:rsid w:val="005A7D34"/>
    <w:rsid w:val="005B0282"/>
    <w:rsid w:val="005B04DF"/>
    <w:rsid w:val="005B0C72"/>
    <w:rsid w:val="005B0FB3"/>
    <w:rsid w:val="005B1A4B"/>
    <w:rsid w:val="005B1B42"/>
    <w:rsid w:val="005B2531"/>
    <w:rsid w:val="005B290C"/>
    <w:rsid w:val="005B309C"/>
    <w:rsid w:val="005B39FF"/>
    <w:rsid w:val="005B3AE1"/>
    <w:rsid w:val="005B4985"/>
    <w:rsid w:val="005B5235"/>
    <w:rsid w:val="005B53AD"/>
    <w:rsid w:val="005B5670"/>
    <w:rsid w:val="005B5E8E"/>
    <w:rsid w:val="005B7110"/>
    <w:rsid w:val="005B715E"/>
    <w:rsid w:val="005B74E0"/>
    <w:rsid w:val="005B76C6"/>
    <w:rsid w:val="005B7885"/>
    <w:rsid w:val="005C0740"/>
    <w:rsid w:val="005C0F71"/>
    <w:rsid w:val="005C127B"/>
    <w:rsid w:val="005C16AD"/>
    <w:rsid w:val="005C1821"/>
    <w:rsid w:val="005C1D2F"/>
    <w:rsid w:val="005C23A1"/>
    <w:rsid w:val="005C26DF"/>
    <w:rsid w:val="005C2DE0"/>
    <w:rsid w:val="005C2E0B"/>
    <w:rsid w:val="005C33CB"/>
    <w:rsid w:val="005C3A53"/>
    <w:rsid w:val="005C3C17"/>
    <w:rsid w:val="005C40DC"/>
    <w:rsid w:val="005C4EFD"/>
    <w:rsid w:val="005C5301"/>
    <w:rsid w:val="005C5468"/>
    <w:rsid w:val="005C561B"/>
    <w:rsid w:val="005C64D6"/>
    <w:rsid w:val="005C67C6"/>
    <w:rsid w:val="005C6E03"/>
    <w:rsid w:val="005C755C"/>
    <w:rsid w:val="005C78A6"/>
    <w:rsid w:val="005C7C8D"/>
    <w:rsid w:val="005C7C93"/>
    <w:rsid w:val="005D0D7C"/>
    <w:rsid w:val="005D0E7F"/>
    <w:rsid w:val="005D15A8"/>
    <w:rsid w:val="005D16BC"/>
    <w:rsid w:val="005D190A"/>
    <w:rsid w:val="005D1B1B"/>
    <w:rsid w:val="005D3013"/>
    <w:rsid w:val="005D3291"/>
    <w:rsid w:val="005D3354"/>
    <w:rsid w:val="005D33BF"/>
    <w:rsid w:val="005D3499"/>
    <w:rsid w:val="005D3808"/>
    <w:rsid w:val="005D3AD3"/>
    <w:rsid w:val="005D3B23"/>
    <w:rsid w:val="005D4118"/>
    <w:rsid w:val="005D4D88"/>
    <w:rsid w:val="005D4E36"/>
    <w:rsid w:val="005D51A0"/>
    <w:rsid w:val="005D5592"/>
    <w:rsid w:val="005D57AA"/>
    <w:rsid w:val="005D66F2"/>
    <w:rsid w:val="005D7715"/>
    <w:rsid w:val="005E020F"/>
    <w:rsid w:val="005E0A59"/>
    <w:rsid w:val="005E1F82"/>
    <w:rsid w:val="005E2560"/>
    <w:rsid w:val="005E27C3"/>
    <w:rsid w:val="005E33D5"/>
    <w:rsid w:val="005E416D"/>
    <w:rsid w:val="005E48A5"/>
    <w:rsid w:val="005E4DC1"/>
    <w:rsid w:val="005E4E14"/>
    <w:rsid w:val="005E56CC"/>
    <w:rsid w:val="005E58FC"/>
    <w:rsid w:val="005E5BE6"/>
    <w:rsid w:val="005E6843"/>
    <w:rsid w:val="005E6859"/>
    <w:rsid w:val="005E6C02"/>
    <w:rsid w:val="005E7881"/>
    <w:rsid w:val="005F1450"/>
    <w:rsid w:val="005F1D1A"/>
    <w:rsid w:val="005F201A"/>
    <w:rsid w:val="005F2145"/>
    <w:rsid w:val="005F2620"/>
    <w:rsid w:val="005F273A"/>
    <w:rsid w:val="005F295B"/>
    <w:rsid w:val="005F2D56"/>
    <w:rsid w:val="005F37AA"/>
    <w:rsid w:val="005F3C5D"/>
    <w:rsid w:val="005F4998"/>
    <w:rsid w:val="005F52F3"/>
    <w:rsid w:val="005F540F"/>
    <w:rsid w:val="005F54C9"/>
    <w:rsid w:val="005F5576"/>
    <w:rsid w:val="005F5B96"/>
    <w:rsid w:val="00601E14"/>
    <w:rsid w:val="00601F63"/>
    <w:rsid w:val="00601F8C"/>
    <w:rsid w:val="0060354A"/>
    <w:rsid w:val="00604DCD"/>
    <w:rsid w:val="00604FCF"/>
    <w:rsid w:val="00605305"/>
    <w:rsid w:val="00605B90"/>
    <w:rsid w:val="00605F38"/>
    <w:rsid w:val="0060651B"/>
    <w:rsid w:val="006077C4"/>
    <w:rsid w:val="00607A59"/>
    <w:rsid w:val="00607F1E"/>
    <w:rsid w:val="0061074C"/>
    <w:rsid w:val="006108D1"/>
    <w:rsid w:val="006110D8"/>
    <w:rsid w:val="00611FA6"/>
    <w:rsid w:val="006126C0"/>
    <w:rsid w:val="00612720"/>
    <w:rsid w:val="00612D0C"/>
    <w:rsid w:val="006136B9"/>
    <w:rsid w:val="0061373B"/>
    <w:rsid w:val="00614A0E"/>
    <w:rsid w:val="00614DDE"/>
    <w:rsid w:val="00616E0B"/>
    <w:rsid w:val="006171B3"/>
    <w:rsid w:val="0061720C"/>
    <w:rsid w:val="0061776C"/>
    <w:rsid w:val="00617886"/>
    <w:rsid w:val="00617B9B"/>
    <w:rsid w:val="006200AE"/>
    <w:rsid w:val="00620831"/>
    <w:rsid w:val="00620B78"/>
    <w:rsid w:val="006212E8"/>
    <w:rsid w:val="006214D3"/>
    <w:rsid w:val="00622132"/>
    <w:rsid w:val="0062278D"/>
    <w:rsid w:val="00622B21"/>
    <w:rsid w:val="00622C3D"/>
    <w:rsid w:val="00622FA4"/>
    <w:rsid w:val="00623113"/>
    <w:rsid w:val="00623E0F"/>
    <w:rsid w:val="0062441A"/>
    <w:rsid w:val="00624BA8"/>
    <w:rsid w:val="00625562"/>
    <w:rsid w:val="00625A63"/>
    <w:rsid w:val="00625E10"/>
    <w:rsid w:val="00625FF4"/>
    <w:rsid w:val="00626202"/>
    <w:rsid w:val="0062627F"/>
    <w:rsid w:val="0062672E"/>
    <w:rsid w:val="00626873"/>
    <w:rsid w:val="006269FE"/>
    <w:rsid w:val="00626B7D"/>
    <w:rsid w:val="0062749D"/>
    <w:rsid w:val="00627EEF"/>
    <w:rsid w:val="00630058"/>
    <w:rsid w:val="00631B9C"/>
    <w:rsid w:val="0063216A"/>
    <w:rsid w:val="00632ACA"/>
    <w:rsid w:val="00633307"/>
    <w:rsid w:val="00634240"/>
    <w:rsid w:val="006345E2"/>
    <w:rsid w:val="0063467A"/>
    <w:rsid w:val="0063538D"/>
    <w:rsid w:val="0063609F"/>
    <w:rsid w:val="00637E7B"/>
    <w:rsid w:val="0064058A"/>
    <w:rsid w:val="00641E41"/>
    <w:rsid w:val="00641EE9"/>
    <w:rsid w:val="006424E1"/>
    <w:rsid w:val="00642FFF"/>
    <w:rsid w:val="006435AE"/>
    <w:rsid w:val="0064386D"/>
    <w:rsid w:val="006438B6"/>
    <w:rsid w:val="00643CF8"/>
    <w:rsid w:val="00643D1A"/>
    <w:rsid w:val="00643FE8"/>
    <w:rsid w:val="006449B8"/>
    <w:rsid w:val="00644F3F"/>
    <w:rsid w:val="006450CF"/>
    <w:rsid w:val="006452B4"/>
    <w:rsid w:val="00647497"/>
    <w:rsid w:val="00647FB1"/>
    <w:rsid w:val="006513BE"/>
    <w:rsid w:val="00652783"/>
    <w:rsid w:val="00653D15"/>
    <w:rsid w:val="0065435D"/>
    <w:rsid w:val="0065503F"/>
    <w:rsid w:val="00655718"/>
    <w:rsid w:val="00655FFE"/>
    <w:rsid w:val="006578C4"/>
    <w:rsid w:val="00657CF9"/>
    <w:rsid w:val="00660FDD"/>
    <w:rsid w:val="006621D4"/>
    <w:rsid w:val="00662563"/>
    <w:rsid w:val="00662AFD"/>
    <w:rsid w:val="006638BA"/>
    <w:rsid w:val="006646BF"/>
    <w:rsid w:val="0066540D"/>
    <w:rsid w:val="00665B46"/>
    <w:rsid w:val="00665ECA"/>
    <w:rsid w:val="00665F8F"/>
    <w:rsid w:val="006660A7"/>
    <w:rsid w:val="00666596"/>
    <w:rsid w:val="006667BC"/>
    <w:rsid w:val="00667441"/>
    <w:rsid w:val="00667ADF"/>
    <w:rsid w:val="006700AB"/>
    <w:rsid w:val="0067081D"/>
    <w:rsid w:val="006708CA"/>
    <w:rsid w:val="006721FA"/>
    <w:rsid w:val="006724D3"/>
    <w:rsid w:val="00672587"/>
    <w:rsid w:val="006725D0"/>
    <w:rsid w:val="00672BF4"/>
    <w:rsid w:val="00673C9C"/>
    <w:rsid w:val="0067453B"/>
    <w:rsid w:val="00674657"/>
    <w:rsid w:val="0067479B"/>
    <w:rsid w:val="00674EF4"/>
    <w:rsid w:val="006753F2"/>
    <w:rsid w:val="006759D9"/>
    <w:rsid w:val="006761F6"/>
    <w:rsid w:val="006763AA"/>
    <w:rsid w:val="006766AB"/>
    <w:rsid w:val="0067683C"/>
    <w:rsid w:val="00676E2D"/>
    <w:rsid w:val="006772B1"/>
    <w:rsid w:val="00677BAE"/>
    <w:rsid w:val="006807A9"/>
    <w:rsid w:val="00681115"/>
    <w:rsid w:val="00681169"/>
    <w:rsid w:val="0068128D"/>
    <w:rsid w:val="00681B4D"/>
    <w:rsid w:val="006820EC"/>
    <w:rsid w:val="006827F9"/>
    <w:rsid w:val="0068391F"/>
    <w:rsid w:val="00683C2B"/>
    <w:rsid w:val="00684DA5"/>
    <w:rsid w:val="0068564F"/>
    <w:rsid w:val="0068580A"/>
    <w:rsid w:val="006861D2"/>
    <w:rsid w:val="00687044"/>
    <w:rsid w:val="00690327"/>
    <w:rsid w:val="00690B53"/>
    <w:rsid w:val="00691177"/>
    <w:rsid w:val="00692C8E"/>
    <w:rsid w:val="00692E70"/>
    <w:rsid w:val="00692F44"/>
    <w:rsid w:val="006936EA"/>
    <w:rsid w:val="00693CDC"/>
    <w:rsid w:val="00694CC1"/>
    <w:rsid w:val="0069584E"/>
    <w:rsid w:val="00697A73"/>
    <w:rsid w:val="006A00D2"/>
    <w:rsid w:val="006A0872"/>
    <w:rsid w:val="006A0C29"/>
    <w:rsid w:val="006A1406"/>
    <w:rsid w:val="006A159E"/>
    <w:rsid w:val="006A15D7"/>
    <w:rsid w:val="006A1E64"/>
    <w:rsid w:val="006A22F6"/>
    <w:rsid w:val="006A29C3"/>
    <w:rsid w:val="006A2D26"/>
    <w:rsid w:val="006A2EFF"/>
    <w:rsid w:val="006A4A43"/>
    <w:rsid w:val="006A4E7F"/>
    <w:rsid w:val="006A53E7"/>
    <w:rsid w:val="006A5497"/>
    <w:rsid w:val="006A5A0F"/>
    <w:rsid w:val="006A61EC"/>
    <w:rsid w:val="006A659C"/>
    <w:rsid w:val="006A7AE6"/>
    <w:rsid w:val="006A7F0A"/>
    <w:rsid w:val="006B0DB9"/>
    <w:rsid w:val="006B1023"/>
    <w:rsid w:val="006B2338"/>
    <w:rsid w:val="006B3012"/>
    <w:rsid w:val="006B33AF"/>
    <w:rsid w:val="006B3E2E"/>
    <w:rsid w:val="006B3FB5"/>
    <w:rsid w:val="006B4AE1"/>
    <w:rsid w:val="006B501F"/>
    <w:rsid w:val="006B5A19"/>
    <w:rsid w:val="006B5C84"/>
    <w:rsid w:val="006B640B"/>
    <w:rsid w:val="006B6747"/>
    <w:rsid w:val="006B67A2"/>
    <w:rsid w:val="006B7CAB"/>
    <w:rsid w:val="006B7EB0"/>
    <w:rsid w:val="006C00D5"/>
    <w:rsid w:val="006C0830"/>
    <w:rsid w:val="006C137E"/>
    <w:rsid w:val="006C1779"/>
    <w:rsid w:val="006C1A39"/>
    <w:rsid w:val="006C319A"/>
    <w:rsid w:val="006C34D1"/>
    <w:rsid w:val="006C3610"/>
    <w:rsid w:val="006C4464"/>
    <w:rsid w:val="006C51B4"/>
    <w:rsid w:val="006C5231"/>
    <w:rsid w:val="006C52A9"/>
    <w:rsid w:val="006C5334"/>
    <w:rsid w:val="006C578E"/>
    <w:rsid w:val="006C5F9D"/>
    <w:rsid w:val="006C684C"/>
    <w:rsid w:val="006C7389"/>
    <w:rsid w:val="006C75FD"/>
    <w:rsid w:val="006C779F"/>
    <w:rsid w:val="006D0090"/>
    <w:rsid w:val="006D02A2"/>
    <w:rsid w:val="006D0913"/>
    <w:rsid w:val="006D1E3A"/>
    <w:rsid w:val="006D2335"/>
    <w:rsid w:val="006D2ACD"/>
    <w:rsid w:val="006D2B3F"/>
    <w:rsid w:val="006D3286"/>
    <w:rsid w:val="006D33B9"/>
    <w:rsid w:val="006D3851"/>
    <w:rsid w:val="006D49F6"/>
    <w:rsid w:val="006D510A"/>
    <w:rsid w:val="006D5FD9"/>
    <w:rsid w:val="006D606A"/>
    <w:rsid w:val="006D6452"/>
    <w:rsid w:val="006D78AB"/>
    <w:rsid w:val="006D78E0"/>
    <w:rsid w:val="006E049A"/>
    <w:rsid w:val="006E098B"/>
    <w:rsid w:val="006E0E71"/>
    <w:rsid w:val="006E1552"/>
    <w:rsid w:val="006E15C5"/>
    <w:rsid w:val="006E17C6"/>
    <w:rsid w:val="006E2153"/>
    <w:rsid w:val="006E2AC7"/>
    <w:rsid w:val="006E3586"/>
    <w:rsid w:val="006E36C1"/>
    <w:rsid w:val="006E39DD"/>
    <w:rsid w:val="006E3D08"/>
    <w:rsid w:val="006E4672"/>
    <w:rsid w:val="006E46F3"/>
    <w:rsid w:val="006E4745"/>
    <w:rsid w:val="006E495F"/>
    <w:rsid w:val="006E4DAD"/>
    <w:rsid w:val="006E52B7"/>
    <w:rsid w:val="006E6B7C"/>
    <w:rsid w:val="006E7D0F"/>
    <w:rsid w:val="006E7E6E"/>
    <w:rsid w:val="006E7F1E"/>
    <w:rsid w:val="006F0458"/>
    <w:rsid w:val="006F0B1B"/>
    <w:rsid w:val="006F1360"/>
    <w:rsid w:val="006F15DA"/>
    <w:rsid w:val="006F162B"/>
    <w:rsid w:val="006F1767"/>
    <w:rsid w:val="006F1B93"/>
    <w:rsid w:val="006F2314"/>
    <w:rsid w:val="006F2FE2"/>
    <w:rsid w:val="006F3FA0"/>
    <w:rsid w:val="006F4109"/>
    <w:rsid w:val="006F4D03"/>
    <w:rsid w:val="006F50F7"/>
    <w:rsid w:val="006F520C"/>
    <w:rsid w:val="006F54FB"/>
    <w:rsid w:val="006F5599"/>
    <w:rsid w:val="006F5DDF"/>
    <w:rsid w:val="00700EDE"/>
    <w:rsid w:val="00701389"/>
    <w:rsid w:val="007014DE"/>
    <w:rsid w:val="007043FB"/>
    <w:rsid w:val="00704E19"/>
    <w:rsid w:val="0070554B"/>
    <w:rsid w:val="0070575B"/>
    <w:rsid w:val="00705AAA"/>
    <w:rsid w:val="00705AD3"/>
    <w:rsid w:val="00705C0D"/>
    <w:rsid w:val="00706702"/>
    <w:rsid w:val="0070698A"/>
    <w:rsid w:val="00707D58"/>
    <w:rsid w:val="00707D97"/>
    <w:rsid w:val="0071003F"/>
    <w:rsid w:val="00710CF5"/>
    <w:rsid w:val="00710F2A"/>
    <w:rsid w:val="00711256"/>
    <w:rsid w:val="007116D6"/>
    <w:rsid w:val="00711D46"/>
    <w:rsid w:val="007125B3"/>
    <w:rsid w:val="007135CF"/>
    <w:rsid w:val="00713B78"/>
    <w:rsid w:val="00714013"/>
    <w:rsid w:val="007148C9"/>
    <w:rsid w:val="0071522E"/>
    <w:rsid w:val="0071690A"/>
    <w:rsid w:val="00717145"/>
    <w:rsid w:val="00717240"/>
    <w:rsid w:val="00717BFE"/>
    <w:rsid w:val="00717DA7"/>
    <w:rsid w:val="0072052F"/>
    <w:rsid w:val="00720A30"/>
    <w:rsid w:val="0072123C"/>
    <w:rsid w:val="00721262"/>
    <w:rsid w:val="007214AF"/>
    <w:rsid w:val="00721732"/>
    <w:rsid w:val="00721C67"/>
    <w:rsid w:val="00721D93"/>
    <w:rsid w:val="00721E2D"/>
    <w:rsid w:val="00722106"/>
    <w:rsid w:val="007225E0"/>
    <w:rsid w:val="00722C4F"/>
    <w:rsid w:val="00722FD6"/>
    <w:rsid w:val="00723232"/>
    <w:rsid w:val="007237E6"/>
    <w:rsid w:val="00725766"/>
    <w:rsid w:val="007258EA"/>
    <w:rsid w:val="007263E5"/>
    <w:rsid w:val="007264A8"/>
    <w:rsid w:val="00726864"/>
    <w:rsid w:val="00727309"/>
    <w:rsid w:val="0072734A"/>
    <w:rsid w:val="007303E1"/>
    <w:rsid w:val="007310B2"/>
    <w:rsid w:val="007315FF"/>
    <w:rsid w:val="00731D88"/>
    <w:rsid w:val="0073239D"/>
    <w:rsid w:val="007328C8"/>
    <w:rsid w:val="007339D3"/>
    <w:rsid w:val="00733E22"/>
    <w:rsid w:val="00734180"/>
    <w:rsid w:val="00734EA0"/>
    <w:rsid w:val="0073574C"/>
    <w:rsid w:val="00735F9A"/>
    <w:rsid w:val="00735FD1"/>
    <w:rsid w:val="00736248"/>
    <w:rsid w:val="00736463"/>
    <w:rsid w:val="00736CBA"/>
    <w:rsid w:val="007371A6"/>
    <w:rsid w:val="00737211"/>
    <w:rsid w:val="007374CE"/>
    <w:rsid w:val="007374DF"/>
    <w:rsid w:val="00737AEB"/>
    <w:rsid w:val="00737F98"/>
    <w:rsid w:val="007415F5"/>
    <w:rsid w:val="00742B26"/>
    <w:rsid w:val="00742BC8"/>
    <w:rsid w:val="00742F48"/>
    <w:rsid w:val="007446E4"/>
    <w:rsid w:val="00744883"/>
    <w:rsid w:val="00744B66"/>
    <w:rsid w:val="00744C14"/>
    <w:rsid w:val="00744C20"/>
    <w:rsid w:val="007454A4"/>
    <w:rsid w:val="00745FA9"/>
    <w:rsid w:val="0074637F"/>
    <w:rsid w:val="0074647B"/>
    <w:rsid w:val="00746733"/>
    <w:rsid w:val="007467F7"/>
    <w:rsid w:val="00746912"/>
    <w:rsid w:val="00747446"/>
    <w:rsid w:val="007514B6"/>
    <w:rsid w:val="007524FF"/>
    <w:rsid w:val="00753B51"/>
    <w:rsid w:val="007542DD"/>
    <w:rsid w:val="00754ED8"/>
    <w:rsid w:val="0075641F"/>
    <w:rsid w:val="007569A6"/>
    <w:rsid w:val="00756B5E"/>
    <w:rsid w:val="007574A4"/>
    <w:rsid w:val="007577E5"/>
    <w:rsid w:val="00757B5B"/>
    <w:rsid w:val="00760397"/>
    <w:rsid w:val="007605E4"/>
    <w:rsid w:val="00760843"/>
    <w:rsid w:val="00761216"/>
    <w:rsid w:val="007617DF"/>
    <w:rsid w:val="00761920"/>
    <w:rsid w:val="007619D4"/>
    <w:rsid w:val="00761E8E"/>
    <w:rsid w:val="007620E4"/>
    <w:rsid w:val="00762CAB"/>
    <w:rsid w:val="007635CF"/>
    <w:rsid w:val="0076444F"/>
    <w:rsid w:val="007653C7"/>
    <w:rsid w:val="00766A54"/>
    <w:rsid w:val="00766BE2"/>
    <w:rsid w:val="0076777A"/>
    <w:rsid w:val="00767C5F"/>
    <w:rsid w:val="0077097B"/>
    <w:rsid w:val="00770A6D"/>
    <w:rsid w:val="00771441"/>
    <w:rsid w:val="00771499"/>
    <w:rsid w:val="00772271"/>
    <w:rsid w:val="00772EAC"/>
    <w:rsid w:val="007732D0"/>
    <w:rsid w:val="007737D2"/>
    <w:rsid w:val="0077444B"/>
    <w:rsid w:val="007753E5"/>
    <w:rsid w:val="00775847"/>
    <w:rsid w:val="007759BD"/>
    <w:rsid w:val="00775D05"/>
    <w:rsid w:val="00775F43"/>
    <w:rsid w:val="00775F72"/>
    <w:rsid w:val="007760CC"/>
    <w:rsid w:val="0077622F"/>
    <w:rsid w:val="007765F2"/>
    <w:rsid w:val="0077770C"/>
    <w:rsid w:val="00780154"/>
    <w:rsid w:val="0078052F"/>
    <w:rsid w:val="0078065D"/>
    <w:rsid w:val="00781670"/>
    <w:rsid w:val="0078181E"/>
    <w:rsid w:val="00781952"/>
    <w:rsid w:val="00781ABA"/>
    <w:rsid w:val="007825C5"/>
    <w:rsid w:val="0078322F"/>
    <w:rsid w:val="00783415"/>
    <w:rsid w:val="00783549"/>
    <w:rsid w:val="007848C1"/>
    <w:rsid w:val="00785068"/>
    <w:rsid w:val="00785612"/>
    <w:rsid w:val="00785F87"/>
    <w:rsid w:val="00786071"/>
    <w:rsid w:val="0078624C"/>
    <w:rsid w:val="00786457"/>
    <w:rsid w:val="00786E60"/>
    <w:rsid w:val="00787672"/>
    <w:rsid w:val="00787957"/>
    <w:rsid w:val="00787F61"/>
    <w:rsid w:val="00790CD9"/>
    <w:rsid w:val="00790DBE"/>
    <w:rsid w:val="00792891"/>
    <w:rsid w:val="00792970"/>
    <w:rsid w:val="00792C6D"/>
    <w:rsid w:val="00792EC8"/>
    <w:rsid w:val="00794300"/>
    <w:rsid w:val="00794376"/>
    <w:rsid w:val="00795422"/>
    <w:rsid w:val="007A05CE"/>
    <w:rsid w:val="007A1339"/>
    <w:rsid w:val="007A1663"/>
    <w:rsid w:val="007A208A"/>
    <w:rsid w:val="007A2093"/>
    <w:rsid w:val="007A2296"/>
    <w:rsid w:val="007A2BCA"/>
    <w:rsid w:val="007A2ED5"/>
    <w:rsid w:val="007A4CE3"/>
    <w:rsid w:val="007A4E07"/>
    <w:rsid w:val="007A62D4"/>
    <w:rsid w:val="007A7172"/>
    <w:rsid w:val="007A7268"/>
    <w:rsid w:val="007B0DFA"/>
    <w:rsid w:val="007B0F4A"/>
    <w:rsid w:val="007B105F"/>
    <w:rsid w:val="007B1075"/>
    <w:rsid w:val="007B1186"/>
    <w:rsid w:val="007B1B9A"/>
    <w:rsid w:val="007B1C3F"/>
    <w:rsid w:val="007B1EAF"/>
    <w:rsid w:val="007B1FA7"/>
    <w:rsid w:val="007B3923"/>
    <w:rsid w:val="007B3C02"/>
    <w:rsid w:val="007B3CD5"/>
    <w:rsid w:val="007B43D9"/>
    <w:rsid w:val="007B462A"/>
    <w:rsid w:val="007B4781"/>
    <w:rsid w:val="007B4A93"/>
    <w:rsid w:val="007B4CD6"/>
    <w:rsid w:val="007B4ECD"/>
    <w:rsid w:val="007B51F8"/>
    <w:rsid w:val="007B5A3A"/>
    <w:rsid w:val="007B5D28"/>
    <w:rsid w:val="007B6139"/>
    <w:rsid w:val="007B6250"/>
    <w:rsid w:val="007B6FEC"/>
    <w:rsid w:val="007B7056"/>
    <w:rsid w:val="007B73DF"/>
    <w:rsid w:val="007B7527"/>
    <w:rsid w:val="007B76F4"/>
    <w:rsid w:val="007B7B69"/>
    <w:rsid w:val="007C036E"/>
    <w:rsid w:val="007C03B4"/>
    <w:rsid w:val="007C0411"/>
    <w:rsid w:val="007C089A"/>
    <w:rsid w:val="007C0C2F"/>
    <w:rsid w:val="007C16D3"/>
    <w:rsid w:val="007C24F0"/>
    <w:rsid w:val="007C2813"/>
    <w:rsid w:val="007C3A80"/>
    <w:rsid w:val="007C3C85"/>
    <w:rsid w:val="007C47DD"/>
    <w:rsid w:val="007C4B58"/>
    <w:rsid w:val="007C4E95"/>
    <w:rsid w:val="007C54C7"/>
    <w:rsid w:val="007C56A6"/>
    <w:rsid w:val="007C5E33"/>
    <w:rsid w:val="007C6AA1"/>
    <w:rsid w:val="007C7F2E"/>
    <w:rsid w:val="007D0444"/>
    <w:rsid w:val="007D3546"/>
    <w:rsid w:val="007D3BFF"/>
    <w:rsid w:val="007D4117"/>
    <w:rsid w:val="007D44FC"/>
    <w:rsid w:val="007D5173"/>
    <w:rsid w:val="007D5D26"/>
    <w:rsid w:val="007D63AB"/>
    <w:rsid w:val="007D7935"/>
    <w:rsid w:val="007E08D8"/>
    <w:rsid w:val="007E0D0E"/>
    <w:rsid w:val="007E0EF8"/>
    <w:rsid w:val="007E1346"/>
    <w:rsid w:val="007E1971"/>
    <w:rsid w:val="007E1993"/>
    <w:rsid w:val="007E1BA5"/>
    <w:rsid w:val="007E21A8"/>
    <w:rsid w:val="007E22B3"/>
    <w:rsid w:val="007E235D"/>
    <w:rsid w:val="007E26F2"/>
    <w:rsid w:val="007E284B"/>
    <w:rsid w:val="007E2BE4"/>
    <w:rsid w:val="007E3BC0"/>
    <w:rsid w:val="007E3BC7"/>
    <w:rsid w:val="007E50B0"/>
    <w:rsid w:val="007E5E59"/>
    <w:rsid w:val="007E6963"/>
    <w:rsid w:val="007E7CB4"/>
    <w:rsid w:val="007F0F12"/>
    <w:rsid w:val="007F1108"/>
    <w:rsid w:val="007F11A9"/>
    <w:rsid w:val="007F136E"/>
    <w:rsid w:val="007F262F"/>
    <w:rsid w:val="007F2781"/>
    <w:rsid w:val="007F2E25"/>
    <w:rsid w:val="007F32B1"/>
    <w:rsid w:val="007F3D1A"/>
    <w:rsid w:val="007F4220"/>
    <w:rsid w:val="007F48AA"/>
    <w:rsid w:val="007F4F1C"/>
    <w:rsid w:val="007F51F7"/>
    <w:rsid w:val="007F525F"/>
    <w:rsid w:val="007F545E"/>
    <w:rsid w:val="007F5653"/>
    <w:rsid w:val="007F615E"/>
    <w:rsid w:val="007F6367"/>
    <w:rsid w:val="007F655B"/>
    <w:rsid w:val="007F6654"/>
    <w:rsid w:val="007F67D7"/>
    <w:rsid w:val="007F688A"/>
    <w:rsid w:val="007F714F"/>
    <w:rsid w:val="007F73FE"/>
    <w:rsid w:val="007F7D6F"/>
    <w:rsid w:val="007F7F91"/>
    <w:rsid w:val="008002F0"/>
    <w:rsid w:val="00800C7F"/>
    <w:rsid w:val="00801270"/>
    <w:rsid w:val="008012E9"/>
    <w:rsid w:val="008027E3"/>
    <w:rsid w:val="00802954"/>
    <w:rsid w:val="00802989"/>
    <w:rsid w:val="00802ABE"/>
    <w:rsid w:val="00802F1D"/>
    <w:rsid w:val="0080383C"/>
    <w:rsid w:val="00803917"/>
    <w:rsid w:val="00803A0A"/>
    <w:rsid w:val="00804166"/>
    <w:rsid w:val="0080439D"/>
    <w:rsid w:val="008044BA"/>
    <w:rsid w:val="00804592"/>
    <w:rsid w:val="00805ACE"/>
    <w:rsid w:val="00805EB5"/>
    <w:rsid w:val="00806D51"/>
    <w:rsid w:val="0080701C"/>
    <w:rsid w:val="008071CB"/>
    <w:rsid w:val="00807282"/>
    <w:rsid w:val="008075A9"/>
    <w:rsid w:val="00807EE2"/>
    <w:rsid w:val="00810A19"/>
    <w:rsid w:val="00810AEE"/>
    <w:rsid w:val="00811105"/>
    <w:rsid w:val="00812453"/>
    <w:rsid w:val="00813841"/>
    <w:rsid w:val="0081409E"/>
    <w:rsid w:val="00814391"/>
    <w:rsid w:val="008145C9"/>
    <w:rsid w:val="00815CBF"/>
    <w:rsid w:val="00815EC4"/>
    <w:rsid w:val="008162AD"/>
    <w:rsid w:val="00816465"/>
    <w:rsid w:val="00816F86"/>
    <w:rsid w:val="0081753C"/>
    <w:rsid w:val="0081786C"/>
    <w:rsid w:val="008201BB"/>
    <w:rsid w:val="00820D47"/>
    <w:rsid w:val="00821749"/>
    <w:rsid w:val="00821A5A"/>
    <w:rsid w:val="00822AC7"/>
    <w:rsid w:val="00822F44"/>
    <w:rsid w:val="0082337E"/>
    <w:rsid w:val="00823B84"/>
    <w:rsid w:val="00823D33"/>
    <w:rsid w:val="00823FFD"/>
    <w:rsid w:val="00824384"/>
    <w:rsid w:val="00824975"/>
    <w:rsid w:val="00825768"/>
    <w:rsid w:val="00825831"/>
    <w:rsid w:val="00825B70"/>
    <w:rsid w:val="00825E16"/>
    <w:rsid w:val="00826938"/>
    <w:rsid w:val="00826D73"/>
    <w:rsid w:val="00827036"/>
    <w:rsid w:val="0082763A"/>
    <w:rsid w:val="008278F4"/>
    <w:rsid w:val="00827B3D"/>
    <w:rsid w:val="00827BC8"/>
    <w:rsid w:val="00827DB2"/>
    <w:rsid w:val="00830753"/>
    <w:rsid w:val="00831160"/>
    <w:rsid w:val="0083177B"/>
    <w:rsid w:val="00831C60"/>
    <w:rsid w:val="00831E8F"/>
    <w:rsid w:val="00832442"/>
    <w:rsid w:val="008325A5"/>
    <w:rsid w:val="00833961"/>
    <w:rsid w:val="00833E3B"/>
    <w:rsid w:val="0083430F"/>
    <w:rsid w:val="00834402"/>
    <w:rsid w:val="0083492D"/>
    <w:rsid w:val="00834AC6"/>
    <w:rsid w:val="00834BC7"/>
    <w:rsid w:val="00835596"/>
    <w:rsid w:val="008359BC"/>
    <w:rsid w:val="00835B92"/>
    <w:rsid w:val="008363F9"/>
    <w:rsid w:val="008371D0"/>
    <w:rsid w:val="00837C55"/>
    <w:rsid w:val="008403A2"/>
    <w:rsid w:val="008407E3"/>
    <w:rsid w:val="00840B55"/>
    <w:rsid w:val="00840D56"/>
    <w:rsid w:val="008410B2"/>
    <w:rsid w:val="008411DB"/>
    <w:rsid w:val="0084122C"/>
    <w:rsid w:val="008416F3"/>
    <w:rsid w:val="0084172A"/>
    <w:rsid w:val="008419E4"/>
    <w:rsid w:val="00843798"/>
    <w:rsid w:val="008446FF"/>
    <w:rsid w:val="00844F8B"/>
    <w:rsid w:val="008450C2"/>
    <w:rsid w:val="00845E8A"/>
    <w:rsid w:val="008464C1"/>
    <w:rsid w:val="00847AEB"/>
    <w:rsid w:val="00850075"/>
    <w:rsid w:val="008508D3"/>
    <w:rsid w:val="00850A37"/>
    <w:rsid w:val="00851225"/>
    <w:rsid w:val="00851B18"/>
    <w:rsid w:val="00851BC6"/>
    <w:rsid w:val="00852D2C"/>
    <w:rsid w:val="00852F91"/>
    <w:rsid w:val="008531ED"/>
    <w:rsid w:val="0085447A"/>
    <w:rsid w:val="00854B27"/>
    <w:rsid w:val="0085526E"/>
    <w:rsid w:val="00855647"/>
    <w:rsid w:val="008563DD"/>
    <w:rsid w:val="00856BC7"/>
    <w:rsid w:val="00856F02"/>
    <w:rsid w:val="00860740"/>
    <w:rsid w:val="008608AB"/>
    <w:rsid w:val="00860D0B"/>
    <w:rsid w:val="00860D47"/>
    <w:rsid w:val="00861880"/>
    <w:rsid w:val="008622F3"/>
    <w:rsid w:val="00863000"/>
    <w:rsid w:val="008635AA"/>
    <w:rsid w:val="00863D2C"/>
    <w:rsid w:val="00864B26"/>
    <w:rsid w:val="008650F1"/>
    <w:rsid w:val="008652D3"/>
    <w:rsid w:val="00865DE1"/>
    <w:rsid w:val="00865F93"/>
    <w:rsid w:val="00866052"/>
    <w:rsid w:val="00866127"/>
    <w:rsid w:val="008662D1"/>
    <w:rsid w:val="00866B07"/>
    <w:rsid w:val="00867012"/>
    <w:rsid w:val="00867AAC"/>
    <w:rsid w:val="00867C17"/>
    <w:rsid w:val="00870FC7"/>
    <w:rsid w:val="00872A60"/>
    <w:rsid w:val="00872DD0"/>
    <w:rsid w:val="00873258"/>
    <w:rsid w:val="00873702"/>
    <w:rsid w:val="00873F20"/>
    <w:rsid w:val="00874224"/>
    <w:rsid w:val="008745B5"/>
    <w:rsid w:val="008753F6"/>
    <w:rsid w:val="008756DC"/>
    <w:rsid w:val="008759A8"/>
    <w:rsid w:val="00875F0B"/>
    <w:rsid w:val="00876587"/>
    <w:rsid w:val="00876761"/>
    <w:rsid w:val="008777F1"/>
    <w:rsid w:val="00877CB1"/>
    <w:rsid w:val="00877FE9"/>
    <w:rsid w:val="00880361"/>
    <w:rsid w:val="008806FC"/>
    <w:rsid w:val="008815BD"/>
    <w:rsid w:val="00881C64"/>
    <w:rsid w:val="00881CA6"/>
    <w:rsid w:val="00881D0D"/>
    <w:rsid w:val="00882B53"/>
    <w:rsid w:val="0088413C"/>
    <w:rsid w:val="00884542"/>
    <w:rsid w:val="008850C4"/>
    <w:rsid w:val="008853A3"/>
    <w:rsid w:val="00885EFB"/>
    <w:rsid w:val="0088671C"/>
    <w:rsid w:val="00886A3B"/>
    <w:rsid w:val="008877B9"/>
    <w:rsid w:val="008878B8"/>
    <w:rsid w:val="00887A07"/>
    <w:rsid w:val="00890D64"/>
    <w:rsid w:val="00891085"/>
    <w:rsid w:val="0089202C"/>
    <w:rsid w:val="00892307"/>
    <w:rsid w:val="00892BD0"/>
    <w:rsid w:val="00892D1F"/>
    <w:rsid w:val="00892E42"/>
    <w:rsid w:val="00892F24"/>
    <w:rsid w:val="0089353D"/>
    <w:rsid w:val="0089354D"/>
    <w:rsid w:val="008942C2"/>
    <w:rsid w:val="00894838"/>
    <w:rsid w:val="00894ED2"/>
    <w:rsid w:val="00895181"/>
    <w:rsid w:val="0089542B"/>
    <w:rsid w:val="00896012"/>
    <w:rsid w:val="008966B3"/>
    <w:rsid w:val="00897C34"/>
    <w:rsid w:val="00897F52"/>
    <w:rsid w:val="008A0A18"/>
    <w:rsid w:val="008A1064"/>
    <w:rsid w:val="008A2816"/>
    <w:rsid w:val="008A2B4C"/>
    <w:rsid w:val="008A2BCF"/>
    <w:rsid w:val="008A2DF7"/>
    <w:rsid w:val="008A38F9"/>
    <w:rsid w:val="008A44C5"/>
    <w:rsid w:val="008A6443"/>
    <w:rsid w:val="008A6786"/>
    <w:rsid w:val="008A6893"/>
    <w:rsid w:val="008A6FF7"/>
    <w:rsid w:val="008B0642"/>
    <w:rsid w:val="008B083C"/>
    <w:rsid w:val="008B0E61"/>
    <w:rsid w:val="008B1226"/>
    <w:rsid w:val="008B12C5"/>
    <w:rsid w:val="008B1EC0"/>
    <w:rsid w:val="008B23B5"/>
    <w:rsid w:val="008B2FC1"/>
    <w:rsid w:val="008B4249"/>
    <w:rsid w:val="008B46AB"/>
    <w:rsid w:val="008B4CC9"/>
    <w:rsid w:val="008B5770"/>
    <w:rsid w:val="008B5FCC"/>
    <w:rsid w:val="008B63F9"/>
    <w:rsid w:val="008B63FB"/>
    <w:rsid w:val="008B69AA"/>
    <w:rsid w:val="008B7170"/>
    <w:rsid w:val="008B789B"/>
    <w:rsid w:val="008B7EBA"/>
    <w:rsid w:val="008C0DC0"/>
    <w:rsid w:val="008C0F05"/>
    <w:rsid w:val="008C1C9B"/>
    <w:rsid w:val="008C1CB8"/>
    <w:rsid w:val="008C2659"/>
    <w:rsid w:val="008C3C33"/>
    <w:rsid w:val="008C433C"/>
    <w:rsid w:val="008C47B0"/>
    <w:rsid w:val="008C527E"/>
    <w:rsid w:val="008C5CDF"/>
    <w:rsid w:val="008C61A8"/>
    <w:rsid w:val="008C6944"/>
    <w:rsid w:val="008C6A79"/>
    <w:rsid w:val="008C7639"/>
    <w:rsid w:val="008C7663"/>
    <w:rsid w:val="008D00C1"/>
    <w:rsid w:val="008D04A5"/>
    <w:rsid w:val="008D1296"/>
    <w:rsid w:val="008D197A"/>
    <w:rsid w:val="008D1C4A"/>
    <w:rsid w:val="008D1CDA"/>
    <w:rsid w:val="008D1EA0"/>
    <w:rsid w:val="008D35A8"/>
    <w:rsid w:val="008D3604"/>
    <w:rsid w:val="008D3C82"/>
    <w:rsid w:val="008D4297"/>
    <w:rsid w:val="008D4418"/>
    <w:rsid w:val="008D4CD6"/>
    <w:rsid w:val="008D4E67"/>
    <w:rsid w:val="008D500A"/>
    <w:rsid w:val="008D5CA7"/>
    <w:rsid w:val="008D7714"/>
    <w:rsid w:val="008D785B"/>
    <w:rsid w:val="008E0029"/>
    <w:rsid w:val="008E0844"/>
    <w:rsid w:val="008E090F"/>
    <w:rsid w:val="008E10DD"/>
    <w:rsid w:val="008E175F"/>
    <w:rsid w:val="008E1B70"/>
    <w:rsid w:val="008E27A2"/>
    <w:rsid w:val="008E2B22"/>
    <w:rsid w:val="008E316F"/>
    <w:rsid w:val="008E3390"/>
    <w:rsid w:val="008E37F9"/>
    <w:rsid w:val="008E380D"/>
    <w:rsid w:val="008E4149"/>
    <w:rsid w:val="008E46EE"/>
    <w:rsid w:val="008E4AAD"/>
    <w:rsid w:val="008E4BAA"/>
    <w:rsid w:val="008E4D7C"/>
    <w:rsid w:val="008E5521"/>
    <w:rsid w:val="008E62F9"/>
    <w:rsid w:val="008E63DA"/>
    <w:rsid w:val="008E6898"/>
    <w:rsid w:val="008E6E96"/>
    <w:rsid w:val="008E707B"/>
    <w:rsid w:val="008E735C"/>
    <w:rsid w:val="008E74D6"/>
    <w:rsid w:val="008E7EF8"/>
    <w:rsid w:val="008F098D"/>
    <w:rsid w:val="008F0D82"/>
    <w:rsid w:val="008F110C"/>
    <w:rsid w:val="008F128E"/>
    <w:rsid w:val="008F16F9"/>
    <w:rsid w:val="008F20D8"/>
    <w:rsid w:val="008F26B4"/>
    <w:rsid w:val="008F2940"/>
    <w:rsid w:val="008F2A0D"/>
    <w:rsid w:val="008F2CE2"/>
    <w:rsid w:val="008F35F3"/>
    <w:rsid w:val="008F3CC2"/>
    <w:rsid w:val="008F4703"/>
    <w:rsid w:val="008F4D53"/>
    <w:rsid w:val="008F541A"/>
    <w:rsid w:val="008F553D"/>
    <w:rsid w:val="008F559C"/>
    <w:rsid w:val="008F5B7D"/>
    <w:rsid w:val="008F6214"/>
    <w:rsid w:val="008F658F"/>
    <w:rsid w:val="008F7335"/>
    <w:rsid w:val="009008CD"/>
    <w:rsid w:val="00901881"/>
    <w:rsid w:val="009019F0"/>
    <w:rsid w:val="00901EF8"/>
    <w:rsid w:val="009024DE"/>
    <w:rsid w:val="009027F0"/>
    <w:rsid w:val="00902A8F"/>
    <w:rsid w:val="00902B48"/>
    <w:rsid w:val="00902C9D"/>
    <w:rsid w:val="00902DAB"/>
    <w:rsid w:val="00902E43"/>
    <w:rsid w:val="0090353A"/>
    <w:rsid w:val="00903736"/>
    <w:rsid w:val="00903C38"/>
    <w:rsid w:val="00904B17"/>
    <w:rsid w:val="00904D58"/>
    <w:rsid w:val="009054BD"/>
    <w:rsid w:val="00905503"/>
    <w:rsid w:val="00905CF6"/>
    <w:rsid w:val="009062DC"/>
    <w:rsid w:val="00906B65"/>
    <w:rsid w:val="00906C53"/>
    <w:rsid w:val="00907277"/>
    <w:rsid w:val="009073EC"/>
    <w:rsid w:val="00907C3C"/>
    <w:rsid w:val="00907C99"/>
    <w:rsid w:val="00910946"/>
    <w:rsid w:val="00911B98"/>
    <w:rsid w:val="00913286"/>
    <w:rsid w:val="009138DD"/>
    <w:rsid w:val="009138E0"/>
    <w:rsid w:val="00913A44"/>
    <w:rsid w:val="00913ED2"/>
    <w:rsid w:val="0091460C"/>
    <w:rsid w:val="00914A4E"/>
    <w:rsid w:val="00914F52"/>
    <w:rsid w:val="0091546B"/>
    <w:rsid w:val="00915929"/>
    <w:rsid w:val="00915C7A"/>
    <w:rsid w:val="00915FC8"/>
    <w:rsid w:val="009164B3"/>
    <w:rsid w:val="00916AAE"/>
    <w:rsid w:val="00916E66"/>
    <w:rsid w:val="00916EA7"/>
    <w:rsid w:val="00917004"/>
    <w:rsid w:val="009179E3"/>
    <w:rsid w:val="00917D31"/>
    <w:rsid w:val="00917E35"/>
    <w:rsid w:val="00917EFE"/>
    <w:rsid w:val="009201ED"/>
    <w:rsid w:val="009207ED"/>
    <w:rsid w:val="00920818"/>
    <w:rsid w:val="00920830"/>
    <w:rsid w:val="00920D23"/>
    <w:rsid w:val="009210A6"/>
    <w:rsid w:val="00921D9B"/>
    <w:rsid w:val="0092369F"/>
    <w:rsid w:val="0092386F"/>
    <w:rsid w:val="00923B93"/>
    <w:rsid w:val="00923DEE"/>
    <w:rsid w:val="00924378"/>
    <w:rsid w:val="009244BB"/>
    <w:rsid w:val="00924E3F"/>
    <w:rsid w:val="00927B58"/>
    <w:rsid w:val="0093054C"/>
    <w:rsid w:val="0093103D"/>
    <w:rsid w:val="0093106E"/>
    <w:rsid w:val="009317CE"/>
    <w:rsid w:val="0093184A"/>
    <w:rsid w:val="00931E2E"/>
    <w:rsid w:val="00931F9E"/>
    <w:rsid w:val="00933E10"/>
    <w:rsid w:val="0093515F"/>
    <w:rsid w:val="0093609A"/>
    <w:rsid w:val="0093682C"/>
    <w:rsid w:val="00940166"/>
    <w:rsid w:val="00940709"/>
    <w:rsid w:val="00940E01"/>
    <w:rsid w:val="009424CE"/>
    <w:rsid w:val="0094276B"/>
    <w:rsid w:val="00942A9F"/>
    <w:rsid w:val="00943384"/>
    <w:rsid w:val="00943854"/>
    <w:rsid w:val="00943A1B"/>
    <w:rsid w:val="0094463D"/>
    <w:rsid w:val="0094474B"/>
    <w:rsid w:val="00944D7A"/>
    <w:rsid w:val="00944DFD"/>
    <w:rsid w:val="009460BC"/>
    <w:rsid w:val="009465C9"/>
    <w:rsid w:val="00947781"/>
    <w:rsid w:val="00947CF5"/>
    <w:rsid w:val="00950BA3"/>
    <w:rsid w:val="00950F18"/>
    <w:rsid w:val="00951916"/>
    <w:rsid w:val="00951BF2"/>
    <w:rsid w:val="00951FA6"/>
    <w:rsid w:val="0095200E"/>
    <w:rsid w:val="00952164"/>
    <w:rsid w:val="0095381D"/>
    <w:rsid w:val="0095391B"/>
    <w:rsid w:val="00953C55"/>
    <w:rsid w:val="00954581"/>
    <w:rsid w:val="00954DB5"/>
    <w:rsid w:val="00956768"/>
    <w:rsid w:val="009567AE"/>
    <w:rsid w:val="0095689F"/>
    <w:rsid w:val="009578EF"/>
    <w:rsid w:val="00957C3D"/>
    <w:rsid w:val="00957CBB"/>
    <w:rsid w:val="00957DD9"/>
    <w:rsid w:val="00960489"/>
    <w:rsid w:val="009605C2"/>
    <w:rsid w:val="00960857"/>
    <w:rsid w:val="00960A08"/>
    <w:rsid w:val="009610B3"/>
    <w:rsid w:val="009617C5"/>
    <w:rsid w:val="0096194F"/>
    <w:rsid w:val="009623D6"/>
    <w:rsid w:val="0096296F"/>
    <w:rsid w:val="00962BD7"/>
    <w:rsid w:val="00963A84"/>
    <w:rsid w:val="009645F1"/>
    <w:rsid w:val="0096498F"/>
    <w:rsid w:val="00964C04"/>
    <w:rsid w:val="009670AB"/>
    <w:rsid w:val="00967B4F"/>
    <w:rsid w:val="0097032E"/>
    <w:rsid w:val="00970A83"/>
    <w:rsid w:val="00970CAF"/>
    <w:rsid w:val="009712D5"/>
    <w:rsid w:val="009716CB"/>
    <w:rsid w:val="00971789"/>
    <w:rsid w:val="009719F6"/>
    <w:rsid w:val="00971EE4"/>
    <w:rsid w:val="00973718"/>
    <w:rsid w:val="00973F06"/>
    <w:rsid w:val="009756F5"/>
    <w:rsid w:val="0097603F"/>
    <w:rsid w:val="009761CC"/>
    <w:rsid w:val="00976ACC"/>
    <w:rsid w:val="00976C62"/>
    <w:rsid w:val="00977521"/>
    <w:rsid w:val="00977945"/>
    <w:rsid w:val="00977B1C"/>
    <w:rsid w:val="00977DAE"/>
    <w:rsid w:val="00977EE2"/>
    <w:rsid w:val="00980060"/>
    <w:rsid w:val="00980B1A"/>
    <w:rsid w:val="00980D51"/>
    <w:rsid w:val="00980E57"/>
    <w:rsid w:val="00981280"/>
    <w:rsid w:val="00981363"/>
    <w:rsid w:val="00981E59"/>
    <w:rsid w:val="00982862"/>
    <w:rsid w:val="00982E35"/>
    <w:rsid w:val="00983B80"/>
    <w:rsid w:val="00983D00"/>
    <w:rsid w:val="00984530"/>
    <w:rsid w:val="0098461C"/>
    <w:rsid w:val="0098521F"/>
    <w:rsid w:val="009866C4"/>
    <w:rsid w:val="009874D3"/>
    <w:rsid w:val="009876DE"/>
    <w:rsid w:val="00987A7E"/>
    <w:rsid w:val="00987ABF"/>
    <w:rsid w:val="00990987"/>
    <w:rsid w:val="00990FE5"/>
    <w:rsid w:val="00991EC1"/>
    <w:rsid w:val="00992B4E"/>
    <w:rsid w:val="0099378A"/>
    <w:rsid w:val="009942A2"/>
    <w:rsid w:val="00994958"/>
    <w:rsid w:val="00994A73"/>
    <w:rsid w:val="00994B46"/>
    <w:rsid w:val="00994C0B"/>
    <w:rsid w:val="00995B67"/>
    <w:rsid w:val="00995B9A"/>
    <w:rsid w:val="00996056"/>
    <w:rsid w:val="009963D0"/>
    <w:rsid w:val="00996D47"/>
    <w:rsid w:val="00996E89"/>
    <w:rsid w:val="009973F7"/>
    <w:rsid w:val="00997740"/>
    <w:rsid w:val="00997841"/>
    <w:rsid w:val="00997D9C"/>
    <w:rsid w:val="00997F21"/>
    <w:rsid w:val="009A0061"/>
    <w:rsid w:val="009A0B4F"/>
    <w:rsid w:val="009A0F76"/>
    <w:rsid w:val="009A16E6"/>
    <w:rsid w:val="009A1AE9"/>
    <w:rsid w:val="009A1FBD"/>
    <w:rsid w:val="009A26DF"/>
    <w:rsid w:val="009A391F"/>
    <w:rsid w:val="009A44D0"/>
    <w:rsid w:val="009A4CB9"/>
    <w:rsid w:val="009A51DE"/>
    <w:rsid w:val="009A5FE3"/>
    <w:rsid w:val="009A62EF"/>
    <w:rsid w:val="009A6DFE"/>
    <w:rsid w:val="009A7161"/>
    <w:rsid w:val="009A748D"/>
    <w:rsid w:val="009A7F6B"/>
    <w:rsid w:val="009B05DA"/>
    <w:rsid w:val="009B0AC7"/>
    <w:rsid w:val="009B0AEC"/>
    <w:rsid w:val="009B1EDD"/>
    <w:rsid w:val="009B230E"/>
    <w:rsid w:val="009B2D1C"/>
    <w:rsid w:val="009B40C7"/>
    <w:rsid w:val="009B40E0"/>
    <w:rsid w:val="009B47A6"/>
    <w:rsid w:val="009B5168"/>
    <w:rsid w:val="009B51D9"/>
    <w:rsid w:val="009B5BD9"/>
    <w:rsid w:val="009B62ED"/>
    <w:rsid w:val="009B65EB"/>
    <w:rsid w:val="009B740C"/>
    <w:rsid w:val="009B7871"/>
    <w:rsid w:val="009B7888"/>
    <w:rsid w:val="009B792D"/>
    <w:rsid w:val="009C0FED"/>
    <w:rsid w:val="009C11E2"/>
    <w:rsid w:val="009C1D02"/>
    <w:rsid w:val="009C2147"/>
    <w:rsid w:val="009C2200"/>
    <w:rsid w:val="009C2428"/>
    <w:rsid w:val="009C25BC"/>
    <w:rsid w:val="009C316D"/>
    <w:rsid w:val="009C3D5C"/>
    <w:rsid w:val="009C49B5"/>
    <w:rsid w:val="009C4AE9"/>
    <w:rsid w:val="009C505C"/>
    <w:rsid w:val="009C53F2"/>
    <w:rsid w:val="009C55EA"/>
    <w:rsid w:val="009C671B"/>
    <w:rsid w:val="009D0174"/>
    <w:rsid w:val="009D03AB"/>
    <w:rsid w:val="009D0F93"/>
    <w:rsid w:val="009D10B4"/>
    <w:rsid w:val="009D2453"/>
    <w:rsid w:val="009D28E2"/>
    <w:rsid w:val="009D2AA7"/>
    <w:rsid w:val="009D3A87"/>
    <w:rsid w:val="009D4913"/>
    <w:rsid w:val="009D52B2"/>
    <w:rsid w:val="009D5B70"/>
    <w:rsid w:val="009D609E"/>
    <w:rsid w:val="009D6901"/>
    <w:rsid w:val="009D7111"/>
    <w:rsid w:val="009D75BC"/>
    <w:rsid w:val="009E053B"/>
    <w:rsid w:val="009E0747"/>
    <w:rsid w:val="009E19B4"/>
    <w:rsid w:val="009E1B11"/>
    <w:rsid w:val="009E268B"/>
    <w:rsid w:val="009E2805"/>
    <w:rsid w:val="009E45CE"/>
    <w:rsid w:val="009E4B5C"/>
    <w:rsid w:val="009E4D89"/>
    <w:rsid w:val="009E5777"/>
    <w:rsid w:val="009E682E"/>
    <w:rsid w:val="009F0682"/>
    <w:rsid w:val="009F2C4C"/>
    <w:rsid w:val="009F2DB7"/>
    <w:rsid w:val="009F491F"/>
    <w:rsid w:val="009F50D0"/>
    <w:rsid w:val="009F513D"/>
    <w:rsid w:val="009F552F"/>
    <w:rsid w:val="009F6AF4"/>
    <w:rsid w:val="00A000A5"/>
    <w:rsid w:val="00A00C03"/>
    <w:rsid w:val="00A013BF"/>
    <w:rsid w:val="00A019B8"/>
    <w:rsid w:val="00A01F4B"/>
    <w:rsid w:val="00A02082"/>
    <w:rsid w:val="00A020B3"/>
    <w:rsid w:val="00A02192"/>
    <w:rsid w:val="00A026D5"/>
    <w:rsid w:val="00A028E2"/>
    <w:rsid w:val="00A02CCF"/>
    <w:rsid w:val="00A02FDF"/>
    <w:rsid w:val="00A03BCD"/>
    <w:rsid w:val="00A05992"/>
    <w:rsid w:val="00A05E04"/>
    <w:rsid w:val="00A06741"/>
    <w:rsid w:val="00A06ACF"/>
    <w:rsid w:val="00A06FFA"/>
    <w:rsid w:val="00A071BE"/>
    <w:rsid w:val="00A07544"/>
    <w:rsid w:val="00A07575"/>
    <w:rsid w:val="00A076AC"/>
    <w:rsid w:val="00A10784"/>
    <w:rsid w:val="00A10D87"/>
    <w:rsid w:val="00A111C2"/>
    <w:rsid w:val="00A11B7A"/>
    <w:rsid w:val="00A1201C"/>
    <w:rsid w:val="00A13761"/>
    <w:rsid w:val="00A13BB2"/>
    <w:rsid w:val="00A14F13"/>
    <w:rsid w:val="00A15F1C"/>
    <w:rsid w:val="00A17007"/>
    <w:rsid w:val="00A17844"/>
    <w:rsid w:val="00A17A40"/>
    <w:rsid w:val="00A20591"/>
    <w:rsid w:val="00A21D65"/>
    <w:rsid w:val="00A22182"/>
    <w:rsid w:val="00A22259"/>
    <w:rsid w:val="00A22C72"/>
    <w:rsid w:val="00A234D0"/>
    <w:rsid w:val="00A23708"/>
    <w:rsid w:val="00A238AE"/>
    <w:rsid w:val="00A238EE"/>
    <w:rsid w:val="00A23C0D"/>
    <w:rsid w:val="00A24068"/>
    <w:rsid w:val="00A24DEC"/>
    <w:rsid w:val="00A251E4"/>
    <w:rsid w:val="00A253FE"/>
    <w:rsid w:val="00A256B4"/>
    <w:rsid w:val="00A26384"/>
    <w:rsid w:val="00A26495"/>
    <w:rsid w:val="00A2736B"/>
    <w:rsid w:val="00A274D1"/>
    <w:rsid w:val="00A27A59"/>
    <w:rsid w:val="00A30F7F"/>
    <w:rsid w:val="00A3165E"/>
    <w:rsid w:val="00A31BC0"/>
    <w:rsid w:val="00A32267"/>
    <w:rsid w:val="00A33294"/>
    <w:rsid w:val="00A34078"/>
    <w:rsid w:val="00A3519E"/>
    <w:rsid w:val="00A354E7"/>
    <w:rsid w:val="00A35755"/>
    <w:rsid w:val="00A35802"/>
    <w:rsid w:val="00A35812"/>
    <w:rsid w:val="00A362A2"/>
    <w:rsid w:val="00A364E0"/>
    <w:rsid w:val="00A36695"/>
    <w:rsid w:val="00A36AA3"/>
    <w:rsid w:val="00A36ACE"/>
    <w:rsid w:val="00A372A9"/>
    <w:rsid w:val="00A40A23"/>
    <w:rsid w:val="00A40A86"/>
    <w:rsid w:val="00A4109B"/>
    <w:rsid w:val="00A421A1"/>
    <w:rsid w:val="00A42643"/>
    <w:rsid w:val="00A42E3E"/>
    <w:rsid w:val="00A42EF7"/>
    <w:rsid w:val="00A431E5"/>
    <w:rsid w:val="00A43203"/>
    <w:rsid w:val="00A43909"/>
    <w:rsid w:val="00A43BAF"/>
    <w:rsid w:val="00A43D17"/>
    <w:rsid w:val="00A448AB"/>
    <w:rsid w:val="00A454FF"/>
    <w:rsid w:val="00A46684"/>
    <w:rsid w:val="00A46689"/>
    <w:rsid w:val="00A4733E"/>
    <w:rsid w:val="00A473B2"/>
    <w:rsid w:val="00A47ADC"/>
    <w:rsid w:val="00A47B0D"/>
    <w:rsid w:val="00A47C01"/>
    <w:rsid w:val="00A47E92"/>
    <w:rsid w:val="00A51336"/>
    <w:rsid w:val="00A51386"/>
    <w:rsid w:val="00A5166D"/>
    <w:rsid w:val="00A51745"/>
    <w:rsid w:val="00A528D8"/>
    <w:rsid w:val="00A53266"/>
    <w:rsid w:val="00A5351A"/>
    <w:rsid w:val="00A53F12"/>
    <w:rsid w:val="00A54555"/>
    <w:rsid w:val="00A546FA"/>
    <w:rsid w:val="00A54E5C"/>
    <w:rsid w:val="00A54EB7"/>
    <w:rsid w:val="00A55252"/>
    <w:rsid w:val="00A553DB"/>
    <w:rsid w:val="00A5550B"/>
    <w:rsid w:val="00A555F2"/>
    <w:rsid w:val="00A568D9"/>
    <w:rsid w:val="00A56A41"/>
    <w:rsid w:val="00A56F3C"/>
    <w:rsid w:val="00A5700B"/>
    <w:rsid w:val="00A57396"/>
    <w:rsid w:val="00A57E1C"/>
    <w:rsid w:val="00A607C6"/>
    <w:rsid w:val="00A60E63"/>
    <w:rsid w:val="00A621C3"/>
    <w:rsid w:val="00A6323E"/>
    <w:rsid w:val="00A64058"/>
    <w:rsid w:val="00A640D9"/>
    <w:rsid w:val="00A642C7"/>
    <w:rsid w:val="00A642F8"/>
    <w:rsid w:val="00A651CF"/>
    <w:rsid w:val="00A660AF"/>
    <w:rsid w:val="00A6628E"/>
    <w:rsid w:val="00A667C4"/>
    <w:rsid w:val="00A66E25"/>
    <w:rsid w:val="00A66F7F"/>
    <w:rsid w:val="00A70369"/>
    <w:rsid w:val="00A70BAA"/>
    <w:rsid w:val="00A70DAC"/>
    <w:rsid w:val="00A70EBE"/>
    <w:rsid w:val="00A7106E"/>
    <w:rsid w:val="00A71C1C"/>
    <w:rsid w:val="00A71C31"/>
    <w:rsid w:val="00A71C8F"/>
    <w:rsid w:val="00A7217A"/>
    <w:rsid w:val="00A72262"/>
    <w:rsid w:val="00A72397"/>
    <w:rsid w:val="00A72438"/>
    <w:rsid w:val="00A72FEB"/>
    <w:rsid w:val="00A731BB"/>
    <w:rsid w:val="00A73557"/>
    <w:rsid w:val="00A73667"/>
    <w:rsid w:val="00A74518"/>
    <w:rsid w:val="00A75017"/>
    <w:rsid w:val="00A753A0"/>
    <w:rsid w:val="00A754C5"/>
    <w:rsid w:val="00A7555A"/>
    <w:rsid w:val="00A75BA0"/>
    <w:rsid w:val="00A75D68"/>
    <w:rsid w:val="00A76FF9"/>
    <w:rsid w:val="00A7713F"/>
    <w:rsid w:val="00A778FC"/>
    <w:rsid w:val="00A80979"/>
    <w:rsid w:val="00A80A3A"/>
    <w:rsid w:val="00A80DF5"/>
    <w:rsid w:val="00A80E8D"/>
    <w:rsid w:val="00A81037"/>
    <w:rsid w:val="00A8149F"/>
    <w:rsid w:val="00A82472"/>
    <w:rsid w:val="00A8348A"/>
    <w:rsid w:val="00A837E0"/>
    <w:rsid w:val="00A83A93"/>
    <w:rsid w:val="00A843E2"/>
    <w:rsid w:val="00A84D2F"/>
    <w:rsid w:val="00A84D82"/>
    <w:rsid w:val="00A84EB6"/>
    <w:rsid w:val="00A85770"/>
    <w:rsid w:val="00A85932"/>
    <w:rsid w:val="00A859D9"/>
    <w:rsid w:val="00A85A09"/>
    <w:rsid w:val="00A85EF1"/>
    <w:rsid w:val="00A86068"/>
    <w:rsid w:val="00A86CC2"/>
    <w:rsid w:val="00A87F7C"/>
    <w:rsid w:val="00A87FA0"/>
    <w:rsid w:val="00A90AA3"/>
    <w:rsid w:val="00A90EED"/>
    <w:rsid w:val="00A917CB"/>
    <w:rsid w:val="00A91B6E"/>
    <w:rsid w:val="00A91BF2"/>
    <w:rsid w:val="00A91D75"/>
    <w:rsid w:val="00A9215F"/>
    <w:rsid w:val="00A92201"/>
    <w:rsid w:val="00A92411"/>
    <w:rsid w:val="00A924D5"/>
    <w:rsid w:val="00A929C7"/>
    <w:rsid w:val="00A94265"/>
    <w:rsid w:val="00A944F0"/>
    <w:rsid w:val="00A94B98"/>
    <w:rsid w:val="00A94D23"/>
    <w:rsid w:val="00A94D9E"/>
    <w:rsid w:val="00A95592"/>
    <w:rsid w:val="00A95A6C"/>
    <w:rsid w:val="00A9602A"/>
    <w:rsid w:val="00A96224"/>
    <w:rsid w:val="00A963AB"/>
    <w:rsid w:val="00A9665D"/>
    <w:rsid w:val="00A96711"/>
    <w:rsid w:val="00AA1591"/>
    <w:rsid w:val="00AA15A7"/>
    <w:rsid w:val="00AA19DA"/>
    <w:rsid w:val="00AA1C58"/>
    <w:rsid w:val="00AA2C20"/>
    <w:rsid w:val="00AA2E06"/>
    <w:rsid w:val="00AA3492"/>
    <w:rsid w:val="00AA3B49"/>
    <w:rsid w:val="00AA41C0"/>
    <w:rsid w:val="00AA42C4"/>
    <w:rsid w:val="00AA4CC4"/>
    <w:rsid w:val="00AA5727"/>
    <w:rsid w:val="00AA5894"/>
    <w:rsid w:val="00AA59DB"/>
    <w:rsid w:val="00AA5BA4"/>
    <w:rsid w:val="00AA5DFC"/>
    <w:rsid w:val="00AA5FCD"/>
    <w:rsid w:val="00AA6AE0"/>
    <w:rsid w:val="00AA6C8D"/>
    <w:rsid w:val="00AA71CC"/>
    <w:rsid w:val="00AB1221"/>
    <w:rsid w:val="00AB18D1"/>
    <w:rsid w:val="00AB2227"/>
    <w:rsid w:val="00AB2232"/>
    <w:rsid w:val="00AB2797"/>
    <w:rsid w:val="00AB299B"/>
    <w:rsid w:val="00AB3249"/>
    <w:rsid w:val="00AB3FEA"/>
    <w:rsid w:val="00AB4473"/>
    <w:rsid w:val="00AB4990"/>
    <w:rsid w:val="00AB590C"/>
    <w:rsid w:val="00AB6CF4"/>
    <w:rsid w:val="00AB72E2"/>
    <w:rsid w:val="00AB78D2"/>
    <w:rsid w:val="00AC0180"/>
    <w:rsid w:val="00AC1731"/>
    <w:rsid w:val="00AC178E"/>
    <w:rsid w:val="00AC22BA"/>
    <w:rsid w:val="00AC28A8"/>
    <w:rsid w:val="00AC2C1A"/>
    <w:rsid w:val="00AC2E05"/>
    <w:rsid w:val="00AC3181"/>
    <w:rsid w:val="00AC3268"/>
    <w:rsid w:val="00AC343A"/>
    <w:rsid w:val="00AC3566"/>
    <w:rsid w:val="00AC3E0A"/>
    <w:rsid w:val="00AC4B2A"/>
    <w:rsid w:val="00AC5220"/>
    <w:rsid w:val="00AD064C"/>
    <w:rsid w:val="00AD076A"/>
    <w:rsid w:val="00AD1D0C"/>
    <w:rsid w:val="00AD23D6"/>
    <w:rsid w:val="00AD23DF"/>
    <w:rsid w:val="00AD28BD"/>
    <w:rsid w:val="00AD2D61"/>
    <w:rsid w:val="00AD3498"/>
    <w:rsid w:val="00AD4C2D"/>
    <w:rsid w:val="00AD5397"/>
    <w:rsid w:val="00AD5AC7"/>
    <w:rsid w:val="00AD5BD1"/>
    <w:rsid w:val="00AD5E6E"/>
    <w:rsid w:val="00AD623A"/>
    <w:rsid w:val="00AD72E4"/>
    <w:rsid w:val="00AE02FD"/>
    <w:rsid w:val="00AE0356"/>
    <w:rsid w:val="00AE0834"/>
    <w:rsid w:val="00AE20B3"/>
    <w:rsid w:val="00AE293A"/>
    <w:rsid w:val="00AE29AB"/>
    <w:rsid w:val="00AE2B25"/>
    <w:rsid w:val="00AE2CFF"/>
    <w:rsid w:val="00AE337B"/>
    <w:rsid w:val="00AE3AB4"/>
    <w:rsid w:val="00AE3E11"/>
    <w:rsid w:val="00AE595E"/>
    <w:rsid w:val="00AE5CBF"/>
    <w:rsid w:val="00AE5CF2"/>
    <w:rsid w:val="00AE6FCC"/>
    <w:rsid w:val="00AE7678"/>
    <w:rsid w:val="00AE7EB2"/>
    <w:rsid w:val="00AF0A98"/>
    <w:rsid w:val="00AF0C07"/>
    <w:rsid w:val="00AF1445"/>
    <w:rsid w:val="00AF1880"/>
    <w:rsid w:val="00AF1A1C"/>
    <w:rsid w:val="00AF2152"/>
    <w:rsid w:val="00AF294D"/>
    <w:rsid w:val="00AF2B6D"/>
    <w:rsid w:val="00AF2BF0"/>
    <w:rsid w:val="00AF33E5"/>
    <w:rsid w:val="00AF3AC0"/>
    <w:rsid w:val="00AF3ED7"/>
    <w:rsid w:val="00AF442A"/>
    <w:rsid w:val="00AF455E"/>
    <w:rsid w:val="00AF45C9"/>
    <w:rsid w:val="00AF5115"/>
    <w:rsid w:val="00AF6F59"/>
    <w:rsid w:val="00AF6FF9"/>
    <w:rsid w:val="00AF729E"/>
    <w:rsid w:val="00AF74F2"/>
    <w:rsid w:val="00AF7933"/>
    <w:rsid w:val="00AF7BE8"/>
    <w:rsid w:val="00B006C9"/>
    <w:rsid w:val="00B00EBB"/>
    <w:rsid w:val="00B011F0"/>
    <w:rsid w:val="00B01A44"/>
    <w:rsid w:val="00B01D04"/>
    <w:rsid w:val="00B0201E"/>
    <w:rsid w:val="00B02A3E"/>
    <w:rsid w:val="00B03466"/>
    <w:rsid w:val="00B03660"/>
    <w:rsid w:val="00B03BC5"/>
    <w:rsid w:val="00B03E06"/>
    <w:rsid w:val="00B04701"/>
    <w:rsid w:val="00B04ABD"/>
    <w:rsid w:val="00B04C0F"/>
    <w:rsid w:val="00B051E4"/>
    <w:rsid w:val="00B05937"/>
    <w:rsid w:val="00B05A50"/>
    <w:rsid w:val="00B05D96"/>
    <w:rsid w:val="00B05DAC"/>
    <w:rsid w:val="00B06923"/>
    <w:rsid w:val="00B06BB5"/>
    <w:rsid w:val="00B06FFF"/>
    <w:rsid w:val="00B07511"/>
    <w:rsid w:val="00B10055"/>
    <w:rsid w:val="00B10673"/>
    <w:rsid w:val="00B1097D"/>
    <w:rsid w:val="00B111F4"/>
    <w:rsid w:val="00B11C66"/>
    <w:rsid w:val="00B11FA0"/>
    <w:rsid w:val="00B122C1"/>
    <w:rsid w:val="00B126C3"/>
    <w:rsid w:val="00B12D9E"/>
    <w:rsid w:val="00B13349"/>
    <w:rsid w:val="00B13C6D"/>
    <w:rsid w:val="00B13E10"/>
    <w:rsid w:val="00B140E1"/>
    <w:rsid w:val="00B151AE"/>
    <w:rsid w:val="00B159D0"/>
    <w:rsid w:val="00B15B34"/>
    <w:rsid w:val="00B1631D"/>
    <w:rsid w:val="00B16358"/>
    <w:rsid w:val="00B175C5"/>
    <w:rsid w:val="00B17859"/>
    <w:rsid w:val="00B17E8F"/>
    <w:rsid w:val="00B17ED5"/>
    <w:rsid w:val="00B20251"/>
    <w:rsid w:val="00B2032F"/>
    <w:rsid w:val="00B20581"/>
    <w:rsid w:val="00B206DE"/>
    <w:rsid w:val="00B20979"/>
    <w:rsid w:val="00B20AC2"/>
    <w:rsid w:val="00B20E97"/>
    <w:rsid w:val="00B215D0"/>
    <w:rsid w:val="00B22175"/>
    <w:rsid w:val="00B2343D"/>
    <w:rsid w:val="00B2362A"/>
    <w:rsid w:val="00B24441"/>
    <w:rsid w:val="00B24F47"/>
    <w:rsid w:val="00B251DB"/>
    <w:rsid w:val="00B255E9"/>
    <w:rsid w:val="00B256AB"/>
    <w:rsid w:val="00B256E8"/>
    <w:rsid w:val="00B257CA"/>
    <w:rsid w:val="00B25C7E"/>
    <w:rsid w:val="00B25D51"/>
    <w:rsid w:val="00B25DEF"/>
    <w:rsid w:val="00B2704B"/>
    <w:rsid w:val="00B27946"/>
    <w:rsid w:val="00B300F6"/>
    <w:rsid w:val="00B3031B"/>
    <w:rsid w:val="00B307E7"/>
    <w:rsid w:val="00B3121B"/>
    <w:rsid w:val="00B31CA0"/>
    <w:rsid w:val="00B32288"/>
    <w:rsid w:val="00B3257B"/>
    <w:rsid w:val="00B32666"/>
    <w:rsid w:val="00B338D7"/>
    <w:rsid w:val="00B342F4"/>
    <w:rsid w:val="00B342F6"/>
    <w:rsid w:val="00B34E05"/>
    <w:rsid w:val="00B3508A"/>
    <w:rsid w:val="00B350E6"/>
    <w:rsid w:val="00B36C81"/>
    <w:rsid w:val="00B373B6"/>
    <w:rsid w:val="00B40046"/>
    <w:rsid w:val="00B40806"/>
    <w:rsid w:val="00B41505"/>
    <w:rsid w:val="00B417A0"/>
    <w:rsid w:val="00B418D4"/>
    <w:rsid w:val="00B419B4"/>
    <w:rsid w:val="00B41C4E"/>
    <w:rsid w:val="00B41CED"/>
    <w:rsid w:val="00B4304B"/>
    <w:rsid w:val="00B433A3"/>
    <w:rsid w:val="00B43810"/>
    <w:rsid w:val="00B43979"/>
    <w:rsid w:val="00B445AA"/>
    <w:rsid w:val="00B446A0"/>
    <w:rsid w:val="00B4478F"/>
    <w:rsid w:val="00B44AB8"/>
    <w:rsid w:val="00B44B03"/>
    <w:rsid w:val="00B45355"/>
    <w:rsid w:val="00B45DDA"/>
    <w:rsid w:val="00B45ECE"/>
    <w:rsid w:val="00B4616A"/>
    <w:rsid w:val="00B46802"/>
    <w:rsid w:val="00B5023E"/>
    <w:rsid w:val="00B5068A"/>
    <w:rsid w:val="00B50923"/>
    <w:rsid w:val="00B5113E"/>
    <w:rsid w:val="00B51483"/>
    <w:rsid w:val="00B55006"/>
    <w:rsid w:val="00B555BE"/>
    <w:rsid w:val="00B558B0"/>
    <w:rsid w:val="00B55A18"/>
    <w:rsid w:val="00B567E7"/>
    <w:rsid w:val="00B57390"/>
    <w:rsid w:val="00B5742D"/>
    <w:rsid w:val="00B575FB"/>
    <w:rsid w:val="00B57FBA"/>
    <w:rsid w:val="00B606CE"/>
    <w:rsid w:val="00B62AB8"/>
    <w:rsid w:val="00B633D5"/>
    <w:rsid w:val="00B637D1"/>
    <w:rsid w:val="00B64B1F"/>
    <w:rsid w:val="00B6513E"/>
    <w:rsid w:val="00B65354"/>
    <w:rsid w:val="00B6661E"/>
    <w:rsid w:val="00B6670C"/>
    <w:rsid w:val="00B66B39"/>
    <w:rsid w:val="00B66C21"/>
    <w:rsid w:val="00B66D6F"/>
    <w:rsid w:val="00B676C1"/>
    <w:rsid w:val="00B70702"/>
    <w:rsid w:val="00B725A0"/>
    <w:rsid w:val="00B732E4"/>
    <w:rsid w:val="00B7346F"/>
    <w:rsid w:val="00B7368C"/>
    <w:rsid w:val="00B73DA3"/>
    <w:rsid w:val="00B73F9D"/>
    <w:rsid w:val="00B742AA"/>
    <w:rsid w:val="00B74379"/>
    <w:rsid w:val="00B744C2"/>
    <w:rsid w:val="00B744C6"/>
    <w:rsid w:val="00B7508D"/>
    <w:rsid w:val="00B75B67"/>
    <w:rsid w:val="00B75D19"/>
    <w:rsid w:val="00B75F55"/>
    <w:rsid w:val="00B760D2"/>
    <w:rsid w:val="00B7676A"/>
    <w:rsid w:val="00B768A7"/>
    <w:rsid w:val="00B76BF0"/>
    <w:rsid w:val="00B76D62"/>
    <w:rsid w:val="00B7704D"/>
    <w:rsid w:val="00B77DB3"/>
    <w:rsid w:val="00B809A7"/>
    <w:rsid w:val="00B816C2"/>
    <w:rsid w:val="00B81895"/>
    <w:rsid w:val="00B818C5"/>
    <w:rsid w:val="00B82446"/>
    <w:rsid w:val="00B829F7"/>
    <w:rsid w:val="00B82B3E"/>
    <w:rsid w:val="00B830FA"/>
    <w:rsid w:val="00B83212"/>
    <w:rsid w:val="00B83488"/>
    <w:rsid w:val="00B83496"/>
    <w:rsid w:val="00B83FFA"/>
    <w:rsid w:val="00B840A1"/>
    <w:rsid w:val="00B84B71"/>
    <w:rsid w:val="00B84DA7"/>
    <w:rsid w:val="00B85236"/>
    <w:rsid w:val="00B86219"/>
    <w:rsid w:val="00B86C11"/>
    <w:rsid w:val="00B9020F"/>
    <w:rsid w:val="00B90577"/>
    <w:rsid w:val="00B9072E"/>
    <w:rsid w:val="00B928CD"/>
    <w:rsid w:val="00B92B86"/>
    <w:rsid w:val="00B93146"/>
    <w:rsid w:val="00B947A1"/>
    <w:rsid w:val="00B94999"/>
    <w:rsid w:val="00B95479"/>
    <w:rsid w:val="00B95A84"/>
    <w:rsid w:val="00B95F64"/>
    <w:rsid w:val="00B960B9"/>
    <w:rsid w:val="00B96610"/>
    <w:rsid w:val="00B97B99"/>
    <w:rsid w:val="00B97B9E"/>
    <w:rsid w:val="00B97EBE"/>
    <w:rsid w:val="00BA014F"/>
    <w:rsid w:val="00BA01EC"/>
    <w:rsid w:val="00BA0559"/>
    <w:rsid w:val="00BA0A05"/>
    <w:rsid w:val="00BA0F99"/>
    <w:rsid w:val="00BA1214"/>
    <w:rsid w:val="00BA1F85"/>
    <w:rsid w:val="00BA2640"/>
    <w:rsid w:val="00BA2849"/>
    <w:rsid w:val="00BA2EB5"/>
    <w:rsid w:val="00BA480B"/>
    <w:rsid w:val="00BA49E4"/>
    <w:rsid w:val="00BA4DD3"/>
    <w:rsid w:val="00BA5CDE"/>
    <w:rsid w:val="00BA6485"/>
    <w:rsid w:val="00BA6B57"/>
    <w:rsid w:val="00BA6C43"/>
    <w:rsid w:val="00BB1D0E"/>
    <w:rsid w:val="00BB247B"/>
    <w:rsid w:val="00BB28E9"/>
    <w:rsid w:val="00BB2981"/>
    <w:rsid w:val="00BB3213"/>
    <w:rsid w:val="00BB346A"/>
    <w:rsid w:val="00BB3583"/>
    <w:rsid w:val="00BB3F47"/>
    <w:rsid w:val="00BB510C"/>
    <w:rsid w:val="00BB51EC"/>
    <w:rsid w:val="00BB6EE3"/>
    <w:rsid w:val="00BB70C6"/>
    <w:rsid w:val="00BC0EBB"/>
    <w:rsid w:val="00BC1E9C"/>
    <w:rsid w:val="00BC240C"/>
    <w:rsid w:val="00BC2ADC"/>
    <w:rsid w:val="00BC378D"/>
    <w:rsid w:val="00BC3846"/>
    <w:rsid w:val="00BC6101"/>
    <w:rsid w:val="00BC6320"/>
    <w:rsid w:val="00BC6EE9"/>
    <w:rsid w:val="00BC6FB7"/>
    <w:rsid w:val="00BC7B16"/>
    <w:rsid w:val="00BC7F1C"/>
    <w:rsid w:val="00BD0AD9"/>
    <w:rsid w:val="00BD1071"/>
    <w:rsid w:val="00BD1740"/>
    <w:rsid w:val="00BD2279"/>
    <w:rsid w:val="00BD36D6"/>
    <w:rsid w:val="00BD3970"/>
    <w:rsid w:val="00BD3A9B"/>
    <w:rsid w:val="00BD3C8C"/>
    <w:rsid w:val="00BD3E2D"/>
    <w:rsid w:val="00BD40CC"/>
    <w:rsid w:val="00BD49AD"/>
    <w:rsid w:val="00BD4AC8"/>
    <w:rsid w:val="00BD4B57"/>
    <w:rsid w:val="00BD5045"/>
    <w:rsid w:val="00BD5818"/>
    <w:rsid w:val="00BD583B"/>
    <w:rsid w:val="00BD59C2"/>
    <w:rsid w:val="00BD5CD9"/>
    <w:rsid w:val="00BD602D"/>
    <w:rsid w:val="00BD6F4C"/>
    <w:rsid w:val="00BD7CEF"/>
    <w:rsid w:val="00BE053D"/>
    <w:rsid w:val="00BE0567"/>
    <w:rsid w:val="00BE0596"/>
    <w:rsid w:val="00BE09C7"/>
    <w:rsid w:val="00BE0EB6"/>
    <w:rsid w:val="00BE144F"/>
    <w:rsid w:val="00BE1496"/>
    <w:rsid w:val="00BE2183"/>
    <w:rsid w:val="00BE2E70"/>
    <w:rsid w:val="00BE3C12"/>
    <w:rsid w:val="00BE3C1A"/>
    <w:rsid w:val="00BE466C"/>
    <w:rsid w:val="00BE49A6"/>
    <w:rsid w:val="00BE5100"/>
    <w:rsid w:val="00BE5480"/>
    <w:rsid w:val="00BE6A31"/>
    <w:rsid w:val="00BE6C7B"/>
    <w:rsid w:val="00BE6EB8"/>
    <w:rsid w:val="00BE744D"/>
    <w:rsid w:val="00BE79C2"/>
    <w:rsid w:val="00BE7CF0"/>
    <w:rsid w:val="00BF01D2"/>
    <w:rsid w:val="00BF033E"/>
    <w:rsid w:val="00BF03F3"/>
    <w:rsid w:val="00BF0459"/>
    <w:rsid w:val="00BF0EEC"/>
    <w:rsid w:val="00BF1303"/>
    <w:rsid w:val="00BF160F"/>
    <w:rsid w:val="00BF21DB"/>
    <w:rsid w:val="00BF2897"/>
    <w:rsid w:val="00BF2A01"/>
    <w:rsid w:val="00BF2BC1"/>
    <w:rsid w:val="00BF2CFA"/>
    <w:rsid w:val="00BF2DFB"/>
    <w:rsid w:val="00BF39BC"/>
    <w:rsid w:val="00BF4A03"/>
    <w:rsid w:val="00BF5B30"/>
    <w:rsid w:val="00BF62F6"/>
    <w:rsid w:val="00BF668C"/>
    <w:rsid w:val="00BF697A"/>
    <w:rsid w:val="00BF6AE9"/>
    <w:rsid w:val="00BF6D65"/>
    <w:rsid w:val="00BF726D"/>
    <w:rsid w:val="00BF7280"/>
    <w:rsid w:val="00BF7306"/>
    <w:rsid w:val="00BF73D9"/>
    <w:rsid w:val="00BF7ECD"/>
    <w:rsid w:val="00BF7F3B"/>
    <w:rsid w:val="00C001AD"/>
    <w:rsid w:val="00C00A0B"/>
    <w:rsid w:val="00C00F6B"/>
    <w:rsid w:val="00C0167F"/>
    <w:rsid w:val="00C01F77"/>
    <w:rsid w:val="00C023BA"/>
    <w:rsid w:val="00C0386C"/>
    <w:rsid w:val="00C04603"/>
    <w:rsid w:val="00C04EE5"/>
    <w:rsid w:val="00C0506B"/>
    <w:rsid w:val="00C05969"/>
    <w:rsid w:val="00C0620B"/>
    <w:rsid w:val="00C06240"/>
    <w:rsid w:val="00C07612"/>
    <w:rsid w:val="00C07D3E"/>
    <w:rsid w:val="00C10453"/>
    <w:rsid w:val="00C1064E"/>
    <w:rsid w:val="00C10EFF"/>
    <w:rsid w:val="00C11182"/>
    <w:rsid w:val="00C112C1"/>
    <w:rsid w:val="00C125A2"/>
    <w:rsid w:val="00C1282D"/>
    <w:rsid w:val="00C138B6"/>
    <w:rsid w:val="00C14260"/>
    <w:rsid w:val="00C14764"/>
    <w:rsid w:val="00C1479C"/>
    <w:rsid w:val="00C15F1E"/>
    <w:rsid w:val="00C16556"/>
    <w:rsid w:val="00C16C5E"/>
    <w:rsid w:val="00C17F65"/>
    <w:rsid w:val="00C2178D"/>
    <w:rsid w:val="00C21A4C"/>
    <w:rsid w:val="00C21C00"/>
    <w:rsid w:val="00C22081"/>
    <w:rsid w:val="00C22886"/>
    <w:rsid w:val="00C22C96"/>
    <w:rsid w:val="00C23370"/>
    <w:rsid w:val="00C23C3B"/>
    <w:rsid w:val="00C23CD4"/>
    <w:rsid w:val="00C245DD"/>
    <w:rsid w:val="00C24664"/>
    <w:rsid w:val="00C24FCE"/>
    <w:rsid w:val="00C257C5"/>
    <w:rsid w:val="00C2582D"/>
    <w:rsid w:val="00C2625B"/>
    <w:rsid w:val="00C263A7"/>
    <w:rsid w:val="00C269A1"/>
    <w:rsid w:val="00C26F6E"/>
    <w:rsid w:val="00C27B04"/>
    <w:rsid w:val="00C27DA5"/>
    <w:rsid w:val="00C30220"/>
    <w:rsid w:val="00C3107A"/>
    <w:rsid w:val="00C31950"/>
    <w:rsid w:val="00C3198C"/>
    <w:rsid w:val="00C31AC0"/>
    <w:rsid w:val="00C31AD5"/>
    <w:rsid w:val="00C32652"/>
    <w:rsid w:val="00C3330C"/>
    <w:rsid w:val="00C33C01"/>
    <w:rsid w:val="00C33E78"/>
    <w:rsid w:val="00C34899"/>
    <w:rsid w:val="00C34DF1"/>
    <w:rsid w:val="00C3590D"/>
    <w:rsid w:val="00C35EF8"/>
    <w:rsid w:val="00C366D9"/>
    <w:rsid w:val="00C368F3"/>
    <w:rsid w:val="00C36A26"/>
    <w:rsid w:val="00C36BD3"/>
    <w:rsid w:val="00C36D11"/>
    <w:rsid w:val="00C36E87"/>
    <w:rsid w:val="00C37148"/>
    <w:rsid w:val="00C37274"/>
    <w:rsid w:val="00C3749A"/>
    <w:rsid w:val="00C37729"/>
    <w:rsid w:val="00C406E9"/>
    <w:rsid w:val="00C40730"/>
    <w:rsid w:val="00C40768"/>
    <w:rsid w:val="00C40E03"/>
    <w:rsid w:val="00C416F4"/>
    <w:rsid w:val="00C41B53"/>
    <w:rsid w:val="00C423B2"/>
    <w:rsid w:val="00C42517"/>
    <w:rsid w:val="00C4264A"/>
    <w:rsid w:val="00C4292E"/>
    <w:rsid w:val="00C437A0"/>
    <w:rsid w:val="00C44651"/>
    <w:rsid w:val="00C449EF"/>
    <w:rsid w:val="00C44AE5"/>
    <w:rsid w:val="00C44D57"/>
    <w:rsid w:val="00C44F4D"/>
    <w:rsid w:val="00C45B41"/>
    <w:rsid w:val="00C46732"/>
    <w:rsid w:val="00C46F3A"/>
    <w:rsid w:val="00C5078B"/>
    <w:rsid w:val="00C508DA"/>
    <w:rsid w:val="00C50956"/>
    <w:rsid w:val="00C50D54"/>
    <w:rsid w:val="00C50FEA"/>
    <w:rsid w:val="00C5106C"/>
    <w:rsid w:val="00C51D37"/>
    <w:rsid w:val="00C51D65"/>
    <w:rsid w:val="00C51E72"/>
    <w:rsid w:val="00C51FB8"/>
    <w:rsid w:val="00C5250D"/>
    <w:rsid w:val="00C52F2C"/>
    <w:rsid w:val="00C538DE"/>
    <w:rsid w:val="00C53AF8"/>
    <w:rsid w:val="00C541A4"/>
    <w:rsid w:val="00C541CD"/>
    <w:rsid w:val="00C541D1"/>
    <w:rsid w:val="00C542B0"/>
    <w:rsid w:val="00C5469E"/>
    <w:rsid w:val="00C56F6E"/>
    <w:rsid w:val="00C6082E"/>
    <w:rsid w:val="00C612A2"/>
    <w:rsid w:val="00C615A8"/>
    <w:rsid w:val="00C62369"/>
    <w:rsid w:val="00C62C22"/>
    <w:rsid w:val="00C62C3F"/>
    <w:rsid w:val="00C62CFB"/>
    <w:rsid w:val="00C62DC2"/>
    <w:rsid w:val="00C62F7A"/>
    <w:rsid w:val="00C63072"/>
    <w:rsid w:val="00C6323A"/>
    <w:rsid w:val="00C633F0"/>
    <w:rsid w:val="00C64C2D"/>
    <w:rsid w:val="00C660F1"/>
    <w:rsid w:val="00C661BC"/>
    <w:rsid w:val="00C66683"/>
    <w:rsid w:val="00C66C59"/>
    <w:rsid w:val="00C6755C"/>
    <w:rsid w:val="00C701DA"/>
    <w:rsid w:val="00C70402"/>
    <w:rsid w:val="00C7052B"/>
    <w:rsid w:val="00C70913"/>
    <w:rsid w:val="00C70DB4"/>
    <w:rsid w:val="00C710A3"/>
    <w:rsid w:val="00C71A27"/>
    <w:rsid w:val="00C71D66"/>
    <w:rsid w:val="00C720AD"/>
    <w:rsid w:val="00C7232B"/>
    <w:rsid w:val="00C724CD"/>
    <w:rsid w:val="00C72EA1"/>
    <w:rsid w:val="00C74516"/>
    <w:rsid w:val="00C74541"/>
    <w:rsid w:val="00C74975"/>
    <w:rsid w:val="00C74C11"/>
    <w:rsid w:val="00C74FD4"/>
    <w:rsid w:val="00C75132"/>
    <w:rsid w:val="00C75B90"/>
    <w:rsid w:val="00C76C1C"/>
    <w:rsid w:val="00C77779"/>
    <w:rsid w:val="00C779CE"/>
    <w:rsid w:val="00C77A2B"/>
    <w:rsid w:val="00C77A80"/>
    <w:rsid w:val="00C803AC"/>
    <w:rsid w:val="00C80BDF"/>
    <w:rsid w:val="00C80FBD"/>
    <w:rsid w:val="00C823B2"/>
    <w:rsid w:val="00C82484"/>
    <w:rsid w:val="00C82C76"/>
    <w:rsid w:val="00C83785"/>
    <w:rsid w:val="00C83B90"/>
    <w:rsid w:val="00C8553D"/>
    <w:rsid w:val="00C856C4"/>
    <w:rsid w:val="00C856DB"/>
    <w:rsid w:val="00C85A67"/>
    <w:rsid w:val="00C85FCF"/>
    <w:rsid w:val="00C861CB"/>
    <w:rsid w:val="00C868CC"/>
    <w:rsid w:val="00C870A1"/>
    <w:rsid w:val="00C87193"/>
    <w:rsid w:val="00C926A8"/>
    <w:rsid w:val="00C92D71"/>
    <w:rsid w:val="00C92DF0"/>
    <w:rsid w:val="00C93231"/>
    <w:rsid w:val="00C94065"/>
    <w:rsid w:val="00C94DC6"/>
    <w:rsid w:val="00C9586B"/>
    <w:rsid w:val="00C960D0"/>
    <w:rsid w:val="00C964E1"/>
    <w:rsid w:val="00C973E5"/>
    <w:rsid w:val="00C97D73"/>
    <w:rsid w:val="00CA06CA"/>
    <w:rsid w:val="00CA08FB"/>
    <w:rsid w:val="00CA0D2B"/>
    <w:rsid w:val="00CA0D39"/>
    <w:rsid w:val="00CA0E32"/>
    <w:rsid w:val="00CA0EA9"/>
    <w:rsid w:val="00CA10DF"/>
    <w:rsid w:val="00CA15D8"/>
    <w:rsid w:val="00CA1C23"/>
    <w:rsid w:val="00CA240C"/>
    <w:rsid w:val="00CA25C8"/>
    <w:rsid w:val="00CA2EEB"/>
    <w:rsid w:val="00CA3599"/>
    <w:rsid w:val="00CA4601"/>
    <w:rsid w:val="00CA4E18"/>
    <w:rsid w:val="00CA52D2"/>
    <w:rsid w:val="00CA64A7"/>
    <w:rsid w:val="00CA6B32"/>
    <w:rsid w:val="00CA7EAE"/>
    <w:rsid w:val="00CB0150"/>
    <w:rsid w:val="00CB037B"/>
    <w:rsid w:val="00CB0F4C"/>
    <w:rsid w:val="00CB113F"/>
    <w:rsid w:val="00CB268C"/>
    <w:rsid w:val="00CB269B"/>
    <w:rsid w:val="00CB27A1"/>
    <w:rsid w:val="00CB3228"/>
    <w:rsid w:val="00CB3B61"/>
    <w:rsid w:val="00CB4EA5"/>
    <w:rsid w:val="00CB4F60"/>
    <w:rsid w:val="00CB59E9"/>
    <w:rsid w:val="00CB5BF2"/>
    <w:rsid w:val="00CB5EF8"/>
    <w:rsid w:val="00CB647C"/>
    <w:rsid w:val="00CB6581"/>
    <w:rsid w:val="00CB6A07"/>
    <w:rsid w:val="00CB7176"/>
    <w:rsid w:val="00CB72DF"/>
    <w:rsid w:val="00CB75C2"/>
    <w:rsid w:val="00CB7D57"/>
    <w:rsid w:val="00CC07F9"/>
    <w:rsid w:val="00CC0C67"/>
    <w:rsid w:val="00CC137E"/>
    <w:rsid w:val="00CC1669"/>
    <w:rsid w:val="00CC22F1"/>
    <w:rsid w:val="00CC3315"/>
    <w:rsid w:val="00CC3538"/>
    <w:rsid w:val="00CC388F"/>
    <w:rsid w:val="00CC407A"/>
    <w:rsid w:val="00CC45B0"/>
    <w:rsid w:val="00CC461D"/>
    <w:rsid w:val="00CC4BE8"/>
    <w:rsid w:val="00CC50CF"/>
    <w:rsid w:val="00CC5122"/>
    <w:rsid w:val="00CC6249"/>
    <w:rsid w:val="00CC6B14"/>
    <w:rsid w:val="00CC7CE3"/>
    <w:rsid w:val="00CD0564"/>
    <w:rsid w:val="00CD0695"/>
    <w:rsid w:val="00CD0B0D"/>
    <w:rsid w:val="00CD14C1"/>
    <w:rsid w:val="00CD15F4"/>
    <w:rsid w:val="00CD21FE"/>
    <w:rsid w:val="00CD246B"/>
    <w:rsid w:val="00CD25F9"/>
    <w:rsid w:val="00CD2B1D"/>
    <w:rsid w:val="00CD2C97"/>
    <w:rsid w:val="00CD2EEB"/>
    <w:rsid w:val="00CD349F"/>
    <w:rsid w:val="00CD3561"/>
    <w:rsid w:val="00CD39D2"/>
    <w:rsid w:val="00CD3C87"/>
    <w:rsid w:val="00CD4AC4"/>
    <w:rsid w:val="00CD4F4D"/>
    <w:rsid w:val="00CD55B6"/>
    <w:rsid w:val="00CD6230"/>
    <w:rsid w:val="00CD6526"/>
    <w:rsid w:val="00CD6A00"/>
    <w:rsid w:val="00CD6B51"/>
    <w:rsid w:val="00CD73BB"/>
    <w:rsid w:val="00CE087A"/>
    <w:rsid w:val="00CE08BE"/>
    <w:rsid w:val="00CE1717"/>
    <w:rsid w:val="00CE1AF5"/>
    <w:rsid w:val="00CE2C16"/>
    <w:rsid w:val="00CE3070"/>
    <w:rsid w:val="00CE30CF"/>
    <w:rsid w:val="00CE49DD"/>
    <w:rsid w:val="00CE4E90"/>
    <w:rsid w:val="00CE5AEE"/>
    <w:rsid w:val="00CE5E29"/>
    <w:rsid w:val="00CE5E94"/>
    <w:rsid w:val="00CE6A5C"/>
    <w:rsid w:val="00CE6B5A"/>
    <w:rsid w:val="00CE6E1B"/>
    <w:rsid w:val="00CE72B2"/>
    <w:rsid w:val="00CF05E9"/>
    <w:rsid w:val="00CF09EF"/>
    <w:rsid w:val="00CF0B94"/>
    <w:rsid w:val="00CF0E0A"/>
    <w:rsid w:val="00CF19F5"/>
    <w:rsid w:val="00CF1A0E"/>
    <w:rsid w:val="00CF1A8F"/>
    <w:rsid w:val="00CF1B67"/>
    <w:rsid w:val="00CF24E1"/>
    <w:rsid w:val="00CF294F"/>
    <w:rsid w:val="00CF2B7C"/>
    <w:rsid w:val="00CF2FF8"/>
    <w:rsid w:val="00CF3B08"/>
    <w:rsid w:val="00CF4491"/>
    <w:rsid w:val="00CF4E6A"/>
    <w:rsid w:val="00CF5FCD"/>
    <w:rsid w:val="00CF6122"/>
    <w:rsid w:val="00CF626E"/>
    <w:rsid w:val="00CF63C8"/>
    <w:rsid w:val="00CF6BDB"/>
    <w:rsid w:val="00CF7B69"/>
    <w:rsid w:val="00CF7F92"/>
    <w:rsid w:val="00D0057C"/>
    <w:rsid w:val="00D00626"/>
    <w:rsid w:val="00D0083A"/>
    <w:rsid w:val="00D010E7"/>
    <w:rsid w:val="00D0126A"/>
    <w:rsid w:val="00D01394"/>
    <w:rsid w:val="00D013FF"/>
    <w:rsid w:val="00D025FA"/>
    <w:rsid w:val="00D029A5"/>
    <w:rsid w:val="00D03074"/>
    <w:rsid w:val="00D03332"/>
    <w:rsid w:val="00D045AB"/>
    <w:rsid w:val="00D047B3"/>
    <w:rsid w:val="00D05192"/>
    <w:rsid w:val="00D05330"/>
    <w:rsid w:val="00D05D6A"/>
    <w:rsid w:val="00D069B6"/>
    <w:rsid w:val="00D070F8"/>
    <w:rsid w:val="00D07A3B"/>
    <w:rsid w:val="00D07C34"/>
    <w:rsid w:val="00D10C03"/>
    <w:rsid w:val="00D10F0A"/>
    <w:rsid w:val="00D1209B"/>
    <w:rsid w:val="00D121F3"/>
    <w:rsid w:val="00D12C42"/>
    <w:rsid w:val="00D12D2A"/>
    <w:rsid w:val="00D134DF"/>
    <w:rsid w:val="00D1363C"/>
    <w:rsid w:val="00D138D3"/>
    <w:rsid w:val="00D139F9"/>
    <w:rsid w:val="00D1413E"/>
    <w:rsid w:val="00D143B8"/>
    <w:rsid w:val="00D149A7"/>
    <w:rsid w:val="00D15357"/>
    <w:rsid w:val="00D15D0F"/>
    <w:rsid w:val="00D1603F"/>
    <w:rsid w:val="00D1671B"/>
    <w:rsid w:val="00D17126"/>
    <w:rsid w:val="00D179B0"/>
    <w:rsid w:val="00D216AE"/>
    <w:rsid w:val="00D22F4B"/>
    <w:rsid w:val="00D233D3"/>
    <w:rsid w:val="00D23A5B"/>
    <w:rsid w:val="00D23FA3"/>
    <w:rsid w:val="00D2427B"/>
    <w:rsid w:val="00D264B1"/>
    <w:rsid w:val="00D30F37"/>
    <w:rsid w:val="00D31001"/>
    <w:rsid w:val="00D31624"/>
    <w:rsid w:val="00D31A11"/>
    <w:rsid w:val="00D31F0A"/>
    <w:rsid w:val="00D328AE"/>
    <w:rsid w:val="00D3303D"/>
    <w:rsid w:val="00D333F4"/>
    <w:rsid w:val="00D3426E"/>
    <w:rsid w:val="00D35206"/>
    <w:rsid w:val="00D352C7"/>
    <w:rsid w:val="00D35A04"/>
    <w:rsid w:val="00D35AF3"/>
    <w:rsid w:val="00D37501"/>
    <w:rsid w:val="00D37AB5"/>
    <w:rsid w:val="00D4066A"/>
    <w:rsid w:val="00D40B3D"/>
    <w:rsid w:val="00D4127C"/>
    <w:rsid w:val="00D41764"/>
    <w:rsid w:val="00D4199D"/>
    <w:rsid w:val="00D420D7"/>
    <w:rsid w:val="00D42260"/>
    <w:rsid w:val="00D42807"/>
    <w:rsid w:val="00D43430"/>
    <w:rsid w:val="00D43D92"/>
    <w:rsid w:val="00D43DDD"/>
    <w:rsid w:val="00D44411"/>
    <w:rsid w:val="00D44A7C"/>
    <w:rsid w:val="00D44AC5"/>
    <w:rsid w:val="00D44AC8"/>
    <w:rsid w:val="00D45410"/>
    <w:rsid w:val="00D4577A"/>
    <w:rsid w:val="00D476F7"/>
    <w:rsid w:val="00D4794B"/>
    <w:rsid w:val="00D47D9A"/>
    <w:rsid w:val="00D50A50"/>
    <w:rsid w:val="00D50B0F"/>
    <w:rsid w:val="00D50DF9"/>
    <w:rsid w:val="00D513B6"/>
    <w:rsid w:val="00D51585"/>
    <w:rsid w:val="00D5175A"/>
    <w:rsid w:val="00D526B1"/>
    <w:rsid w:val="00D52FDD"/>
    <w:rsid w:val="00D53326"/>
    <w:rsid w:val="00D54CDA"/>
    <w:rsid w:val="00D55CBC"/>
    <w:rsid w:val="00D560BC"/>
    <w:rsid w:val="00D56940"/>
    <w:rsid w:val="00D56A9D"/>
    <w:rsid w:val="00D56ED5"/>
    <w:rsid w:val="00D572F7"/>
    <w:rsid w:val="00D575C6"/>
    <w:rsid w:val="00D606A9"/>
    <w:rsid w:val="00D609A9"/>
    <w:rsid w:val="00D60F7F"/>
    <w:rsid w:val="00D6131D"/>
    <w:rsid w:val="00D61D74"/>
    <w:rsid w:val="00D62316"/>
    <w:rsid w:val="00D624E2"/>
    <w:rsid w:val="00D62942"/>
    <w:rsid w:val="00D62C84"/>
    <w:rsid w:val="00D62E0F"/>
    <w:rsid w:val="00D6314C"/>
    <w:rsid w:val="00D63877"/>
    <w:rsid w:val="00D63F3C"/>
    <w:rsid w:val="00D6532E"/>
    <w:rsid w:val="00D653DE"/>
    <w:rsid w:val="00D65439"/>
    <w:rsid w:val="00D6645F"/>
    <w:rsid w:val="00D6705B"/>
    <w:rsid w:val="00D6755E"/>
    <w:rsid w:val="00D678D6"/>
    <w:rsid w:val="00D678EB"/>
    <w:rsid w:val="00D67996"/>
    <w:rsid w:val="00D7068D"/>
    <w:rsid w:val="00D71121"/>
    <w:rsid w:val="00D71C5A"/>
    <w:rsid w:val="00D72641"/>
    <w:rsid w:val="00D727BD"/>
    <w:rsid w:val="00D72FD9"/>
    <w:rsid w:val="00D74A14"/>
    <w:rsid w:val="00D74D64"/>
    <w:rsid w:val="00D760E5"/>
    <w:rsid w:val="00D77019"/>
    <w:rsid w:val="00D7774A"/>
    <w:rsid w:val="00D77C6B"/>
    <w:rsid w:val="00D77DE7"/>
    <w:rsid w:val="00D804F2"/>
    <w:rsid w:val="00D806C5"/>
    <w:rsid w:val="00D8089F"/>
    <w:rsid w:val="00D80DD6"/>
    <w:rsid w:val="00D80F44"/>
    <w:rsid w:val="00D81DF7"/>
    <w:rsid w:val="00D823A9"/>
    <w:rsid w:val="00D82DEE"/>
    <w:rsid w:val="00D83C95"/>
    <w:rsid w:val="00D83E58"/>
    <w:rsid w:val="00D83E6B"/>
    <w:rsid w:val="00D84493"/>
    <w:rsid w:val="00D8465F"/>
    <w:rsid w:val="00D85540"/>
    <w:rsid w:val="00D85F69"/>
    <w:rsid w:val="00D8631A"/>
    <w:rsid w:val="00D86624"/>
    <w:rsid w:val="00D87833"/>
    <w:rsid w:val="00D87875"/>
    <w:rsid w:val="00D87904"/>
    <w:rsid w:val="00D87CD8"/>
    <w:rsid w:val="00D90020"/>
    <w:rsid w:val="00D91F86"/>
    <w:rsid w:val="00D92530"/>
    <w:rsid w:val="00D9288E"/>
    <w:rsid w:val="00D92A62"/>
    <w:rsid w:val="00D938EB"/>
    <w:rsid w:val="00D942E4"/>
    <w:rsid w:val="00D94416"/>
    <w:rsid w:val="00D946F3"/>
    <w:rsid w:val="00D94B6F"/>
    <w:rsid w:val="00D950E4"/>
    <w:rsid w:val="00D969BE"/>
    <w:rsid w:val="00D970A0"/>
    <w:rsid w:val="00D975C7"/>
    <w:rsid w:val="00D97887"/>
    <w:rsid w:val="00DA0048"/>
    <w:rsid w:val="00DA0258"/>
    <w:rsid w:val="00DA0726"/>
    <w:rsid w:val="00DA0D81"/>
    <w:rsid w:val="00DA12A2"/>
    <w:rsid w:val="00DA17B2"/>
    <w:rsid w:val="00DA17EF"/>
    <w:rsid w:val="00DA18EA"/>
    <w:rsid w:val="00DA1951"/>
    <w:rsid w:val="00DA1A09"/>
    <w:rsid w:val="00DA1E1E"/>
    <w:rsid w:val="00DA2255"/>
    <w:rsid w:val="00DA263A"/>
    <w:rsid w:val="00DA2DDE"/>
    <w:rsid w:val="00DA2FBA"/>
    <w:rsid w:val="00DA332D"/>
    <w:rsid w:val="00DA3A98"/>
    <w:rsid w:val="00DA3ADA"/>
    <w:rsid w:val="00DA3B1E"/>
    <w:rsid w:val="00DA3D6C"/>
    <w:rsid w:val="00DA3F52"/>
    <w:rsid w:val="00DA4213"/>
    <w:rsid w:val="00DA44B4"/>
    <w:rsid w:val="00DA44E1"/>
    <w:rsid w:val="00DA47D3"/>
    <w:rsid w:val="00DA4E69"/>
    <w:rsid w:val="00DA55F7"/>
    <w:rsid w:val="00DA59F1"/>
    <w:rsid w:val="00DA5E33"/>
    <w:rsid w:val="00DA6540"/>
    <w:rsid w:val="00DA6554"/>
    <w:rsid w:val="00DA6741"/>
    <w:rsid w:val="00DA6BAF"/>
    <w:rsid w:val="00DA7154"/>
    <w:rsid w:val="00DA77B0"/>
    <w:rsid w:val="00DB0820"/>
    <w:rsid w:val="00DB0F45"/>
    <w:rsid w:val="00DB0F5D"/>
    <w:rsid w:val="00DB1A11"/>
    <w:rsid w:val="00DB1F80"/>
    <w:rsid w:val="00DB2087"/>
    <w:rsid w:val="00DB312E"/>
    <w:rsid w:val="00DB324D"/>
    <w:rsid w:val="00DB3409"/>
    <w:rsid w:val="00DB3B95"/>
    <w:rsid w:val="00DB4587"/>
    <w:rsid w:val="00DB545A"/>
    <w:rsid w:val="00DB5BFB"/>
    <w:rsid w:val="00DB5D09"/>
    <w:rsid w:val="00DB614F"/>
    <w:rsid w:val="00DB7328"/>
    <w:rsid w:val="00DC0841"/>
    <w:rsid w:val="00DC17A5"/>
    <w:rsid w:val="00DC1C83"/>
    <w:rsid w:val="00DC224E"/>
    <w:rsid w:val="00DC36DB"/>
    <w:rsid w:val="00DC3AA7"/>
    <w:rsid w:val="00DC3E1B"/>
    <w:rsid w:val="00DC414A"/>
    <w:rsid w:val="00DC415E"/>
    <w:rsid w:val="00DC41CB"/>
    <w:rsid w:val="00DC4244"/>
    <w:rsid w:val="00DC4709"/>
    <w:rsid w:val="00DC473A"/>
    <w:rsid w:val="00DC4FA6"/>
    <w:rsid w:val="00DC67E9"/>
    <w:rsid w:val="00DC7295"/>
    <w:rsid w:val="00DC7AC3"/>
    <w:rsid w:val="00DD0268"/>
    <w:rsid w:val="00DD02F6"/>
    <w:rsid w:val="00DD0465"/>
    <w:rsid w:val="00DD07B0"/>
    <w:rsid w:val="00DD1A6A"/>
    <w:rsid w:val="00DD38B3"/>
    <w:rsid w:val="00DD3A0A"/>
    <w:rsid w:val="00DD3BAC"/>
    <w:rsid w:val="00DD4640"/>
    <w:rsid w:val="00DD4EDF"/>
    <w:rsid w:val="00DD5CF9"/>
    <w:rsid w:val="00DD5D30"/>
    <w:rsid w:val="00DD5DF2"/>
    <w:rsid w:val="00DD65B2"/>
    <w:rsid w:val="00DD76A8"/>
    <w:rsid w:val="00DD7A4F"/>
    <w:rsid w:val="00DD7F72"/>
    <w:rsid w:val="00DE00C2"/>
    <w:rsid w:val="00DE0124"/>
    <w:rsid w:val="00DE0EC4"/>
    <w:rsid w:val="00DE1587"/>
    <w:rsid w:val="00DE1A1F"/>
    <w:rsid w:val="00DE256E"/>
    <w:rsid w:val="00DE2C6D"/>
    <w:rsid w:val="00DE353A"/>
    <w:rsid w:val="00DE35CD"/>
    <w:rsid w:val="00DE3BCA"/>
    <w:rsid w:val="00DE423D"/>
    <w:rsid w:val="00DE45C9"/>
    <w:rsid w:val="00DE50D0"/>
    <w:rsid w:val="00DE5230"/>
    <w:rsid w:val="00DE5D64"/>
    <w:rsid w:val="00DE6205"/>
    <w:rsid w:val="00DE667E"/>
    <w:rsid w:val="00DE71A6"/>
    <w:rsid w:val="00DE7F56"/>
    <w:rsid w:val="00DF0209"/>
    <w:rsid w:val="00DF0761"/>
    <w:rsid w:val="00DF09E6"/>
    <w:rsid w:val="00DF1BE2"/>
    <w:rsid w:val="00DF1CFA"/>
    <w:rsid w:val="00DF1FFB"/>
    <w:rsid w:val="00DF2111"/>
    <w:rsid w:val="00DF24EE"/>
    <w:rsid w:val="00DF28DD"/>
    <w:rsid w:val="00DF2AB1"/>
    <w:rsid w:val="00DF31C1"/>
    <w:rsid w:val="00DF371C"/>
    <w:rsid w:val="00DF390E"/>
    <w:rsid w:val="00DF624E"/>
    <w:rsid w:val="00DF662E"/>
    <w:rsid w:val="00DF685C"/>
    <w:rsid w:val="00DF6A15"/>
    <w:rsid w:val="00DF6E39"/>
    <w:rsid w:val="00DF6F82"/>
    <w:rsid w:val="00DF720F"/>
    <w:rsid w:val="00DF79C9"/>
    <w:rsid w:val="00DF7E09"/>
    <w:rsid w:val="00E00244"/>
    <w:rsid w:val="00E02445"/>
    <w:rsid w:val="00E02486"/>
    <w:rsid w:val="00E025FD"/>
    <w:rsid w:val="00E02B60"/>
    <w:rsid w:val="00E03680"/>
    <w:rsid w:val="00E04385"/>
    <w:rsid w:val="00E04921"/>
    <w:rsid w:val="00E04B2F"/>
    <w:rsid w:val="00E054DE"/>
    <w:rsid w:val="00E05674"/>
    <w:rsid w:val="00E05EA5"/>
    <w:rsid w:val="00E06709"/>
    <w:rsid w:val="00E073D0"/>
    <w:rsid w:val="00E075C1"/>
    <w:rsid w:val="00E0782B"/>
    <w:rsid w:val="00E07C64"/>
    <w:rsid w:val="00E101C6"/>
    <w:rsid w:val="00E102BA"/>
    <w:rsid w:val="00E1057D"/>
    <w:rsid w:val="00E107A9"/>
    <w:rsid w:val="00E109FE"/>
    <w:rsid w:val="00E10CA7"/>
    <w:rsid w:val="00E110FA"/>
    <w:rsid w:val="00E11215"/>
    <w:rsid w:val="00E11617"/>
    <w:rsid w:val="00E12298"/>
    <w:rsid w:val="00E127AC"/>
    <w:rsid w:val="00E12B9A"/>
    <w:rsid w:val="00E12FFE"/>
    <w:rsid w:val="00E1350E"/>
    <w:rsid w:val="00E13606"/>
    <w:rsid w:val="00E13AA2"/>
    <w:rsid w:val="00E13E4F"/>
    <w:rsid w:val="00E1432A"/>
    <w:rsid w:val="00E1470A"/>
    <w:rsid w:val="00E158A4"/>
    <w:rsid w:val="00E15C22"/>
    <w:rsid w:val="00E16E2C"/>
    <w:rsid w:val="00E20ACC"/>
    <w:rsid w:val="00E2160A"/>
    <w:rsid w:val="00E222BF"/>
    <w:rsid w:val="00E2246E"/>
    <w:rsid w:val="00E23CC6"/>
    <w:rsid w:val="00E2421F"/>
    <w:rsid w:val="00E248EF"/>
    <w:rsid w:val="00E24EA3"/>
    <w:rsid w:val="00E2587E"/>
    <w:rsid w:val="00E259AF"/>
    <w:rsid w:val="00E265F5"/>
    <w:rsid w:val="00E26BD1"/>
    <w:rsid w:val="00E27447"/>
    <w:rsid w:val="00E30DC9"/>
    <w:rsid w:val="00E31587"/>
    <w:rsid w:val="00E31806"/>
    <w:rsid w:val="00E31CD8"/>
    <w:rsid w:val="00E32A41"/>
    <w:rsid w:val="00E32CDF"/>
    <w:rsid w:val="00E33ADC"/>
    <w:rsid w:val="00E33CD7"/>
    <w:rsid w:val="00E34254"/>
    <w:rsid w:val="00E354C5"/>
    <w:rsid w:val="00E35C9D"/>
    <w:rsid w:val="00E35ED4"/>
    <w:rsid w:val="00E360DA"/>
    <w:rsid w:val="00E366C8"/>
    <w:rsid w:val="00E3676E"/>
    <w:rsid w:val="00E36BA5"/>
    <w:rsid w:val="00E3749A"/>
    <w:rsid w:val="00E3765B"/>
    <w:rsid w:val="00E409A3"/>
    <w:rsid w:val="00E4201B"/>
    <w:rsid w:val="00E43215"/>
    <w:rsid w:val="00E43998"/>
    <w:rsid w:val="00E43ECD"/>
    <w:rsid w:val="00E4425A"/>
    <w:rsid w:val="00E449D6"/>
    <w:rsid w:val="00E44C46"/>
    <w:rsid w:val="00E450C7"/>
    <w:rsid w:val="00E455A6"/>
    <w:rsid w:val="00E46D7F"/>
    <w:rsid w:val="00E46F3E"/>
    <w:rsid w:val="00E4769F"/>
    <w:rsid w:val="00E47A74"/>
    <w:rsid w:val="00E505DF"/>
    <w:rsid w:val="00E50ED9"/>
    <w:rsid w:val="00E516B3"/>
    <w:rsid w:val="00E51947"/>
    <w:rsid w:val="00E523C3"/>
    <w:rsid w:val="00E5343C"/>
    <w:rsid w:val="00E535C6"/>
    <w:rsid w:val="00E5388E"/>
    <w:rsid w:val="00E53CA1"/>
    <w:rsid w:val="00E54036"/>
    <w:rsid w:val="00E5423C"/>
    <w:rsid w:val="00E54282"/>
    <w:rsid w:val="00E54B86"/>
    <w:rsid w:val="00E54D3A"/>
    <w:rsid w:val="00E54EEE"/>
    <w:rsid w:val="00E54F71"/>
    <w:rsid w:val="00E54FC7"/>
    <w:rsid w:val="00E55121"/>
    <w:rsid w:val="00E56440"/>
    <w:rsid w:val="00E56F30"/>
    <w:rsid w:val="00E57332"/>
    <w:rsid w:val="00E6016B"/>
    <w:rsid w:val="00E60BCA"/>
    <w:rsid w:val="00E61409"/>
    <w:rsid w:val="00E61431"/>
    <w:rsid w:val="00E6171A"/>
    <w:rsid w:val="00E626FB"/>
    <w:rsid w:val="00E62E48"/>
    <w:rsid w:val="00E63846"/>
    <w:rsid w:val="00E639A7"/>
    <w:rsid w:val="00E64E13"/>
    <w:rsid w:val="00E651F6"/>
    <w:rsid w:val="00E66123"/>
    <w:rsid w:val="00E67C80"/>
    <w:rsid w:val="00E70D3F"/>
    <w:rsid w:val="00E71078"/>
    <w:rsid w:val="00E71460"/>
    <w:rsid w:val="00E714E9"/>
    <w:rsid w:val="00E72023"/>
    <w:rsid w:val="00E72063"/>
    <w:rsid w:val="00E72764"/>
    <w:rsid w:val="00E74F42"/>
    <w:rsid w:val="00E7549F"/>
    <w:rsid w:val="00E75D8C"/>
    <w:rsid w:val="00E7621B"/>
    <w:rsid w:val="00E76AC7"/>
    <w:rsid w:val="00E77C4D"/>
    <w:rsid w:val="00E77E55"/>
    <w:rsid w:val="00E80857"/>
    <w:rsid w:val="00E80A17"/>
    <w:rsid w:val="00E80D3C"/>
    <w:rsid w:val="00E8112B"/>
    <w:rsid w:val="00E8134B"/>
    <w:rsid w:val="00E81B99"/>
    <w:rsid w:val="00E82825"/>
    <w:rsid w:val="00E82855"/>
    <w:rsid w:val="00E82FF7"/>
    <w:rsid w:val="00E831F7"/>
    <w:rsid w:val="00E83773"/>
    <w:rsid w:val="00E83B2C"/>
    <w:rsid w:val="00E83C05"/>
    <w:rsid w:val="00E841F2"/>
    <w:rsid w:val="00E84320"/>
    <w:rsid w:val="00E84500"/>
    <w:rsid w:val="00E84821"/>
    <w:rsid w:val="00E84BA1"/>
    <w:rsid w:val="00E84E17"/>
    <w:rsid w:val="00E851F3"/>
    <w:rsid w:val="00E86192"/>
    <w:rsid w:val="00E86349"/>
    <w:rsid w:val="00E8649B"/>
    <w:rsid w:val="00E86718"/>
    <w:rsid w:val="00E86B2F"/>
    <w:rsid w:val="00E86BB7"/>
    <w:rsid w:val="00E86E0F"/>
    <w:rsid w:val="00E86F9D"/>
    <w:rsid w:val="00E87E7E"/>
    <w:rsid w:val="00E901A2"/>
    <w:rsid w:val="00E9046C"/>
    <w:rsid w:val="00E90762"/>
    <w:rsid w:val="00E90F9A"/>
    <w:rsid w:val="00E911B4"/>
    <w:rsid w:val="00E91308"/>
    <w:rsid w:val="00E91929"/>
    <w:rsid w:val="00E91AEA"/>
    <w:rsid w:val="00E92563"/>
    <w:rsid w:val="00E92CAF"/>
    <w:rsid w:val="00E9332B"/>
    <w:rsid w:val="00E93C6A"/>
    <w:rsid w:val="00E93CC6"/>
    <w:rsid w:val="00E93CC8"/>
    <w:rsid w:val="00E9458B"/>
    <w:rsid w:val="00E94B95"/>
    <w:rsid w:val="00E94EFF"/>
    <w:rsid w:val="00E95BC8"/>
    <w:rsid w:val="00E95F06"/>
    <w:rsid w:val="00E95FE6"/>
    <w:rsid w:val="00E96875"/>
    <w:rsid w:val="00E96898"/>
    <w:rsid w:val="00E97106"/>
    <w:rsid w:val="00E97287"/>
    <w:rsid w:val="00E9728E"/>
    <w:rsid w:val="00E97C61"/>
    <w:rsid w:val="00E97CBE"/>
    <w:rsid w:val="00E97F3E"/>
    <w:rsid w:val="00EA002F"/>
    <w:rsid w:val="00EA0B5F"/>
    <w:rsid w:val="00EA0D2A"/>
    <w:rsid w:val="00EA0DED"/>
    <w:rsid w:val="00EA0DF7"/>
    <w:rsid w:val="00EA1326"/>
    <w:rsid w:val="00EA271C"/>
    <w:rsid w:val="00EA27AE"/>
    <w:rsid w:val="00EA2AB0"/>
    <w:rsid w:val="00EA2B91"/>
    <w:rsid w:val="00EA2FC0"/>
    <w:rsid w:val="00EA43DF"/>
    <w:rsid w:val="00EA4528"/>
    <w:rsid w:val="00EA4AEA"/>
    <w:rsid w:val="00EA4EF0"/>
    <w:rsid w:val="00EA51FA"/>
    <w:rsid w:val="00EA596B"/>
    <w:rsid w:val="00EA59E6"/>
    <w:rsid w:val="00EA5FF2"/>
    <w:rsid w:val="00EA6115"/>
    <w:rsid w:val="00EA665D"/>
    <w:rsid w:val="00EA71F2"/>
    <w:rsid w:val="00EA79C3"/>
    <w:rsid w:val="00EB0104"/>
    <w:rsid w:val="00EB0C2B"/>
    <w:rsid w:val="00EB0CE1"/>
    <w:rsid w:val="00EB0D29"/>
    <w:rsid w:val="00EB0DCA"/>
    <w:rsid w:val="00EB0F10"/>
    <w:rsid w:val="00EB1816"/>
    <w:rsid w:val="00EB278E"/>
    <w:rsid w:val="00EB2E54"/>
    <w:rsid w:val="00EB3660"/>
    <w:rsid w:val="00EB36C2"/>
    <w:rsid w:val="00EB4A54"/>
    <w:rsid w:val="00EB4DF5"/>
    <w:rsid w:val="00EB4FDC"/>
    <w:rsid w:val="00EB5812"/>
    <w:rsid w:val="00EB6944"/>
    <w:rsid w:val="00EB7497"/>
    <w:rsid w:val="00EB7909"/>
    <w:rsid w:val="00EC01ED"/>
    <w:rsid w:val="00EC045A"/>
    <w:rsid w:val="00EC056F"/>
    <w:rsid w:val="00EC0579"/>
    <w:rsid w:val="00EC07D1"/>
    <w:rsid w:val="00EC096D"/>
    <w:rsid w:val="00EC0B35"/>
    <w:rsid w:val="00EC1560"/>
    <w:rsid w:val="00EC4303"/>
    <w:rsid w:val="00EC5902"/>
    <w:rsid w:val="00EC5D07"/>
    <w:rsid w:val="00EC5E36"/>
    <w:rsid w:val="00EC6293"/>
    <w:rsid w:val="00EC700F"/>
    <w:rsid w:val="00EC7170"/>
    <w:rsid w:val="00EC73F9"/>
    <w:rsid w:val="00EC7B64"/>
    <w:rsid w:val="00ED04ED"/>
    <w:rsid w:val="00ED21B1"/>
    <w:rsid w:val="00ED2CF1"/>
    <w:rsid w:val="00ED31AF"/>
    <w:rsid w:val="00ED3B12"/>
    <w:rsid w:val="00ED4056"/>
    <w:rsid w:val="00ED447D"/>
    <w:rsid w:val="00ED45EA"/>
    <w:rsid w:val="00ED4953"/>
    <w:rsid w:val="00ED4B13"/>
    <w:rsid w:val="00ED514C"/>
    <w:rsid w:val="00ED5DB7"/>
    <w:rsid w:val="00ED6905"/>
    <w:rsid w:val="00ED6ED0"/>
    <w:rsid w:val="00ED781B"/>
    <w:rsid w:val="00ED7D78"/>
    <w:rsid w:val="00EE071F"/>
    <w:rsid w:val="00EE18AE"/>
    <w:rsid w:val="00EE2761"/>
    <w:rsid w:val="00EE3919"/>
    <w:rsid w:val="00EE3EC3"/>
    <w:rsid w:val="00EE3F31"/>
    <w:rsid w:val="00EE4908"/>
    <w:rsid w:val="00EE5011"/>
    <w:rsid w:val="00EE5251"/>
    <w:rsid w:val="00EE5464"/>
    <w:rsid w:val="00EE56BA"/>
    <w:rsid w:val="00EE5768"/>
    <w:rsid w:val="00EE6AC5"/>
    <w:rsid w:val="00EE6D74"/>
    <w:rsid w:val="00EE78D8"/>
    <w:rsid w:val="00EF0738"/>
    <w:rsid w:val="00EF12CF"/>
    <w:rsid w:val="00EF17E9"/>
    <w:rsid w:val="00EF1C6E"/>
    <w:rsid w:val="00EF25F8"/>
    <w:rsid w:val="00EF314D"/>
    <w:rsid w:val="00EF33E0"/>
    <w:rsid w:val="00EF40FA"/>
    <w:rsid w:val="00EF4276"/>
    <w:rsid w:val="00EF4928"/>
    <w:rsid w:val="00EF4A19"/>
    <w:rsid w:val="00EF4ABE"/>
    <w:rsid w:val="00EF4C15"/>
    <w:rsid w:val="00EF509A"/>
    <w:rsid w:val="00EF6173"/>
    <w:rsid w:val="00EF64C7"/>
    <w:rsid w:val="00EF66CD"/>
    <w:rsid w:val="00EF6903"/>
    <w:rsid w:val="00EF6F8E"/>
    <w:rsid w:val="00EF72A6"/>
    <w:rsid w:val="00EF7BD7"/>
    <w:rsid w:val="00F00201"/>
    <w:rsid w:val="00F007F0"/>
    <w:rsid w:val="00F01396"/>
    <w:rsid w:val="00F01656"/>
    <w:rsid w:val="00F01B3E"/>
    <w:rsid w:val="00F03D59"/>
    <w:rsid w:val="00F03EE2"/>
    <w:rsid w:val="00F04078"/>
    <w:rsid w:val="00F041C9"/>
    <w:rsid w:val="00F0429F"/>
    <w:rsid w:val="00F045B4"/>
    <w:rsid w:val="00F04677"/>
    <w:rsid w:val="00F0477D"/>
    <w:rsid w:val="00F04CDC"/>
    <w:rsid w:val="00F057B8"/>
    <w:rsid w:val="00F05BFE"/>
    <w:rsid w:val="00F065D1"/>
    <w:rsid w:val="00F06ABA"/>
    <w:rsid w:val="00F06D69"/>
    <w:rsid w:val="00F078B9"/>
    <w:rsid w:val="00F07E6D"/>
    <w:rsid w:val="00F10045"/>
    <w:rsid w:val="00F10405"/>
    <w:rsid w:val="00F1099E"/>
    <w:rsid w:val="00F10D8C"/>
    <w:rsid w:val="00F113C2"/>
    <w:rsid w:val="00F11DE3"/>
    <w:rsid w:val="00F120EC"/>
    <w:rsid w:val="00F138EF"/>
    <w:rsid w:val="00F1458C"/>
    <w:rsid w:val="00F14604"/>
    <w:rsid w:val="00F14F68"/>
    <w:rsid w:val="00F15C71"/>
    <w:rsid w:val="00F1606F"/>
    <w:rsid w:val="00F16B07"/>
    <w:rsid w:val="00F16B44"/>
    <w:rsid w:val="00F1712E"/>
    <w:rsid w:val="00F17770"/>
    <w:rsid w:val="00F17801"/>
    <w:rsid w:val="00F17FF2"/>
    <w:rsid w:val="00F20264"/>
    <w:rsid w:val="00F20B23"/>
    <w:rsid w:val="00F20C49"/>
    <w:rsid w:val="00F20E79"/>
    <w:rsid w:val="00F22188"/>
    <w:rsid w:val="00F235F5"/>
    <w:rsid w:val="00F237A4"/>
    <w:rsid w:val="00F237DF"/>
    <w:rsid w:val="00F23EA6"/>
    <w:rsid w:val="00F24351"/>
    <w:rsid w:val="00F24C5A"/>
    <w:rsid w:val="00F25CC2"/>
    <w:rsid w:val="00F260B0"/>
    <w:rsid w:val="00F26CE4"/>
    <w:rsid w:val="00F26D39"/>
    <w:rsid w:val="00F3016F"/>
    <w:rsid w:val="00F30702"/>
    <w:rsid w:val="00F30DEC"/>
    <w:rsid w:val="00F3157E"/>
    <w:rsid w:val="00F323DB"/>
    <w:rsid w:val="00F32A2C"/>
    <w:rsid w:val="00F32C3E"/>
    <w:rsid w:val="00F336B2"/>
    <w:rsid w:val="00F337B3"/>
    <w:rsid w:val="00F33F35"/>
    <w:rsid w:val="00F353FA"/>
    <w:rsid w:val="00F35523"/>
    <w:rsid w:val="00F36CA3"/>
    <w:rsid w:val="00F372C4"/>
    <w:rsid w:val="00F40201"/>
    <w:rsid w:val="00F40EE8"/>
    <w:rsid w:val="00F413E7"/>
    <w:rsid w:val="00F4194F"/>
    <w:rsid w:val="00F419C7"/>
    <w:rsid w:val="00F424CE"/>
    <w:rsid w:val="00F42929"/>
    <w:rsid w:val="00F430C0"/>
    <w:rsid w:val="00F44706"/>
    <w:rsid w:val="00F46481"/>
    <w:rsid w:val="00F4668A"/>
    <w:rsid w:val="00F46A3C"/>
    <w:rsid w:val="00F47072"/>
    <w:rsid w:val="00F47253"/>
    <w:rsid w:val="00F47533"/>
    <w:rsid w:val="00F4769F"/>
    <w:rsid w:val="00F47B06"/>
    <w:rsid w:val="00F50BA8"/>
    <w:rsid w:val="00F51353"/>
    <w:rsid w:val="00F52399"/>
    <w:rsid w:val="00F529BB"/>
    <w:rsid w:val="00F52B02"/>
    <w:rsid w:val="00F532FF"/>
    <w:rsid w:val="00F53548"/>
    <w:rsid w:val="00F535B3"/>
    <w:rsid w:val="00F53FC6"/>
    <w:rsid w:val="00F541EF"/>
    <w:rsid w:val="00F559BD"/>
    <w:rsid w:val="00F55DD5"/>
    <w:rsid w:val="00F560E4"/>
    <w:rsid w:val="00F564E5"/>
    <w:rsid w:val="00F567D6"/>
    <w:rsid w:val="00F56D2F"/>
    <w:rsid w:val="00F57130"/>
    <w:rsid w:val="00F57BEF"/>
    <w:rsid w:val="00F57C30"/>
    <w:rsid w:val="00F57FBE"/>
    <w:rsid w:val="00F600A9"/>
    <w:rsid w:val="00F60292"/>
    <w:rsid w:val="00F607AD"/>
    <w:rsid w:val="00F60D5C"/>
    <w:rsid w:val="00F610D2"/>
    <w:rsid w:val="00F61267"/>
    <w:rsid w:val="00F61468"/>
    <w:rsid w:val="00F614CA"/>
    <w:rsid w:val="00F61A02"/>
    <w:rsid w:val="00F61D86"/>
    <w:rsid w:val="00F61F25"/>
    <w:rsid w:val="00F62452"/>
    <w:rsid w:val="00F6280E"/>
    <w:rsid w:val="00F6297B"/>
    <w:rsid w:val="00F62F01"/>
    <w:rsid w:val="00F63086"/>
    <w:rsid w:val="00F637D5"/>
    <w:rsid w:val="00F6396E"/>
    <w:rsid w:val="00F63B01"/>
    <w:rsid w:val="00F63F01"/>
    <w:rsid w:val="00F6452C"/>
    <w:rsid w:val="00F64E69"/>
    <w:rsid w:val="00F64E93"/>
    <w:rsid w:val="00F654CF"/>
    <w:rsid w:val="00F66316"/>
    <w:rsid w:val="00F66510"/>
    <w:rsid w:val="00F66B61"/>
    <w:rsid w:val="00F66DBA"/>
    <w:rsid w:val="00F66E2B"/>
    <w:rsid w:val="00F66E2C"/>
    <w:rsid w:val="00F672D5"/>
    <w:rsid w:val="00F675CF"/>
    <w:rsid w:val="00F70716"/>
    <w:rsid w:val="00F711DC"/>
    <w:rsid w:val="00F7169F"/>
    <w:rsid w:val="00F7231B"/>
    <w:rsid w:val="00F72BD1"/>
    <w:rsid w:val="00F740A7"/>
    <w:rsid w:val="00F741F8"/>
    <w:rsid w:val="00F74A44"/>
    <w:rsid w:val="00F7517E"/>
    <w:rsid w:val="00F752B5"/>
    <w:rsid w:val="00F7571D"/>
    <w:rsid w:val="00F773B6"/>
    <w:rsid w:val="00F802EA"/>
    <w:rsid w:val="00F80439"/>
    <w:rsid w:val="00F81633"/>
    <w:rsid w:val="00F82D34"/>
    <w:rsid w:val="00F82FEA"/>
    <w:rsid w:val="00F835A2"/>
    <w:rsid w:val="00F83CE7"/>
    <w:rsid w:val="00F8404C"/>
    <w:rsid w:val="00F84F07"/>
    <w:rsid w:val="00F869E7"/>
    <w:rsid w:val="00F86CC5"/>
    <w:rsid w:val="00F871A4"/>
    <w:rsid w:val="00F90254"/>
    <w:rsid w:val="00F90C48"/>
    <w:rsid w:val="00F90C71"/>
    <w:rsid w:val="00F91FAA"/>
    <w:rsid w:val="00F931C6"/>
    <w:rsid w:val="00F9372A"/>
    <w:rsid w:val="00F93E98"/>
    <w:rsid w:val="00F93EE6"/>
    <w:rsid w:val="00F94AE9"/>
    <w:rsid w:val="00F9545F"/>
    <w:rsid w:val="00F95FF2"/>
    <w:rsid w:val="00F96C02"/>
    <w:rsid w:val="00F96C68"/>
    <w:rsid w:val="00FA1631"/>
    <w:rsid w:val="00FA1C65"/>
    <w:rsid w:val="00FA2265"/>
    <w:rsid w:val="00FA23CC"/>
    <w:rsid w:val="00FA2F85"/>
    <w:rsid w:val="00FA308A"/>
    <w:rsid w:val="00FA32CF"/>
    <w:rsid w:val="00FA3F14"/>
    <w:rsid w:val="00FA4D24"/>
    <w:rsid w:val="00FA4F44"/>
    <w:rsid w:val="00FA526E"/>
    <w:rsid w:val="00FA5783"/>
    <w:rsid w:val="00FA5DD9"/>
    <w:rsid w:val="00FA6FC2"/>
    <w:rsid w:val="00FA7043"/>
    <w:rsid w:val="00FA790D"/>
    <w:rsid w:val="00FA7B0F"/>
    <w:rsid w:val="00FA7D14"/>
    <w:rsid w:val="00FB034D"/>
    <w:rsid w:val="00FB054E"/>
    <w:rsid w:val="00FB0C30"/>
    <w:rsid w:val="00FB1677"/>
    <w:rsid w:val="00FB1C2F"/>
    <w:rsid w:val="00FB20F5"/>
    <w:rsid w:val="00FB28E3"/>
    <w:rsid w:val="00FB2CC9"/>
    <w:rsid w:val="00FB2ECC"/>
    <w:rsid w:val="00FB30E8"/>
    <w:rsid w:val="00FB3448"/>
    <w:rsid w:val="00FB3D95"/>
    <w:rsid w:val="00FB4228"/>
    <w:rsid w:val="00FB4C13"/>
    <w:rsid w:val="00FB5D19"/>
    <w:rsid w:val="00FB6B61"/>
    <w:rsid w:val="00FB6BBE"/>
    <w:rsid w:val="00FB7060"/>
    <w:rsid w:val="00FB72BF"/>
    <w:rsid w:val="00FB7B20"/>
    <w:rsid w:val="00FC02D5"/>
    <w:rsid w:val="00FC14F7"/>
    <w:rsid w:val="00FC35CD"/>
    <w:rsid w:val="00FC3D86"/>
    <w:rsid w:val="00FC41AC"/>
    <w:rsid w:val="00FC44BF"/>
    <w:rsid w:val="00FC4C90"/>
    <w:rsid w:val="00FC53AB"/>
    <w:rsid w:val="00FC57AB"/>
    <w:rsid w:val="00FC65C9"/>
    <w:rsid w:val="00FC6C3F"/>
    <w:rsid w:val="00FC6FD0"/>
    <w:rsid w:val="00FC7426"/>
    <w:rsid w:val="00FC75CC"/>
    <w:rsid w:val="00FC7B43"/>
    <w:rsid w:val="00FC7C32"/>
    <w:rsid w:val="00FD0136"/>
    <w:rsid w:val="00FD03F9"/>
    <w:rsid w:val="00FD1084"/>
    <w:rsid w:val="00FD2530"/>
    <w:rsid w:val="00FD3C01"/>
    <w:rsid w:val="00FD4CAE"/>
    <w:rsid w:val="00FD5EAA"/>
    <w:rsid w:val="00FD5EE5"/>
    <w:rsid w:val="00FD6276"/>
    <w:rsid w:val="00FD630E"/>
    <w:rsid w:val="00FD66DF"/>
    <w:rsid w:val="00FD673B"/>
    <w:rsid w:val="00FD6880"/>
    <w:rsid w:val="00FD6BED"/>
    <w:rsid w:val="00FD6E4C"/>
    <w:rsid w:val="00FD75B1"/>
    <w:rsid w:val="00FD7717"/>
    <w:rsid w:val="00FD7C30"/>
    <w:rsid w:val="00FE0841"/>
    <w:rsid w:val="00FE0D74"/>
    <w:rsid w:val="00FE11DC"/>
    <w:rsid w:val="00FE132D"/>
    <w:rsid w:val="00FE1371"/>
    <w:rsid w:val="00FE288C"/>
    <w:rsid w:val="00FE38D0"/>
    <w:rsid w:val="00FE3C3F"/>
    <w:rsid w:val="00FE3D2C"/>
    <w:rsid w:val="00FE3E67"/>
    <w:rsid w:val="00FE407C"/>
    <w:rsid w:val="00FE51ED"/>
    <w:rsid w:val="00FE55CA"/>
    <w:rsid w:val="00FE5841"/>
    <w:rsid w:val="00FE5CDE"/>
    <w:rsid w:val="00FE5FAD"/>
    <w:rsid w:val="00FE625D"/>
    <w:rsid w:val="00FE625F"/>
    <w:rsid w:val="00FE7CF9"/>
    <w:rsid w:val="00FF02B4"/>
    <w:rsid w:val="00FF0887"/>
    <w:rsid w:val="00FF0DB7"/>
    <w:rsid w:val="00FF1B52"/>
    <w:rsid w:val="00FF1D0D"/>
    <w:rsid w:val="00FF31CA"/>
    <w:rsid w:val="00FF378B"/>
    <w:rsid w:val="00FF3D01"/>
    <w:rsid w:val="00FF4F28"/>
    <w:rsid w:val="00FF50C1"/>
    <w:rsid w:val="00FF51A8"/>
    <w:rsid w:val="00FF569E"/>
    <w:rsid w:val="00FF5FE3"/>
    <w:rsid w:val="00FF6E3C"/>
    <w:rsid w:val="00FF7179"/>
    <w:rsid w:val="00FF7308"/>
    <w:rsid w:val="01F702D4"/>
    <w:rsid w:val="0218B9D7"/>
    <w:rsid w:val="022AAAA6"/>
    <w:rsid w:val="025EBB3F"/>
    <w:rsid w:val="02CE8097"/>
    <w:rsid w:val="0497889A"/>
    <w:rsid w:val="04C9321E"/>
    <w:rsid w:val="04D42EE9"/>
    <w:rsid w:val="05025CBB"/>
    <w:rsid w:val="0549E115"/>
    <w:rsid w:val="05A090F3"/>
    <w:rsid w:val="063406EC"/>
    <w:rsid w:val="067D826D"/>
    <w:rsid w:val="06916934"/>
    <w:rsid w:val="06DA232A"/>
    <w:rsid w:val="06E73988"/>
    <w:rsid w:val="06ED60D4"/>
    <w:rsid w:val="0776D814"/>
    <w:rsid w:val="07E4B2EC"/>
    <w:rsid w:val="08B1E3E5"/>
    <w:rsid w:val="08C69449"/>
    <w:rsid w:val="08C69BF3"/>
    <w:rsid w:val="0918EF2B"/>
    <w:rsid w:val="093FC123"/>
    <w:rsid w:val="094FC7B3"/>
    <w:rsid w:val="09C9B0FF"/>
    <w:rsid w:val="09F636A4"/>
    <w:rsid w:val="0A7DB267"/>
    <w:rsid w:val="0B05A30F"/>
    <w:rsid w:val="0B0AD9C4"/>
    <w:rsid w:val="0B3D9101"/>
    <w:rsid w:val="0C162CD6"/>
    <w:rsid w:val="0C2BB729"/>
    <w:rsid w:val="0C77053F"/>
    <w:rsid w:val="0E235CEE"/>
    <w:rsid w:val="0E335D3D"/>
    <w:rsid w:val="0E54A662"/>
    <w:rsid w:val="0E5FA89B"/>
    <w:rsid w:val="0EBFFF07"/>
    <w:rsid w:val="0EF14435"/>
    <w:rsid w:val="0F434F98"/>
    <w:rsid w:val="10029288"/>
    <w:rsid w:val="10F6BD98"/>
    <w:rsid w:val="116A7185"/>
    <w:rsid w:val="1193D129"/>
    <w:rsid w:val="1285256C"/>
    <w:rsid w:val="12B9C3AB"/>
    <w:rsid w:val="12F790EE"/>
    <w:rsid w:val="12FA8876"/>
    <w:rsid w:val="1323B417"/>
    <w:rsid w:val="1339351F"/>
    <w:rsid w:val="13BAF39A"/>
    <w:rsid w:val="140AC3A3"/>
    <w:rsid w:val="14134EDB"/>
    <w:rsid w:val="14248308"/>
    <w:rsid w:val="14D20752"/>
    <w:rsid w:val="1523EE00"/>
    <w:rsid w:val="15B783F3"/>
    <w:rsid w:val="160D988A"/>
    <w:rsid w:val="1666214F"/>
    <w:rsid w:val="1682FA0C"/>
    <w:rsid w:val="17093137"/>
    <w:rsid w:val="17288219"/>
    <w:rsid w:val="174CF8BE"/>
    <w:rsid w:val="17648D42"/>
    <w:rsid w:val="17764B09"/>
    <w:rsid w:val="17B2F530"/>
    <w:rsid w:val="17F9B71C"/>
    <w:rsid w:val="183A757C"/>
    <w:rsid w:val="1851BFBE"/>
    <w:rsid w:val="19565B7C"/>
    <w:rsid w:val="19D714AF"/>
    <w:rsid w:val="1B17AA6E"/>
    <w:rsid w:val="1C12D85E"/>
    <w:rsid w:val="1C1A696B"/>
    <w:rsid w:val="1C2139C0"/>
    <w:rsid w:val="1C84F274"/>
    <w:rsid w:val="1D041543"/>
    <w:rsid w:val="1D33C4AA"/>
    <w:rsid w:val="1D4FFB26"/>
    <w:rsid w:val="1E995AF8"/>
    <w:rsid w:val="1EBF0680"/>
    <w:rsid w:val="1F59D346"/>
    <w:rsid w:val="1F9CD3D2"/>
    <w:rsid w:val="20016DB7"/>
    <w:rsid w:val="22399ADD"/>
    <w:rsid w:val="22B8E1BD"/>
    <w:rsid w:val="22D8F901"/>
    <w:rsid w:val="23A3B2F8"/>
    <w:rsid w:val="246A53EE"/>
    <w:rsid w:val="24EEE9DE"/>
    <w:rsid w:val="24FD716E"/>
    <w:rsid w:val="254D381D"/>
    <w:rsid w:val="25AD1CFB"/>
    <w:rsid w:val="25BF0297"/>
    <w:rsid w:val="25C3F1F9"/>
    <w:rsid w:val="265BBDA4"/>
    <w:rsid w:val="26662FE7"/>
    <w:rsid w:val="26C45165"/>
    <w:rsid w:val="274A022D"/>
    <w:rsid w:val="275E03DF"/>
    <w:rsid w:val="27E84283"/>
    <w:rsid w:val="27F1C3E4"/>
    <w:rsid w:val="28661D10"/>
    <w:rsid w:val="28D18B6E"/>
    <w:rsid w:val="2928AB4D"/>
    <w:rsid w:val="29E879C6"/>
    <w:rsid w:val="2A02F364"/>
    <w:rsid w:val="2B0777ED"/>
    <w:rsid w:val="2B275BB4"/>
    <w:rsid w:val="2D81A5BF"/>
    <w:rsid w:val="2DDE22EF"/>
    <w:rsid w:val="2E11F8BA"/>
    <w:rsid w:val="2E533CAD"/>
    <w:rsid w:val="2EB6FCA9"/>
    <w:rsid w:val="2F457EEC"/>
    <w:rsid w:val="2F73E19D"/>
    <w:rsid w:val="2FF0BC68"/>
    <w:rsid w:val="30074732"/>
    <w:rsid w:val="311D43BD"/>
    <w:rsid w:val="3125582C"/>
    <w:rsid w:val="315753E0"/>
    <w:rsid w:val="32478D43"/>
    <w:rsid w:val="32754C75"/>
    <w:rsid w:val="33BBF2BE"/>
    <w:rsid w:val="33D1C1A8"/>
    <w:rsid w:val="346E91BE"/>
    <w:rsid w:val="35236E06"/>
    <w:rsid w:val="35BB4C64"/>
    <w:rsid w:val="35C25388"/>
    <w:rsid w:val="360888AE"/>
    <w:rsid w:val="36D4168B"/>
    <w:rsid w:val="375550E1"/>
    <w:rsid w:val="37B1B2D8"/>
    <w:rsid w:val="3837AC0C"/>
    <w:rsid w:val="38403810"/>
    <w:rsid w:val="387A7B7F"/>
    <w:rsid w:val="3910C565"/>
    <w:rsid w:val="399A8ABD"/>
    <w:rsid w:val="3A1B33D5"/>
    <w:rsid w:val="3A6DC782"/>
    <w:rsid w:val="3AAC9930"/>
    <w:rsid w:val="3B2D0BE1"/>
    <w:rsid w:val="3B6C1DC5"/>
    <w:rsid w:val="3C2536DF"/>
    <w:rsid w:val="3C733BDC"/>
    <w:rsid w:val="3C7BAC54"/>
    <w:rsid w:val="3CAC821A"/>
    <w:rsid w:val="3CCBB294"/>
    <w:rsid w:val="3D639D6B"/>
    <w:rsid w:val="3D6DE504"/>
    <w:rsid w:val="3D6FBB0E"/>
    <w:rsid w:val="3E99DF6B"/>
    <w:rsid w:val="3EE87106"/>
    <w:rsid w:val="3EFD376F"/>
    <w:rsid w:val="3F19142F"/>
    <w:rsid w:val="3F3500A9"/>
    <w:rsid w:val="3F752F11"/>
    <w:rsid w:val="3F99DEF3"/>
    <w:rsid w:val="402EF725"/>
    <w:rsid w:val="4030BB4D"/>
    <w:rsid w:val="4062E180"/>
    <w:rsid w:val="41DCD317"/>
    <w:rsid w:val="420B4EC5"/>
    <w:rsid w:val="423B8DBE"/>
    <w:rsid w:val="42417998"/>
    <w:rsid w:val="42513A31"/>
    <w:rsid w:val="42757A37"/>
    <w:rsid w:val="442D3D3E"/>
    <w:rsid w:val="4449F3DE"/>
    <w:rsid w:val="445A2FCE"/>
    <w:rsid w:val="44707E77"/>
    <w:rsid w:val="44A487ED"/>
    <w:rsid w:val="44A8425A"/>
    <w:rsid w:val="452C6FA5"/>
    <w:rsid w:val="457D5581"/>
    <w:rsid w:val="46041484"/>
    <w:rsid w:val="4652722F"/>
    <w:rsid w:val="466015BD"/>
    <w:rsid w:val="46E372D5"/>
    <w:rsid w:val="47C4637E"/>
    <w:rsid w:val="4866CA0E"/>
    <w:rsid w:val="48C2D922"/>
    <w:rsid w:val="495A8B60"/>
    <w:rsid w:val="49B7BAC6"/>
    <w:rsid w:val="4A41FBA6"/>
    <w:rsid w:val="4AC26CCD"/>
    <w:rsid w:val="4AC52186"/>
    <w:rsid w:val="4B5D586F"/>
    <w:rsid w:val="4CE1B13B"/>
    <w:rsid w:val="4D0C0E1B"/>
    <w:rsid w:val="4E024F26"/>
    <w:rsid w:val="4E976093"/>
    <w:rsid w:val="4EAA709D"/>
    <w:rsid w:val="4F16E3AD"/>
    <w:rsid w:val="4F2AAFE1"/>
    <w:rsid w:val="4F8AC354"/>
    <w:rsid w:val="4F8EE564"/>
    <w:rsid w:val="4FAEE4CE"/>
    <w:rsid w:val="4FF63CA1"/>
    <w:rsid w:val="50885B0A"/>
    <w:rsid w:val="509E9516"/>
    <w:rsid w:val="51597308"/>
    <w:rsid w:val="515A822B"/>
    <w:rsid w:val="51C1ADB8"/>
    <w:rsid w:val="522006FB"/>
    <w:rsid w:val="5235A0A2"/>
    <w:rsid w:val="52AAA77E"/>
    <w:rsid w:val="52B50935"/>
    <w:rsid w:val="534EACB7"/>
    <w:rsid w:val="5455B67F"/>
    <w:rsid w:val="5584BE7A"/>
    <w:rsid w:val="55DF9C35"/>
    <w:rsid w:val="560B221E"/>
    <w:rsid w:val="561E687B"/>
    <w:rsid w:val="5627CEC9"/>
    <w:rsid w:val="568B35E0"/>
    <w:rsid w:val="574B350B"/>
    <w:rsid w:val="5953B145"/>
    <w:rsid w:val="5994ECA9"/>
    <w:rsid w:val="5A1B2EB8"/>
    <w:rsid w:val="5A1F1ED1"/>
    <w:rsid w:val="5B335BC5"/>
    <w:rsid w:val="5B592758"/>
    <w:rsid w:val="5C26CCD9"/>
    <w:rsid w:val="5C3174FA"/>
    <w:rsid w:val="5CA7EC3A"/>
    <w:rsid w:val="5CCCA236"/>
    <w:rsid w:val="5CF143A5"/>
    <w:rsid w:val="5D9B5A9F"/>
    <w:rsid w:val="5DAE1D6C"/>
    <w:rsid w:val="5DE34CEF"/>
    <w:rsid w:val="5E321096"/>
    <w:rsid w:val="5E3D27E9"/>
    <w:rsid w:val="5EF42B97"/>
    <w:rsid w:val="603B87FE"/>
    <w:rsid w:val="605BC159"/>
    <w:rsid w:val="60985667"/>
    <w:rsid w:val="6250317A"/>
    <w:rsid w:val="63EAA03F"/>
    <w:rsid w:val="63EB26B0"/>
    <w:rsid w:val="641F3B41"/>
    <w:rsid w:val="6441BC2E"/>
    <w:rsid w:val="64DD13CD"/>
    <w:rsid w:val="64F0DD36"/>
    <w:rsid w:val="65548212"/>
    <w:rsid w:val="657981C8"/>
    <w:rsid w:val="657ABC38"/>
    <w:rsid w:val="657DE126"/>
    <w:rsid w:val="659F8CED"/>
    <w:rsid w:val="6628C733"/>
    <w:rsid w:val="6715866C"/>
    <w:rsid w:val="676825DF"/>
    <w:rsid w:val="6792DB37"/>
    <w:rsid w:val="68FCED21"/>
    <w:rsid w:val="693DB0C6"/>
    <w:rsid w:val="694FEDAF"/>
    <w:rsid w:val="69773CB5"/>
    <w:rsid w:val="697E266C"/>
    <w:rsid w:val="69941FAF"/>
    <w:rsid w:val="69A5DB30"/>
    <w:rsid w:val="69A771DF"/>
    <w:rsid w:val="6A2526CB"/>
    <w:rsid w:val="6BE5803D"/>
    <w:rsid w:val="6CE647F2"/>
    <w:rsid w:val="6CEC2197"/>
    <w:rsid w:val="6CFE64B1"/>
    <w:rsid w:val="6D459FD6"/>
    <w:rsid w:val="6D795EB9"/>
    <w:rsid w:val="6E7D8BAA"/>
    <w:rsid w:val="6F509D51"/>
    <w:rsid w:val="6FD3ECF4"/>
    <w:rsid w:val="6FE69550"/>
    <w:rsid w:val="705C47FB"/>
    <w:rsid w:val="7092A4D5"/>
    <w:rsid w:val="70CCB2F2"/>
    <w:rsid w:val="70DEA4FA"/>
    <w:rsid w:val="71023418"/>
    <w:rsid w:val="7177E6A2"/>
    <w:rsid w:val="71CB8A24"/>
    <w:rsid w:val="71F9ED9C"/>
    <w:rsid w:val="7224C63B"/>
    <w:rsid w:val="72339E52"/>
    <w:rsid w:val="725B6BA2"/>
    <w:rsid w:val="72AD98F3"/>
    <w:rsid w:val="72F6D63C"/>
    <w:rsid w:val="7313B241"/>
    <w:rsid w:val="734248F3"/>
    <w:rsid w:val="74C1A763"/>
    <w:rsid w:val="74C9DE37"/>
    <w:rsid w:val="74E872F5"/>
    <w:rsid w:val="757ACC04"/>
    <w:rsid w:val="76175E38"/>
    <w:rsid w:val="7653D6E8"/>
    <w:rsid w:val="76A875E9"/>
    <w:rsid w:val="76C44C37"/>
    <w:rsid w:val="76DF9BF6"/>
    <w:rsid w:val="76EFA70C"/>
    <w:rsid w:val="772AAB46"/>
    <w:rsid w:val="77746F78"/>
    <w:rsid w:val="778EA161"/>
    <w:rsid w:val="78765712"/>
    <w:rsid w:val="788F3A75"/>
    <w:rsid w:val="78AA4B06"/>
    <w:rsid w:val="78DC0ECB"/>
    <w:rsid w:val="78E220EA"/>
    <w:rsid w:val="7910AF89"/>
    <w:rsid w:val="7A49F05B"/>
    <w:rsid w:val="7ACB0655"/>
    <w:rsid w:val="7ACE8F31"/>
    <w:rsid w:val="7B2BF0CA"/>
    <w:rsid w:val="7C6AF596"/>
    <w:rsid w:val="7C97D394"/>
    <w:rsid w:val="7D486EB1"/>
    <w:rsid w:val="7DD9E1E8"/>
    <w:rsid w:val="7E1A93A3"/>
    <w:rsid w:val="7E5D0A97"/>
    <w:rsid w:val="7E7EAD95"/>
    <w:rsid w:val="7EEFD634"/>
    <w:rsid w:val="7F00FDA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34F9DF"/>
  <w15:docId w15:val="{97F7A948-19CF-4DBD-A73D-A833F631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semiHidden="1" w:uiPriority="7"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73A"/>
    <w:pPr>
      <w:jc w:val="both"/>
    </w:pPr>
    <w:rPr>
      <w:rFonts w:ascii="DINPro-Light" w:hAnsi="DINPro-Light"/>
      <w:color w:val="000000" w:themeColor="text1"/>
      <w:sz w:val="22"/>
      <w:shd w:val="clear" w:color="auto" w:fill="FFFFFF"/>
      <w:lang w:eastAsia="zh-CN"/>
    </w:rPr>
  </w:style>
  <w:style w:type="paragraph" w:styleId="Ttulo1">
    <w:name w:val="heading 1"/>
    <w:basedOn w:val="Normal"/>
    <w:next w:val="Normal"/>
    <w:link w:val="Ttulo1Car"/>
    <w:uiPriority w:val="7"/>
    <w:qFormat/>
    <w:rsid w:val="00834BC7"/>
    <w:pPr>
      <w:keepNext/>
      <w:keepLines/>
      <w:spacing w:before="360" w:after="360" w:line="240" w:lineRule="auto"/>
      <w:outlineLvl w:val="0"/>
    </w:pPr>
    <w:rPr>
      <w:rFonts w:asciiTheme="majorHAnsi" w:eastAsiaTheme="majorEastAsia" w:hAnsiTheme="majorHAnsi" w:cstheme="majorBidi"/>
      <w:b/>
      <w:bCs/>
      <w:caps/>
      <w:color w:val="536374" w:themeColor="text2"/>
      <w:sz w:val="28"/>
      <w:lang w:val="en-GB"/>
    </w:rPr>
  </w:style>
  <w:style w:type="paragraph" w:styleId="Ttulo2">
    <w:name w:val="heading 2"/>
    <w:basedOn w:val="Normal"/>
    <w:next w:val="Normal"/>
    <w:link w:val="Ttulo2Car"/>
    <w:uiPriority w:val="7"/>
    <w:unhideWhenUsed/>
    <w:qFormat/>
    <w:rsid w:val="00016A9B"/>
    <w:pPr>
      <w:keepNext/>
      <w:keepLines/>
      <w:spacing w:before="360" w:after="120"/>
      <w:outlineLvl w:val="1"/>
    </w:pPr>
    <w:rPr>
      <w:rFonts w:asciiTheme="majorHAnsi" w:eastAsiaTheme="majorEastAsia" w:hAnsiTheme="majorHAnsi" w:cstheme="majorBidi"/>
      <w:b/>
      <w:bCs/>
      <w:color w:val="536374" w:themeColor="text2"/>
      <w:sz w:val="28"/>
    </w:rPr>
  </w:style>
  <w:style w:type="paragraph" w:styleId="Ttulo3">
    <w:name w:val="heading 3"/>
    <w:basedOn w:val="Normal"/>
    <w:next w:val="Normal"/>
    <w:link w:val="Ttulo3Car"/>
    <w:uiPriority w:val="7"/>
    <w:unhideWhenUsed/>
    <w:qFormat/>
    <w:rsid w:val="00201BB9"/>
    <w:pPr>
      <w:keepNext/>
      <w:keepLines/>
      <w:spacing w:before="240" w:after="120"/>
      <w:ind w:left="28" w:right="28"/>
      <w:outlineLvl w:val="2"/>
    </w:pPr>
    <w:rPr>
      <w:rFonts w:asciiTheme="majorHAnsi" w:eastAsiaTheme="majorEastAsia" w:hAnsiTheme="majorHAnsi" w:cstheme="majorBidi"/>
      <w:b/>
      <w:color w:val="0088B4"/>
      <w:sz w:val="28"/>
      <w:szCs w:val="24"/>
    </w:rPr>
  </w:style>
  <w:style w:type="paragraph" w:styleId="Ttulo4">
    <w:name w:val="heading 4"/>
    <w:basedOn w:val="Normal"/>
    <w:next w:val="Normal"/>
    <w:link w:val="Ttulo4Car"/>
    <w:uiPriority w:val="7"/>
    <w:semiHidden/>
    <w:unhideWhenUsed/>
    <w:qFormat/>
    <w:rsid w:val="00697A73"/>
    <w:pPr>
      <w:keepNext/>
      <w:keepLines/>
      <w:spacing w:before="40"/>
      <w:outlineLvl w:val="3"/>
    </w:pPr>
    <w:rPr>
      <w:rFonts w:asciiTheme="majorHAnsi" w:eastAsiaTheme="majorEastAsia" w:hAnsiTheme="majorHAnsi" w:cstheme="majorBidi"/>
      <w:i/>
      <w:iCs/>
      <w:color w:val="0088B4"/>
    </w:rPr>
  </w:style>
  <w:style w:type="paragraph" w:styleId="Ttulo5">
    <w:name w:val="heading 5"/>
    <w:basedOn w:val="Normal"/>
    <w:next w:val="Normal"/>
    <w:link w:val="Ttulo5Car"/>
    <w:uiPriority w:val="7"/>
    <w:semiHidden/>
    <w:unhideWhenUsed/>
    <w:qFormat/>
    <w:rsid w:val="005D33BF"/>
    <w:pPr>
      <w:keepNext/>
      <w:keepLines/>
      <w:spacing w:before="40" w:after="0"/>
      <w:outlineLvl w:val="4"/>
    </w:pPr>
    <w:rPr>
      <w:rFonts w:asciiTheme="majorHAnsi" w:eastAsiaTheme="majorEastAsia" w:hAnsiTheme="majorHAnsi" w:cstheme="majorBidi"/>
      <w:color w:val="2D6E93"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E07C64"/>
    <w:pPr>
      <w:spacing w:line="240" w:lineRule="auto"/>
      <w:ind w:left="29" w:right="144"/>
      <w:jc w:val="right"/>
    </w:pPr>
    <w:rPr>
      <w:color w:val="3D94C4" w:themeColor="accent1"/>
    </w:rPr>
  </w:style>
  <w:style w:type="character" w:customStyle="1" w:styleId="PiedepginaCar">
    <w:name w:val="Pie de página Car"/>
    <w:basedOn w:val="Fuentedeprrafopredeter"/>
    <w:link w:val="Piedepgina"/>
    <w:uiPriority w:val="99"/>
    <w:rsid w:val="00E07C64"/>
    <w:rPr>
      <w:color w:val="3D94C4" w:themeColor="accent1"/>
      <w:sz w:val="24"/>
    </w:rPr>
  </w:style>
  <w:style w:type="paragraph" w:styleId="Subttulo">
    <w:name w:val="Subtitle"/>
    <w:basedOn w:val="Normal"/>
    <w:link w:val="SubttuloCar"/>
    <w:uiPriority w:val="2"/>
    <w:unhideWhenUsed/>
    <w:qFormat/>
    <w:rsid w:val="007F7F91"/>
    <w:rPr>
      <w:rFonts w:ascii="DIN Next LT Pro Medium Cond" w:hAnsi="DIN Next LT Pro Medium Cond"/>
      <w:b/>
      <w:color w:val="536374"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Encabezado">
    <w:name w:val="header"/>
    <w:basedOn w:val="Normal"/>
    <w:link w:val="EncabezadoCar"/>
    <w:uiPriority w:val="99"/>
    <w:pPr>
      <w:spacing w:after="380" w:line="240" w:lineRule="auto"/>
    </w:pPr>
  </w:style>
  <w:style w:type="character" w:customStyle="1" w:styleId="EncabezadoCar">
    <w:name w:val="Encabezado Car"/>
    <w:basedOn w:val="Fuentedeprrafopredeter"/>
    <w:link w:val="Encabezado"/>
    <w:uiPriority w:val="99"/>
    <w:rPr>
      <w:color w:val="404040" w:themeColor="text1" w:themeTint="BF"/>
      <w:sz w:val="20"/>
    </w:rPr>
  </w:style>
  <w:style w:type="table" w:styleId="Tablaconcuadrcula">
    <w:name w:val="Table Grid"/>
    <w:basedOn w:val="Tablanormal"/>
    <w:uiPriority w:val="59"/>
    <w:rsid w:val="003A07FF"/>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Ttulo3Car">
    <w:name w:val="Título 3 Car"/>
    <w:basedOn w:val="Fuentedeprrafopredeter"/>
    <w:link w:val="Ttulo3"/>
    <w:uiPriority w:val="7"/>
    <w:rsid w:val="00201BB9"/>
    <w:rPr>
      <w:rFonts w:asciiTheme="majorHAnsi" w:eastAsiaTheme="majorEastAsia" w:hAnsiTheme="majorHAnsi" w:cstheme="majorBidi"/>
      <w:b/>
      <w:color w:val="0088B4"/>
      <w:sz w:val="28"/>
      <w:szCs w:val="24"/>
    </w:rPr>
  </w:style>
  <w:style w:type="paragraph" w:styleId="Ttulo">
    <w:name w:val="Title"/>
    <w:basedOn w:val="Normal"/>
    <w:link w:val="TtuloCar"/>
    <w:uiPriority w:val="1"/>
    <w:qFormat/>
    <w:rsid w:val="00EC5902"/>
    <w:pPr>
      <w:framePr w:hSpace="180" w:wrap="around" w:vAnchor="text" w:hAnchor="text" w:x="-19" w:y="9067"/>
      <w:spacing w:line="240" w:lineRule="auto"/>
    </w:pPr>
    <w:rPr>
      <w:rFonts w:asciiTheme="majorHAnsi" w:eastAsiaTheme="majorEastAsia" w:hAnsiTheme="majorHAnsi" w:cstheme="majorBidi"/>
      <w:b/>
      <w:bCs/>
      <w:color w:val="536374" w:themeColor="text2"/>
      <w:sz w:val="72"/>
      <w:szCs w:val="90"/>
    </w:rPr>
  </w:style>
  <w:style w:type="character" w:customStyle="1" w:styleId="TtuloCar">
    <w:name w:val="Título Car"/>
    <w:basedOn w:val="Fuentedeprrafopredeter"/>
    <w:link w:val="Ttulo"/>
    <w:uiPriority w:val="1"/>
    <w:rsid w:val="00EC5902"/>
    <w:rPr>
      <w:rFonts w:asciiTheme="majorHAnsi" w:eastAsiaTheme="majorEastAsia" w:hAnsiTheme="majorHAnsi" w:cstheme="majorBidi"/>
      <w:b/>
      <w:bCs/>
      <w:color w:val="536374" w:themeColor="text2"/>
      <w:sz w:val="72"/>
      <w:szCs w:val="90"/>
    </w:rPr>
  </w:style>
  <w:style w:type="character" w:styleId="Textodelmarcadordeposicin">
    <w:name w:val="Placeholder Text"/>
    <w:basedOn w:val="Fuentedeprrafopredeter"/>
    <w:uiPriority w:val="99"/>
    <w:semiHidden/>
    <w:rPr>
      <w:color w:val="808080"/>
    </w:rPr>
  </w:style>
  <w:style w:type="paragraph" w:styleId="Textodeglobo">
    <w:name w:val="Balloon Text"/>
    <w:basedOn w:val="Normal"/>
    <w:link w:val="TextodegloboCar"/>
    <w:uiPriority w:val="99"/>
    <w:semiHidden/>
    <w:unhideWhenUsed/>
    <w:pPr>
      <w:spacing w:line="240" w:lineRule="auto"/>
    </w:pPr>
    <w:rPr>
      <w:rFonts w:ascii="Tahoma" w:hAnsi="Tahoma" w:cs="Tahoma"/>
      <w:sz w:val="16"/>
    </w:rPr>
  </w:style>
  <w:style w:type="character" w:customStyle="1" w:styleId="TextodegloboCar">
    <w:name w:val="Texto de globo Car"/>
    <w:basedOn w:val="Fuentedeprrafopredeter"/>
    <w:link w:val="Textodeglobo"/>
    <w:uiPriority w:val="99"/>
    <w:semiHidden/>
    <w:rPr>
      <w:rFonts w:ascii="Tahoma" w:hAnsi="Tahoma" w:cs="Tahoma"/>
      <w:sz w:val="16"/>
    </w:rPr>
  </w:style>
  <w:style w:type="character" w:styleId="Fuerte">
    <w:name w:val="Strong"/>
    <w:basedOn w:val="Fuentedeprrafopredeter"/>
    <w:uiPriority w:val="22"/>
    <w:qFormat/>
    <w:rPr>
      <w:b/>
      <w:bCs/>
    </w:rPr>
  </w:style>
  <w:style w:type="character" w:customStyle="1" w:styleId="SubttuloCar">
    <w:name w:val="Subtítulo Car"/>
    <w:basedOn w:val="Fuentedeprrafopredeter"/>
    <w:link w:val="Subttulo"/>
    <w:uiPriority w:val="2"/>
    <w:rsid w:val="007F7F91"/>
    <w:rPr>
      <w:rFonts w:ascii="DIN Next LT Pro Medium Cond" w:hAnsi="DIN Next LT Pro Medium Cond"/>
      <w:b/>
      <w:color w:val="536374" w:themeColor="text2"/>
      <w:sz w:val="36"/>
      <w:szCs w:val="36"/>
      <w:lang w:eastAsia="zh-CN"/>
    </w:rPr>
  </w:style>
  <w:style w:type="paragraph" w:styleId="Sinespaciado">
    <w:name w:val="No Spacing"/>
    <w:link w:val="SinespaciadoC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2D6E93" w:themeColor="accent1" w:themeShade="BF"/>
    </w:rPr>
  </w:style>
  <w:style w:type="paragraph" w:styleId="TDC1">
    <w:name w:val="toc 1"/>
    <w:basedOn w:val="Normal"/>
    <w:next w:val="Normal"/>
    <w:autoRedefine/>
    <w:uiPriority w:val="39"/>
    <w:unhideWhenUsed/>
    <w:rsid w:val="00770A6D"/>
    <w:pPr>
      <w:tabs>
        <w:tab w:val="right" w:leader="underscore" w:pos="9926"/>
      </w:tabs>
      <w:spacing w:after="0"/>
    </w:pPr>
    <w:rPr>
      <w:b/>
      <w:bCs/>
      <w:i/>
      <w:iCs/>
      <w:szCs w:val="24"/>
    </w:rPr>
  </w:style>
  <w:style w:type="character" w:customStyle="1" w:styleId="Ttulo1Car">
    <w:name w:val="Título 1 Car"/>
    <w:basedOn w:val="Fuentedeprrafopredeter"/>
    <w:link w:val="Ttulo1"/>
    <w:uiPriority w:val="7"/>
    <w:rsid w:val="00834BC7"/>
    <w:rPr>
      <w:rFonts w:asciiTheme="majorHAnsi" w:eastAsiaTheme="majorEastAsia" w:hAnsiTheme="majorHAnsi" w:cstheme="majorBidi"/>
      <w:b/>
      <w:bCs/>
      <w:caps/>
      <w:color w:val="536374" w:themeColor="text2"/>
      <w:sz w:val="28"/>
      <w:lang w:val="en-GB" w:eastAsia="zh-CN"/>
    </w:rPr>
  </w:style>
  <w:style w:type="paragraph" w:styleId="TtuloTDC">
    <w:name w:val="TOC Heading"/>
    <w:basedOn w:val="Ttulo1"/>
    <w:next w:val="Normal"/>
    <w:uiPriority w:val="39"/>
    <w:unhideWhenUsed/>
    <w:qFormat/>
    <w:rsid w:val="00914F52"/>
    <w:pPr>
      <w:pageBreakBefore/>
      <w:spacing w:before="0"/>
      <w:outlineLvl w:val="9"/>
    </w:pPr>
    <w:rPr>
      <w:color w:val="000000" w:themeColor="text1"/>
      <w:kern w:val="20"/>
      <w:sz w:val="44"/>
    </w:rPr>
  </w:style>
  <w:style w:type="character" w:customStyle="1" w:styleId="Ttulo2Car">
    <w:name w:val="Título 2 Car"/>
    <w:basedOn w:val="Fuentedeprrafopredeter"/>
    <w:link w:val="Ttulo2"/>
    <w:uiPriority w:val="7"/>
    <w:rsid w:val="00016A9B"/>
    <w:rPr>
      <w:rFonts w:asciiTheme="majorHAnsi" w:eastAsiaTheme="majorEastAsia" w:hAnsiTheme="majorHAnsi" w:cstheme="majorBidi"/>
      <w:b/>
      <w:bCs/>
      <w:color w:val="536374" w:themeColor="text2"/>
      <w:sz w:val="28"/>
      <w:lang w:eastAsia="zh-CN"/>
    </w:rPr>
  </w:style>
  <w:style w:type="paragraph" w:styleId="Cita">
    <w:name w:val="Quote"/>
    <w:basedOn w:val="Normal"/>
    <w:next w:val="Normal"/>
    <w:link w:val="CitaCar"/>
    <w:uiPriority w:val="3"/>
    <w:unhideWhenUsed/>
    <w:qFormat/>
    <w:rsid w:val="0088413C"/>
    <w:pPr>
      <w:keepNext/>
      <w:keepLines/>
      <w:pBdr>
        <w:top w:val="single" w:sz="18" w:space="1" w:color="21BDF4" w:themeColor="accent2"/>
        <w:bottom w:val="single" w:sz="18" w:space="1" w:color="21BDF4" w:themeColor="accent2"/>
      </w:pBdr>
      <w:spacing w:before="20" w:after="20" w:line="240" w:lineRule="auto"/>
      <w:ind w:left="851" w:right="851"/>
    </w:pPr>
    <w:rPr>
      <w:i/>
      <w:iCs/>
      <w:color w:val="0088B4"/>
      <w:kern w:val="20"/>
      <w:sz w:val="28"/>
      <w:szCs w:val="28"/>
      <w:lang w:val="en-GB"/>
    </w:rPr>
  </w:style>
  <w:style w:type="character" w:customStyle="1" w:styleId="CitaCar">
    <w:name w:val="Cita Car"/>
    <w:basedOn w:val="Fuentedeprrafopredeter"/>
    <w:link w:val="Cita"/>
    <w:uiPriority w:val="3"/>
    <w:rsid w:val="0088413C"/>
    <w:rPr>
      <w:rFonts w:ascii="DINPro-Light" w:hAnsi="DINPro-Light"/>
      <w:i/>
      <w:iCs/>
      <w:color w:val="0088B4"/>
      <w:kern w:val="20"/>
      <w:sz w:val="28"/>
      <w:szCs w:val="28"/>
      <w:lang w:val="en-GB" w:eastAsia="zh-CN"/>
    </w:rPr>
  </w:style>
  <w:style w:type="paragraph" w:styleId="Firma">
    <w:name w:val="Signature"/>
    <w:basedOn w:val="Normal"/>
    <w:link w:val="FirmaCar"/>
    <w:uiPriority w:val="8"/>
    <w:unhideWhenUsed/>
    <w:qFormat/>
    <w:rsid w:val="00E523C3"/>
    <w:pPr>
      <w:spacing w:before="720" w:line="312" w:lineRule="auto"/>
    </w:pPr>
    <w:rPr>
      <w:b/>
      <w:kern w:val="20"/>
    </w:rPr>
  </w:style>
  <w:style w:type="character" w:customStyle="1" w:styleId="FirmaCar">
    <w:name w:val="Firma Car"/>
    <w:basedOn w:val="Fuentedeprrafopredeter"/>
    <w:link w:val="Firma"/>
    <w:uiPriority w:val="8"/>
    <w:rsid w:val="00E523C3"/>
    <w:rPr>
      <w:b/>
      <w:color w:val="000000" w:themeColor="text1"/>
      <w:kern w:val="20"/>
      <w:sz w:val="24"/>
    </w:rPr>
  </w:style>
  <w:style w:type="character" w:customStyle="1" w:styleId="SinespaciadoCar">
    <w:name w:val="Sin espaciado Car"/>
    <w:basedOn w:val="Fuentedeprrafopredeter"/>
    <w:link w:val="Sinespaciado"/>
    <w:uiPriority w:val="98"/>
  </w:style>
  <w:style w:type="paragraph" w:styleId="Listaconvietas">
    <w:name w:val="List Bullet"/>
    <w:basedOn w:val="Normal"/>
    <w:uiPriority w:val="11"/>
    <w:qFormat/>
    <w:rsid w:val="00D63877"/>
    <w:pPr>
      <w:numPr>
        <w:numId w:val="1"/>
      </w:numPr>
      <w:spacing w:after="240" w:line="288" w:lineRule="auto"/>
    </w:pPr>
    <w:rPr>
      <w:rFonts w:cs="Calibri"/>
      <w:bCs/>
      <w:color w:val="000000"/>
      <w:szCs w:val="22"/>
      <w:lang w:eastAsia="en-US"/>
    </w:rPr>
  </w:style>
  <w:style w:type="paragraph" w:styleId="Listaconnmeros">
    <w:name w:val="List Number"/>
    <w:basedOn w:val="Listaconnmeros2"/>
    <w:uiPriority w:val="9"/>
    <w:unhideWhenUsed/>
    <w:qFormat/>
    <w:rsid w:val="00D476F7"/>
  </w:style>
  <w:style w:type="paragraph" w:styleId="Listaconnmeros2">
    <w:name w:val="List Number 2"/>
    <w:basedOn w:val="Normal"/>
    <w:uiPriority w:val="10"/>
    <w:qFormat/>
    <w:rsid w:val="001865F2"/>
    <w:pPr>
      <w:numPr>
        <w:numId w:val="2"/>
      </w:numPr>
    </w:pPr>
  </w:style>
  <w:style w:type="table" w:customStyle="1" w:styleId="FinancialTable">
    <w:name w:val="Financial Table"/>
    <w:basedOn w:val="Tabla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Refdecomentario">
    <w:name w:val="annotation reference"/>
    <w:basedOn w:val="Fuentedeprrafopredeter"/>
    <w:uiPriority w:val="99"/>
    <w:semiHidden/>
    <w:unhideWhenUsed/>
    <w:rPr>
      <w:sz w:val="16"/>
    </w:rPr>
  </w:style>
  <w:style w:type="paragraph" w:styleId="Textocomentario">
    <w:name w:val="annotation text"/>
    <w:basedOn w:val="Normal"/>
    <w:link w:val="TextocomentarioCar"/>
    <w:uiPriority w:val="99"/>
    <w:unhideWhenUsed/>
    <w:pPr>
      <w:spacing w:line="240" w:lineRule="auto"/>
    </w:pPr>
  </w:style>
  <w:style w:type="character" w:customStyle="1" w:styleId="TextocomentarioCar">
    <w:name w:val="Texto comentario Car"/>
    <w:basedOn w:val="Fuentedeprrafopredeter"/>
    <w:link w:val="Textocomentario"/>
    <w:uiPriority w:val="99"/>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rPr>
  </w:style>
  <w:style w:type="table" w:styleId="Sombreadoclaro">
    <w:name w:val="Light Shading"/>
    <w:basedOn w:val="Tabla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2D6E93" w:themeColor="accent1" w:themeShade="BF"/>
      <w:sz w:val="36"/>
    </w:rPr>
  </w:style>
  <w:style w:type="paragraph" w:styleId="Descripcin">
    <w:name w:val="caption"/>
    <w:basedOn w:val="Normal"/>
    <w:uiPriority w:val="35"/>
    <w:qFormat/>
    <w:rsid w:val="00577305"/>
    <w:pPr>
      <w:spacing w:after="120" w:line="240" w:lineRule="auto"/>
    </w:pPr>
    <w:rPr>
      <w:iCs/>
      <w:color w:val="auto"/>
      <w:sz w:val="18"/>
      <w:szCs w:val="18"/>
    </w:rPr>
  </w:style>
  <w:style w:type="paragraph" w:styleId="Citadestacada">
    <w:name w:val="Intense Quote"/>
    <w:basedOn w:val="Normal"/>
    <w:next w:val="Normal"/>
    <w:link w:val="CitadestacadaCar"/>
    <w:uiPriority w:val="30"/>
    <w:semiHidden/>
    <w:qFormat/>
    <w:rsid w:val="00FE3D2C"/>
    <w:pPr>
      <w:pBdr>
        <w:top w:val="single" w:sz="4" w:space="10" w:color="2D6E93" w:themeColor="accent1" w:themeShade="BF"/>
        <w:bottom w:val="single" w:sz="4" w:space="10" w:color="2D6E93" w:themeColor="accent1" w:themeShade="BF"/>
      </w:pBdr>
      <w:spacing w:before="360" w:after="360"/>
      <w:ind w:left="864" w:right="864"/>
      <w:jc w:val="center"/>
    </w:pPr>
    <w:rPr>
      <w:i/>
      <w:iCs/>
      <w:color w:val="2D6E93" w:themeColor="accent1" w:themeShade="BF"/>
    </w:rPr>
  </w:style>
  <w:style w:type="character" w:customStyle="1" w:styleId="CitadestacadaCar">
    <w:name w:val="Cita destacada Car"/>
    <w:basedOn w:val="Fuentedeprrafopredeter"/>
    <w:link w:val="Citadestacada"/>
    <w:uiPriority w:val="30"/>
    <w:semiHidden/>
    <w:rsid w:val="00FE3D2C"/>
    <w:rPr>
      <w:i/>
      <w:iCs/>
      <w:color w:val="2D6E93" w:themeColor="accent1" w:themeShade="BF"/>
    </w:rPr>
  </w:style>
  <w:style w:type="paragraph" w:customStyle="1" w:styleId="Emphasis2">
    <w:name w:val="Emphasis 2"/>
    <w:basedOn w:val="Normal"/>
    <w:link w:val="Emphasis2Char"/>
    <w:uiPriority w:val="8"/>
    <w:qFormat/>
    <w:rsid w:val="007A7268"/>
    <w:pPr>
      <w:spacing w:before="240" w:after="240" w:line="288" w:lineRule="auto"/>
    </w:pPr>
    <w:rPr>
      <w:b/>
      <w:color w:val="536374" w:themeColor="text2"/>
      <w:sz w:val="28"/>
    </w:rPr>
  </w:style>
  <w:style w:type="character" w:customStyle="1" w:styleId="Emphasis2Char">
    <w:name w:val="Emphasis 2 Char"/>
    <w:basedOn w:val="Fuentedeprrafopredeter"/>
    <w:link w:val="Emphasis2"/>
    <w:uiPriority w:val="8"/>
    <w:rsid w:val="007A7268"/>
    <w:rPr>
      <w:b/>
      <w:color w:val="536374" w:themeColor="text2"/>
      <w:sz w:val="28"/>
    </w:rPr>
  </w:style>
  <w:style w:type="paragraph" w:styleId="TDC2">
    <w:name w:val="toc 2"/>
    <w:basedOn w:val="Normal"/>
    <w:next w:val="Normal"/>
    <w:autoRedefine/>
    <w:uiPriority w:val="39"/>
    <w:unhideWhenUsed/>
    <w:rsid w:val="00E523C3"/>
    <w:pPr>
      <w:spacing w:before="120" w:after="0"/>
      <w:ind w:left="240"/>
    </w:pPr>
    <w:rPr>
      <w:b/>
      <w:bCs/>
      <w:szCs w:val="22"/>
    </w:rPr>
  </w:style>
  <w:style w:type="character" w:styleId="Hipervnculo">
    <w:name w:val="Hyperlink"/>
    <w:basedOn w:val="Fuentedeprrafopredeter"/>
    <w:uiPriority w:val="99"/>
    <w:unhideWhenUsed/>
    <w:rsid w:val="00E07C64"/>
    <w:rPr>
      <w:color w:val="09C3A4" w:themeColor="accent3"/>
      <w:u w:val="single"/>
    </w:rPr>
  </w:style>
  <w:style w:type="table" w:styleId="Tabladelista1clara-nfasis6">
    <w:name w:val="List Table 1 Light Accent 6"/>
    <w:basedOn w:val="Tablanormal"/>
    <w:uiPriority w:val="46"/>
    <w:rsid w:val="002063EE"/>
    <w:pPr>
      <w:spacing w:after="0" w:line="240" w:lineRule="auto"/>
    </w:pPr>
    <w:tblPr>
      <w:tblStyleRowBandSize w:val="1"/>
      <w:tblStyleColBandSize w:val="1"/>
    </w:tblPr>
    <w:tblStylePr w:type="firstRow">
      <w:rPr>
        <w:b/>
        <w:bCs/>
      </w:rPr>
      <w:tblPr/>
      <w:tcPr>
        <w:tcBorders>
          <w:bottom w:val="single" w:sz="4" w:space="0" w:color="FFA89D" w:themeColor="accent6" w:themeTint="99"/>
        </w:tcBorders>
      </w:tcPr>
    </w:tblStylePr>
    <w:tblStylePr w:type="lastRow">
      <w:rPr>
        <w:b/>
        <w:bCs/>
      </w:rPr>
      <w:tblPr/>
      <w:tcPr>
        <w:tcBorders>
          <w:top w:val="single" w:sz="4" w:space="0" w:color="FFA89D" w:themeColor="accent6" w:themeTint="99"/>
        </w:tcBorders>
      </w:tcPr>
    </w:tblStylePr>
    <w:tblStylePr w:type="firstCol">
      <w:rPr>
        <w:b/>
        <w:bCs/>
      </w:rPr>
    </w:tblStylePr>
    <w:tblStylePr w:type="lastCol">
      <w:rPr>
        <w:b/>
        <w:bCs/>
      </w:rPr>
    </w:tblStylePr>
    <w:tblStylePr w:type="band1Vert">
      <w:tblPr/>
      <w:tcPr>
        <w:shd w:val="clear" w:color="auto" w:fill="FFE1DE" w:themeFill="accent6" w:themeFillTint="33"/>
      </w:tcPr>
    </w:tblStylePr>
    <w:tblStylePr w:type="band1Horz">
      <w:tblPr/>
      <w:tcPr>
        <w:shd w:val="clear" w:color="auto" w:fill="FFE1DE" w:themeFill="accent6" w:themeFillTint="33"/>
      </w:tcPr>
    </w:tblStylePr>
  </w:style>
  <w:style w:type="paragraph" w:styleId="Textonotapie">
    <w:name w:val="footnote text"/>
    <w:basedOn w:val="Normal"/>
    <w:link w:val="TextonotapieCar"/>
    <w:unhideWhenUsed/>
    <w:rsid w:val="00E7549F"/>
    <w:pPr>
      <w:spacing w:line="240" w:lineRule="auto"/>
    </w:pPr>
    <w:rPr>
      <w:color w:val="536374" w:themeColor="text2"/>
      <w:sz w:val="20"/>
    </w:rPr>
  </w:style>
  <w:style w:type="character" w:customStyle="1" w:styleId="TextonotapieCar">
    <w:name w:val="Texto nota pie Car"/>
    <w:basedOn w:val="Fuentedeprrafopredeter"/>
    <w:link w:val="Textonotapie"/>
    <w:rsid w:val="00E7549F"/>
    <w:rPr>
      <w:color w:val="536374" w:themeColor="text2"/>
    </w:rPr>
  </w:style>
  <w:style w:type="character" w:styleId="Refdenotaalpie">
    <w:name w:val="footnote reference"/>
    <w:basedOn w:val="Fuentedeprrafopredeter"/>
    <w:unhideWhenUsed/>
    <w:rsid w:val="00E7549F"/>
    <w:rPr>
      <w:vertAlign w:val="superscript"/>
    </w:rPr>
  </w:style>
  <w:style w:type="table" w:styleId="Tabladelista2-nfasis2">
    <w:name w:val="List Table 2 Accent 2"/>
    <w:basedOn w:val="Tablanormal"/>
    <w:uiPriority w:val="47"/>
    <w:rsid w:val="00CB647C"/>
    <w:pPr>
      <w:spacing w:after="0" w:line="240" w:lineRule="auto"/>
    </w:pPr>
    <w:tblPr>
      <w:tblStyleRowBandSize w:val="1"/>
      <w:tblStyleColBandSize w:val="1"/>
      <w:tblBorders>
        <w:top w:val="single" w:sz="4" w:space="0" w:color="79D7F8" w:themeColor="accent2" w:themeTint="99"/>
        <w:bottom w:val="single" w:sz="4" w:space="0" w:color="79D7F8" w:themeColor="accent2" w:themeTint="99"/>
        <w:insideH w:val="single" w:sz="4" w:space="0" w:color="79D7F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FC" w:themeFill="accent2" w:themeFillTint="33"/>
      </w:tcPr>
    </w:tblStylePr>
    <w:tblStylePr w:type="band1Horz">
      <w:tblPr/>
      <w:tcPr>
        <w:shd w:val="clear" w:color="auto" w:fill="D2F1FC" w:themeFill="accent2" w:themeFillTint="33"/>
      </w:tcPr>
    </w:tblStylePr>
  </w:style>
  <w:style w:type="paragraph" w:customStyle="1" w:styleId="FigTabledescriptionheading">
    <w:name w:val="Fig/Table description / heading"/>
    <w:basedOn w:val="Tablebodytext"/>
    <w:qFormat/>
    <w:rsid w:val="001B0EFB"/>
    <w:pPr>
      <w:keepNext/>
      <w:keepLines/>
      <w:spacing w:before="240" w:after="120"/>
      <w:outlineLvl w:val="3"/>
    </w:pPr>
    <w:rPr>
      <w:b/>
      <w:bCs/>
      <w:color w:val="808080" w:themeColor="background1" w:themeShade="80"/>
    </w:rPr>
  </w:style>
  <w:style w:type="paragraph" w:customStyle="1" w:styleId="Tablebodytext">
    <w:name w:val="Table body text"/>
    <w:basedOn w:val="Normal"/>
    <w:qFormat/>
    <w:rsid w:val="00D9288E"/>
    <w:rPr>
      <w:color w:val="536374" w:themeColor="text2"/>
    </w:rPr>
  </w:style>
  <w:style w:type="paragraph" w:customStyle="1" w:styleId="Quoteauthor">
    <w:name w:val="Quote author"/>
    <w:basedOn w:val="FigTabledescriptionheading"/>
    <w:qFormat/>
    <w:rsid w:val="00B73F9D"/>
    <w:pPr>
      <w:spacing w:before="40"/>
      <w:ind w:left="4820" w:right="851"/>
      <w:outlineLvl w:val="9"/>
    </w:pPr>
    <w:rPr>
      <w:b w:val="0"/>
      <w:bCs w:val="0"/>
      <w:color w:val="536374" w:themeColor="text2"/>
    </w:rPr>
  </w:style>
  <w:style w:type="character" w:customStyle="1" w:styleId="Ttulo4Car">
    <w:name w:val="Título 4 Car"/>
    <w:basedOn w:val="Fuentedeprrafopredeter"/>
    <w:link w:val="Ttulo4"/>
    <w:uiPriority w:val="7"/>
    <w:semiHidden/>
    <w:rsid w:val="00697A73"/>
    <w:rPr>
      <w:rFonts w:asciiTheme="majorHAnsi" w:eastAsiaTheme="majorEastAsia" w:hAnsiTheme="majorHAnsi" w:cstheme="majorBidi"/>
      <w:i/>
      <w:iCs/>
      <w:color w:val="0088B4"/>
      <w:sz w:val="24"/>
    </w:rPr>
  </w:style>
  <w:style w:type="paragraph" w:customStyle="1" w:styleId="Keyfinding">
    <w:name w:val="Key finding"/>
    <w:basedOn w:val="Listaconnmeros"/>
    <w:rsid w:val="00E07C64"/>
    <w:pPr>
      <w:numPr>
        <w:numId w:val="0"/>
      </w:numPr>
      <w:pBdr>
        <w:top w:val="single" w:sz="36" w:space="1" w:color="21BDF4" w:themeColor="accent2" w:shadow="1"/>
        <w:left w:val="single" w:sz="36" w:space="4" w:color="21BDF4" w:themeColor="accent2" w:shadow="1"/>
        <w:bottom w:val="single" w:sz="36" w:space="1" w:color="21BDF4" w:themeColor="accent2" w:shadow="1"/>
        <w:right w:val="single" w:sz="36" w:space="4" w:color="21BDF4" w:themeColor="accent2" w:shadow="1"/>
      </w:pBdr>
    </w:pPr>
    <w:rPr>
      <w:color w:val="536374" w:themeColor="text2"/>
    </w:rPr>
  </w:style>
  <w:style w:type="paragraph" w:styleId="TDC3">
    <w:name w:val="toc 3"/>
    <w:basedOn w:val="Normal"/>
    <w:next w:val="Normal"/>
    <w:autoRedefine/>
    <w:uiPriority w:val="39"/>
    <w:unhideWhenUsed/>
    <w:rsid w:val="00C633F0"/>
    <w:pPr>
      <w:spacing w:after="0"/>
      <w:ind w:left="480"/>
    </w:pPr>
    <w:rPr>
      <w:sz w:val="20"/>
    </w:rPr>
  </w:style>
  <w:style w:type="table" w:styleId="Tablaconcuadrcula2-nfasis2">
    <w:name w:val="Grid Table 2 Accent 2"/>
    <w:basedOn w:val="Tablanormal"/>
    <w:uiPriority w:val="47"/>
    <w:rsid w:val="00C926A8"/>
    <w:pPr>
      <w:spacing w:after="0" w:line="240" w:lineRule="auto"/>
    </w:pPr>
    <w:tblPr>
      <w:tblStyleRowBandSize w:val="1"/>
      <w:tblStyleColBandSize w:val="1"/>
      <w:tblBorders>
        <w:top w:val="single" w:sz="2" w:space="0" w:color="79D7F8" w:themeColor="accent2" w:themeTint="99"/>
        <w:bottom w:val="single" w:sz="2" w:space="0" w:color="79D7F8" w:themeColor="accent2" w:themeTint="99"/>
        <w:insideH w:val="single" w:sz="2" w:space="0" w:color="79D7F8" w:themeColor="accent2" w:themeTint="99"/>
        <w:insideV w:val="single" w:sz="2" w:space="0" w:color="79D7F8" w:themeColor="accent2" w:themeTint="99"/>
      </w:tblBorders>
    </w:tblPr>
    <w:tblStylePr w:type="firstRow">
      <w:rPr>
        <w:b/>
        <w:bCs/>
      </w:rPr>
      <w:tblPr/>
      <w:tcPr>
        <w:tcBorders>
          <w:top w:val="nil"/>
          <w:bottom w:val="single" w:sz="12" w:space="0" w:color="79D7F8" w:themeColor="accent2" w:themeTint="99"/>
          <w:insideH w:val="nil"/>
          <w:insideV w:val="nil"/>
        </w:tcBorders>
        <w:shd w:val="clear" w:color="auto" w:fill="FFFFFF" w:themeFill="background1"/>
      </w:tcPr>
    </w:tblStylePr>
    <w:tblStylePr w:type="lastRow">
      <w:rPr>
        <w:b/>
        <w:bCs/>
      </w:rPr>
      <w:tblPr/>
      <w:tcPr>
        <w:tcBorders>
          <w:top w:val="double" w:sz="2" w:space="0" w:color="79D7F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FC" w:themeFill="accent2" w:themeFillTint="33"/>
      </w:tcPr>
    </w:tblStylePr>
    <w:tblStylePr w:type="band1Horz">
      <w:tblPr/>
      <w:tcPr>
        <w:shd w:val="clear" w:color="auto" w:fill="D2F1FC" w:themeFill="accent2" w:themeFillTint="33"/>
      </w:tcPr>
    </w:tblStylePr>
  </w:style>
  <w:style w:type="table" w:styleId="Tabladecuadrcula3">
    <w:name w:val="Grid Table 3"/>
    <w:basedOn w:val="Tablanormal"/>
    <w:uiPriority w:val="48"/>
    <w:rsid w:val="00E367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E3676E"/>
    <w:pPr>
      <w:spacing w:after="0" w:line="240" w:lineRule="auto"/>
    </w:pPr>
    <w:tblPr>
      <w:tblStyleRowBandSize w:val="1"/>
      <w:tblStyleColBandSize w:val="1"/>
      <w:tblBorders>
        <w:top w:val="single" w:sz="4" w:space="0" w:color="8ABEDB" w:themeColor="accent1" w:themeTint="99"/>
        <w:left w:val="single" w:sz="4" w:space="0" w:color="8ABEDB" w:themeColor="accent1" w:themeTint="99"/>
        <w:bottom w:val="single" w:sz="4" w:space="0" w:color="8ABEDB" w:themeColor="accent1" w:themeTint="99"/>
        <w:right w:val="single" w:sz="4" w:space="0" w:color="8ABEDB" w:themeColor="accent1" w:themeTint="99"/>
        <w:insideH w:val="single" w:sz="4" w:space="0" w:color="8ABEDB" w:themeColor="accent1" w:themeTint="99"/>
        <w:insideV w:val="single" w:sz="4" w:space="0" w:color="8ABE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9F3" w:themeFill="accent1" w:themeFillTint="33"/>
      </w:tcPr>
    </w:tblStylePr>
    <w:tblStylePr w:type="band1Horz">
      <w:tblPr/>
      <w:tcPr>
        <w:shd w:val="clear" w:color="auto" w:fill="D8E9F3" w:themeFill="accent1" w:themeFillTint="33"/>
      </w:tcPr>
    </w:tblStylePr>
    <w:tblStylePr w:type="neCell">
      <w:tblPr/>
      <w:tcPr>
        <w:tcBorders>
          <w:bottom w:val="single" w:sz="4" w:space="0" w:color="8ABEDB" w:themeColor="accent1" w:themeTint="99"/>
        </w:tcBorders>
      </w:tcPr>
    </w:tblStylePr>
    <w:tblStylePr w:type="nwCell">
      <w:tblPr/>
      <w:tcPr>
        <w:tcBorders>
          <w:bottom w:val="single" w:sz="4" w:space="0" w:color="8ABEDB" w:themeColor="accent1" w:themeTint="99"/>
        </w:tcBorders>
      </w:tcPr>
    </w:tblStylePr>
    <w:tblStylePr w:type="seCell">
      <w:tblPr/>
      <w:tcPr>
        <w:tcBorders>
          <w:top w:val="single" w:sz="4" w:space="0" w:color="8ABEDB" w:themeColor="accent1" w:themeTint="99"/>
        </w:tcBorders>
      </w:tcPr>
    </w:tblStylePr>
    <w:tblStylePr w:type="swCell">
      <w:tblPr/>
      <w:tcPr>
        <w:tcBorders>
          <w:top w:val="single" w:sz="4" w:space="0" w:color="8ABEDB" w:themeColor="accent1" w:themeTint="99"/>
        </w:tcBorders>
      </w:tcPr>
    </w:tblStylePr>
  </w:style>
  <w:style w:type="table" w:styleId="Tablaconcuadrcula3-nfasis2">
    <w:name w:val="Grid Table 3 Accent 2"/>
    <w:basedOn w:val="Tablanormal"/>
    <w:uiPriority w:val="48"/>
    <w:rsid w:val="00E3676E"/>
    <w:pPr>
      <w:spacing w:after="0" w:line="240" w:lineRule="auto"/>
    </w:pPr>
    <w:tblPr>
      <w:tblStyleRowBandSize w:val="1"/>
      <w:tblStyleColBandSize w:val="1"/>
      <w:tblBorders>
        <w:top w:val="single" w:sz="4" w:space="0" w:color="79D7F8" w:themeColor="accent2" w:themeTint="99"/>
        <w:left w:val="single" w:sz="4" w:space="0" w:color="79D7F8" w:themeColor="accent2" w:themeTint="99"/>
        <w:bottom w:val="single" w:sz="4" w:space="0" w:color="79D7F8" w:themeColor="accent2" w:themeTint="99"/>
        <w:right w:val="single" w:sz="4" w:space="0" w:color="79D7F8" w:themeColor="accent2" w:themeTint="99"/>
        <w:insideH w:val="single" w:sz="4" w:space="0" w:color="79D7F8" w:themeColor="accent2" w:themeTint="99"/>
        <w:insideV w:val="single" w:sz="4" w:space="0" w:color="79D7F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FC" w:themeFill="accent2" w:themeFillTint="33"/>
      </w:tcPr>
    </w:tblStylePr>
    <w:tblStylePr w:type="band1Horz">
      <w:tblPr/>
      <w:tcPr>
        <w:shd w:val="clear" w:color="auto" w:fill="D2F1FC" w:themeFill="accent2" w:themeFillTint="33"/>
      </w:tcPr>
    </w:tblStylePr>
    <w:tblStylePr w:type="neCell">
      <w:tblPr/>
      <w:tcPr>
        <w:tcBorders>
          <w:bottom w:val="single" w:sz="4" w:space="0" w:color="79D7F8" w:themeColor="accent2" w:themeTint="99"/>
        </w:tcBorders>
      </w:tcPr>
    </w:tblStylePr>
    <w:tblStylePr w:type="nwCell">
      <w:tblPr/>
      <w:tcPr>
        <w:tcBorders>
          <w:bottom w:val="single" w:sz="4" w:space="0" w:color="79D7F8" w:themeColor="accent2" w:themeTint="99"/>
        </w:tcBorders>
      </w:tcPr>
    </w:tblStylePr>
    <w:tblStylePr w:type="seCell">
      <w:tblPr/>
      <w:tcPr>
        <w:tcBorders>
          <w:top w:val="single" w:sz="4" w:space="0" w:color="79D7F8" w:themeColor="accent2" w:themeTint="99"/>
        </w:tcBorders>
      </w:tcPr>
    </w:tblStylePr>
    <w:tblStylePr w:type="swCell">
      <w:tblPr/>
      <w:tcPr>
        <w:tcBorders>
          <w:top w:val="single" w:sz="4" w:space="0" w:color="79D7F8" w:themeColor="accent2" w:themeTint="99"/>
        </w:tcBorders>
      </w:tcPr>
    </w:tblStylePr>
  </w:style>
  <w:style w:type="table" w:styleId="Tablaconcuadrcula5oscura-nfasis2">
    <w:name w:val="Grid Table 5 Dark Accent 2"/>
    <w:basedOn w:val="Tablanormal"/>
    <w:uiPriority w:val="50"/>
    <w:rsid w:val="00A75D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1BDF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1BDF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1BDF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1BDF4" w:themeFill="accent2"/>
      </w:tcPr>
    </w:tblStylePr>
    <w:tblStylePr w:type="band1Vert">
      <w:tblPr/>
      <w:tcPr>
        <w:shd w:val="clear" w:color="auto" w:fill="A6E4FA" w:themeFill="accent2" w:themeFillTint="66"/>
      </w:tcPr>
    </w:tblStylePr>
    <w:tblStylePr w:type="band1Horz">
      <w:tblPr/>
      <w:tcPr>
        <w:shd w:val="clear" w:color="auto" w:fill="A6E4FA" w:themeFill="accent2" w:themeFillTint="66"/>
      </w:tcPr>
    </w:tblStylePr>
  </w:style>
  <w:style w:type="table" w:styleId="Tablaconcuadrcula2-nfasis3">
    <w:name w:val="Grid Table 2 Accent 3"/>
    <w:basedOn w:val="Tablanormal"/>
    <w:uiPriority w:val="47"/>
    <w:rsid w:val="000605AD"/>
    <w:pPr>
      <w:spacing w:after="0" w:line="240" w:lineRule="auto"/>
    </w:pPr>
    <w:tblPr>
      <w:tblStyleRowBandSize w:val="1"/>
      <w:tblStyleColBandSize w:val="1"/>
      <w:tblBorders>
        <w:top w:val="single" w:sz="2" w:space="0" w:color="4FF7DA" w:themeColor="accent3" w:themeTint="99"/>
        <w:bottom w:val="single" w:sz="2" w:space="0" w:color="4FF7DA" w:themeColor="accent3" w:themeTint="99"/>
        <w:insideH w:val="single" w:sz="2" w:space="0" w:color="4FF7DA" w:themeColor="accent3" w:themeTint="99"/>
        <w:insideV w:val="single" w:sz="2" w:space="0" w:color="4FF7DA" w:themeColor="accent3" w:themeTint="99"/>
      </w:tblBorders>
    </w:tblPr>
    <w:tblStylePr w:type="firstRow">
      <w:rPr>
        <w:b/>
        <w:bCs/>
      </w:rPr>
      <w:tblPr/>
      <w:tcPr>
        <w:tcBorders>
          <w:top w:val="nil"/>
          <w:bottom w:val="single" w:sz="12" w:space="0" w:color="4FF7DA" w:themeColor="accent3" w:themeTint="99"/>
          <w:insideH w:val="nil"/>
          <w:insideV w:val="nil"/>
        </w:tcBorders>
        <w:shd w:val="clear" w:color="auto" w:fill="FFFFFF" w:themeFill="background1"/>
      </w:tcPr>
    </w:tblStylePr>
    <w:tblStylePr w:type="lastRow">
      <w:rPr>
        <w:b/>
        <w:bCs/>
      </w:rPr>
      <w:tblPr/>
      <w:tcPr>
        <w:tcBorders>
          <w:top w:val="double" w:sz="2" w:space="0" w:color="4FF7D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FCF2" w:themeFill="accent3" w:themeFillTint="33"/>
      </w:tcPr>
    </w:tblStylePr>
    <w:tblStylePr w:type="band1Horz">
      <w:tblPr/>
      <w:tcPr>
        <w:shd w:val="clear" w:color="auto" w:fill="C4FCF2" w:themeFill="accent3" w:themeFillTint="33"/>
      </w:tcPr>
    </w:tblStylePr>
  </w:style>
  <w:style w:type="character" w:customStyle="1" w:styleId="Mentionnonrsolue1">
    <w:name w:val="Mention non résolue1"/>
    <w:basedOn w:val="Fuentedeprrafopredeter"/>
    <w:uiPriority w:val="99"/>
    <w:semiHidden/>
    <w:unhideWhenUsed/>
    <w:rsid w:val="00676E2D"/>
    <w:rPr>
      <w:color w:val="605E5C"/>
      <w:shd w:val="clear" w:color="auto" w:fill="E1DFDD"/>
    </w:rPr>
  </w:style>
  <w:style w:type="character" w:styleId="Hipervnculovisitado">
    <w:name w:val="FollowedHyperlink"/>
    <w:basedOn w:val="Fuentedeprrafopredeter"/>
    <w:uiPriority w:val="99"/>
    <w:semiHidden/>
    <w:unhideWhenUsed/>
    <w:rsid w:val="00676E2D"/>
    <w:rPr>
      <w:color w:val="00A1BA" w:themeColor="followedHyperlink"/>
      <w:u w:val="single"/>
    </w:rPr>
  </w:style>
  <w:style w:type="table" w:styleId="Tablaconcuadrcula2-nfasis4">
    <w:name w:val="Grid Table 2 Accent 4"/>
    <w:basedOn w:val="Tablanormal"/>
    <w:uiPriority w:val="47"/>
    <w:rsid w:val="00C701DA"/>
    <w:pPr>
      <w:spacing w:after="0" w:line="240" w:lineRule="auto"/>
    </w:pPr>
    <w:tblPr>
      <w:tblStyleRowBandSize w:val="1"/>
      <w:tblStyleColBandSize w:val="1"/>
      <w:tblBorders>
        <w:top w:val="single" w:sz="2" w:space="0" w:color="A1EFE8" w:themeColor="accent4" w:themeTint="99"/>
        <w:bottom w:val="single" w:sz="2" w:space="0" w:color="A1EFE8" w:themeColor="accent4" w:themeTint="99"/>
        <w:insideH w:val="single" w:sz="2" w:space="0" w:color="A1EFE8" w:themeColor="accent4" w:themeTint="99"/>
        <w:insideV w:val="single" w:sz="2" w:space="0" w:color="A1EFE8" w:themeColor="accent4" w:themeTint="99"/>
      </w:tblBorders>
    </w:tblPr>
    <w:tblStylePr w:type="firstRow">
      <w:rPr>
        <w:b/>
        <w:bCs/>
      </w:rPr>
      <w:tblPr/>
      <w:tcPr>
        <w:tcBorders>
          <w:top w:val="nil"/>
          <w:bottom w:val="single" w:sz="12" w:space="0" w:color="A1EFE8" w:themeColor="accent4" w:themeTint="99"/>
          <w:insideH w:val="nil"/>
          <w:insideV w:val="nil"/>
        </w:tcBorders>
        <w:shd w:val="clear" w:color="auto" w:fill="FFFFFF" w:themeFill="background1"/>
      </w:tcPr>
    </w:tblStylePr>
    <w:tblStylePr w:type="lastRow">
      <w:rPr>
        <w:b/>
        <w:bCs/>
      </w:rPr>
      <w:tblPr/>
      <w:tcPr>
        <w:tcBorders>
          <w:top w:val="double" w:sz="2" w:space="0" w:color="A1EFE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9F7" w:themeFill="accent4" w:themeFillTint="33"/>
      </w:tcPr>
    </w:tblStylePr>
    <w:tblStylePr w:type="band1Horz">
      <w:tblPr/>
      <w:tcPr>
        <w:shd w:val="clear" w:color="auto" w:fill="DFF9F7" w:themeFill="accent4" w:themeFillTint="33"/>
      </w:tcPr>
    </w:tblStylePr>
  </w:style>
  <w:style w:type="paragraph" w:customStyle="1" w:styleId="Titregnral">
    <w:name w:val="Titre général"/>
    <w:basedOn w:val="Ttulo1"/>
    <w:link w:val="TitregnralCar"/>
    <w:qFormat/>
    <w:rsid w:val="009567AE"/>
    <w:pPr>
      <w:spacing w:before="240" w:after="120" w:line="480" w:lineRule="exact"/>
      <w:outlineLvl w:val="9"/>
    </w:pPr>
    <w:rPr>
      <w:rFonts w:ascii="DIN Next LT Pro Medium Cond" w:hAnsi="DIN Next LT Pro Medium Cond"/>
      <w:b w:val="0"/>
      <w:caps w:val="0"/>
      <w:color w:val="2D6E93" w:themeColor="accent1" w:themeShade="BF"/>
      <w:sz w:val="52"/>
      <w:szCs w:val="52"/>
      <w:shd w:val="clear" w:color="auto" w:fill="auto"/>
      <w:lang w:val="en-US" w:eastAsia="en-US"/>
    </w:rPr>
  </w:style>
  <w:style w:type="character" w:customStyle="1" w:styleId="TitregnralCar">
    <w:name w:val="Titre général Car"/>
    <w:basedOn w:val="Fuentedeprrafopredeter"/>
    <w:link w:val="Titregnral"/>
    <w:rsid w:val="009567AE"/>
    <w:rPr>
      <w:rFonts w:ascii="DIN Next LT Pro Medium Cond" w:eastAsiaTheme="majorEastAsia" w:hAnsi="DIN Next LT Pro Medium Cond" w:cstheme="majorBidi"/>
      <w:bCs/>
      <w:color w:val="2D6E93" w:themeColor="accent1" w:themeShade="BF"/>
      <w:sz w:val="52"/>
      <w:szCs w:val="52"/>
      <w:lang w:eastAsia="en-US"/>
    </w:rPr>
  </w:style>
  <w:style w:type="table" w:styleId="Tabladelista1clara-nfasis4">
    <w:name w:val="List Table 1 Light Accent 4"/>
    <w:basedOn w:val="Tablanormal"/>
    <w:uiPriority w:val="46"/>
    <w:rsid w:val="00963A84"/>
    <w:pPr>
      <w:spacing w:after="0" w:line="240" w:lineRule="auto"/>
    </w:pPr>
    <w:tblPr>
      <w:tblStyleRowBandSize w:val="1"/>
      <w:tblStyleColBandSize w:val="1"/>
    </w:tblPr>
    <w:tblStylePr w:type="firstRow">
      <w:rPr>
        <w:b/>
        <w:bCs/>
      </w:rPr>
      <w:tblPr/>
      <w:tcPr>
        <w:tcBorders>
          <w:bottom w:val="single" w:sz="4" w:space="0" w:color="A1EFE8" w:themeColor="accent4" w:themeTint="99"/>
        </w:tcBorders>
      </w:tcPr>
    </w:tblStylePr>
    <w:tblStylePr w:type="lastRow">
      <w:rPr>
        <w:b/>
        <w:bCs/>
      </w:rPr>
      <w:tblPr/>
      <w:tcPr>
        <w:tcBorders>
          <w:top w:val="single" w:sz="4" w:space="0" w:color="A1EFE8" w:themeColor="accent4" w:themeTint="99"/>
        </w:tcBorders>
      </w:tcPr>
    </w:tblStylePr>
    <w:tblStylePr w:type="firstCol">
      <w:rPr>
        <w:b/>
        <w:bCs/>
      </w:rPr>
    </w:tblStylePr>
    <w:tblStylePr w:type="lastCol">
      <w:rPr>
        <w:b/>
        <w:bCs/>
      </w:rPr>
    </w:tblStylePr>
    <w:tblStylePr w:type="band1Vert">
      <w:tblPr/>
      <w:tcPr>
        <w:shd w:val="clear" w:color="auto" w:fill="DFF9F7" w:themeFill="accent4" w:themeFillTint="33"/>
      </w:tcPr>
    </w:tblStylePr>
    <w:tblStylePr w:type="band1Horz">
      <w:tblPr/>
      <w:tcPr>
        <w:shd w:val="clear" w:color="auto" w:fill="DFF9F7" w:themeFill="accent4" w:themeFillTint="33"/>
      </w:tcPr>
    </w:tblStylePr>
  </w:style>
  <w:style w:type="paragraph" w:customStyle="1" w:styleId="KeyFinding0">
    <w:name w:val="Key Finding"/>
    <w:basedOn w:val="Normal"/>
    <w:link w:val="KeyFindingChar"/>
    <w:qFormat/>
    <w:rsid w:val="001208AB"/>
    <w:pPr>
      <w:ind w:left="720"/>
    </w:pPr>
    <w:rPr>
      <w:color w:val="0088B4"/>
    </w:rPr>
  </w:style>
  <w:style w:type="character" w:customStyle="1" w:styleId="KeyFindingChar">
    <w:name w:val="Key Finding Char"/>
    <w:basedOn w:val="Fuentedeprrafopredeter"/>
    <w:link w:val="KeyFinding0"/>
    <w:rsid w:val="001208AB"/>
    <w:rPr>
      <w:color w:val="0088B4"/>
      <w:sz w:val="24"/>
    </w:rPr>
  </w:style>
  <w:style w:type="paragraph" w:customStyle="1" w:styleId="Rubriquegnrale">
    <w:name w:val="Rubrique générale"/>
    <w:basedOn w:val="Normal"/>
    <w:link w:val="RubriquegnraleCar"/>
    <w:qFormat/>
    <w:rsid w:val="00907C3C"/>
    <w:pPr>
      <w:keepNext/>
      <w:keepLines/>
      <w:spacing w:before="480" w:after="240"/>
    </w:pPr>
    <w:rPr>
      <w:b/>
    </w:rPr>
  </w:style>
  <w:style w:type="character" w:customStyle="1" w:styleId="RubriquegnraleCar">
    <w:name w:val="Rubrique générale Car"/>
    <w:basedOn w:val="Fuentedeprrafopredeter"/>
    <w:link w:val="Rubriquegnrale"/>
    <w:rsid w:val="00907C3C"/>
    <w:rPr>
      <w:b/>
      <w:color w:val="000000" w:themeColor="text1"/>
      <w:sz w:val="24"/>
    </w:rPr>
  </w:style>
  <w:style w:type="character" w:customStyle="1" w:styleId="UnresolvedMention1">
    <w:name w:val="Unresolved Mention1"/>
    <w:basedOn w:val="Fuentedeprrafopredeter"/>
    <w:uiPriority w:val="99"/>
    <w:semiHidden/>
    <w:unhideWhenUsed/>
    <w:rsid w:val="004301CF"/>
    <w:rPr>
      <w:color w:val="605E5C"/>
      <w:shd w:val="clear" w:color="auto" w:fill="E1DFDD"/>
    </w:rPr>
  </w:style>
  <w:style w:type="paragraph" w:styleId="Prrafodelista">
    <w:name w:val="List Paragraph"/>
    <w:basedOn w:val="Normal"/>
    <w:uiPriority w:val="34"/>
    <w:qFormat/>
    <w:rsid w:val="00000AA1"/>
    <w:pPr>
      <w:ind w:left="720"/>
    </w:pPr>
  </w:style>
  <w:style w:type="character" w:customStyle="1" w:styleId="normaltextrun">
    <w:name w:val="normaltextrun"/>
    <w:basedOn w:val="Fuentedeprrafopredeter"/>
    <w:rsid w:val="00000AA1"/>
  </w:style>
  <w:style w:type="character" w:customStyle="1" w:styleId="eop">
    <w:name w:val="eop"/>
    <w:basedOn w:val="Fuentedeprrafopredeter"/>
    <w:rsid w:val="00000AA1"/>
  </w:style>
  <w:style w:type="character" w:customStyle="1" w:styleId="UnresolvedMention2">
    <w:name w:val="Unresolved Mention2"/>
    <w:basedOn w:val="Fuentedeprrafopredeter"/>
    <w:uiPriority w:val="99"/>
    <w:semiHidden/>
    <w:unhideWhenUsed/>
    <w:rsid w:val="00920D23"/>
    <w:rPr>
      <w:color w:val="605E5C"/>
      <w:shd w:val="clear" w:color="auto" w:fill="E1DFDD"/>
    </w:rPr>
  </w:style>
  <w:style w:type="paragraph" w:styleId="TDC4">
    <w:name w:val="toc 4"/>
    <w:basedOn w:val="Normal"/>
    <w:next w:val="Normal"/>
    <w:autoRedefine/>
    <w:uiPriority w:val="39"/>
    <w:unhideWhenUsed/>
    <w:rsid w:val="00415AF0"/>
    <w:pPr>
      <w:spacing w:after="0"/>
      <w:ind w:left="720"/>
    </w:pPr>
    <w:rPr>
      <w:sz w:val="20"/>
    </w:rPr>
  </w:style>
  <w:style w:type="paragraph" w:styleId="TDC5">
    <w:name w:val="toc 5"/>
    <w:basedOn w:val="Normal"/>
    <w:next w:val="Normal"/>
    <w:autoRedefine/>
    <w:uiPriority w:val="39"/>
    <w:unhideWhenUsed/>
    <w:rsid w:val="00415AF0"/>
    <w:pPr>
      <w:spacing w:after="0"/>
      <w:ind w:left="960"/>
    </w:pPr>
    <w:rPr>
      <w:sz w:val="20"/>
    </w:rPr>
  </w:style>
  <w:style w:type="paragraph" w:styleId="TDC6">
    <w:name w:val="toc 6"/>
    <w:basedOn w:val="Normal"/>
    <w:next w:val="Normal"/>
    <w:autoRedefine/>
    <w:uiPriority w:val="39"/>
    <w:unhideWhenUsed/>
    <w:rsid w:val="00415AF0"/>
    <w:pPr>
      <w:spacing w:after="0"/>
      <w:ind w:left="1200"/>
    </w:pPr>
    <w:rPr>
      <w:sz w:val="20"/>
    </w:rPr>
  </w:style>
  <w:style w:type="paragraph" w:styleId="TDC7">
    <w:name w:val="toc 7"/>
    <w:basedOn w:val="Normal"/>
    <w:next w:val="Normal"/>
    <w:autoRedefine/>
    <w:uiPriority w:val="39"/>
    <w:unhideWhenUsed/>
    <w:rsid w:val="00415AF0"/>
    <w:pPr>
      <w:spacing w:after="0"/>
      <w:ind w:left="1440"/>
    </w:pPr>
    <w:rPr>
      <w:sz w:val="20"/>
    </w:rPr>
  </w:style>
  <w:style w:type="paragraph" w:styleId="TDC8">
    <w:name w:val="toc 8"/>
    <w:basedOn w:val="Normal"/>
    <w:next w:val="Normal"/>
    <w:autoRedefine/>
    <w:uiPriority w:val="39"/>
    <w:unhideWhenUsed/>
    <w:rsid w:val="00415AF0"/>
    <w:pPr>
      <w:spacing w:after="0"/>
      <w:ind w:left="1680"/>
    </w:pPr>
    <w:rPr>
      <w:sz w:val="20"/>
    </w:rPr>
  </w:style>
  <w:style w:type="paragraph" w:styleId="TDC9">
    <w:name w:val="toc 9"/>
    <w:basedOn w:val="Normal"/>
    <w:next w:val="Normal"/>
    <w:autoRedefine/>
    <w:uiPriority w:val="39"/>
    <w:unhideWhenUsed/>
    <w:rsid w:val="00415AF0"/>
    <w:pPr>
      <w:spacing w:after="0"/>
      <w:ind w:left="1920"/>
    </w:pPr>
    <w:rPr>
      <w:sz w:val="20"/>
    </w:rPr>
  </w:style>
  <w:style w:type="paragraph" w:customStyle="1" w:styleId="Hyperlink1">
    <w:name w:val="Hyperlink1"/>
    <w:basedOn w:val="Normal"/>
    <w:link w:val="hyperlinkChar"/>
    <w:qFormat/>
    <w:rsid w:val="00A448AB"/>
  </w:style>
  <w:style w:type="character" w:customStyle="1" w:styleId="hyperlinkChar">
    <w:name w:val="hyperlink Char"/>
    <w:basedOn w:val="Fuentedeprrafopredeter"/>
    <w:link w:val="Hyperlink1"/>
    <w:rsid w:val="00A448AB"/>
    <w:rPr>
      <w:color w:val="000000" w:themeColor="text1"/>
      <w:sz w:val="24"/>
      <w:lang w:eastAsia="zh-CN"/>
    </w:rPr>
  </w:style>
  <w:style w:type="paragraph" w:customStyle="1" w:styleId="paragraph">
    <w:name w:val="paragraph"/>
    <w:basedOn w:val="Normal"/>
    <w:rsid w:val="00D63877"/>
    <w:pPr>
      <w:spacing w:before="100" w:beforeAutospacing="1" w:after="100" w:afterAutospacing="1" w:line="240" w:lineRule="auto"/>
    </w:pPr>
    <w:rPr>
      <w:rFonts w:ascii="Times New Roman" w:eastAsia="Times New Roman" w:hAnsi="Times New Roman" w:cs="Times New Roman"/>
      <w:color w:val="auto"/>
      <w:szCs w:val="24"/>
      <w:shd w:val="clear" w:color="auto" w:fill="auto"/>
      <w:lang w:eastAsia="en-US"/>
    </w:rPr>
  </w:style>
  <w:style w:type="character" w:styleId="Mencinsinresolver">
    <w:name w:val="Unresolved Mention"/>
    <w:basedOn w:val="Fuentedeprrafopredeter"/>
    <w:uiPriority w:val="99"/>
    <w:semiHidden/>
    <w:unhideWhenUsed/>
    <w:rsid w:val="00557EA4"/>
    <w:rPr>
      <w:color w:val="605E5C"/>
      <w:shd w:val="clear" w:color="auto" w:fill="E1DFDD"/>
    </w:rPr>
  </w:style>
  <w:style w:type="paragraph" w:styleId="NormalWeb">
    <w:name w:val="Normal (Web)"/>
    <w:basedOn w:val="Normal"/>
    <w:uiPriority w:val="99"/>
    <w:unhideWhenUsed/>
    <w:rsid w:val="002A722C"/>
    <w:pPr>
      <w:spacing w:before="100" w:beforeAutospacing="1" w:after="100" w:afterAutospacing="1" w:line="240" w:lineRule="auto"/>
    </w:pPr>
    <w:rPr>
      <w:rFonts w:ascii="Times New Roman" w:eastAsia="Times New Roman" w:hAnsi="Times New Roman" w:cs="Times New Roman"/>
      <w:color w:val="auto"/>
      <w:sz w:val="24"/>
      <w:szCs w:val="24"/>
      <w:shd w:val="clear" w:color="auto" w:fill="auto"/>
      <w:lang w:val="es-ES" w:eastAsia="es-ES"/>
    </w:rPr>
  </w:style>
  <w:style w:type="paragraph" w:customStyle="1" w:styleId="css-at9mc1">
    <w:name w:val="css-at9mc1"/>
    <w:basedOn w:val="Normal"/>
    <w:rsid w:val="0058168F"/>
    <w:pPr>
      <w:spacing w:before="100" w:beforeAutospacing="1" w:after="100" w:afterAutospacing="1" w:line="240" w:lineRule="auto"/>
    </w:pPr>
    <w:rPr>
      <w:rFonts w:ascii="Times New Roman" w:eastAsia="Times New Roman" w:hAnsi="Times New Roman" w:cs="Times New Roman"/>
      <w:color w:val="auto"/>
      <w:sz w:val="24"/>
      <w:szCs w:val="24"/>
      <w:shd w:val="clear" w:color="auto" w:fill="auto"/>
      <w:lang w:val="en-GB" w:eastAsia="en-US"/>
    </w:rPr>
  </w:style>
  <w:style w:type="paragraph" w:styleId="Revisin">
    <w:name w:val="Revision"/>
    <w:hidden/>
    <w:uiPriority w:val="99"/>
    <w:semiHidden/>
    <w:rsid w:val="008877B9"/>
    <w:pPr>
      <w:spacing w:after="0" w:line="240" w:lineRule="auto"/>
    </w:pPr>
    <w:rPr>
      <w:rFonts w:ascii="DINPro-Light" w:hAnsi="DINPro-Light"/>
      <w:color w:val="000000" w:themeColor="text1"/>
      <w:sz w:val="22"/>
      <w:shd w:val="clear" w:color="auto" w:fill="FFFFFF"/>
      <w:lang w:eastAsia="zh-CN"/>
    </w:rPr>
  </w:style>
  <w:style w:type="character" w:styleId="nfasis">
    <w:name w:val="Emphasis"/>
    <w:basedOn w:val="Fuentedeprrafopredeter"/>
    <w:qFormat/>
    <w:rsid w:val="002B0DE6"/>
    <w:rPr>
      <w:i/>
      <w:iCs/>
    </w:rPr>
  </w:style>
  <w:style w:type="character" w:customStyle="1" w:styleId="highwire-citation-author">
    <w:name w:val="highwire-citation-author"/>
    <w:basedOn w:val="Fuentedeprrafopredeter"/>
    <w:rsid w:val="002B0DE6"/>
  </w:style>
  <w:style w:type="character" w:customStyle="1" w:styleId="highwire-cite-metadata-journal">
    <w:name w:val="highwire-cite-metadata-journal"/>
    <w:basedOn w:val="Fuentedeprrafopredeter"/>
    <w:rsid w:val="002B0DE6"/>
  </w:style>
  <w:style w:type="character" w:customStyle="1" w:styleId="highwire-cite-metadata-volume">
    <w:name w:val="highwire-cite-metadata-volume"/>
    <w:basedOn w:val="Fuentedeprrafopredeter"/>
    <w:rsid w:val="002B0DE6"/>
  </w:style>
  <w:style w:type="character" w:customStyle="1" w:styleId="highwire-cite-metadata-doi">
    <w:name w:val="highwire-cite-metadata-doi"/>
    <w:basedOn w:val="Fuentedeprrafopredeter"/>
    <w:rsid w:val="002B0DE6"/>
  </w:style>
  <w:style w:type="paragraph" w:styleId="Textonotaalfinal">
    <w:name w:val="endnote text"/>
    <w:basedOn w:val="Normal"/>
    <w:link w:val="TextonotaalfinalCar"/>
    <w:uiPriority w:val="99"/>
    <w:unhideWhenUsed/>
    <w:rsid w:val="008446FF"/>
    <w:pPr>
      <w:spacing w:after="0" w:line="240" w:lineRule="auto"/>
    </w:pPr>
    <w:rPr>
      <w:sz w:val="20"/>
    </w:rPr>
  </w:style>
  <w:style w:type="character" w:customStyle="1" w:styleId="TextonotaalfinalCar">
    <w:name w:val="Texto nota al final Car"/>
    <w:basedOn w:val="Fuentedeprrafopredeter"/>
    <w:link w:val="Textonotaalfinal"/>
    <w:uiPriority w:val="99"/>
    <w:rsid w:val="008446FF"/>
    <w:rPr>
      <w:rFonts w:ascii="DINPro-Light" w:hAnsi="DINPro-Light"/>
      <w:color w:val="000000" w:themeColor="text1"/>
      <w:lang w:eastAsia="zh-CN"/>
    </w:rPr>
  </w:style>
  <w:style w:type="character" w:styleId="Refdenotaalfinal">
    <w:name w:val="endnote reference"/>
    <w:basedOn w:val="Fuentedeprrafopredeter"/>
    <w:uiPriority w:val="99"/>
    <w:semiHidden/>
    <w:unhideWhenUsed/>
    <w:rsid w:val="008446FF"/>
    <w:rPr>
      <w:vertAlign w:val="superscript"/>
    </w:rPr>
  </w:style>
  <w:style w:type="paragraph" w:customStyle="1" w:styleId="BoxHeading">
    <w:name w:val="Box Heading"/>
    <w:basedOn w:val="Ttulo4"/>
    <w:link w:val="BoxHeadingChar"/>
    <w:qFormat/>
    <w:rsid w:val="00122189"/>
    <w:pPr>
      <w:spacing w:before="80" w:after="40" w:line="259" w:lineRule="auto"/>
    </w:pPr>
    <w:rPr>
      <w:b/>
      <w:bCs/>
      <w:color w:val="FFFFFF" w:themeColor="background1"/>
      <w:kern w:val="2"/>
      <w:sz w:val="24"/>
      <w:szCs w:val="24"/>
      <w:shd w:val="clear" w:color="auto" w:fill="auto"/>
      <w:lang w:val="en-CA" w:eastAsia="en-US"/>
      <w14:ligatures w14:val="standardContextual"/>
    </w:rPr>
  </w:style>
  <w:style w:type="character" w:customStyle="1" w:styleId="BoxHeadingChar">
    <w:name w:val="Box Heading Char"/>
    <w:basedOn w:val="Ttulo4Car"/>
    <w:link w:val="BoxHeading"/>
    <w:rsid w:val="00122189"/>
    <w:rPr>
      <w:rFonts w:asciiTheme="majorHAnsi" w:eastAsiaTheme="majorEastAsia" w:hAnsiTheme="majorHAnsi" w:cstheme="majorBidi"/>
      <w:b/>
      <w:bCs/>
      <w:i/>
      <w:iCs/>
      <w:color w:val="FFFFFF" w:themeColor="background1"/>
      <w:kern w:val="2"/>
      <w:sz w:val="24"/>
      <w:szCs w:val="24"/>
      <w:lang w:val="en-CA" w:eastAsia="en-US"/>
      <w14:ligatures w14:val="standardContextual"/>
    </w:rPr>
  </w:style>
  <w:style w:type="table" w:styleId="Tabladecuadrcula4">
    <w:name w:val="Grid Table 4"/>
    <w:basedOn w:val="Tablanormal"/>
    <w:uiPriority w:val="49"/>
    <w:rsid w:val="00D50A5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shd w:val="clear" w:color="auto" w:fill="auto"/>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4D4025"/>
    <w:pPr>
      <w:spacing w:after="0" w:line="240" w:lineRule="auto"/>
    </w:pPr>
    <w:rPr>
      <w:color w:val="auto"/>
      <w:kern w:val="2"/>
      <w:sz w:val="22"/>
      <w:szCs w:val="22"/>
      <w:lang w:val="en-GB" w:eastAsia="en-US"/>
      <w14:ligatures w14:val="standardContextual"/>
    </w:rPr>
    <w:tblPr>
      <w:tblStyleRowBandSize w:val="1"/>
      <w:tblStyleColBandSize w:val="1"/>
      <w:tblBorders>
        <w:top w:val="single" w:sz="4" w:space="0" w:color="8ABEDB" w:themeColor="accent1" w:themeTint="99"/>
        <w:left w:val="single" w:sz="4" w:space="0" w:color="8ABEDB" w:themeColor="accent1" w:themeTint="99"/>
        <w:bottom w:val="single" w:sz="4" w:space="0" w:color="8ABEDB" w:themeColor="accent1" w:themeTint="99"/>
        <w:right w:val="single" w:sz="4" w:space="0" w:color="8ABEDB" w:themeColor="accent1" w:themeTint="99"/>
        <w:insideH w:val="single" w:sz="4" w:space="0" w:color="8ABEDB" w:themeColor="accent1" w:themeTint="99"/>
        <w:insideV w:val="single" w:sz="4" w:space="0" w:color="8ABEDB" w:themeColor="accent1" w:themeTint="99"/>
      </w:tblBorders>
    </w:tblPr>
    <w:tblStylePr w:type="firstRow">
      <w:rPr>
        <w:b/>
        <w:bCs/>
        <w:color w:val="FFFFFF" w:themeColor="background1"/>
      </w:rPr>
      <w:tblPr/>
      <w:tcPr>
        <w:tcBorders>
          <w:top w:val="single" w:sz="4" w:space="0" w:color="3D94C4" w:themeColor="accent1"/>
          <w:left w:val="single" w:sz="4" w:space="0" w:color="3D94C4" w:themeColor="accent1"/>
          <w:bottom w:val="single" w:sz="4" w:space="0" w:color="3D94C4" w:themeColor="accent1"/>
          <w:right w:val="single" w:sz="4" w:space="0" w:color="3D94C4" w:themeColor="accent1"/>
          <w:insideH w:val="nil"/>
          <w:insideV w:val="nil"/>
        </w:tcBorders>
        <w:shd w:val="clear" w:color="auto" w:fill="3D94C4" w:themeFill="accent1"/>
      </w:tcPr>
    </w:tblStylePr>
    <w:tblStylePr w:type="lastRow">
      <w:rPr>
        <w:b/>
        <w:bCs/>
      </w:rPr>
      <w:tblPr/>
      <w:tcPr>
        <w:tcBorders>
          <w:top w:val="double" w:sz="4" w:space="0" w:color="3D94C4" w:themeColor="accent1"/>
        </w:tcBorders>
      </w:tcPr>
    </w:tblStylePr>
    <w:tblStylePr w:type="firstCol">
      <w:rPr>
        <w:b/>
        <w:bCs/>
      </w:rPr>
    </w:tblStylePr>
    <w:tblStylePr w:type="lastCol">
      <w:rPr>
        <w:b/>
        <w:bCs/>
      </w:rPr>
    </w:tblStylePr>
    <w:tblStylePr w:type="band1Vert">
      <w:tblPr/>
      <w:tcPr>
        <w:shd w:val="clear" w:color="auto" w:fill="D8E9F3" w:themeFill="accent1" w:themeFillTint="33"/>
      </w:tcPr>
    </w:tblStylePr>
    <w:tblStylePr w:type="band1Horz">
      <w:tblPr/>
      <w:tcPr>
        <w:shd w:val="clear" w:color="auto" w:fill="D8E9F3" w:themeFill="accent1" w:themeFillTint="33"/>
      </w:tcPr>
    </w:tblStylePr>
  </w:style>
  <w:style w:type="table" w:styleId="Tablanormal1">
    <w:name w:val="Plain Table 1"/>
    <w:basedOn w:val="Tablanormal"/>
    <w:uiPriority w:val="41"/>
    <w:rsid w:val="004D4025"/>
    <w:pPr>
      <w:spacing w:after="0" w:line="240" w:lineRule="auto"/>
    </w:pPr>
    <w:rPr>
      <w:color w:val="auto"/>
      <w:kern w:val="2"/>
      <w:sz w:val="22"/>
      <w:szCs w:val="22"/>
      <w:lang w:val="en-GB" w:eastAsia="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5Car">
    <w:name w:val="Título 5 Car"/>
    <w:basedOn w:val="Fuentedeprrafopredeter"/>
    <w:link w:val="Ttulo5"/>
    <w:uiPriority w:val="7"/>
    <w:semiHidden/>
    <w:rsid w:val="005D33BF"/>
    <w:rPr>
      <w:rFonts w:asciiTheme="majorHAnsi" w:eastAsiaTheme="majorEastAsia" w:hAnsiTheme="majorHAnsi" w:cstheme="majorBidi"/>
      <w:color w:val="2D6E93" w:themeColor="accent1" w:themeShade="BF"/>
      <w:sz w:val="22"/>
      <w:lang w:eastAsia="zh-CN"/>
    </w:rPr>
  </w:style>
  <w:style w:type="character" w:styleId="Mencionar">
    <w:name w:val="Mention"/>
    <w:basedOn w:val="Fuentedeprrafopredeter"/>
    <w:uiPriority w:val="99"/>
    <w:unhideWhenUsed/>
    <w:rsid w:val="006F0B1B"/>
    <w:rPr>
      <w:color w:val="2B579A"/>
      <w:shd w:val="clear" w:color="auto" w:fill="E1DFDD"/>
    </w:rPr>
  </w:style>
  <w:style w:type="character" w:customStyle="1" w:styleId="Bold">
    <w:name w:val="Bold"/>
    <w:qFormat/>
    <w:rsid w:val="00B20251"/>
    <w:rPr>
      <w:b/>
    </w:rPr>
  </w:style>
  <w:style w:type="paragraph" w:styleId="Textoindependiente">
    <w:name w:val="Body Text"/>
    <w:basedOn w:val="Normal"/>
    <w:link w:val="TextoindependienteCar"/>
    <w:rsid w:val="00B20251"/>
    <w:pPr>
      <w:widowControl w:val="0"/>
      <w:suppressAutoHyphens/>
      <w:spacing w:after="120" w:line="240" w:lineRule="auto"/>
    </w:pPr>
    <w:rPr>
      <w:rFonts w:ascii="Times New Roman" w:eastAsia="SimSun" w:hAnsi="Times New Roman" w:cs="Tahoma"/>
      <w:color w:val="auto"/>
      <w:kern w:val="2"/>
      <w:sz w:val="24"/>
      <w:szCs w:val="24"/>
      <w:shd w:val="clear" w:color="auto" w:fill="auto"/>
      <w:lang w:val="en-CA" w:bidi="hi-IN"/>
    </w:rPr>
  </w:style>
  <w:style w:type="character" w:customStyle="1" w:styleId="TextoindependienteCar">
    <w:name w:val="Texto independiente Car"/>
    <w:basedOn w:val="Fuentedeprrafopredeter"/>
    <w:link w:val="Textoindependiente"/>
    <w:rsid w:val="00B20251"/>
    <w:rPr>
      <w:rFonts w:ascii="Times New Roman" w:eastAsia="SimSun" w:hAnsi="Times New Roman" w:cs="Tahoma"/>
      <w:color w:val="auto"/>
      <w:kern w:val="2"/>
      <w:sz w:val="24"/>
      <w:szCs w:val="24"/>
      <w:lang w:val="en-CA" w:eastAsia="zh-CN" w:bidi="hi-IN"/>
    </w:rPr>
  </w:style>
  <w:style w:type="paragraph" w:customStyle="1" w:styleId="OrgTableHeadingLeft">
    <w:name w:val="OrgTableHeadingLeft"/>
    <w:basedOn w:val="Normal"/>
    <w:qFormat/>
    <w:rsid w:val="009712D5"/>
    <w:pPr>
      <w:widowControl w:val="0"/>
      <w:suppressLineNumbers/>
      <w:suppressAutoHyphens/>
      <w:spacing w:after="120" w:line="240" w:lineRule="auto"/>
    </w:pPr>
    <w:rPr>
      <w:rFonts w:ascii="Times New Roman" w:eastAsia="SimSun" w:hAnsi="Times New Roman" w:cs="Tahoma"/>
      <w:b/>
      <w:bCs/>
      <w:color w:val="auto"/>
      <w:kern w:val="2"/>
      <w:sz w:val="24"/>
      <w:szCs w:val="24"/>
      <w:shd w:val="clear" w:color="auto" w:fill="auto"/>
      <w:lang w:val="en-CA" w:bidi="hi-IN"/>
    </w:rPr>
  </w:style>
  <w:style w:type="paragraph" w:customStyle="1" w:styleId="OrgTableContentsLeft">
    <w:name w:val="OrgTableContentsLeft"/>
    <w:basedOn w:val="Normal"/>
    <w:qFormat/>
    <w:rsid w:val="009712D5"/>
    <w:pPr>
      <w:widowControl w:val="0"/>
      <w:suppressAutoHyphens/>
      <w:spacing w:after="120" w:line="240" w:lineRule="auto"/>
    </w:pPr>
    <w:rPr>
      <w:rFonts w:ascii="Times New Roman" w:eastAsia="SimSun" w:hAnsi="Times New Roman" w:cs="Tahoma"/>
      <w:color w:val="auto"/>
      <w:kern w:val="2"/>
      <w:sz w:val="24"/>
      <w:szCs w:val="24"/>
      <w:shd w:val="clear" w:color="auto" w:fill="auto"/>
      <w:lang w:val="en-CA" w:bidi="hi-IN"/>
    </w:rPr>
  </w:style>
  <w:style w:type="paragraph" w:styleId="Bibliografa">
    <w:name w:val="Bibliography"/>
    <w:basedOn w:val="Normal"/>
    <w:next w:val="Normal"/>
    <w:uiPriority w:val="37"/>
    <w:unhideWhenUsed/>
    <w:rsid w:val="00BC2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18500">
      <w:bodyDiv w:val="1"/>
      <w:marLeft w:val="0"/>
      <w:marRight w:val="0"/>
      <w:marTop w:val="0"/>
      <w:marBottom w:val="0"/>
      <w:divBdr>
        <w:top w:val="none" w:sz="0" w:space="0" w:color="auto"/>
        <w:left w:val="none" w:sz="0" w:space="0" w:color="auto"/>
        <w:bottom w:val="none" w:sz="0" w:space="0" w:color="auto"/>
        <w:right w:val="none" w:sz="0" w:space="0" w:color="auto"/>
      </w:divBdr>
    </w:div>
    <w:div w:id="63798396">
      <w:bodyDiv w:val="1"/>
      <w:marLeft w:val="0"/>
      <w:marRight w:val="0"/>
      <w:marTop w:val="0"/>
      <w:marBottom w:val="0"/>
      <w:divBdr>
        <w:top w:val="none" w:sz="0" w:space="0" w:color="auto"/>
        <w:left w:val="none" w:sz="0" w:space="0" w:color="auto"/>
        <w:bottom w:val="none" w:sz="0" w:space="0" w:color="auto"/>
        <w:right w:val="none" w:sz="0" w:space="0" w:color="auto"/>
      </w:divBdr>
    </w:div>
    <w:div w:id="64569422">
      <w:bodyDiv w:val="1"/>
      <w:marLeft w:val="0"/>
      <w:marRight w:val="0"/>
      <w:marTop w:val="0"/>
      <w:marBottom w:val="0"/>
      <w:divBdr>
        <w:top w:val="none" w:sz="0" w:space="0" w:color="auto"/>
        <w:left w:val="none" w:sz="0" w:space="0" w:color="auto"/>
        <w:bottom w:val="none" w:sz="0" w:space="0" w:color="auto"/>
        <w:right w:val="none" w:sz="0" w:space="0" w:color="auto"/>
      </w:divBdr>
    </w:div>
    <w:div w:id="93521016">
      <w:bodyDiv w:val="1"/>
      <w:marLeft w:val="0"/>
      <w:marRight w:val="0"/>
      <w:marTop w:val="0"/>
      <w:marBottom w:val="0"/>
      <w:divBdr>
        <w:top w:val="none" w:sz="0" w:space="0" w:color="auto"/>
        <w:left w:val="none" w:sz="0" w:space="0" w:color="auto"/>
        <w:bottom w:val="none" w:sz="0" w:space="0" w:color="auto"/>
        <w:right w:val="none" w:sz="0" w:space="0" w:color="auto"/>
      </w:divBdr>
    </w:div>
    <w:div w:id="158230048">
      <w:bodyDiv w:val="1"/>
      <w:marLeft w:val="0"/>
      <w:marRight w:val="0"/>
      <w:marTop w:val="0"/>
      <w:marBottom w:val="0"/>
      <w:divBdr>
        <w:top w:val="none" w:sz="0" w:space="0" w:color="auto"/>
        <w:left w:val="none" w:sz="0" w:space="0" w:color="auto"/>
        <w:bottom w:val="none" w:sz="0" w:space="0" w:color="auto"/>
        <w:right w:val="none" w:sz="0" w:space="0" w:color="auto"/>
      </w:divBdr>
    </w:div>
    <w:div w:id="183056520">
      <w:bodyDiv w:val="1"/>
      <w:marLeft w:val="0"/>
      <w:marRight w:val="0"/>
      <w:marTop w:val="0"/>
      <w:marBottom w:val="0"/>
      <w:divBdr>
        <w:top w:val="none" w:sz="0" w:space="0" w:color="auto"/>
        <w:left w:val="none" w:sz="0" w:space="0" w:color="auto"/>
        <w:bottom w:val="none" w:sz="0" w:space="0" w:color="auto"/>
        <w:right w:val="none" w:sz="0" w:space="0" w:color="auto"/>
      </w:divBdr>
    </w:div>
    <w:div w:id="185216577">
      <w:bodyDiv w:val="1"/>
      <w:marLeft w:val="0"/>
      <w:marRight w:val="0"/>
      <w:marTop w:val="0"/>
      <w:marBottom w:val="0"/>
      <w:divBdr>
        <w:top w:val="none" w:sz="0" w:space="0" w:color="auto"/>
        <w:left w:val="none" w:sz="0" w:space="0" w:color="auto"/>
        <w:bottom w:val="none" w:sz="0" w:space="0" w:color="auto"/>
        <w:right w:val="none" w:sz="0" w:space="0" w:color="auto"/>
      </w:divBdr>
    </w:div>
    <w:div w:id="234975662">
      <w:bodyDiv w:val="1"/>
      <w:marLeft w:val="0"/>
      <w:marRight w:val="0"/>
      <w:marTop w:val="0"/>
      <w:marBottom w:val="0"/>
      <w:divBdr>
        <w:top w:val="none" w:sz="0" w:space="0" w:color="auto"/>
        <w:left w:val="none" w:sz="0" w:space="0" w:color="auto"/>
        <w:bottom w:val="none" w:sz="0" w:space="0" w:color="auto"/>
        <w:right w:val="none" w:sz="0" w:space="0" w:color="auto"/>
      </w:divBdr>
    </w:div>
    <w:div w:id="248926495">
      <w:bodyDiv w:val="1"/>
      <w:marLeft w:val="0"/>
      <w:marRight w:val="0"/>
      <w:marTop w:val="0"/>
      <w:marBottom w:val="0"/>
      <w:divBdr>
        <w:top w:val="none" w:sz="0" w:space="0" w:color="auto"/>
        <w:left w:val="none" w:sz="0" w:space="0" w:color="auto"/>
        <w:bottom w:val="none" w:sz="0" w:space="0" w:color="auto"/>
        <w:right w:val="none" w:sz="0" w:space="0" w:color="auto"/>
      </w:divBdr>
    </w:div>
    <w:div w:id="273513438">
      <w:bodyDiv w:val="1"/>
      <w:marLeft w:val="0"/>
      <w:marRight w:val="0"/>
      <w:marTop w:val="0"/>
      <w:marBottom w:val="0"/>
      <w:divBdr>
        <w:top w:val="none" w:sz="0" w:space="0" w:color="auto"/>
        <w:left w:val="none" w:sz="0" w:space="0" w:color="auto"/>
        <w:bottom w:val="none" w:sz="0" w:space="0" w:color="auto"/>
        <w:right w:val="none" w:sz="0" w:space="0" w:color="auto"/>
      </w:divBdr>
      <w:divsChild>
        <w:div w:id="306788947">
          <w:marLeft w:val="0"/>
          <w:marRight w:val="0"/>
          <w:marTop w:val="0"/>
          <w:marBottom w:val="0"/>
          <w:divBdr>
            <w:top w:val="none" w:sz="0" w:space="0" w:color="auto"/>
            <w:left w:val="none" w:sz="0" w:space="0" w:color="auto"/>
            <w:bottom w:val="none" w:sz="0" w:space="0" w:color="auto"/>
            <w:right w:val="none" w:sz="0" w:space="0" w:color="auto"/>
          </w:divBdr>
        </w:div>
        <w:div w:id="610867291">
          <w:marLeft w:val="0"/>
          <w:marRight w:val="0"/>
          <w:marTop w:val="0"/>
          <w:marBottom w:val="0"/>
          <w:divBdr>
            <w:top w:val="none" w:sz="0" w:space="0" w:color="auto"/>
            <w:left w:val="none" w:sz="0" w:space="0" w:color="auto"/>
            <w:bottom w:val="none" w:sz="0" w:space="0" w:color="auto"/>
            <w:right w:val="none" w:sz="0" w:space="0" w:color="auto"/>
          </w:divBdr>
        </w:div>
        <w:div w:id="1860780331">
          <w:marLeft w:val="0"/>
          <w:marRight w:val="0"/>
          <w:marTop w:val="0"/>
          <w:marBottom w:val="0"/>
          <w:divBdr>
            <w:top w:val="none" w:sz="0" w:space="0" w:color="auto"/>
            <w:left w:val="none" w:sz="0" w:space="0" w:color="auto"/>
            <w:bottom w:val="none" w:sz="0" w:space="0" w:color="auto"/>
            <w:right w:val="none" w:sz="0" w:space="0" w:color="auto"/>
          </w:divBdr>
        </w:div>
      </w:divsChild>
    </w:div>
    <w:div w:id="325134613">
      <w:bodyDiv w:val="1"/>
      <w:marLeft w:val="0"/>
      <w:marRight w:val="0"/>
      <w:marTop w:val="0"/>
      <w:marBottom w:val="0"/>
      <w:divBdr>
        <w:top w:val="none" w:sz="0" w:space="0" w:color="auto"/>
        <w:left w:val="none" w:sz="0" w:space="0" w:color="auto"/>
        <w:bottom w:val="none" w:sz="0" w:space="0" w:color="auto"/>
        <w:right w:val="none" w:sz="0" w:space="0" w:color="auto"/>
      </w:divBdr>
    </w:div>
    <w:div w:id="357849827">
      <w:bodyDiv w:val="1"/>
      <w:marLeft w:val="0"/>
      <w:marRight w:val="0"/>
      <w:marTop w:val="0"/>
      <w:marBottom w:val="0"/>
      <w:divBdr>
        <w:top w:val="none" w:sz="0" w:space="0" w:color="auto"/>
        <w:left w:val="none" w:sz="0" w:space="0" w:color="auto"/>
        <w:bottom w:val="none" w:sz="0" w:space="0" w:color="auto"/>
        <w:right w:val="none" w:sz="0" w:space="0" w:color="auto"/>
      </w:divBdr>
    </w:div>
    <w:div w:id="387924722">
      <w:bodyDiv w:val="1"/>
      <w:marLeft w:val="0"/>
      <w:marRight w:val="0"/>
      <w:marTop w:val="0"/>
      <w:marBottom w:val="0"/>
      <w:divBdr>
        <w:top w:val="none" w:sz="0" w:space="0" w:color="auto"/>
        <w:left w:val="none" w:sz="0" w:space="0" w:color="auto"/>
        <w:bottom w:val="none" w:sz="0" w:space="0" w:color="auto"/>
        <w:right w:val="none" w:sz="0" w:space="0" w:color="auto"/>
      </w:divBdr>
    </w:div>
    <w:div w:id="433356710">
      <w:bodyDiv w:val="1"/>
      <w:marLeft w:val="0"/>
      <w:marRight w:val="0"/>
      <w:marTop w:val="0"/>
      <w:marBottom w:val="0"/>
      <w:divBdr>
        <w:top w:val="none" w:sz="0" w:space="0" w:color="auto"/>
        <w:left w:val="none" w:sz="0" w:space="0" w:color="auto"/>
        <w:bottom w:val="none" w:sz="0" w:space="0" w:color="auto"/>
        <w:right w:val="none" w:sz="0" w:space="0" w:color="auto"/>
      </w:divBdr>
    </w:div>
    <w:div w:id="457990233">
      <w:bodyDiv w:val="1"/>
      <w:marLeft w:val="0"/>
      <w:marRight w:val="0"/>
      <w:marTop w:val="0"/>
      <w:marBottom w:val="0"/>
      <w:divBdr>
        <w:top w:val="none" w:sz="0" w:space="0" w:color="auto"/>
        <w:left w:val="none" w:sz="0" w:space="0" w:color="auto"/>
        <w:bottom w:val="none" w:sz="0" w:space="0" w:color="auto"/>
        <w:right w:val="none" w:sz="0" w:space="0" w:color="auto"/>
      </w:divBdr>
    </w:div>
    <w:div w:id="475225067">
      <w:bodyDiv w:val="1"/>
      <w:marLeft w:val="0"/>
      <w:marRight w:val="0"/>
      <w:marTop w:val="0"/>
      <w:marBottom w:val="0"/>
      <w:divBdr>
        <w:top w:val="none" w:sz="0" w:space="0" w:color="auto"/>
        <w:left w:val="none" w:sz="0" w:space="0" w:color="auto"/>
        <w:bottom w:val="none" w:sz="0" w:space="0" w:color="auto"/>
        <w:right w:val="none" w:sz="0" w:space="0" w:color="auto"/>
      </w:divBdr>
    </w:div>
    <w:div w:id="524054944">
      <w:bodyDiv w:val="1"/>
      <w:marLeft w:val="0"/>
      <w:marRight w:val="0"/>
      <w:marTop w:val="0"/>
      <w:marBottom w:val="0"/>
      <w:divBdr>
        <w:top w:val="none" w:sz="0" w:space="0" w:color="auto"/>
        <w:left w:val="none" w:sz="0" w:space="0" w:color="auto"/>
        <w:bottom w:val="none" w:sz="0" w:space="0" w:color="auto"/>
        <w:right w:val="none" w:sz="0" w:space="0" w:color="auto"/>
      </w:divBdr>
    </w:div>
    <w:div w:id="552352562">
      <w:bodyDiv w:val="1"/>
      <w:marLeft w:val="0"/>
      <w:marRight w:val="0"/>
      <w:marTop w:val="0"/>
      <w:marBottom w:val="0"/>
      <w:divBdr>
        <w:top w:val="none" w:sz="0" w:space="0" w:color="auto"/>
        <w:left w:val="none" w:sz="0" w:space="0" w:color="auto"/>
        <w:bottom w:val="none" w:sz="0" w:space="0" w:color="auto"/>
        <w:right w:val="none" w:sz="0" w:space="0" w:color="auto"/>
      </w:divBdr>
    </w:div>
    <w:div w:id="556860427">
      <w:bodyDiv w:val="1"/>
      <w:marLeft w:val="0"/>
      <w:marRight w:val="0"/>
      <w:marTop w:val="0"/>
      <w:marBottom w:val="0"/>
      <w:divBdr>
        <w:top w:val="none" w:sz="0" w:space="0" w:color="auto"/>
        <w:left w:val="none" w:sz="0" w:space="0" w:color="auto"/>
        <w:bottom w:val="none" w:sz="0" w:space="0" w:color="auto"/>
        <w:right w:val="none" w:sz="0" w:space="0" w:color="auto"/>
      </w:divBdr>
    </w:div>
    <w:div w:id="618536187">
      <w:bodyDiv w:val="1"/>
      <w:marLeft w:val="0"/>
      <w:marRight w:val="0"/>
      <w:marTop w:val="0"/>
      <w:marBottom w:val="0"/>
      <w:divBdr>
        <w:top w:val="none" w:sz="0" w:space="0" w:color="auto"/>
        <w:left w:val="none" w:sz="0" w:space="0" w:color="auto"/>
        <w:bottom w:val="none" w:sz="0" w:space="0" w:color="auto"/>
        <w:right w:val="none" w:sz="0" w:space="0" w:color="auto"/>
      </w:divBdr>
    </w:div>
    <w:div w:id="627783276">
      <w:bodyDiv w:val="1"/>
      <w:marLeft w:val="0"/>
      <w:marRight w:val="0"/>
      <w:marTop w:val="0"/>
      <w:marBottom w:val="0"/>
      <w:divBdr>
        <w:top w:val="none" w:sz="0" w:space="0" w:color="auto"/>
        <w:left w:val="none" w:sz="0" w:space="0" w:color="auto"/>
        <w:bottom w:val="none" w:sz="0" w:space="0" w:color="auto"/>
        <w:right w:val="none" w:sz="0" w:space="0" w:color="auto"/>
      </w:divBdr>
    </w:div>
    <w:div w:id="637272246">
      <w:bodyDiv w:val="1"/>
      <w:marLeft w:val="0"/>
      <w:marRight w:val="0"/>
      <w:marTop w:val="0"/>
      <w:marBottom w:val="0"/>
      <w:divBdr>
        <w:top w:val="none" w:sz="0" w:space="0" w:color="auto"/>
        <w:left w:val="none" w:sz="0" w:space="0" w:color="auto"/>
        <w:bottom w:val="none" w:sz="0" w:space="0" w:color="auto"/>
        <w:right w:val="none" w:sz="0" w:space="0" w:color="auto"/>
      </w:divBdr>
    </w:div>
    <w:div w:id="640841322">
      <w:bodyDiv w:val="1"/>
      <w:marLeft w:val="0"/>
      <w:marRight w:val="0"/>
      <w:marTop w:val="0"/>
      <w:marBottom w:val="0"/>
      <w:divBdr>
        <w:top w:val="none" w:sz="0" w:space="0" w:color="auto"/>
        <w:left w:val="none" w:sz="0" w:space="0" w:color="auto"/>
        <w:bottom w:val="none" w:sz="0" w:space="0" w:color="auto"/>
        <w:right w:val="none" w:sz="0" w:space="0" w:color="auto"/>
      </w:divBdr>
      <w:divsChild>
        <w:div w:id="1253662027">
          <w:marLeft w:val="0"/>
          <w:marRight w:val="0"/>
          <w:marTop w:val="0"/>
          <w:marBottom w:val="0"/>
          <w:divBdr>
            <w:top w:val="none" w:sz="0" w:space="0" w:color="auto"/>
            <w:left w:val="none" w:sz="0" w:space="0" w:color="auto"/>
            <w:bottom w:val="none" w:sz="0" w:space="0" w:color="auto"/>
            <w:right w:val="none" w:sz="0" w:space="0" w:color="auto"/>
          </w:divBdr>
          <w:divsChild>
            <w:div w:id="185390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93602752">
      <w:bodyDiv w:val="1"/>
      <w:marLeft w:val="0"/>
      <w:marRight w:val="0"/>
      <w:marTop w:val="0"/>
      <w:marBottom w:val="0"/>
      <w:divBdr>
        <w:top w:val="none" w:sz="0" w:space="0" w:color="auto"/>
        <w:left w:val="none" w:sz="0" w:space="0" w:color="auto"/>
        <w:bottom w:val="none" w:sz="0" w:space="0" w:color="auto"/>
        <w:right w:val="none" w:sz="0" w:space="0" w:color="auto"/>
      </w:divBdr>
    </w:div>
    <w:div w:id="819542266">
      <w:bodyDiv w:val="1"/>
      <w:marLeft w:val="0"/>
      <w:marRight w:val="0"/>
      <w:marTop w:val="0"/>
      <w:marBottom w:val="0"/>
      <w:divBdr>
        <w:top w:val="none" w:sz="0" w:space="0" w:color="auto"/>
        <w:left w:val="none" w:sz="0" w:space="0" w:color="auto"/>
        <w:bottom w:val="none" w:sz="0" w:space="0" w:color="auto"/>
        <w:right w:val="none" w:sz="0" w:space="0" w:color="auto"/>
      </w:divBdr>
    </w:div>
    <w:div w:id="869803130">
      <w:bodyDiv w:val="1"/>
      <w:marLeft w:val="0"/>
      <w:marRight w:val="0"/>
      <w:marTop w:val="0"/>
      <w:marBottom w:val="0"/>
      <w:divBdr>
        <w:top w:val="none" w:sz="0" w:space="0" w:color="auto"/>
        <w:left w:val="none" w:sz="0" w:space="0" w:color="auto"/>
        <w:bottom w:val="none" w:sz="0" w:space="0" w:color="auto"/>
        <w:right w:val="none" w:sz="0" w:space="0" w:color="auto"/>
      </w:divBdr>
    </w:div>
    <w:div w:id="927465609">
      <w:bodyDiv w:val="1"/>
      <w:marLeft w:val="0"/>
      <w:marRight w:val="0"/>
      <w:marTop w:val="0"/>
      <w:marBottom w:val="0"/>
      <w:divBdr>
        <w:top w:val="none" w:sz="0" w:space="0" w:color="auto"/>
        <w:left w:val="none" w:sz="0" w:space="0" w:color="auto"/>
        <w:bottom w:val="none" w:sz="0" w:space="0" w:color="auto"/>
        <w:right w:val="none" w:sz="0" w:space="0" w:color="auto"/>
      </w:divBdr>
    </w:div>
    <w:div w:id="931087577">
      <w:bodyDiv w:val="1"/>
      <w:marLeft w:val="0"/>
      <w:marRight w:val="0"/>
      <w:marTop w:val="0"/>
      <w:marBottom w:val="0"/>
      <w:divBdr>
        <w:top w:val="none" w:sz="0" w:space="0" w:color="auto"/>
        <w:left w:val="none" w:sz="0" w:space="0" w:color="auto"/>
        <w:bottom w:val="none" w:sz="0" w:space="0" w:color="auto"/>
        <w:right w:val="none" w:sz="0" w:space="0" w:color="auto"/>
      </w:divBdr>
    </w:div>
    <w:div w:id="995183812">
      <w:bodyDiv w:val="1"/>
      <w:marLeft w:val="0"/>
      <w:marRight w:val="0"/>
      <w:marTop w:val="0"/>
      <w:marBottom w:val="0"/>
      <w:divBdr>
        <w:top w:val="none" w:sz="0" w:space="0" w:color="auto"/>
        <w:left w:val="none" w:sz="0" w:space="0" w:color="auto"/>
        <w:bottom w:val="none" w:sz="0" w:space="0" w:color="auto"/>
        <w:right w:val="none" w:sz="0" w:space="0" w:color="auto"/>
      </w:divBdr>
    </w:div>
    <w:div w:id="1002201273">
      <w:bodyDiv w:val="1"/>
      <w:marLeft w:val="0"/>
      <w:marRight w:val="0"/>
      <w:marTop w:val="0"/>
      <w:marBottom w:val="0"/>
      <w:divBdr>
        <w:top w:val="none" w:sz="0" w:space="0" w:color="auto"/>
        <w:left w:val="none" w:sz="0" w:space="0" w:color="auto"/>
        <w:bottom w:val="none" w:sz="0" w:space="0" w:color="auto"/>
        <w:right w:val="none" w:sz="0" w:space="0" w:color="auto"/>
      </w:divBdr>
      <w:divsChild>
        <w:div w:id="1596089446">
          <w:marLeft w:val="0"/>
          <w:marRight w:val="0"/>
          <w:marTop w:val="0"/>
          <w:marBottom w:val="0"/>
          <w:divBdr>
            <w:top w:val="none" w:sz="0" w:space="0" w:color="auto"/>
            <w:left w:val="none" w:sz="0" w:space="0" w:color="auto"/>
            <w:bottom w:val="none" w:sz="0" w:space="0" w:color="auto"/>
            <w:right w:val="none" w:sz="0" w:space="0" w:color="auto"/>
          </w:divBdr>
          <w:divsChild>
            <w:div w:id="55072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45656">
      <w:bodyDiv w:val="1"/>
      <w:marLeft w:val="0"/>
      <w:marRight w:val="0"/>
      <w:marTop w:val="0"/>
      <w:marBottom w:val="0"/>
      <w:divBdr>
        <w:top w:val="none" w:sz="0" w:space="0" w:color="auto"/>
        <w:left w:val="none" w:sz="0" w:space="0" w:color="auto"/>
        <w:bottom w:val="none" w:sz="0" w:space="0" w:color="auto"/>
        <w:right w:val="none" w:sz="0" w:space="0" w:color="auto"/>
      </w:divBdr>
    </w:div>
    <w:div w:id="1060635390">
      <w:bodyDiv w:val="1"/>
      <w:marLeft w:val="0"/>
      <w:marRight w:val="0"/>
      <w:marTop w:val="0"/>
      <w:marBottom w:val="0"/>
      <w:divBdr>
        <w:top w:val="none" w:sz="0" w:space="0" w:color="auto"/>
        <w:left w:val="none" w:sz="0" w:space="0" w:color="auto"/>
        <w:bottom w:val="none" w:sz="0" w:space="0" w:color="auto"/>
        <w:right w:val="none" w:sz="0" w:space="0" w:color="auto"/>
      </w:divBdr>
    </w:div>
    <w:div w:id="1100680593">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170750645">
      <w:bodyDiv w:val="1"/>
      <w:marLeft w:val="0"/>
      <w:marRight w:val="0"/>
      <w:marTop w:val="0"/>
      <w:marBottom w:val="0"/>
      <w:divBdr>
        <w:top w:val="none" w:sz="0" w:space="0" w:color="auto"/>
        <w:left w:val="none" w:sz="0" w:space="0" w:color="auto"/>
        <w:bottom w:val="none" w:sz="0" w:space="0" w:color="auto"/>
        <w:right w:val="none" w:sz="0" w:space="0" w:color="auto"/>
      </w:divBdr>
    </w:div>
    <w:div w:id="1173835084">
      <w:bodyDiv w:val="1"/>
      <w:marLeft w:val="0"/>
      <w:marRight w:val="0"/>
      <w:marTop w:val="0"/>
      <w:marBottom w:val="0"/>
      <w:divBdr>
        <w:top w:val="none" w:sz="0" w:space="0" w:color="auto"/>
        <w:left w:val="none" w:sz="0" w:space="0" w:color="auto"/>
        <w:bottom w:val="none" w:sz="0" w:space="0" w:color="auto"/>
        <w:right w:val="none" w:sz="0" w:space="0" w:color="auto"/>
      </w:divBdr>
    </w:div>
    <w:div w:id="1218009446">
      <w:bodyDiv w:val="1"/>
      <w:marLeft w:val="0"/>
      <w:marRight w:val="0"/>
      <w:marTop w:val="0"/>
      <w:marBottom w:val="0"/>
      <w:divBdr>
        <w:top w:val="none" w:sz="0" w:space="0" w:color="auto"/>
        <w:left w:val="none" w:sz="0" w:space="0" w:color="auto"/>
        <w:bottom w:val="none" w:sz="0" w:space="0" w:color="auto"/>
        <w:right w:val="none" w:sz="0" w:space="0" w:color="auto"/>
      </w:divBdr>
      <w:divsChild>
        <w:div w:id="429397035">
          <w:marLeft w:val="0"/>
          <w:marRight w:val="0"/>
          <w:marTop w:val="0"/>
          <w:marBottom w:val="0"/>
          <w:divBdr>
            <w:top w:val="none" w:sz="0" w:space="0" w:color="auto"/>
            <w:left w:val="none" w:sz="0" w:space="0" w:color="auto"/>
            <w:bottom w:val="none" w:sz="0" w:space="0" w:color="auto"/>
            <w:right w:val="none" w:sz="0" w:space="0" w:color="auto"/>
          </w:divBdr>
          <w:divsChild>
            <w:div w:id="193216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86182">
      <w:bodyDiv w:val="1"/>
      <w:marLeft w:val="0"/>
      <w:marRight w:val="0"/>
      <w:marTop w:val="0"/>
      <w:marBottom w:val="0"/>
      <w:divBdr>
        <w:top w:val="none" w:sz="0" w:space="0" w:color="auto"/>
        <w:left w:val="none" w:sz="0" w:space="0" w:color="auto"/>
        <w:bottom w:val="none" w:sz="0" w:space="0" w:color="auto"/>
        <w:right w:val="none" w:sz="0" w:space="0" w:color="auto"/>
      </w:divBdr>
    </w:div>
    <w:div w:id="1384594424">
      <w:bodyDiv w:val="1"/>
      <w:marLeft w:val="0"/>
      <w:marRight w:val="0"/>
      <w:marTop w:val="0"/>
      <w:marBottom w:val="0"/>
      <w:divBdr>
        <w:top w:val="none" w:sz="0" w:space="0" w:color="auto"/>
        <w:left w:val="none" w:sz="0" w:space="0" w:color="auto"/>
        <w:bottom w:val="none" w:sz="0" w:space="0" w:color="auto"/>
        <w:right w:val="none" w:sz="0" w:space="0" w:color="auto"/>
      </w:divBdr>
    </w:div>
    <w:div w:id="1421442733">
      <w:bodyDiv w:val="1"/>
      <w:marLeft w:val="0"/>
      <w:marRight w:val="0"/>
      <w:marTop w:val="0"/>
      <w:marBottom w:val="0"/>
      <w:divBdr>
        <w:top w:val="none" w:sz="0" w:space="0" w:color="auto"/>
        <w:left w:val="none" w:sz="0" w:space="0" w:color="auto"/>
        <w:bottom w:val="none" w:sz="0" w:space="0" w:color="auto"/>
        <w:right w:val="none" w:sz="0" w:space="0" w:color="auto"/>
      </w:divBdr>
      <w:divsChild>
        <w:div w:id="525483895">
          <w:marLeft w:val="0"/>
          <w:marRight w:val="0"/>
          <w:marTop w:val="0"/>
          <w:marBottom w:val="160"/>
          <w:divBdr>
            <w:top w:val="none" w:sz="0" w:space="0" w:color="auto"/>
            <w:left w:val="none" w:sz="0" w:space="0" w:color="auto"/>
            <w:bottom w:val="none" w:sz="0" w:space="0" w:color="auto"/>
            <w:right w:val="none" w:sz="0" w:space="0" w:color="auto"/>
          </w:divBdr>
        </w:div>
        <w:div w:id="929200779">
          <w:marLeft w:val="0"/>
          <w:marRight w:val="0"/>
          <w:marTop w:val="0"/>
          <w:marBottom w:val="160"/>
          <w:divBdr>
            <w:top w:val="none" w:sz="0" w:space="0" w:color="auto"/>
            <w:left w:val="none" w:sz="0" w:space="0" w:color="auto"/>
            <w:bottom w:val="none" w:sz="0" w:space="0" w:color="auto"/>
            <w:right w:val="none" w:sz="0" w:space="0" w:color="auto"/>
          </w:divBdr>
        </w:div>
        <w:div w:id="1142772617">
          <w:marLeft w:val="0"/>
          <w:marRight w:val="0"/>
          <w:marTop w:val="0"/>
          <w:marBottom w:val="160"/>
          <w:divBdr>
            <w:top w:val="none" w:sz="0" w:space="0" w:color="auto"/>
            <w:left w:val="none" w:sz="0" w:space="0" w:color="auto"/>
            <w:bottom w:val="none" w:sz="0" w:space="0" w:color="auto"/>
            <w:right w:val="none" w:sz="0" w:space="0" w:color="auto"/>
          </w:divBdr>
        </w:div>
        <w:div w:id="1315723846">
          <w:marLeft w:val="0"/>
          <w:marRight w:val="0"/>
          <w:marTop w:val="0"/>
          <w:marBottom w:val="160"/>
          <w:divBdr>
            <w:top w:val="none" w:sz="0" w:space="0" w:color="auto"/>
            <w:left w:val="none" w:sz="0" w:space="0" w:color="auto"/>
            <w:bottom w:val="none" w:sz="0" w:space="0" w:color="auto"/>
            <w:right w:val="none" w:sz="0" w:space="0" w:color="auto"/>
          </w:divBdr>
        </w:div>
        <w:div w:id="1500343174">
          <w:marLeft w:val="0"/>
          <w:marRight w:val="0"/>
          <w:marTop w:val="0"/>
          <w:marBottom w:val="160"/>
          <w:divBdr>
            <w:top w:val="none" w:sz="0" w:space="0" w:color="auto"/>
            <w:left w:val="none" w:sz="0" w:space="0" w:color="auto"/>
            <w:bottom w:val="none" w:sz="0" w:space="0" w:color="auto"/>
            <w:right w:val="none" w:sz="0" w:space="0" w:color="auto"/>
          </w:divBdr>
        </w:div>
      </w:divsChild>
    </w:div>
    <w:div w:id="1440030316">
      <w:bodyDiv w:val="1"/>
      <w:marLeft w:val="0"/>
      <w:marRight w:val="0"/>
      <w:marTop w:val="0"/>
      <w:marBottom w:val="0"/>
      <w:divBdr>
        <w:top w:val="none" w:sz="0" w:space="0" w:color="auto"/>
        <w:left w:val="none" w:sz="0" w:space="0" w:color="auto"/>
        <w:bottom w:val="none" w:sz="0" w:space="0" w:color="auto"/>
        <w:right w:val="none" w:sz="0" w:space="0" w:color="auto"/>
      </w:divBdr>
    </w:div>
    <w:div w:id="1477068557">
      <w:bodyDiv w:val="1"/>
      <w:marLeft w:val="0"/>
      <w:marRight w:val="0"/>
      <w:marTop w:val="0"/>
      <w:marBottom w:val="0"/>
      <w:divBdr>
        <w:top w:val="none" w:sz="0" w:space="0" w:color="auto"/>
        <w:left w:val="none" w:sz="0" w:space="0" w:color="auto"/>
        <w:bottom w:val="none" w:sz="0" w:space="0" w:color="auto"/>
        <w:right w:val="none" w:sz="0" w:space="0" w:color="auto"/>
      </w:divBdr>
      <w:divsChild>
        <w:div w:id="139614720">
          <w:marLeft w:val="0"/>
          <w:marRight w:val="0"/>
          <w:marTop w:val="0"/>
          <w:marBottom w:val="0"/>
          <w:divBdr>
            <w:top w:val="none" w:sz="0" w:space="0" w:color="auto"/>
            <w:left w:val="none" w:sz="0" w:space="0" w:color="auto"/>
            <w:bottom w:val="none" w:sz="0" w:space="0" w:color="auto"/>
            <w:right w:val="none" w:sz="0" w:space="0" w:color="auto"/>
          </w:divBdr>
        </w:div>
        <w:div w:id="148060995">
          <w:marLeft w:val="0"/>
          <w:marRight w:val="0"/>
          <w:marTop w:val="0"/>
          <w:marBottom w:val="0"/>
          <w:divBdr>
            <w:top w:val="none" w:sz="0" w:space="0" w:color="auto"/>
            <w:left w:val="none" w:sz="0" w:space="0" w:color="auto"/>
            <w:bottom w:val="none" w:sz="0" w:space="0" w:color="auto"/>
            <w:right w:val="none" w:sz="0" w:space="0" w:color="auto"/>
          </w:divBdr>
        </w:div>
        <w:div w:id="853418738">
          <w:marLeft w:val="0"/>
          <w:marRight w:val="0"/>
          <w:marTop w:val="0"/>
          <w:marBottom w:val="0"/>
          <w:divBdr>
            <w:top w:val="none" w:sz="0" w:space="0" w:color="auto"/>
            <w:left w:val="none" w:sz="0" w:space="0" w:color="auto"/>
            <w:bottom w:val="none" w:sz="0" w:space="0" w:color="auto"/>
            <w:right w:val="none" w:sz="0" w:space="0" w:color="auto"/>
          </w:divBdr>
        </w:div>
      </w:divsChild>
    </w:div>
    <w:div w:id="1561207033">
      <w:bodyDiv w:val="1"/>
      <w:marLeft w:val="0"/>
      <w:marRight w:val="0"/>
      <w:marTop w:val="0"/>
      <w:marBottom w:val="0"/>
      <w:divBdr>
        <w:top w:val="none" w:sz="0" w:space="0" w:color="auto"/>
        <w:left w:val="none" w:sz="0" w:space="0" w:color="auto"/>
        <w:bottom w:val="none" w:sz="0" w:space="0" w:color="auto"/>
        <w:right w:val="none" w:sz="0" w:space="0" w:color="auto"/>
      </w:divBdr>
    </w:div>
    <w:div w:id="1598712998">
      <w:bodyDiv w:val="1"/>
      <w:marLeft w:val="0"/>
      <w:marRight w:val="0"/>
      <w:marTop w:val="0"/>
      <w:marBottom w:val="0"/>
      <w:divBdr>
        <w:top w:val="none" w:sz="0" w:space="0" w:color="auto"/>
        <w:left w:val="none" w:sz="0" w:space="0" w:color="auto"/>
        <w:bottom w:val="none" w:sz="0" w:space="0" w:color="auto"/>
        <w:right w:val="none" w:sz="0" w:space="0" w:color="auto"/>
      </w:divBdr>
    </w:div>
    <w:div w:id="1609001176">
      <w:bodyDiv w:val="1"/>
      <w:marLeft w:val="0"/>
      <w:marRight w:val="0"/>
      <w:marTop w:val="0"/>
      <w:marBottom w:val="0"/>
      <w:divBdr>
        <w:top w:val="none" w:sz="0" w:space="0" w:color="auto"/>
        <w:left w:val="none" w:sz="0" w:space="0" w:color="auto"/>
        <w:bottom w:val="none" w:sz="0" w:space="0" w:color="auto"/>
        <w:right w:val="none" w:sz="0" w:space="0" w:color="auto"/>
      </w:divBdr>
    </w:div>
    <w:div w:id="1668049640">
      <w:bodyDiv w:val="1"/>
      <w:marLeft w:val="0"/>
      <w:marRight w:val="0"/>
      <w:marTop w:val="0"/>
      <w:marBottom w:val="0"/>
      <w:divBdr>
        <w:top w:val="none" w:sz="0" w:space="0" w:color="auto"/>
        <w:left w:val="none" w:sz="0" w:space="0" w:color="auto"/>
        <w:bottom w:val="none" w:sz="0" w:space="0" w:color="auto"/>
        <w:right w:val="none" w:sz="0" w:space="0" w:color="auto"/>
      </w:divBdr>
    </w:div>
    <w:div w:id="1684626981">
      <w:bodyDiv w:val="1"/>
      <w:marLeft w:val="0"/>
      <w:marRight w:val="0"/>
      <w:marTop w:val="0"/>
      <w:marBottom w:val="0"/>
      <w:divBdr>
        <w:top w:val="none" w:sz="0" w:space="0" w:color="auto"/>
        <w:left w:val="none" w:sz="0" w:space="0" w:color="auto"/>
        <w:bottom w:val="none" w:sz="0" w:space="0" w:color="auto"/>
        <w:right w:val="none" w:sz="0" w:space="0" w:color="auto"/>
      </w:divBdr>
    </w:div>
    <w:div w:id="1703939369">
      <w:bodyDiv w:val="1"/>
      <w:marLeft w:val="0"/>
      <w:marRight w:val="0"/>
      <w:marTop w:val="0"/>
      <w:marBottom w:val="0"/>
      <w:divBdr>
        <w:top w:val="none" w:sz="0" w:space="0" w:color="auto"/>
        <w:left w:val="none" w:sz="0" w:space="0" w:color="auto"/>
        <w:bottom w:val="none" w:sz="0" w:space="0" w:color="auto"/>
        <w:right w:val="none" w:sz="0" w:space="0" w:color="auto"/>
      </w:divBdr>
    </w:div>
    <w:div w:id="1796407905">
      <w:bodyDiv w:val="1"/>
      <w:marLeft w:val="0"/>
      <w:marRight w:val="0"/>
      <w:marTop w:val="0"/>
      <w:marBottom w:val="0"/>
      <w:divBdr>
        <w:top w:val="none" w:sz="0" w:space="0" w:color="auto"/>
        <w:left w:val="none" w:sz="0" w:space="0" w:color="auto"/>
        <w:bottom w:val="none" w:sz="0" w:space="0" w:color="auto"/>
        <w:right w:val="none" w:sz="0" w:space="0" w:color="auto"/>
      </w:divBdr>
    </w:div>
    <w:div w:id="1799832545">
      <w:bodyDiv w:val="1"/>
      <w:marLeft w:val="0"/>
      <w:marRight w:val="0"/>
      <w:marTop w:val="0"/>
      <w:marBottom w:val="0"/>
      <w:divBdr>
        <w:top w:val="none" w:sz="0" w:space="0" w:color="auto"/>
        <w:left w:val="none" w:sz="0" w:space="0" w:color="auto"/>
        <w:bottom w:val="none" w:sz="0" w:space="0" w:color="auto"/>
        <w:right w:val="none" w:sz="0" w:space="0" w:color="auto"/>
      </w:divBdr>
    </w:div>
    <w:div w:id="1878084076">
      <w:bodyDiv w:val="1"/>
      <w:marLeft w:val="0"/>
      <w:marRight w:val="0"/>
      <w:marTop w:val="0"/>
      <w:marBottom w:val="0"/>
      <w:divBdr>
        <w:top w:val="none" w:sz="0" w:space="0" w:color="auto"/>
        <w:left w:val="none" w:sz="0" w:space="0" w:color="auto"/>
        <w:bottom w:val="none" w:sz="0" w:space="0" w:color="auto"/>
        <w:right w:val="none" w:sz="0" w:space="0" w:color="auto"/>
      </w:divBdr>
      <w:divsChild>
        <w:div w:id="748768011">
          <w:marLeft w:val="0"/>
          <w:marRight w:val="0"/>
          <w:marTop w:val="0"/>
          <w:marBottom w:val="160"/>
          <w:divBdr>
            <w:top w:val="none" w:sz="0" w:space="0" w:color="auto"/>
            <w:left w:val="none" w:sz="0" w:space="0" w:color="auto"/>
            <w:bottom w:val="none" w:sz="0" w:space="0" w:color="auto"/>
            <w:right w:val="none" w:sz="0" w:space="0" w:color="auto"/>
          </w:divBdr>
        </w:div>
        <w:div w:id="1072855898">
          <w:marLeft w:val="0"/>
          <w:marRight w:val="0"/>
          <w:marTop w:val="0"/>
          <w:marBottom w:val="160"/>
          <w:divBdr>
            <w:top w:val="none" w:sz="0" w:space="0" w:color="auto"/>
            <w:left w:val="none" w:sz="0" w:space="0" w:color="auto"/>
            <w:bottom w:val="none" w:sz="0" w:space="0" w:color="auto"/>
            <w:right w:val="none" w:sz="0" w:space="0" w:color="auto"/>
          </w:divBdr>
        </w:div>
        <w:div w:id="1381633191">
          <w:marLeft w:val="0"/>
          <w:marRight w:val="0"/>
          <w:marTop w:val="0"/>
          <w:marBottom w:val="160"/>
          <w:divBdr>
            <w:top w:val="none" w:sz="0" w:space="0" w:color="auto"/>
            <w:left w:val="none" w:sz="0" w:space="0" w:color="auto"/>
            <w:bottom w:val="none" w:sz="0" w:space="0" w:color="auto"/>
            <w:right w:val="none" w:sz="0" w:space="0" w:color="auto"/>
          </w:divBdr>
        </w:div>
        <w:div w:id="1787848387">
          <w:marLeft w:val="0"/>
          <w:marRight w:val="0"/>
          <w:marTop w:val="0"/>
          <w:marBottom w:val="160"/>
          <w:divBdr>
            <w:top w:val="none" w:sz="0" w:space="0" w:color="auto"/>
            <w:left w:val="none" w:sz="0" w:space="0" w:color="auto"/>
            <w:bottom w:val="none" w:sz="0" w:space="0" w:color="auto"/>
            <w:right w:val="none" w:sz="0" w:space="0" w:color="auto"/>
          </w:divBdr>
        </w:div>
        <w:div w:id="1956058118">
          <w:marLeft w:val="0"/>
          <w:marRight w:val="0"/>
          <w:marTop w:val="0"/>
          <w:marBottom w:val="160"/>
          <w:divBdr>
            <w:top w:val="none" w:sz="0" w:space="0" w:color="auto"/>
            <w:left w:val="none" w:sz="0" w:space="0" w:color="auto"/>
            <w:bottom w:val="none" w:sz="0" w:space="0" w:color="auto"/>
            <w:right w:val="none" w:sz="0" w:space="0" w:color="auto"/>
          </w:divBdr>
        </w:div>
      </w:divsChild>
    </w:div>
    <w:div w:id="1912499270">
      <w:bodyDiv w:val="1"/>
      <w:marLeft w:val="0"/>
      <w:marRight w:val="0"/>
      <w:marTop w:val="0"/>
      <w:marBottom w:val="0"/>
      <w:divBdr>
        <w:top w:val="none" w:sz="0" w:space="0" w:color="auto"/>
        <w:left w:val="none" w:sz="0" w:space="0" w:color="auto"/>
        <w:bottom w:val="none" w:sz="0" w:space="0" w:color="auto"/>
        <w:right w:val="none" w:sz="0" w:space="0" w:color="auto"/>
      </w:divBdr>
    </w:div>
    <w:div w:id="1916737671">
      <w:bodyDiv w:val="1"/>
      <w:marLeft w:val="0"/>
      <w:marRight w:val="0"/>
      <w:marTop w:val="0"/>
      <w:marBottom w:val="0"/>
      <w:divBdr>
        <w:top w:val="none" w:sz="0" w:space="0" w:color="auto"/>
        <w:left w:val="none" w:sz="0" w:space="0" w:color="auto"/>
        <w:bottom w:val="none" w:sz="0" w:space="0" w:color="auto"/>
        <w:right w:val="none" w:sz="0" w:space="0" w:color="auto"/>
      </w:divBdr>
    </w:div>
    <w:div w:id="1924139899">
      <w:bodyDiv w:val="1"/>
      <w:marLeft w:val="0"/>
      <w:marRight w:val="0"/>
      <w:marTop w:val="0"/>
      <w:marBottom w:val="0"/>
      <w:divBdr>
        <w:top w:val="none" w:sz="0" w:space="0" w:color="auto"/>
        <w:left w:val="none" w:sz="0" w:space="0" w:color="auto"/>
        <w:bottom w:val="none" w:sz="0" w:space="0" w:color="auto"/>
        <w:right w:val="none" w:sz="0" w:space="0" w:color="auto"/>
      </w:divBdr>
    </w:div>
    <w:div w:id="1978298020">
      <w:bodyDiv w:val="1"/>
      <w:marLeft w:val="0"/>
      <w:marRight w:val="0"/>
      <w:marTop w:val="0"/>
      <w:marBottom w:val="0"/>
      <w:divBdr>
        <w:top w:val="none" w:sz="0" w:space="0" w:color="auto"/>
        <w:left w:val="none" w:sz="0" w:space="0" w:color="auto"/>
        <w:bottom w:val="none" w:sz="0" w:space="0" w:color="auto"/>
        <w:right w:val="none" w:sz="0" w:space="0" w:color="auto"/>
      </w:divBdr>
      <w:divsChild>
        <w:div w:id="919557653">
          <w:marLeft w:val="0"/>
          <w:marRight w:val="0"/>
          <w:marTop w:val="0"/>
          <w:marBottom w:val="0"/>
          <w:divBdr>
            <w:top w:val="none" w:sz="0" w:space="0" w:color="auto"/>
            <w:left w:val="none" w:sz="0" w:space="0" w:color="auto"/>
            <w:bottom w:val="none" w:sz="0" w:space="0" w:color="auto"/>
            <w:right w:val="none" w:sz="0" w:space="0" w:color="auto"/>
          </w:divBdr>
          <w:divsChild>
            <w:div w:id="151128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4246">
      <w:bodyDiv w:val="1"/>
      <w:marLeft w:val="0"/>
      <w:marRight w:val="0"/>
      <w:marTop w:val="0"/>
      <w:marBottom w:val="0"/>
      <w:divBdr>
        <w:top w:val="none" w:sz="0" w:space="0" w:color="auto"/>
        <w:left w:val="none" w:sz="0" w:space="0" w:color="auto"/>
        <w:bottom w:val="none" w:sz="0" w:space="0" w:color="auto"/>
        <w:right w:val="none" w:sz="0" w:space="0" w:color="auto"/>
      </w:divBdr>
    </w:div>
    <w:div w:id="2080663302">
      <w:bodyDiv w:val="1"/>
      <w:marLeft w:val="0"/>
      <w:marRight w:val="0"/>
      <w:marTop w:val="0"/>
      <w:marBottom w:val="0"/>
      <w:divBdr>
        <w:top w:val="none" w:sz="0" w:space="0" w:color="auto"/>
        <w:left w:val="none" w:sz="0" w:space="0" w:color="auto"/>
        <w:bottom w:val="none" w:sz="0" w:space="0" w:color="auto"/>
        <w:right w:val="none" w:sz="0" w:space="0" w:color="auto"/>
      </w:divBdr>
    </w:div>
    <w:div w:id="2099523690">
      <w:bodyDiv w:val="1"/>
      <w:marLeft w:val="0"/>
      <w:marRight w:val="0"/>
      <w:marTop w:val="0"/>
      <w:marBottom w:val="0"/>
      <w:divBdr>
        <w:top w:val="none" w:sz="0" w:space="0" w:color="auto"/>
        <w:left w:val="none" w:sz="0" w:space="0" w:color="auto"/>
        <w:bottom w:val="none" w:sz="0" w:space="0" w:color="auto"/>
        <w:right w:val="none" w:sz="0" w:space="0" w:color="auto"/>
      </w:divBdr>
    </w:div>
    <w:div w:id="2140415129">
      <w:bodyDiv w:val="1"/>
      <w:marLeft w:val="0"/>
      <w:marRight w:val="0"/>
      <w:marTop w:val="0"/>
      <w:marBottom w:val="0"/>
      <w:divBdr>
        <w:top w:val="none" w:sz="0" w:space="0" w:color="auto"/>
        <w:left w:val="none" w:sz="0" w:space="0" w:color="auto"/>
        <w:bottom w:val="none" w:sz="0" w:space="0" w:color="auto"/>
        <w:right w:val="none" w:sz="0" w:space="0" w:color="auto"/>
      </w:divBdr>
    </w:div>
    <w:div w:id="214689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un.org/sites/un2.un.org/files/governing_ai_for_humanity_final_report_en.pdf" TargetMode="External"/></Relationship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image" Target="media/image9.png"/><Relationship Id="rId39" Type="http://schemas.microsoft.com/office/2011/relationships/people" Target="people.xml"/><Relationship Id="rId21" Type="http://schemas.openxmlformats.org/officeDocument/2006/relationships/hyperlink" Target="https://bsky.app/profile/hlpe-fsn.bsky.social"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fao.org/cfs/cfs-hlpe" TargetMode="External"/><Relationship Id="rId25" Type="http://schemas.openxmlformats.org/officeDocument/2006/relationships/hyperlink" Target="mailto:cfs-hlpe@fao.org" TargetMode="External"/><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header" Target="header2.xml"/><Relationship Id="rId37" Type="http://schemas.openxmlformats.org/officeDocument/2006/relationships/image" Target="media/image10.emf"/><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linkedin.com/showcase/hlpe-fsn/?viewAsMember=true" TargetMode="External"/><Relationship Id="rId28" Type="http://schemas.microsoft.com/office/2011/relationships/commentsExtended" Target="commentsExtended.xml"/><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x.com/hlpe_cfs"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D:\HLPE\Reports\Issues%20papers\Ukraine\Impacts%20of%20the%20military%20conflict%20in%20Ukraine%20on%20global%20FSN%20&#183;%20HLPE%20briefing%20note%20&#183;%202022-04-14%20.dotx" TargetMode="External"/></Relationships>
</file>

<file path=word/theme/theme1.xml><?xml version="1.0" encoding="utf-8"?>
<a:theme xmlns:a="http://schemas.openxmlformats.org/drawingml/2006/main" name="AP_Theme1">
  <a:themeElements>
    <a:clrScheme name="AP">
      <a:dk1>
        <a:srgbClr val="000000"/>
      </a:dk1>
      <a:lt1>
        <a:srgbClr val="FFFFFF"/>
      </a:lt1>
      <a:dk2>
        <a:srgbClr val="536374"/>
      </a:dk2>
      <a:lt2>
        <a:srgbClr val="E7E6E6"/>
      </a:lt2>
      <a:accent1>
        <a:srgbClr val="3D94C4"/>
      </a:accent1>
      <a:accent2>
        <a:srgbClr val="21BDF4"/>
      </a:accent2>
      <a:accent3>
        <a:srgbClr val="09C3A4"/>
      </a:accent3>
      <a:accent4>
        <a:srgbClr val="63E5DA"/>
      </a:accent4>
      <a:accent5>
        <a:srgbClr val="1DDAAE"/>
      </a:accent5>
      <a:accent6>
        <a:srgbClr val="FF6F5D"/>
      </a:accent6>
      <a:hlink>
        <a:srgbClr val="FF6F5D"/>
      </a:hlink>
      <a:folHlink>
        <a:srgbClr val="00A1BA"/>
      </a:folHlink>
    </a:clrScheme>
    <a:fontScheme name="Tw Cen MT">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AP_Theme1" id="{CCA91D17-45B3-7942-A117-9EE2C96E6563}" vid="{D6D86A33-3CC2-8C4F-911E-44BDEFD8E2C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AD9FBC37594A24CA50267F2A744546F" ma:contentTypeVersion="12" ma:contentTypeDescription="Create a new document." ma:contentTypeScope="" ma:versionID="e19cc03a14439a4ece9e2d1bfd5c1a4f">
  <xsd:schema xmlns:xsd="http://www.w3.org/2001/XMLSchema" xmlns:xs="http://www.w3.org/2001/XMLSchema" xmlns:p="http://schemas.microsoft.com/office/2006/metadata/properties" xmlns:ns2="c4f498e0-abe1-4c4d-927b-75a67c9f31c4" xmlns:ns3="28be65b1-f658-49ca-a3b8-cc9e70407891" targetNamespace="http://schemas.microsoft.com/office/2006/metadata/properties" ma:root="true" ma:fieldsID="8ac26ad7510080466cc42c475fd2e12c" ns2:_="" ns3:_="">
    <xsd:import namespace="c4f498e0-abe1-4c4d-927b-75a67c9f31c4"/>
    <xsd:import namespace="28be65b1-f658-49ca-a3b8-cc9e7040789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498e0-abe1-4c4d-927b-75a67c9f3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be65b1-f658-49ca-a3b8-cc9e7040789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f70f075-b2f3-4129-bc19-3f774d6ab57d}" ma:internalName="TaxCatchAll" ma:showField="CatchAllData" ma:web="28be65b1-f658-49ca-a3b8-cc9e70407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4f498e0-abe1-4c4d-927b-75a67c9f31c4">
      <Terms xmlns="http://schemas.microsoft.com/office/infopath/2007/PartnerControls"/>
    </lcf76f155ced4ddcb4097134ff3c332f>
    <TaxCatchAll xmlns="28be65b1-f658-49ca-a3b8-cc9e7040789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FA4712-6AD3-46AA-B502-9C4AFC0FAD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f498e0-abe1-4c4d-927b-75a67c9f31c4"/>
    <ds:schemaRef ds:uri="28be65b1-f658-49ca-a3b8-cc9e70407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78BDDA-DC43-4975-BECE-7008D4686D69}">
  <ds:schemaRefs>
    <ds:schemaRef ds:uri="http://schemas.openxmlformats.org/officeDocument/2006/bibliography"/>
  </ds:schemaRefs>
</ds:datastoreItem>
</file>

<file path=customXml/itemProps4.xml><?xml version="1.0" encoding="utf-8"?>
<ds:datastoreItem xmlns:ds="http://schemas.openxmlformats.org/officeDocument/2006/customXml" ds:itemID="{7DCCA3A0-13E5-4822-9C2B-B07E7811248A}">
  <ds:schemaRefs>
    <ds:schemaRef ds:uri="http://purl.org/dc/terms/"/>
    <ds:schemaRef ds:uri="http://schemas.microsoft.com/office/2006/documentManagement/types"/>
    <ds:schemaRef ds:uri="http://www.w3.org/XML/1998/namespace"/>
    <ds:schemaRef ds:uri="c4f498e0-abe1-4c4d-927b-75a67c9f31c4"/>
    <ds:schemaRef ds:uri="http://purl.org/dc/dcmitype/"/>
    <ds:schemaRef ds:uri="http://purl.org/dc/elements/1.1/"/>
    <ds:schemaRef ds:uri="28be65b1-f658-49ca-a3b8-cc9e70407891"/>
    <ds:schemaRef ds:uri="http://schemas.microsoft.com/office/2006/metadata/properties"/>
    <ds:schemaRef ds:uri="http://schemas.openxmlformats.org/package/2006/metadata/core-properties"/>
    <ds:schemaRef ds:uri="http://schemas.microsoft.com/office/infopath/2007/PartnerControls"/>
  </ds:schemaRefs>
</ds:datastoreItem>
</file>

<file path=customXml/itemProps5.xml><?xml version="1.0" encoding="utf-8"?>
<ds:datastoreItem xmlns:ds="http://schemas.openxmlformats.org/officeDocument/2006/customXml" ds:itemID="{28572E49-DC11-4F1A-A048-399ADB72A6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Impacts of the military conflict in Ukraine on global FSN · HLPE briefing note · 2022-04-14 </Template>
  <TotalTime>1286</TotalTime>
  <Pages>39</Pages>
  <Words>13820</Words>
  <Characters>77672</Characters>
  <Application>Microsoft Office Word</Application>
  <DocSecurity>0</DocSecurity>
  <Lines>1412</Lines>
  <Paragraphs>672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90820</CharactersWithSpaces>
  <SharedDoc>false</SharedDoc>
  <HLinks>
    <vt:vector size="144" baseType="variant">
      <vt:variant>
        <vt:i4>7536701</vt:i4>
      </vt:variant>
      <vt:variant>
        <vt:i4>123</vt:i4>
      </vt:variant>
      <vt:variant>
        <vt:i4>0</vt:i4>
      </vt:variant>
      <vt:variant>
        <vt:i4>5</vt:i4>
      </vt:variant>
      <vt:variant>
        <vt:lpwstr/>
      </vt:variant>
      <vt:variant>
        <vt:lpwstr>org6555351</vt:lpwstr>
      </vt:variant>
      <vt:variant>
        <vt:i4>7536701</vt:i4>
      </vt:variant>
      <vt:variant>
        <vt:i4>120</vt:i4>
      </vt:variant>
      <vt:variant>
        <vt:i4>0</vt:i4>
      </vt:variant>
      <vt:variant>
        <vt:i4>5</vt:i4>
      </vt:variant>
      <vt:variant>
        <vt:lpwstr/>
      </vt:variant>
      <vt:variant>
        <vt:lpwstr>org6555351</vt:lpwstr>
      </vt:variant>
      <vt:variant>
        <vt:i4>1835057</vt:i4>
      </vt:variant>
      <vt:variant>
        <vt:i4>113</vt:i4>
      </vt:variant>
      <vt:variant>
        <vt:i4>0</vt:i4>
      </vt:variant>
      <vt:variant>
        <vt:i4>5</vt:i4>
      </vt:variant>
      <vt:variant>
        <vt:lpwstr/>
      </vt:variant>
      <vt:variant>
        <vt:lpwstr>_Toc226716489</vt:lpwstr>
      </vt:variant>
      <vt:variant>
        <vt:i4>1835057</vt:i4>
      </vt:variant>
      <vt:variant>
        <vt:i4>107</vt:i4>
      </vt:variant>
      <vt:variant>
        <vt:i4>0</vt:i4>
      </vt:variant>
      <vt:variant>
        <vt:i4>5</vt:i4>
      </vt:variant>
      <vt:variant>
        <vt:lpwstr/>
      </vt:variant>
      <vt:variant>
        <vt:lpwstr>_Toc226716488</vt:lpwstr>
      </vt:variant>
      <vt:variant>
        <vt:i4>1835057</vt:i4>
      </vt:variant>
      <vt:variant>
        <vt:i4>101</vt:i4>
      </vt:variant>
      <vt:variant>
        <vt:i4>0</vt:i4>
      </vt:variant>
      <vt:variant>
        <vt:i4>5</vt:i4>
      </vt:variant>
      <vt:variant>
        <vt:lpwstr/>
      </vt:variant>
      <vt:variant>
        <vt:lpwstr>_Toc226716487</vt:lpwstr>
      </vt:variant>
      <vt:variant>
        <vt:i4>1835057</vt:i4>
      </vt:variant>
      <vt:variant>
        <vt:i4>95</vt:i4>
      </vt:variant>
      <vt:variant>
        <vt:i4>0</vt:i4>
      </vt:variant>
      <vt:variant>
        <vt:i4>5</vt:i4>
      </vt:variant>
      <vt:variant>
        <vt:lpwstr/>
      </vt:variant>
      <vt:variant>
        <vt:lpwstr>_Toc226716486</vt:lpwstr>
      </vt:variant>
      <vt:variant>
        <vt:i4>1835057</vt:i4>
      </vt:variant>
      <vt:variant>
        <vt:i4>89</vt:i4>
      </vt:variant>
      <vt:variant>
        <vt:i4>0</vt:i4>
      </vt:variant>
      <vt:variant>
        <vt:i4>5</vt:i4>
      </vt:variant>
      <vt:variant>
        <vt:lpwstr/>
      </vt:variant>
      <vt:variant>
        <vt:lpwstr>_Toc226716485</vt:lpwstr>
      </vt:variant>
      <vt:variant>
        <vt:i4>1835057</vt:i4>
      </vt:variant>
      <vt:variant>
        <vt:i4>83</vt:i4>
      </vt:variant>
      <vt:variant>
        <vt:i4>0</vt:i4>
      </vt:variant>
      <vt:variant>
        <vt:i4>5</vt:i4>
      </vt:variant>
      <vt:variant>
        <vt:lpwstr/>
      </vt:variant>
      <vt:variant>
        <vt:lpwstr>_Toc226716484</vt:lpwstr>
      </vt:variant>
      <vt:variant>
        <vt:i4>1835057</vt:i4>
      </vt:variant>
      <vt:variant>
        <vt:i4>77</vt:i4>
      </vt:variant>
      <vt:variant>
        <vt:i4>0</vt:i4>
      </vt:variant>
      <vt:variant>
        <vt:i4>5</vt:i4>
      </vt:variant>
      <vt:variant>
        <vt:lpwstr/>
      </vt:variant>
      <vt:variant>
        <vt:lpwstr>_Toc226716483</vt:lpwstr>
      </vt:variant>
      <vt:variant>
        <vt:i4>1835057</vt:i4>
      </vt:variant>
      <vt:variant>
        <vt:i4>71</vt:i4>
      </vt:variant>
      <vt:variant>
        <vt:i4>0</vt:i4>
      </vt:variant>
      <vt:variant>
        <vt:i4>5</vt:i4>
      </vt:variant>
      <vt:variant>
        <vt:lpwstr/>
      </vt:variant>
      <vt:variant>
        <vt:lpwstr>_Toc226716482</vt:lpwstr>
      </vt:variant>
      <vt:variant>
        <vt:i4>1835057</vt:i4>
      </vt:variant>
      <vt:variant>
        <vt:i4>65</vt:i4>
      </vt:variant>
      <vt:variant>
        <vt:i4>0</vt:i4>
      </vt:variant>
      <vt:variant>
        <vt:i4>5</vt:i4>
      </vt:variant>
      <vt:variant>
        <vt:lpwstr/>
      </vt:variant>
      <vt:variant>
        <vt:lpwstr>_Toc226716481</vt:lpwstr>
      </vt:variant>
      <vt:variant>
        <vt:i4>1835057</vt:i4>
      </vt:variant>
      <vt:variant>
        <vt:i4>59</vt:i4>
      </vt:variant>
      <vt:variant>
        <vt:i4>0</vt:i4>
      </vt:variant>
      <vt:variant>
        <vt:i4>5</vt:i4>
      </vt:variant>
      <vt:variant>
        <vt:lpwstr/>
      </vt:variant>
      <vt:variant>
        <vt:lpwstr>_Toc226716480</vt:lpwstr>
      </vt:variant>
      <vt:variant>
        <vt:i4>1245233</vt:i4>
      </vt:variant>
      <vt:variant>
        <vt:i4>53</vt:i4>
      </vt:variant>
      <vt:variant>
        <vt:i4>0</vt:i4>
      </vt:variant>
      <vt:variant>
        <vt:i4>5</vt:i4>
      </vt:variant>
      <vt:variant>
        <vt:lpwstr/>
      </vt:variant>
      <vt:variant>
        <vt:lpwstr>_Toc226716479</vt:lpwstr>
      </vt:variant>
      <vt:variant>
        <vt:i4>1245233</vt:i4>
      </vt:variant>
      <vt:variant>
        <vt:i4>47</vt:i4>
      </vt:variant>
      <vt:variant>
        <vt:i4>0</vt:i4>
      </vt:variant>
      <vt:variant>
        <vt:i4>5</vt:i4>
      </vt:variant>
      <vt:variant>
        <vt:lpwstr/>
      </vt:variant>
      <vt:variant>
        <vt:lpwstr>_Toc226716478</vt:lpwstr>
      </vt:variant>
      <vt:variant>
        <vt:i4>1245233</vt:i4>
      </vt:variant>
      <vt:variant>
        <vt:i4>41</vt:i4>
      </vt:variant>
      <vt:variant>
        <vt:i4>0</vt:i4>
      </vt:variant>
      <vt:variant>
        <vt:i4>5</vt:i4>
      </vt:variant>
      <vt:variant>
        <vt:lpwstr/>
      </vt:variant>
      <vt:variant>
        <vt:lpwstr>_Toc226716477</vt:lpwstr>
      </vt:variant>
      <vt:variant>
        <vt:i4>1245233</vt:i4>
      </vt:variant>
      <vt:variant>
        <vt:i4>35</vt:i4>
      </vt:variant>
      <vt:variant>
        <vt:i4>0</vt:i4>
      </vt:variant>
      <vt:variant>
        <vt:i4>5</vt:i4>
      </vt:variant>
      <vt:variant>
        <vt:lpwstr/>
      </vt:variant>
      <vt:variant>
        <vt:lpwstr>_Toc226716476</vt:lpwstr>
      </vt:variant>
      <vt:variant>
        <vt:i4>1245233</vt:i4>
      </vt:variant>
      <vt:variant>
        <vt:i4>29</vt:i4>
      </vt:variant>
      <vt:variant>
        <vt:i4>0</vt:i4>
      </vt:variant>
      <vt:variant>
        <vt:i4>5</vt:i4>
      </vt:variant>
      <vt:variant>
        <vt:lpwstr/>
      </vt:variant>
      <vt:variant>
        <vt:lpwstr>_Toc226716475</vt:lpwstr>
      </vt:variant>
      <vt:variant>
        <vt:i4>1245233</vt:i4>
      </vt:variant>
      <vt:variant>
        <vt:i4>23</vt:i4>
      </vt:variant>
      <vt:variant>
        <vt:i4>0</vt:i4>
      </vt:variant>
      <vt:variant>
        <vt:i4>5</vt:i4>
      </vt:variant>
      <vt:variant>
        <vt:lpwstr/>
      </vt:variant>
      <vt:variant>
        <vt:lpwstr>_Toc226716474</vt:lpwstr>
      </vt:variant>
      <vt:variant>
        <vt:i4>1245233</vt:i4>
      </vt:variant>
      <vt:variant>
        <vt:i4>17</vt:i4>
      </vt:variant>
      <vt:variant>
        <vt:i4>0</vt:i4>
      </vt:variant>
      <vt:variant>
        <vt:i4>5</vt:i4>
      </vt:variant>
      <vt:variant>
        <vt:lpwstr/>
      </vt:variant>
      <vt:variant>
        <vt:lpwstr>_Toc226716473</vt:lpwstr>
      </vt:variant>
      <vt:variant>
        <vt:i4>1507438</vt:i4>
      </vt:variant>
      <vt:variant>
        <vt:i4>12</vt:i4>
      </vt:variant>
      <vt:variant>
        <vt:i4>0</vt:i4>
      </vt:variant>
      <vt:variant>
        <vt:i4>5</vt:i4>
      </vt:variant>
      <vt:variant>
        <vt:lpwstr>mailto:cfs-hlpe@fao.org</vt:lpwstr>
      </vt:variant>
      <vt:variant>
        <vt:lpwstr/>
      </vt:variant>
      <vt:variant>
        <vt:i4>4849674</vt:i4>
      </vt:variant>
      <vt:variant>
        <vt:i4>9</vt:i4>
      </vt:variant>
      <vt:variant>
        <vt:i4>0</vt:i4>
      </vt:variant>
      <vt:variant>
        <vt:i4>5</vt:i4>
      </vt:variant>
      <vt:variant>
        <vt:lpwstr>https://www.linkedin.com/showcase/hlpe-fsn/?viewAsMember=true</vt:lpwstr>
      </vt:variant>
      <vt:variant>
        <vt:lpwstr/>
      </vt:variant>
      <vt:variant>
        <vt:i4>655439</vt:i4>
      </vt:variant>
      <vt:variant>
        <vt:i4>6</vt:i4>
      </vt:variant>
      <vt:variant>
        <vt:i4>0</vt:i4>
      </vt:variant>
      <vt:variant>
        <vt:i4>5</vt:i4>
      </vt:variant>
      <vt:variant>
        <vt:lpwstr>https://bsky.app/profile/hlpe-fsn.bsky.social</vt:lpwstr>
      </vt:variant>
      <vt:variant>
        <vt:lpwstr/>
      </vt:variant>
      <vt:variant>
        <vt:i4>6684695</vt:i4>
      </vt:variant>
      <vt:variant>
        <vt:i4>3</vt:i4>
      </vt:variant>
      <vt:variant>
        <vt:i4>0</vt:i4>
      </vt:variant>
      <vt:variant>
        <vt:i4>5</vt:i4>
      </vt:variant>
      <vt:variant>
        <vt:lpwstr>https://x.com/hlpe_cfs</vt:lpwstr>
      </vt:variant>
      <vt:variant>
        <vt:lpwstr/>
      </vt:variant>
      <vt:variant>
        <vt:i4>3276844</vt:i4>
      </vt:variant>
      <vt:variant>
        <vt:i4>0</vt:i4>
      </vt:variant>
      <vt:variant>
        <vt:i4>0</vt:i4>
      </vt:variant>
      <vt:variant>
        <vt:i4>5</vt:i4>
      </vt:variant>
      <vt:variant>
        <vt:lpwstr>http://www.fao.org/cfs/cfs-hlpe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Meiattini, Silvia (DDCC)</dc:creator>
  <cp:keywords/>
  <cp:lastModifiedBy>Meiattini, Silvia (DDCC)</cp:lastModifiedBy>
  <cp:revision>268</cp:revision>
  <cp:lastPrinted>2025-07-25T23:13:00Z</cp:lastPrinted>
  <dcterms:created xsi:type="dcterms:W3CDTF">2025-09-11T16:20:00Z</dcterms:created>
  <dcterms:modified xsi:type="dcterms:W3CDTF">2026-04-10T14:24:00Z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0x0101001AD9FBC37594A24CA50267F2A744546F</vt:lpwstr>
  </property>
  <property fmtid="{D5CDD505-2E9C-101B-9397-08002B2CF9AE}" pid="3" name="xd_ProgID">
    <vt:lpwstr/>
  </property>
  <property fmtid="{D5CDD505-2E9C-101B-9397-08002B2CF9AE}" pid="4" name="MediaServiceImageTags">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1075900</vt:r8>
  </property>
  <property fmtid="{D5CDD505-2E9C-101B-9397-08002B2CF9AE}" pid="11" name="docLang">
    <vt:lpwstr>en</vt:lpwstr>
  </property>
</Properties>
</file>