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bidiVisual/>
        <w:tblW w:w="0" w:type="auto"/>
        <w:tblBorders>
          <w:top w:val="single" w:sz="6" w:space="0" w:color="ADB4D0"/>
          <w:left w:val="single" w:sz="6" w:space="0" w:color="ADB4D0"/>
          <w:bottom w:val="single" w:sz="6" w:space="0" w:color="ADB4D0"/>
          <w:right w:val="single" w:sz="6" w:space="0" w:color="ADB4D0"/>
        </w:tblBorders>
        <w:shd w:val="clear" w:color="auto" w:fill="EAECF3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2460"/>
        <w:gridCol w:w="6747"/>
      </w:tblGrid>
      <w:tr w:rsidR="00B45791" w:rsidRPr="00B45791" w:rsidTr="00B45791">
        <w:trPr>
          <w:gridAfter w:val="1"/>
        </w:trPr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COFI/2014/1/Rev.1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4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جدول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الأعمال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والجدول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الزمني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المؤقتان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5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حالة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وتربية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الأحياء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المائية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العالم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والتقدم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المحرز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تنفيذ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مدونة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السلوك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الرشيد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والصكوك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ذات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الصلة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6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ضمان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استدامة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الصغيرة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الحجم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: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آخر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التطورات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بالنسبة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إلى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الخطوط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التوجيهية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الطوعية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لضمان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استدامة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الصغيرة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الحجم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سياق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الأمن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الغذائي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والقضاء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على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الفقر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(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الخطوط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التوجيهية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الطوعية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لضمان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استدامة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الصغيرة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الحجم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)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COFI/2014/4.1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7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العمليات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العالمية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والإقليمية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: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لمؤتمر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ريو+20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COFI/2014/4.2/Rev.1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8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الخطوط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التوجيهية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الطوعية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أداء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دولة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العلم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والاتفاق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الصادر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منظمة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الأغذية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والزراعة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سنة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2009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التدابير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تتخذها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دولة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الميناء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والصكوك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الأخرى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لمكافحة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غير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القانوني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دون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إبلاغ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ودون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تنظيم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COFI/2014/5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9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الداخلية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: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القضايا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والتطورات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والاحتياجات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0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القرارات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والتوصيات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الصادرة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عشرة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الفرعية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المختصة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بتجارة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بيرغن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النرويج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24-28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فبراير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شباط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1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القرارات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والتوصيات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الصادرة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الفرعية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المختصة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بتربية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الأحياء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المائية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سان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بطرسبرغ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الاتحاد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الروسي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7-11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أكتوبر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تشرين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الأول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2013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2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برنامج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عمل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منظمة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الأغذية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والزراعة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مجالي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وتربية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الأحياء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المائية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سياق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الإطار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الاستراتيجي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المراجع</w:t>
              </w:r>
              <w:proofErr w:type="spellEnd"/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3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برنامج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العمل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المتعدد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السنوات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: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مرحلي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4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التعديلات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المقترحة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اللائحة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الداخلية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proofErr w:type="spellStart"/>
            <w:r w:rsidRPr="00B4579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US"/>
              </w:rPr>
              <w:t>اوراق</w:t>
            </w:r>
            <w:proofErr w:type="spellEnd"/>
            <w:r w:rsidRPr="00B4579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B4579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US"/>
              </w:rPr>
              <w:t>المعلومات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COFI/2014/Inf.1/Rev.2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5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قائمة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الوثائق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المؤقتة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6" w:history="1">
              <w:proofErr w:type="spellStart"/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قائمة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مؤقتة</w:t>
              </w:r>
              <w:proofErr w:type="spellEnd"/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بالمشاركين</w:t>
              </w:r>
              <w:proofErr w:type="spellEnd"/>
            </w:hyperlink>
            <w:hyperlink r:id="rId17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lastRenderedPageBreak/>
              <w:t>COFI/2014/Inf.3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8" w:tgtFrame="_top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بيان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المدير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العام</w:t>
              </w:r>
              <w:proofErr w:type="spellEnd"/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COFI/2014/Inf.4/Rev.1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19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ملاحظات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تفصيلية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وإرشادية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على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بنود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جدول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الأعمال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0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توصيات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وقرارات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الثلاثين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روما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إيطاليا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9-13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يوليو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تموز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2012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1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الثلاثين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روما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9-13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يوليو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تموز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2012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2" w:tgtFrame="_top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عشرة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الفرعية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المختصة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بتجارة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بيرغن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النرويج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24-28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فبراير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شباط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2014</w:t>
              </w:r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3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الفرعية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المختصة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بتربية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الأحياء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المائية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التابعة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للجنة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سان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بطرسبرغ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الاتحاد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الروسي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7-11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أكتوبر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تشرين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الأول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2013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4" w:tgtFrame="_top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إنجازات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برامج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وتربية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الأحياء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المائية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2012-2013‏،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على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النحو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المحدد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‏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تنفيذ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البرامج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2012-2013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5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الرئيس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المشاورة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التقنية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الخطوط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التوجيهية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الدولية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لضمان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استدامة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الصغيرة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الحجم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6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الأجهزة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الإقليمية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المنشأة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إطار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منظمة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الأغذية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والزراعة</w:t>
              </w:r>
              <w:proofErr w:type="spellEnd"/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7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السجل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العالمي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لسفن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وسفن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النقل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المبرّدة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وسفن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التموين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)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السجل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العالمي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(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8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آخر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المعلومات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عمل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منظمة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الأغذية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والزراعة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لدعم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بناء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القدرات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وتنفيذ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الخطوط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التوجيهية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الدولية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لإدارة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العرضي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والحد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المرتجع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COFI/2014/Inf.14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29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السلامة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البحر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قطاع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مصايد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الأسماك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0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التقدم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المحرز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تنفيذ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مدونة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السلوك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الرشيد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والصكوك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ذات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الصلة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1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تقرير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المشاورة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التقنية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بشأن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أداء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دولة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العلم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روما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، 2-6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مايو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أيار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2011 و5-9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مارس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آذار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2012 و4-8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فبراير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/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شباط</w:t>
              </w:r>
              <w:proofErr w:type="spellEnd"/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COFI/2014/Inf.17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2" w:tgtFrame="_blank" w:history="1"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بيان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الاختصاصات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وحقوق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التصويت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المقدم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من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الاتحاد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الأوروبي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ودوله</w:t>
              </w:r>
              <w:proofErr w:type="spellEnd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 xml:space="preserve"> </w:t>
              </w:r>
              <w:proofErr w:type="spellStart"/>
              <w:r w:rsidRPr="00B45791">
                <w:rPr>
                  <w:rFonts w:ascii="Arial" w:eastAsia="Times New Roman" w:hAnsi="Arial" w:cs="Arial"/>
                  <w:color w:val="00418A"/>
                  <w:sz w:val="22"/>
                  <w:lang w:val="en-US"/>
                </w:rPr>
                <w:t>الأعضاء</w:t>
              </w:r>
              <w:proofErr w:type="spellEnd"/>
            </w:hyperlink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US"/>
              </w:rPr>
              <w:t>Session Background Documents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COFI/2014/SBD.1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3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Regional statistical analysis of responses by FAO members to the 2013 questionnaire on the Code of Conduct for Responsible Fisheries implementation</w:t>
              </w:r>
            </w:hyperlink>
            <w:hyperlink r:id="rId34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(English only)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COFI/2014/SBD.2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5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Global Record of Fishing Vessels, Refrigerated Transport Vessels and Supply Vessels-The way forward (Strategy document)</w:t>
              </w:r>
            </w:hyperlink>
            <w:hyperlink r:id="rId36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(English / French / Spanish only)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>COFI/2014/SBD.3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  <w:hyperlink r:id="rId37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>Global Oceans Action Summit for Food Security and Blue Growth - Chair´s Summary</w:t>
              </w:r>
            </w:hyperlink>
            <w:hyperlink r:id="rId38" w:history="1">
              <w:r w:rsidRPr="00B45791">
                <w:rPr>
                  <w:rFonts w:ascii="Arial" w:eastAsia="Times New Roman" w:hAnsi="Arial" w:cs="Arial"/>
                  <w:color w:val="1E4387"/>
                  <w:sz w:val="22"/>
                  <w:lang w:val="en-US"/>
                </w:rPr>
                <w:t xml:space="preserve"> </w:t>
              </w:r>
            </w:hyperlink>
            <w:r w:rsidRPr="00B45791">
              <w:rPr>
                <w:rFonts w:ascii="Arial" w:eastAsia="Times New Roman" w:hAnsi="Arial" w:cs="Arial"/>
                <w:color w:val="000000"/>
                <w:sz w:val="22"/>
                <w:lang w:val="en-US"/>
              </w:rPr>
              <w:t xml:space="preserve">(English only) </w:t>
            </w:r>
          </w:p>
        </w:tc>
      </w:tr>
      <w:tr w:rsidR="00B45791" w:rsidRPr="00B45791" w:rsidTr="00B45791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B45791" w:rsidRPr="00B45791" w:rsidRDefault="00B45791" w:rsidP="00B45791">
            <w:pPr>
              <w:bidi/>
              <w:spacing w:after="272" w:line="240" w:lineRule="auto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</w:tr>
    </w:tbl>
    <w:p w:rsidR="00C561B2" w:rsidRPr="00B45791" w:rsidRDefault="00B45791">
      <w:pPr>
        <w:rPr>
          <w:sz w:val="22"/>
        </w:rPr>
      </w:pPr>
    </w:p>
    <w:sectPr w:rsidR="00C561B2" w:rsidRPr="00B45791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5791"/>
    <w:rsid w:val="00081D88"/>
    <w:rsid w:val="000A2570"/>
    <w:rsid w:val="00213F98"/>
    <w:rsid w:val="00906F8A"/>
    <w:rsid w:val="009738C6"/>
    <w:rsid w:val="00B45791"/>
    <w:rsid w:val="00BA12BD"/>
    <w:rsid w:val="00BB2518"/>
    <w:rsid w:val="00BF4E67"/>
    <w:rsid w:val="00C03CED"/>
    <w:rsid w:val="00C97A86"/>
    <w:rsid w:val="00E5017B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45791"/>
    <w:rPr>
      <w:strike w:val="0"/>
      <w:dstrike w:val="0"/>
      <w:color w:val="1E43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45791"/>
    <w:rPr>
      <w:b/>
      <w:bCs/>
    </w:rPr>
  </w:style>
  <w:style w:type="paragraph" w:styleId="NormalWeb">
    <w:name w:val="Normal (Web)"/>
    <w:basedOn w:val="Normal"/>
    <w:uiPriority w:val="99"/>
    <w:unhideWhenUsed/>
    <w:rsid w:val="00B45791"/>
    <w:pPr>
      <w:spacing w:after="272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3/a-mk052a.pdf" TargetMode="External"/><Relationship Id="rId13" Type="http://schemas.openxmlformats.org/officeDocument/2006/relationships/hyperlink" Target="http://www.fao.org/3/a-mj984a.pdf" TargetMode="External"/><Relationship Id="rId18" Type="http://schemas.openxmlformats.org/officeDocument/2006/relationships/hyperlink" Target="http://www.fao.org/about/who-we-are/director-gen/faodg-statements/detail/en/c/234103/" TargetMode="External"/><Relationship Id="rId26" Type="http://schemas.openxmlformats.org/officeDocument/2006/relationships/hyperlink" Target="http://www.fao.org/3/a-mk346a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ao.org/3/a-i3105a.pdf" TargetMode="External"/><Relationship Id="rId34" Type="http://schemas.openxmlformats.org/officeDocument/2006/relationships/hyperlink" Target="http://www.fao.org/cofi/33132-073d4e66d49249c881e35839647c8f499.pdf" TargetMode="External"/><Relationship Id="rId7" Type="http://schemas.openxmlformats.org/officeDocument/2006/relationships/hyperlink" Target="http://www.fao.org/3/a-mk130a.pdf" TargetMode="External"/><Relationship Id="rId12" Type="http://schemas.openxmlformats.org/officeDocument/2006/relationships/hyperlink" Target="http://www.fao.org/3/a-mk415a.pdf" TargetMode="External"/><Relationship Id="rId17" Type="http://schemas.openxmlformats.org/officeDocument/2006/relationships/hyperlink" Target="http://www.fao.org/cofi/41780-0ce177486b379dabb9408da3acd708a7b.pdf" TargetMode="External"/><Relationship Id="rId25" Type="http://schemas.openxmlformats.org/officeDocument/2006/relationships/hyperlink" Target="http://www.fao.org/3/a-mk041a.pdf" TargetMode="External"/><Relationship Id="rId33" Type="http://schemas.openxmlformats.org/officeDocument/2006/relationships/hyperlink" Target="http://www.fao.org/cofi/33132-073d4e66d49249c881e35839647c8f499.pdf" TargetMode="External"/><Relationship Id="rId38" Type="http://schemas.openxmlformats.org/officeDocument/2006/relationships/hyperlink" Target="http://www.fao.org/cofi/41010-0501970390bfbcde97d7082fb80f8da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cofi/41780-0ce177486b379dabb9408da3acd708a7b.pdf" TargetMode="External"/><Relationship Id="rId20" Type="http://schemas.openxmlformats.org/officeDocument/2006/relationships/hyperlink" Target="http://www.fao.org/3/a-mk049a.pdf" TargetMode="External"/><Relationship Id="rId29" Type="http://schemas.openxmlformats.org/officeDocument/2006/relationships/hyperlink" Target="http://www.fao.org/3/a-mk073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3/a-mk050a.pdf" TargetMode="External"/><Relationship Id="rId11" Type="http://schemas.openxmlformats.org/officeDocument/2006/relationships/hyperlink" Target="http://www.fao.org/3/a-mk029a.pdf" TargetMode="External"/><Relationship Id="rId24" Type="http://schemas.openxmlformats.org/officeDocument/2006/relationships/hyperlink" Target="http://www.fao.org/fileadmin/user_upload/bodies/Progr_Comm/PC_115-documents/MJ548_C2015_ar1.pdf" TargetMode="External"/><Relationship Id="rId32" Type="http://schemas.openxmlformats.org/officeDocument/2006/relationships/hyperlink" Target="http://www.fao.org/3/a-mk595a.pdf" TargetMode="External"/><Relationship Id="rId37" Type="http://schemas.openxmlformats.org/officeDocument/2006/relationships/hyperlink" Target="http://www.fao.org/cofi/41010-0501970390bfbcde97d7082fb80f8da6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fao.org/3/a-mk055a.pdf" TargetMode="External"/><Relationship Id="rId15" Type="http://schemas.openxmlformats.org/officeDocument/2006/relationships/hyperlink" Target="http://www.fao.org/3/a-mk040a.pdf" TargetMode="External"/><Relationship Id="rId23" Type="http://schemas.openxmlformats.org/officeDocument/2006/relationships/hyperlink" Target="http://www.fao.org/3/a-i3647a.pdf" TargetMode="External"/><Relationship Id="rId28" Type="http://schemas.openxmlformats.org/officeDocument/2006/relationships/hyperlink" Target="http://www.fao.org/3/a-mk058a.pdf" TargetMode="External"/><Relationship Id="rId36" Type="http://schemas.openxmlformats.org/officeDocument/2006/relationships/hyperlink" Target="http://www.fao.org/cofi/33147-058225474f2f66fda237cb6821261e069.pdf" TargetMode="External"/><Relationship Id="rId10" Type="http://schemas.openxmlformats.org/officeDocument/2006/relationships/hyperlink" Target="http://www.fao.org/3/a-mk062a.pdf" TargetMode="External"/><Relationship Id="rId19" Type="http://schemas.openxmlformats.org/officeDocument/2006/relationships/hyperlink" Target="http://www.fao.org/3/a-mk054a.pdf" TargetMode="External"/><Relationship Id="rId31" Type="http://schemas.openxmlformats.org/officeDocument/2006/relationships/hyperlink" Target="http://www.fao.org/3/a-i3369a.pdf" TargetMode="External"/><Relationship Id="rId4" Type="http://schemas.openxmlformats.org/officeDocument/2006/relationships/hyperlink" Target="http://www.fao.org/3/a-mj703a.pdf" TargetMode="External"/><Relationship Id="rId9" Type="http://schemas.openxmlformats.org/officeDocument/2006/relationships/hyperlink" Target="http://www.fao.org/3/a-mk021a.pdf" TargetMode="External"/><Relationship Id="rId14" Type="http://schemas.openxmlformats.org/officeDocument/2006/relationships/hyperlink" Target="http://www.fao.org/3/a-mj985a.pdf" TargetMode="External"/><Relationship Id="rId22" Type="http://schemas.openxmlformats.org/officeDocument/2006/relationships/hyperlink" Target="http://www.fao.org/3/a-i3709a.pdf" TargetMode="External"/><Relationship Id="rId27" Type="http://schemas.openxmlformats.org/officeDocument/2006/relationships/hyperlink" Target="http://www.fao.org/3/a-mk053a.pdf" TargetMode="External"/><Relationship Id="rId30" Type="http://schemas.openxmlformats.org/officeDocument/2006/relationships/hyperlink" Target="http://www.fao.org/3/a-mk051a.pdf" TargetMode="External"/><Relationship Id="rId35" Type="http://schemas.openxmlformats.org/officeDocument/2006/relationships/hyperlink" Target="http://www.fao.org/cofi/33147-058225474f2f66fda237cb6821261e06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915</Words>
  <Characters>5217</Characters>
  <Application>Microsoft Office Word</Application>
  <DocSecurity>0</DocSecurity>
  <Lines>43</Lines>
  <Paragraphs>12</Paragraphs>
  <ScaleCrop>false</ScaleCrop>
  <Company>FAO of the UN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1</cp:revision>
  <dcterms:created xsi:type="dcterms:W3CDTF">2016-03-01T13:21:00Z</dcterms:created>
  <dcterms:modified xsi:type="dcterms:W3CDTF">2016-03-01T13:27:00Z</dcterms:modified>
</cp:coreProperties>
</file>