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A23" w:rsidRPr="00A318FA" w:rsidRDefault="00CD5CCD" w:rsidP="0016174A">
      <w:pPr>
        <w:autoSpaceDE w:val="0"/>
        <w:autoSpaceDN w:val="0"/>
        <w:adjustRightInd w:val="0"/>
        <w:spacing w:after="0" w:line="240" w:lineRule="auto"/>
        <w:jc w:val="both"/>
        <w:rPr>
          <w:rFonts w:ascii="Times New Roman" w:hAnsi="Times New Roman" w:cs="Times New Roman"/>
          <w:b/>
          <w:bCs/>
          <w:sz w:val="24"/>
          <w:szCs w:val="24"/>
          <w:lang w:val="es-ES"/>
        </w:rPr>
      </w:pPr>
      <w:r w:rsidRPr="00A318FA">
        <w:rPr>
          <w:noProof/>
        </w:rPr>
        <w:drawing>
          <wp:inline distT="0" distB="0" distL="0" distR="0" wp14:anchorId="50238B7F" wp14:editId="7EAB6971">
            <wp:extent cx="5400040" cy="7442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00040" cy="744220"/>
                    </a:xfrm>
                    <a:prstGeom prst="rect">
                      <a:avLst/>
                    </a:prstGeom>
                  </pic:spPr>
                </pic:pic>
              </a:graphicData>
            </a:graphic>
          </wp:inline>
        </w:drawing>
      </w:r>
    </w:p>
    <w:p w:rsidR="00CD5CCD" w:rsidRPr="00A318FA" w:rsidRDefault="00CD5CCD" w:rsidP="0016174A">
      <w:pPr>
        <w:autoSpaceDE w:val="0"/>
        <w:autoSpaceDN w:val="0"/>
        <w:adjustRightInd w:val="0"/>
        <w:spacing w:after="0" w:line="240" w:lineRule="auto"/>
        <w:jc w:val="both"/>
        <w:rPr>
          <w:rFonts w:ascii="Times New Roman" w:hAnsi="Times New Roman" w:cs="Times New Roman"/>
          <w:b/>
          <w:bCs/>
          <w:sz w:val="24"/>
          <w:szCs w:val="24"/>
          <w:lang w:val="es-ES"/>
        </w:rPr>
      </w:pPr>
    </w:p>
    <w:sdt>
      <w:sdtPr>
        <w:rPr>
          <w:rFonts w:ascii="Times New Roman" w:hAnsi="Times New Roman" w:cs="Times New Roman"/>
          <w:sz w:val="24"/>
          <w:szCs w:val="24"/>
          <w:lang w:val="es-ES"/>
        </w:rPr>
        <w:alias w:val="Meeting Information"/>
        <w:tag w:val="Meeting Information"/>
        <w:id w:val="8308208"/>
      </w:sdtPr>
      <w:sdtEndPr/>
      <w:sdtContent>
        <w:p w:rsidR="00A318FA" w:rsidRPr="00A318FA" w:rsidRDefault="00A318FA" w:rsidP="00A318FA">
          <w:pPr>
            <w:pStyle w:val="MeetingInfo"/>
            <w:rPr>
              <w:rFonts w:ascii="Times New Roman" w:hAnsi="Times New Roman" w:cs="Times New Roman"/>
              <w:sz w:val="24"/>
              <w:szCs w:val="24"/>
              <w:lang w:val="es-ES"/>
            </w:rPr>
          </w:pPr>
          <w:r w:rsidRPr="00A318FA">
            <w:rPr>
              <w:rFonts w:ascii="Times New Roman" w:hAnsi="Times New Roman" w:cs="Times New Roman"/>
              <w:sz w:val="24"/>
              <w:szCs w:val="24"/>
              <w:lang w:val="es-ES"/>
            </w:rPr>
            <w:t xml:space="preserve">TERCERA REUNIÓN DEL GRUPO DE TRABAJO CONSULTIVO Y TÉCNICO DE COMPOSICIÓN ABIERTA OFICIOSO SOBRE EL REGISTRO MUNDIAL (GRWG) </w:t>
          </w:r>
        </w:p>
        <w:p w:rsidR="002064CA" w:rsidRPr="00A318FA" w:rsidRDefault="00A318FA" w:rsidP="002064CA">
          <w:pPr>
            <w:pStyle w:val="MeetingInfo"/>
            <w:rPr>
              <w:rFonts w:ascii="Times New Roman" w:hAnsi="Times New Roman" w:cs="Times New Roman"/>
              <w:sz w:val="24"/>
              <w:szCs w:val="24"/>
              <w:lang w:val="es-ES"/>
            </w:rPr>
          </w:pPr>
          <w:r w:rsidRPr="00A318FA">
            <w:rPr>
              <w:rFonts w:ascii="Times New Roman" w:hAnsi="Times New Roman" w:cs="Times New Roman"/>
              <w:sz w:val="24"/>
              <w:szCs w:val="24"/>
              <w:lang w:val="es-ES"/>
            </w:rPr>
            <w:t>Roma, Italia 26-28 de junio de 2017</w:t>
          </w:r>
        </w:p>
        <w:p w:rsidR="00C75A23" w:rsidRPr="00A318FA" w:rsidRDefault="00A318FA" w:rsidP="00C75A23">
          <w:pPr>
            <w:pStyle w:val="MeetingInfo"/>
            <w:rPr>
              <w:rFonts w:ascii="Times New Roman" w:hAnsi="Times New Roman" w:cs="Times New Roman"/>
              <w:sz w:val="24"/>
              <w:szCs w:val="24"/>
              <w:lang w:val="es-ES"/>
            </w:rPr>
          </w:pPr>
          <w:r w:rsidRPr="00A318FA">
            <w:rPr>
              <w:rFonts w:ascii="Times New Roman" w:hAnsi="Times New Roman" w:cs="Times New Roman"/>
              <w:sz w:val="24"/>
              <w:szCs w:val="24"/>
              <w:lang w:val="es-ES"/>
            </w:rPr>
            <w:t>ASUNTOS PRINCIPALES DE DISCUSIÓN</w:t>
          </w:r>
        </w:p>
      </w:sdtContent>
    </w:sdt>
    <w:p w:rsidR="00C75A23" w:rsidRPr="00A318FA" w:rsidRDefault="00C75A23" w:rsidP="0016174A">
      <w:pPr>
        <w:autoSpaceDE w:val="0"/>
        <w:autoSpaceDN w:val="0"/>
        <w:adjustRightInd w:val="0"/>
        <w:spacing w:after="0" w:line="240" w:lineRule="auto"/>
        <w:jc w:val="both"/>
        <w:rPr>
          <w:rFonts w:ascii="Times New Roman" w:hAnsi="Times New Roman" w:cs="Times New Roman"/>
          <w:b/>
          <w:bCs/>
          <w:sz w:val="24"/>
          <w:szCs w:val="24"/>
          <w:lang w:val="es-ES"/>
        </w:rPr>
      </w:pPr>
    </w:p>
    <w:p w:rsidR="00A41DB9" w:rsidRPr="00A318FA" w:rsidRDefault="00A41DB9" w:rsidP="00A41DB9">
      <w:pPr>
        <w:autoSpaceDE w:val="0"/>
        <w:autoSpaceDN w:val="0"/>
        <w:adjustRightInd w:val="0"/>
        <w:spacing w:after="0" w:line="240" w:lineRule="auto"/>
        <w:jc w:val="both"/>
        <w:rPr>
          <w:rFonts w:ascii="Times New Roman" w:hAnsi="Times New Roman" w:cs="Times New Roman"/>
          <w:b/>
          <w:bCs/>
          <w:sz w:val="24"/>
          <w:szCs w:val="24"/>
          <w:lang w:val="es-ES"/>
        </w:rPr>
      </w:pPr>
      <w:r w:rsidRPr="00A318FA">
        <w:rPr>
          <w:rFonts w:ascii="Times New Roman" w:hAnsi="Times New Roman" w:cs="Times New Roman"/>
          <w:b/>
          <w:bCs/>
          <w:sz w:val="24"/>
          <w:szCs w:val="24"/>
          <w:lang w:val="es-ES"/>
        </w:rPr>
        <w:t>Antecedentes/Introducción</w:t>
      </w:r>
    </w:p>
    <w:p w:rsidR="00A41DB9" w:rsidRPr="00A318FA" w:rsidRDefault="00A41DB9" w:rsidP="00A41DB9">
      <w:pPr>
        <w:autoSpaceDE w:val="0"/>
        <w:autoSpaceDN w:val="0"/>
        <w:adjustRightInd w:val="0"/>
        <w:spacing w:after="0" w:line="240" w:lineRule="auto"/>
        <w:jc w:val="both"/>
        <w:rPr>
          <w:rFonts w:ascii="Times New Roman" w:hAnsi="Times New Roman" w:cs="Times New Roman"/>
          <w:b/>
          <w:bCs/>
          <w:sz w:val="24"/>
          <w:szCs w:val="24"/>
          <w:lang w:val="es-ES"/>
        </w:rPr>
      </w:pP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El 32.º período de sesiones del COFI</w:t>
      </w:r>
      <w:r w:rsidRPr="00A318FA">
        <w:rPr>
          <w:rStyle w:val="FootnoteReference"/>
          <w:rFonts w:ascii="Times New Roman" w:hAnsi="Times New Roman" w:cs="Times New Roman"/>
          <w:bCs/>
          <w:sz w:val="24"/>
          <w:szCs w:val="24"/>
          <w:lang w:val="es-ES"/>
        </w:rPr>
        <w:footnoteReference w:id="1"/>
      </w:r>
      <w:r w:rsidRPr="00A318FA">
        <w:rPr>
          <w:rFonts w:ascii="Times New Roman" w:hAnsi="Times New Roman" w:cs="Times New Roman"/>
          <w:bCs/>
          <w:sz w:val="24"/>
          <w:szCs w:val="24"/>
          <w:lang w:val="es-ES"/>
        </w:rPr>
        <w:t>, realizado en 2016, manifestó su enorme apoyo al Registro mundial y a su evolución continua y reconoció que podría tener un papel importante como herramienta de lucha contra la pesca ilegal, no declarada y no reglamentada (pesca INDNR) y en la implementación del Acuerdo sobre las medidas del Estado rector del puerto (AMERP) y demás instrumentos internacionales. El COFI hizo también un llamado a una mayor participación, incluyendo la presentación de datos por los Miembros.</w:t>
      </w: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Desde el 32.º COFI se lanzó un proyecto piloto</w:t>
      </w:r>
      <w:r w:rsidRPr="00A318FA">
        <w:rPr>
          <w:rStyle w:val="FootnoteReference"/>
          <w:rFonts w:ascii="Times New Roman" w:hAnsi="Times New Roman" w:cs="Times New Roman"/>
          <w:bCs/>
          <w:sz w:val="24"/>
          <w:szCs w:val="24"/>
          <w:lang w:val="es-ES"/>
        </w:rPr>
        <w:footnoteReference w:id="2"/>
      </w:r>
      <w:r w:rsidRPr="00A318FA">
        <w:rPr>
          <w:rFonts w:ascii="Times New Roman" w:hAnsi="Times New Roman" w:cs="Times New Roman"/>
          <w:bCs/>
          <w:sz w:val="24"/>
          <w:szCs w:val="24"/>
          <w:lang w:val="es-ES"/>
        </w:rPr>
        <w:t xml:space="preserve"> el 21 de diciembre de 2016 con 11 socios pilotos</w:t>
      </w:r>
      <w:r w:rsidRPr="00A318FA">
        <w:rPr>
          <w:rStyle w:val="FootnoteReference"/>
          <w:rFonts w:ascii="Times New Roman" w:hAnsi="Times New Roman" w:cs="Times New Roman"/>
          <w:bCs/>
          <w:sz w:val="24"/>
          <w:szCs w:val="24"/>
          <w:lang w:val="es-ES"/>
        </w:rPr>
        <w:footnoteReference w:id="3"/>
      </w:r>
      <w:r w:rsidRPr="00A318FA">
        <w:rPr>
          <w:rFonts w:ascii="Times New Roman" w:hAnsi="Times New Roman" w:cs="Times New Roman"/>
          <w:bCs/>
          <w:sz w:val="24"/>
          <w:szCs w:val="24"/>
          <w:lang w:val="es-ES"/>
        </w:rPr>
        <w:t>, garantizando una buena cobertura geográfica. El 21 de abril de 2017, se lanzó la primera versión operativa</w:t>
      </w:r>
      <w:r w:rsidRPr="00A318FA">
        <w:rPr>
          <w:rStyle w:val="FootnoteReference"/>
          <w:rFonts w:ascii="Times New Roman" w:hAnsi="Times New Roman" w:cs="Times New Roman"/>
          <w:bCs/>
          <w:sz w:val="24"/>
          <w:szCs w:val="24"/>
          <w:lang w:val="es-ES"/>
        </w:rPr>
        <w:footnoteReference w:id="4"/>
      </w:r>
      <w:r w:rsidRPr="00A318FA">
        <w:rPr>
          <w:rFonts w:ascii="Times New Roman" w:hAnsi="Times New Roman" w:cs="Times New Roman"/>
          <w:bCs/>
          <w:sz w:val="24"/>
          <w:szCs w:val="24"/>
          <w:lang w:val="es-ES"/>
        </w:rPr>
        <w:t xml:space="preserve"> del Sistema de información del Registro mundial, poniéndose a disposición de todos los Miembros de la FAO a través de un acceso restringido para la fase inicial. Teniendo en cuenta el </w:t>
      </w:r>
      <w:r w:rsidR="006F7D35">
        <w:rPr>
          <w:rFonts w:ascii="Times New Roman" w:hAnsi="Times New Roman" w:cs="Times New Roman"/>
          <w:bCs/>
          <w:sz w:val="24"/>
          <w:szCs w:val="24"/>
          <w:lang w:val="es-ES"/>
        </w:rPr>
        <w:t xml:space="preserve">próximo </w:t>
      </w:r>
      <w:r w:rsidRPr="00A318FA">
        <w:rPr>
          <w:rFonts w:ascii="Times New Roman" w:hAnsi="Times New Roman" w:cs="Times New Roman"/>
          <w:bCs/>
          <w:sz w:val="24"/>
          <w:szCs w:val="24"/>
          <w:lang w:val="es-ES"/>
        </w:rPr>
        <w:t>33º COFI (julio de 2018), se debería examinar la posibilidad de publicar la primera versión disponible para todos antes de ese evento.</w:t>
      </w: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Con el objetivo de avanzar en el desarrollo e iniciar la implementación del Registro mundial, el presente documento explora los aspectos principales a ser debatidos en la tercera reunión del Grupo de trabajo sobre el Registro mundial (GRWG).</w:t>
      </w: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Asuntos para la discusión:</w:t>
      </w: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p>
    <w:p w:rsidR="00A41DB9" w:rsidRPr="00A318FA" w:rsidRDefault="00A41DB9" w:rsidP="00A41DB9">
      <w:pPr>
        <w:pStyle w:val="ListParagraph"/>
        <w:numPr>
          <w:ilvl w:val="0"/>
          <w:numId w:val="4"/>
        </w:numPr>
        <w:autoSpaceDE w:val="0"/>
        <w:autoSpaceDN w:val="0"/>
        <w:adjustRightInd w:val="0"/>
        <w:spacing w:after="0" w:line="240" w:lineRule="auto"/>
        <w:jc w:val="both"/>
        <w:rPr>
          <w:rFonts w:ascii="Times New Roman" w:hAnsi="Times New Roman" w:cs="Times New Roman"/>
          <w:b/>
          <w:bCs/>
          <w:sz w:val="24"/>
          <w:szCs w:val="24"/>
          <w:lang w:val="es-ES"/>
        </w:rPr>
      </w:pPr>
      <w:r w:rsidRPr="00A318FA">
        <w:rPr>
          <w:rFonts w:ascii="Times New Roman" w:hAnsi="Times New Roman" w:cs="Times New Roman"/>
          <w:b/>
          <w:bCs/>
          <w:sz w:val="24"/>
          <w:szCs w:val="24"/>
          <w:lang w:val="es-ES"/>
        </w:rPr>
        <w:t>El Sistema de información del Registro mundial</w:t>
      </w: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 xml:space="preserve">El proyecto piloto brindó la oportunidad para probar el sistema de información con datos reales, tanto para las funcionalidades de investigación como para el mecanismo de subida de los datos. Uno de los hallazgos del proyecto piloto es que algunos países tienen dificultades para presentar datos al Registro mundial, lo que subraya la exigencia de desarrollo de capacidad. Los datos presentados cubrían principalmente el módulo de Detalles del buque, los Datos históricos y las Autorizaciones para los buques pesqueros, </w:t>
      </w:r>
      <w:r w:rsidRPr="00A318FA">
        <w:rPr>
          <w:rFonts w:ascii="Times New Roman" w:hAnsi="Times New Roman" w:cs="Times New Roman"/>
          <w:bCs/>
          <w:sz w:val="24"/>
          <w:szCs w:val="24"/>
          <w:lang w:val="es-ES"/>
        </w:rPr>
        <w:lastRenderedPageBreak/>
        <w:t xml:space="preserve">los buques de transporte </w:t>
      </w:r>
      <w:r w:rsidR="00D62D82">
        <w:rPr>
          <w:rFonts w:ascii="Times New Roman" w:hAnsi="Times New Roman" w:cs="Times New Roman"/>
          <w:bCs/>
          <w:sz w:val="24"/>
          <w:szCs w:val="24"/>
          <w:lang w:val="es-ES"/>
        </w:rPr>
        <w:t xml:space="preserve">frigorífico </w:t>
      </w:r>
      <w:r w:rsidRPr="00A318FA">
        <w:rPr>
          <w:rFonts w:ascii="Times New Roman" w:hAnsi="Times New Roman" w:cs="Times New Roman"/>
          <w:bCs/>
          <w:sz w:val="24"/>
          <w:szCs w:val="24"/>
          <w:lang w:val="es-ES"/>
        </w:rPr>
        <w:t xml:space="preserve">y también los de suministro. Un socio brindó también datos sobre inspección y seguimiento y denegaciones de entrada en puerto, que sirvieron como caso experimental para vincular estos módulos de información con los demás módulos del Identificador único de los buques (IUB). Todos los datos se han mantenido en el sistema de información a excepción de los últimos dos módulos, </w:t>
      </w:r>
      <w:r w:rsidR="00E965E3">
        <w:rPr>
          <w:rFonts w:ascii="Times New Roman" w:hAnsi="Times New Roman" w:cs="Times New Roman"/>
          <w:bCs/>
          <w:sz w:val="24"/>
          <w:szCs w:val="24"/>
          <w:lang w:val="es-ES"/>
        </w:rPr>
        <w:t>(</w:t>
      </w:r>
      <w:r w:rsidRPr="00A318FA">
        <w:rPr>
          <w:rFonts w:ascii="Times New Roman" w:hAnsi="Times New Roman" w:cs="Times New Roman"/>
          <w:bCs/>
          <w:sz w:val="24"/>
          <w:szCs w:val="24"/>
          <w:lang w:val="es-ES"/>
        </w:rPr>
        <w:t>Inspección y vigilancia y Denegación de la entrada en puerto</w:t>
      </w:r>
      <w:r w:rsidR="00E965E3">
        <w:rPr>
          <w:rFonts w:ascii="Times New Roman" w:hAnsi="Times New Roman" w:cs="Times New Roman"/>
          <w:bCs/>
          <w:sz w:val="24"/>
          <w:szCs w:val="24"/>
          <w:lang w:val="es-ES"/>
        </w:rPr>
        <w:t>)</w:t>
      </w:r>
      <w:r w:rsidRPr="00A318FA">
        <w:rPr>
          <w:rFonts w:ascii="Times New Roman" w:hAnsi="Times New Roman" w:cs="Times New Roman"/>
          <w:bCs/>
          <w:sz w:val="24"/>
          <w:szCs w:val="24"/>
          <w:lang w:val="es-ES"/>
        </w:rPr>
        <w:t xml:space="preserve">, bajo </w:t>
      </w:r>
      <w:r w:rsidR="00D62D82">
        <w:rPr>
          <w:rFonts w:ascii="Times New Roman" w:hAnsi="Times New Roman" w:cs="Times New Roman"/>
          <w:bCs/>
          <w:sz w:val="24"/>
          <w:szCs w:val="24"/>
          <w:lang w:val="es-ES"/>
        </w:rPr>
        <w:t xml:space="preserve">la </w:t>
      </w:r>
      <w:r w:rsidRPr="00A318FA">
        <w:rPr>
          <w:rFonts w:ascii="Times New Roman" w:hAnsi="Times New Roman" w:cs="Times New Roman"/>
          <w:bCs/>
          <w:sz w:val="24"/>
          <w:szCs w:val="24"/>
          <w:lang w:val="es-ES"/>
        </w:rPr>
        <w:t>sugerencia del GRWG-2 de no compilar los cinco campos de datos esenciales con información diferente de la proveniente de los Estados del pabellón.</w:t>
      </w: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p>
    <w:p w:rsidR="00A41DB9" w:rsidRPr="00A318FA" w:rsidRDefault="00666708" w:rsidP="00A41DB9">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Hoy día, e</w:t>
      </w:r>
      <w:r w:rsidR="00A41DB9" w:rsidRPr="00A318FA">
        <w:rPr>
          <w:rFonts w:ascii="Times New Roman" w:hAnsi="Times New Roman" w:cs="Times New Roman"/>
          <w:bCs/>
          <w:sz w:val="24"/>
          <w:szCs w:val="24"/>
          <w:lang w:val="es-ES"/>
        </w:rPr>
        <w:t xml:space="preserve">s importante aprovechar este impulso y no retrasar la implementación del sistema, además de aprovechar la oportunidad del año venturo antes del 33.º COFI para mostrar los resultados a la comunidad internacional. </w:t>
      </w: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A estas alturas, el Sistema de información del Registro mundial está a medio camino de su fase de desarrollo a medio plazo (cinco años), propuesta presentada en el Documento de estrategia</w:t>
      </w:r>
      <w:r w:rsidRPr="00A318FA">
        <w:rPr>
          <w:rStyle w:val="FootnoteReference"/>
          <w:rFonts w:ascii="Times New Roman" w:hAnsi="Times New Roman" w:cs="Times New Roman"/>
          <w:bCs/>
          <w:sz w:val="24"/>
          <w:szCs w:val="24"/>
          <w:lang w:val="es-ES"/>
        </w:rPr>
        <w:footnoteReference w:id="5"/>
      </w:r>
      <w:r w:rsidRPr="00A318FA">
        <w:rPr>
          <w:rFonts w:ascii="Times New Roman" w:hAnsi="Times New Roman" w:cs="Times New Roman"/>
          <w:bCs/>
          <w:sz w:val="24"/>
          <w:szCs w:val="24"/>
          <w:lang w:val="es-ES"/>
        </w:rPr>
        <w:t xml:space="preserve">. Esta versión incluye suficientes características y funcionalidades que se consideran listas para su </w:t>
      </w:r>
      <w:r w:rsidR="008162A8">
        <w:rPr>
          <w:rFonts w:ascii="Times New Roman" w:hAnsi="Times New Roman" w:cs="Times New Roman"/>
          <w:bCs/>
          <w:sz w:val="24"/>
          <w:szCs w:val="24"/>
          <w:lang w:val="es-ES"/>
        </w:rPr>
        <w:t>lanzamiento</w:t>
      </w:r>
      <w:r w:rsidRPr="00A318FA">
        <w:rPr>
          <w:rFonts w:ascii="Times New Roman" w:hAnsi="Times New Roman" w:cs="Times New Roman"/>
          <w:bCs/>
          <w:sz w:val="24"/>
          <w:szCs w:val="24"/>
          <w:lang w:val="es-ES"/>
        </w:rPr>
        <w:t xml:space="preserve"> a los Miembros de la FAO, teniendo en mente que se seguirán buscando</w:t>
      </w:r>
      <w:r w:rsidR="00BB0508">
        <w:rPr>
          <w:rFonts w:ascii="Times New Roman" w:hAnsi="Times New Roman" w:cs="Times New Roman"/>
          <w:bCs/>
          <w:sz w:val="24"/>
          <w:szCs w:val="24"/>
          <w:lang w:val="es-ES"/>
        </w:rPr>
        <w:t xml:space="preserve"> </w:t>
      </w:r>
      <w:r w:rsidRPr="00A318FA">
        <w:rPr>
          <w:rFonts w:ascii="Times New Roman" w:hAnsi="Times New Roman" w:cs="Times New Roman"/>
          <w:bCs/>
          <w:sz w:val="24"/>
          <w:szCs w:val="24"/>
          <w:lang w:val="es-ES"/>
        </w:rPr>
        <w:t>mejoras y nuevas evoluciones para consolidar este instrumento.</w:t>
      </w: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Por consiguiente, su lanzamiento también señala el inicio de la fase de implementación en la cual los países/socios tendrán que empezar a cargar los datos.</w:t>
      </w: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p>
    <w:p w:rsidR="00A41DB9" w:rsidRPr="00A318FA" w:rsidRDefault="00A41DB9" w:rsidP="00A41DB9">
      <w:pPr>
        <w:autoSpaceDE w:val="0"/>
        <w:autoSpaceDN w:val="0"/>
        <w:adjustRightInd w:val="0"/>
        <w:spacing w:after="0" w:line="240" w:lineRule="auto"/>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Una vez que se haya alcanzado un nivel suficiente de cobertura de la flota (la referencia se relacionará con la Fase 1), el paso siguiente podría ser su lanzamiento al público</w:t>
      </w:r>
      <w:r w:rsidR="004B7E29">
        <w:rPr>
          <w:rFonts w:ascii="Times New Roman" w:hAnsi="Times New Roman" w:cs="Times New Roman"/>
          <w:bCs/>
          <w:sz w:val="24"/>
          <w:szCs w:val="24"/>
          <w:lang w:val="es-ES"/>
        </w:rPr>
        <w:t xml:space="preserve"> en general</w:t>
      </w:r>
      <w:r w:rsidRPr="00A318FA">
        <w:rPr>
          <w:rFonts w:ascii="Times New Roman" w:hAnsi="Times New Roman" w:cs="Times New Roman"/>
          <w:bCs/>
          <w:sz w:val="24"/>
          <w:szCs w:val="24"/>
          <w:lang w:val="es-ES"/>
        </w:rPr>
        <w:t>. Es importante, desde el punto de vista estratégico, alcanzar est</w:t>
      </w:r>
      <w:r w:rsidR="004B7E29">
        <w:rPr>
          <w:rFonts w:ascii="Times New Roman" w:hAnsi="Times New Roman" w:cs="Times New Roman"/>
          <w:bCs/>
          <w:sz w:val="24"/>
          <w:szCs w:val="24"/>
          <w:lang w:val="es-ES"/>
        </w:rPr>
        <w:t xml:space="preserve">a meta </w:t>
      </w:r>
      <w:r w:rsidRPr="00A318FA">
        <w:rPr>
          <w:rFonts w:ascii="Times New Roman" w:hAnsi="Times New Roman" w:cs="Times New Roman"/>
          <w:bCs/>
          <w:sz w:val="24"/>
          <w:szCs w:val="24"/>
          <w:lang w:val="es-ES"/>
        </w:rPr>
        <w:t>antes del 33º COFI y para ello, se tienen que realizar esfuerzos concertados.</w:t>
      </w:r>
    </w:p>
    <w:p w:rsidR="00A41DB9" w:rsidRPr="00A318FA" w:rsidRDefault="00A41DB9" w:rsidP="00A41DB9">
      <w:pPr>
        <w:pStyle w:val="ListParagraph"/>
        <w:autoSpaceDE w:val="0"/>
        <w:autoSpaceDN w:val="0"/>
        <w:adjustRightInd w:val="0"/>
        <w:spacing w:after="0" w:line="240" w:lineRule="auto"/>
        <w:jc w:val="both"/>
        <w:rPr>
          <w:rFonts w:ascii="Times New Roman" w:hAnsi="Times New Roman" w:cs="Times New Roman"/>
          <w:bCs/>
          <w:sz w:val="24"/>
          <w:szCs w:val="24"/>
          <w:lang w:val="es-ES"/>
        </w:rPr>
      </w:pPr>
    </w:p>
    <w:p w:rsidR="00A41DB9" w:rsidRPr="00A318FA" w:rsidRDefault="00A41DB9" w:rsidP="00A41DB9">
      <w:pPr>
        <w:pStyle w:val="ListParagraph"/>
        <w:numPr>
          <w:ilvl w:val="1"/>
          <w:numId w:val="4"/>
        </w:numPr>
        <w:autoSpaceDE w:val="0"/>
        <w:autoSpaceDN w:val="0"/>
        <w:adjustRightInd w:val="0"/>
        <w:spacing w:after="0" w:line="240" w:lineRule="auto"/>
        <w:jc w:val="both"/>
        <w:rPr>
          <w:rFonts w:ascii="Times New Roman" w:hAnsi="Times New Roman" w:cs="Times New Roman"/>
          <w:b/>
          <w:bCs/>
          <w:sz w:val="24"/>
          <w:szCs w:val="24"/>
          <w:lang w:val="es-ES"/>
        </w:rPr>
      </w:pPr>
      <w:r w:rsidRPr="00A318FA">
        <w:rPr>
          <w:rFonts w:ascii="Times New Roman" w:hAnsi="Times New Roman" w:cs="Times New Roman"/>
          <w:b/>
          <w:bCs/>
          <w:sz w:val="24"/>
          <w:szCs w:val="24"/>
          <w:lang w:val="es-ES"/>
        </w:rPr>
        <w:t xml:space="preserve">Primera versión operativa: </w:t>
      </w:r>
    </w:p>
    <w:p w:rsidR="00A41DB9" w:rsidRPr="00A318FA" w:rsidRDefault="00A41DB9" w:rsidP="00A41DB9">
      <w:pPr>
        <w:pStyle w:val="ListParagraph"/>
        <w:numPr>
          <w:ilvl w:val="2"/>
          <w:numId w:val="4"/>
        </w:numPr>
        <w:autoSpaceDE w:val="0"/>
        <w:autoSpaceDN w:val="0"/>
        <w:adjustRightInd w:val="0"/>
        <w:spacing w:after="0" w:line="240" w:lineRule="auto"/>
        <w:jc w:val="both"/>
        <w:rPr>
          <w:rFonts w:ascii="Times New Roman" w:hAnsi="Times New Roman" w:cs="Times New Roman"/>
          <w:b/>
          <w:bCs/>
          <w:sz w:val="24"/>
          <w:szCs w:val="24"/>
          <w:lang w:val="es-ES"/>
        </w:rPr>
      </w:pPr>
      <w:r w:rsidRPr="00A318FA">
        <w:rPr>
          <w:rFonts w:ascii="Times New Roman" w:hAnsi="Times New Roman" w:cs="Times New Roman"/>
          <w:b/>
          <w:bCs/>
          <w:sz w:val="24"/>
          <w:szCs w:val="24"/>
          <w:lang w:val="es-ES"/>
        </w:rPr>
        <w:t>Experiencia del usuario</w:t>
      </w:r>
    </w:p>
    <w:p w:rsidR="00A41DB9" w:rsidRPr="00A318FA"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La primera versión operativa del Sistema de información del Registro mundia</w:t>
      </w:r>
      <w:r w:rsidR="00AB0A38">
        <w:rPr>
          <w:rFonts w:ascii="Times New Roman" w:hAnsi="Times New Roman" w:cs="Times New Roman"/>
          <w:bCs/>
          <w:sz w:val="24"/>
          <w:szCs w:val="24"/>
          <w:lang w:val="es-ES"/>
        </w:rPr>
        <w:t>l</w:t>
      </w:r>
      <w:r w:rsidRPr="00A318FA">
        <w:rPr>
          <w:rFonts w:ascii="Times New Roman" w:hAnsi="Times New Roman" w:cs="Times New Roman"/>
          <w:bCs/>
          <w:sz w:val="24"/>
          <w:szCs w:val="24"/>
          <w:lang w:val="es-ES"/>
        </w:rPr>
        <w:t xml:space="preserve"> es sencilla y de fácil uso, con secuencia lógica de las principales características y funcionalidades. El sistema trabaja actualmente sólo en inglés, pero estará disponible también en francés y español. Se está tomando en cuenta la posibilidad de </w:t>
      </w:r>
      <w:r w:rsidR="004B427C">
        <w:rPr>
          <w:rFonts w:ascii="Times New Roman" w:hAnsi="Times New Roman" w:cs="Times New Roman"/>
          <w:bCs/>
          <w:sz w:val="24"/>
          <w:szCs w:val="24"/>
          <w:lang w:val="es-ES"/>
        </w:rPr>
        <w:t xml:space="preserve">incluir </w:t>
      </w:r>
      <w:r w:rsidR="004B427C" w:rsidRPr="00A318FA">
        <w:rPr>
          <w:rFonts w:ascii="Times New Roman" w:hAnsi="Times New Roman" w:cs="Times New Roman"/>
          <w:bCs/>
          <w:sz w:val="24"/>
          <w:szCs w:val="24"/>
          <w:lang w:val="es-ES"/>
        </w:rPr>
        <w:t xml:space="preserve">otros </w:t>
      </w:r>
      <w:r w:rsidRPr="00A318FA">
        <w:rPr>
          <w:rFonts w:ascii="Times New Roman" w:hAnsi="Times New Roman" w:cs="Times New Roman"/>
          <w:bCs/>
          <w:sz w:val="24"/>
          <w:szCs w:val="24"/>
          <w:lang w:val="es-ES"/>
        </w:rPr>
        <w:t>idiomas debido a las dificultade</w:t>
      </w:r>
      <w:r w:rsidR="00197A55">
        <w:rPr>
          <w:rFonts w:ascii="Times New Roman" w:hAnsi="Times New Roman" w:cs="Times New Roman"/>
          <w:bCs/>
          <w:sz w:val="24"/>
          <w:szCs w:val="24"/>
          <w:lang w:val="es-ES"/>
        </w:rPr>
        <w:t>s</w:t>
      </w:r>
      <w:r w:rsidRPr="00A318FA">
        <w:rPr>
          <w:rFonts w:ascii="Times New Roman" w:hAnsi="Times New Roman" w:cs="Times New Roman"/>
          <w:bCs/>
          <w:sz w:val="24"/>
          <w:szCs w:val="24"/>
          <w:lang w:val="es-ES"/>
        </w:rPr>
        <w:t xml:space="preserve"> y a los costes del desarrollo de un sistema que trabaje con múltiples idiomas. También se está </w:t>
      </w:r>
      <w:r w:rsidR="0054516B">
        <w:rPr>
          <w:rFonts w:ascii="Times New Roman" w:hAnsi="Times New Roman" w:cs="Times New Roman"/>
          <w:bCs/>
          <w:sz w:val="24"/>
          <w:szCs w:val="24"/>
          <w:lang w:val="es-ES"/>
        </w:rPr>
        <w:t xml:space="preserve">examinando </w:t>
      </w:r>
      <w:r w:rsidRPr="00A318FA">
        <w:rPr>
          <w:rFonts w:ascii="Times New Roman" w:hAnsi="Times New Roman" w:cs="Times New Roman"/>
          <w:bCs/>
          <w:sz w:val="24"/>
          <w:szCs w:val="24"/>
          <w:lang w:val="es-ES"/>
        </w:rPr>
        <w:t xml:space="preserve">el desarrollo del sistema como aplicación Web dinámica que pueda funcionar en la mayoría de los tipos de terminales, incluyendo tabletas y teléfonos inteligentes. Esta característica mejoraría también las posibilidades para </w:t>
      </w:r>
      <w:r w:rsidR="00197A55">
        <w:rPr>
          <w:rFonts w:ascii="Times New Roman" w:hAnsi="Times New Roman" w:cs="Times New Roman"/>
          <w:bCs/>
          <w:sz w:val="24"/>
          <w:szCs w:val="24"/>
          <w:lang w:val="es-ES"/>
        </w:rPr>
        <w:t>que los</w:t>
      </w:r>
      <w:r w:rsidRPr="00A318FA">
        <w:rPr>
          <w:rFonts w:ascii="Times New Roman" w:hAnsi="Times New Roman" w:cs="Times New Roman"/>
          <w:bCs/>
          <w:sz w:val="24"/>
          <w:szCs w:val="24"/>
          <w:lang w:val="es-ES"/>
        </w:rPr>
        <w:t xml:space="preserve"> usuarios </w:t>
      </w:r>
      <w:r w:rsidR="00197A55">
        <w:rPr>
          <w:rFonts w:ascii="Times New Roman" w:hAnsi="Times New Roman" w:cs="Times New Roman"/>
          <w:bCs/>
          <w:sz w:val="24"/>
          <w:szCs w:val="24"/>
          <w:lang w:val="es-ES"/>
        </w:rPr>
        <w:t xml:space="preserve">utilicen </w:t>
      </w:r>
      <w:r w:rsidRPr="00A318FA">
        <w:rPr>
          <w:rFonts w:ascii="Times New Roman" w:hAnsi="Times New Roman" w:cs="Times New Roman"/>
          <w:bCs/>
          <w:sz w:val="24"/>
          <w:szCs w:val="24"/>
          <w:lang w:val="es-ES"/>
        </w:rPr>
        <w:t xml:space="preserve">el Registro mundial directamente desde el puerto o según sea necesario. </w:t>
      </w:r>
    </w:p>
    <w:p w:rsidR="00A41DB9" w:rsidRPr="00A318FA" w:rsidRDefault="00A41DB9" w:rsidP="00A41DB9">
      <w:pPr>
        <w:pStyle w:val="ListParagraph"/>
        <w:autoSpaceDE w:val="0"/>
        <w:autoSpaceDN w:val="0"/>
        <w:adjustRightInd w:val="0"/>
        <w:spacing w:after="0" w:line="240" w:lineRule="auto"/>
        <w:ind w:left="2160"/>
        <w:jc w:val="both"/>
        <w:rPr>
          <w:rFonts w:ascii="Times New Roman" w:hAnsi="Times New Roman" w:cs="Times New Roman"/>
          <w:b/>
          <w:bCs/>
          <w:sz w:val="24"/>
          <w:szCs w:val="24"/>
          <w:lang w:val="es-ES"/>
        </w:rPr>
      </w:pPr>
    </w:p>
    <w:p w:rsidR="00A41DB9" w:rsidRPr="00A318FA" w:rsidRDefault="00A41DB9" w:rsidP="00A41DB9">
      <w:pPr>
        <w:pStyle w:val="ListParagraph"/>
        <w:numPr>
          <w:ilvl w:val="2"/>
          <w:numId w:val="4"/>
        </w:numPr>
        <w:autoSpaceDE w:val="0"/>
        <w:autoSpaceDN w:val="0"/>
        <w:adjustRightInd w:val="0"/>
        <w:spacing w:after="0" w:line="240" w:lineRule="auto"/>
        <w:jc w:val="both"/>
        <w:rPr>
          <w:rFonts w:ascii="Times New Roman" w:hAnsi="Times New Roman" w:cs="Times New Roman"/>
          <w:b/>
          <w:bCs/>
          <w:sz w:val="24"/>
          <w:szCs w:val="24"/>
          <w:lang w:val="es-ES"/>
        </w:rPr>
      </w:pPr>
      <w:r w:rsidRPr="00A318FA">
        <w:rPr>
          <w:rFonts w:ascii="Times New Roman" w:hAnsi="Times New Roman" w:cs="Times New Roman"/>
          <w:b/>
          <w:bCs/>
          <w:sz w:val="24"/>
          <w:szCs w:val="24"/>
          <w:lang w:val="es-ES"/>
        </w:rPr>
        <w:t xml:space="preserve">Características y funcionalidades </w:t>
      </w:r>
    </w:p>
    <w:p w:rsidR="00A41DB9" w:rsidRPr="00A318FA"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 xml:space="preserve">Ya se han desarrollado las funcionalidades para consultas (búsqueda), validación de datos, </w:t>
      </w:r>
      <w:r w:rsidR="00FC5B0F">
        <w:rPr>
          <w:rFonts w:ascii="Times New Roman" w:hAnsi="Times New Roman" w:cs="Times New Roman"/>
          <w:bCs/>
          <w:sz w:val="24"/>
          <w:szCs w:val="24"/>
          <w:lang w:val="es-ES"/>
        </w:rPr>
        <w:t>informe</w:t>
      </w:r>
      <w:r w:rsidRPr="00A318FA">
        <w:rPr>
          <w:rFonts w:ascii="Times New Roman" w:hAnsi="Times New Roman" w:cs="Times New Roman"/>
          <w:bCs/>
          <w:sz w:val="24"/>
          <w:szCs w:val="24"/>
          <w:lang w:val="es-ES"/>
        </w:rPr>
        <w:t xml:space="preserve"> de errores, gestión del usuario y carga de datos </w:t>
      </w:r>
      <w:r w:rsidR="00FC5B0F">
        <w:rPr>
          <w:rFonts w:ascii="Times New Roman" w:hAnsi="Times New Roman" w:cs="Times New Roman"/>
          <w:bCs/>
          <w:sz w:val="24"/>
          <w:szCs w:val="24"/>
          <w:lang w:val="es-ES"/>
        </w:rPr>
        <w:t xml:space="preserve">que permiten: i) </w:t>
      </w:r>
      <w:r w:rsidRPr="00A318FA">
        <w:rPr>
          <w:rFonts w:ascii="Times New Roman" w:hAnsi="Times New Roman" w:cs="Times New Roman"/>
          <w:bCs/>
          <w:sz w:val="24"/>
          <w:szCs w:val="24"/>
          <w:lang w:val="es-ES"/>
        </w:rPr>
        <w:t>la subida de datos de los Miembros en el sistema</w:t>
      </w:r>
      <w:r w:rsidR="00FC5B0F">
        <w:rPr>
          <w:rFonts w:ascii="Times New Roman" w:hAnsi="Times New Roman" w:cs="Times New Roman"/>
          <w:bCs/>
          <w:sz w:val="24"/>
          <w:szCs w:val="24"/>
          <w:lang w:val="es-ES"/>
        </w:rPr>
        <w:t xml:space="preserve">; ii) </w:t>
      </w:r>
      <w:r w:rsidRPr="00A318FA">
        <w:rPr>
          <w:rFonts w:ascii="Times New Roman" w:hAnsi="Times New Roman" w:cs="Times New Roman"/>
          <w:bCs/>
          <w:sz w:val="24"/>
          <w:szCs w:val="24"/>
          <w:lang w:val="es-ES"/>
        </w:rPr>
        <w:t>un control de calidad inicial a ser desarrollado</w:t>
      </w:r>
      <w:r w:rsidR="00FC5B0F">
        <w:rPr>
          <w:rFonts w:ascii="Times New Roman" w:hAnsi="Times New Roman" w:cs="Times New Roman"/>
          <w:bCs/>
          <w:sz w:val="24"/>
          <w:szCs w:val="24"/>
          <w:lang w:val="es-ES"/>
        </w:rPr>
        <w:t>; iii) la</w:t>
      </w:r>
      <w:r w:rsidRPr="00A318FA">
        <w:rPr>
          <w:rFonts w:ascii="Times New Roman" w:hAnsi="Times New Roman" w:cs="Times New Roman"/>
          <w:bCs/>
          <w:sz w:val="24"/>
          <w:szCs w:val="24"/>
          <w:lang w:val="es-ES"/>
        </w:rPr>
        <w:t xml:space="preserve"> visualización y búsqueda de la información contenida en el sistema. Las consultas permiten la búsqueda sencilla, cuando el usuario conoce exactamente el buque </w:t>
      </w:r>
      <w:r w:rsidR="002B45FC">
        <w:rPr>
          <w:rFonts w:ascii="Times New Roman" w:hAnsi="Times New Roman" w:cs="Times New Roman"/>
          <w:bCs/>
          <w:sz w:val="24"/>
          <w:szCs w:val="24"/>
          <w:lang w:val="es-ES"/>
        </w:rPr>
        <w:t>sobre el cual está indagando</w:t>
      </w:r>
      <w:r w:rsidRPr="00A318FA">
        <w:rPr>
          <w:rFonts w:ascii="Times New Roman" w:hAnsi="Times New Roman" w:cs="Times New Roman"/>
          <w:bCs/>
          <w:sz w:val="24"/>
          <w:szCs w:val="24"/>
          <w:lang w:val="es-ES"/>
        </w:rPr>
        <w:t xml:space="preserve">; </w:t>
      </w:r>
      <w:r w:rsidR="00DE7E21">
        <w:rPr>
          <w:rFonts w:ascii="Times New Roman" w:hAnsi="Times New Roman" w:cs="Times New Roman"/>
          <w:bCs/>
          <w:sz w:val="24"/>
          <w:szCs w:val="24"/>
          <w:lang w:val="es-ES"/>
        </w:rPr>
        <w:t>además de</w:t>
      </w:r>
      <w:r w:rsidRPr="00A318FA">
        <w:rPr>
          <w:rFonts w:ascii="Times New Roman" w:hAnsi="Times New Roman" w:cs="Times New Roman"/>
          <w:bCs/>
          <w:sz w:val="24"/>
          <w:szCs w:val="24"/>
          <w:lang w:val="es-ES"/>
        </w:rPr>
        <w:t xml:space="preserve"> búsquedas avanzadas, cuando el usuario está tratando de trazar un buque para el cual no dispone de la </w:t>
      </w:r>
      <w:r w:rsidRPr="00A318FA">
        <w:rPr>
          <w:rFonts w:ascii="Times New Roman" w:hAnsi="Times New Roman" w:cs="Times New Roman"/>
          <w:bCs/>
          <w:sz w:val="24"/>
          <w:szCs w:val="24"/>
          <w:lang w:val="es-ES"/>
        </w:rPr>
        <w:lastRenderedPageBreak/>
        <w:t xml:space="preserve">información de identificación principal. En este caso, el usuario puede empezar a consultar el sistema y a agregar información a la última búsqueda realizada para </w:t>
      </w:r>
      <w:r w:rsidR="00FC5B0F">
        <w:rPr>
          <w:rFonts w:ascii="Times New Roman" w:hAnsi="Times New Roman" w:cs="Times New Roman"/>
          <w:bCs/>
          <w:sz w:val="24"/>
          <w:szCs w:val="24"/>
          <w:lang w:val="es-ES"/>
        </w:rPr>
        <w:t>reducir</w:t>
      </w:r>
      <w:r w:rsidRPr="00A318FA">
        <w:rPr>
          <w:rFonts w:ascii="Times New Roman" w:hAnsi="Times New Roman" w:cs="Times New Roman"/>
          <w:bCs/>
          <w:sz w:val="24"/>
          <w:szCs w:val="24"/>
          <w:lang w:val="es-ES"/>
        </w:rPr>
        <w:t xml:space="preserve"> el ámbito de la </w:t>
      </w:r>
      <w:r w:rsidR="0058088A" w:rsidRPr="00A318FA">
        <w:rPr>
          <w:rFonts w:ascii="Times New Roman" w:hAnsi="Times New Roman" w:cs="Times New Roman"/>
          <w:bCs/>
          <w:sz w:val="24"/>
          <w:szCs w:val="24"/>
          <w:lang w:val="es-ES"/>
        </w:rPr>
        <w:t>indagación</w:t>
      </w:r>
      <w:r w:rsidRPr="00A318FA">
        <w:rPr>
          <w:rFonts w:ascii="Times New Roman" w:hAnsi="Times New Roman" w:cs="Times New Roman"/>
          <w:bCs/>
          <w:sz w:val="24"/>
          <w:szCs w:val="24"/>
          <w:lang w:val="es-ES"/>
        </w:rPr>
        <w:t xml:space="preserve">. </w:t>
      </w:r>
    </w:p>
    <w:p w:rsidR="00A41DB9" w:rsidRPr="00A318FA"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p>
    <w:p w:rsidR="00A41DB9" w:rsidRPr="00A318FA"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 xml:space="preserve">Este es un proceso muy intuitivo y </w:t>
      </w:r>
      <w:r w:rsidR="007B0994">
        <w:rPr>
          <w:rFonts w:ascii="Times New Roman" w:hAnsi="Times New Roman" w:cs="Times New Roman"/>
          <w:bCs/>
          <w:sz w:val="24"/>
          <w:szCs w:val="24"/>
          <w:lang w:val="es-ES"/>
        </w:rPr>
        <w:t xml:space="preserve">acompaña </w:t>
      </w:r>
      <w:r w:rsidRPr="00A318FA">
        <w:rPr>
          <w:rFonts w:ascii="Times New Roman" w:hAnsi="Times New Roman" w:cs="Times New Roman"/>
          <w:bCs/>
          <w:sz w:val="24"/>
          <w:szCs w:val="24"/>
          <w:lang w:val="es-ES"/>
        </w:rPr>
        <w:t xml:space="preserve">al usuario a través de los diferentes niveles: </w:t>
      </w:r>
      <w:r w:rsidR="00FC5B0F">
        <w:rPr>
          <w:rFonts w:ascii="Times New Roman" w:hAnsi="Times New Roman" w:cs="Times New Roman"/>
          <w:bCs/>
          <w:sz w:val="24"/>
          <w:szCs w:val="24"/>
          <w:lang w:val="es-ES"/>
        </w:rPr>
        <w:t xml:space="preserve">i) </w:t>
      </w:r>
      <w:r w:rsidRPr="00A318FA">
        <w:rPr>
          <w:rFonts w:ascii="Times New Roman" w:hAnsi="Times New Roman" w:cs="Times New Roman"/>
          <w:bCs/>
          <w:sz w:val="24"/>
          <w:szCs w:val="24"/>
          <w:lang w:val="es-ES"/>
        </w:rPr>
        <w:t>un resumen de la flota mundial incluida en el Registro mundial</w:t>
      </w:r>
      <w:r w:rsidR="00FC5B0F">
        <w:rPr>
          <w:rFonts w:ascii="Times New Roman" w:hAnsi="Times New Roman" w:cs="Times New Roman"/>
          <w:bCs/>
          <w:sz w:val="24"/>
          <w:szCs w:val="24"/>
          <w:lang w:val="es-ES"/>
        </w:rPr>
        <w:t xml:space="preserve">; ii) </w:t>
      </w:r>
      <w:r w:rsidRPr="00A318FA">
        <w:rPr>
          <w:rFonts w:ascii="Times New Roman" w:hAnsi="Times New Roman" w:cs="Times New Roman"/>
          <w:bCs/>
          <w:sz w:val="24"/>
          <w:szCs w:val="24"/>
          <w:lang w:val="es-ES"/>
        </w:rPr>
        <w:t xml:space="preserve">una submuestra de éste desde la </w:t>
      </w:r>
      <w:r w:rsidR="00FC5B0F">
        <w:rPr>
          <w:rFonts w:ascii="Times New Roman" w:hAnsi="Times New Roman" w:cs="Times New Roman"/>
          <w:bCs/>
          <w:sz w:val="24"/>
          <w:szCs w:val="24"/>
          <w:lang w:val="es-ES"/>
        </w:rPr>
        <w:t xml:space="preserve">funcionalidad de </w:t>
      </w:r>
      <w:r w:rsidRPr="00A318FA">
        <w:rPr>
          <w:rFonts w:ascii="Times New Roman" w:hAnsi="Times New Roman" w:cs="Times New Roman"/>
          <w:bCs/>
          <w:sz w:val="24"/>
          <w:szCs w:val="24"/>
          <w:lang w:val="es-ES"/>
        </w:rPr>
        <w:t>búsqueda</w:t>
      </w:r>
      <w:r w:rsidR="00FC5B0F">
        <w:rPr>
          <w:rFonts w:ascii="Times New Roman" w:hAnsi="Times New Roman" w:cs="Times New Roman"/>
          <w:bCs/>
          <w:sz w:val="24"/>
          <w:szCs w:val="24"/>
          <w:lang w:val="es-ES"/>
        </w:rPr>
        <w:t xml:space="preserve">; iii) </w:t>
      </w:r>
      <w:r w:rsidRPr="00A318FA">
        <w:rPr>
          <w:rFonts w:ascii="Times New Roman" w:hAnsi="Times New Roman" w:cs="Times New Roman"/>
          <w:bCs/>
          <w:sz w:val="24"/>
          <w:szCs w:val="24"/>
          <w:lang w:val="es-ES"/>
        </w:rPr>
        <w:t>información detallada de un buque específico organizada en seis diferentes módulos: Detalles del buque, Detalles históricos, Autorizaciones, Inspección y vigilancia, Denegaciones de entrada en puerto y Listado de buques INDNR. Además, se puede consultar información externa al sistema por medio de</w:t>
      </w:r>
      <w:r w:rsidR="00BB0508">
        <w:rPr>
          <w:rFonts w:ascii="Times New Roman" w:hAnsi="Times New Roman" w:cs="Times New Roman"/>
          <w:bCs/>
          <w:sz w:val="24"/>
          <w:szCs w:val="24"/>
          <w:lang w:val="es-ES"/>
        </w:rPr>
        <w:t xml:space="preserve"> </w:t>
      </w:r>
      <w:r w:rsidRPr="00A318FA">
        <w:rPr>
          <w:rFonts w:ascii="Times New Roman" w:hAnsi="Times New Roman" w:cs="Times New Roman"/>
          <w:bCs/>
          <w:sz w:val="24"/>
          <w:szCs w:val="24"/>
          <w:lang w:val="es-ES"/>
        </w:rPr>
        <w:t xml:space="preserve">un hipervínculo que </w:t>
      </w:r>
      <w:r w:rsidR="007B0994">
        <w:rPr>
          <w:rFonts w:ascii="Times New Roman" w:hAnsi="Times New Roman" w:cs="Times New Roman"/>
          <w:bCs/>
          <w:sz w:val="24"/>
          <w:szCs w:val="24"/>
          <w:lang w:val="es-ES"/>
        </w:rPr>
        <w:t xml:space="preserve">acompaña </w:t>
      </w:r>
      <w:r w:rsidRPr="00A318FA">
        <w:rPr>
          <w:rFonts w:ascii="Times New Roman" w:hAnsi="Times New Roman" w:cs="Times New Roman"/>
          <w:bCs/>
          <w:sz w:val="24"/>
          <w:szCs w:val="24"/>
          <w:lang w:val="es-ES"/>
        </w:rPr>
        <w:t>al usuario directamente hacia información adicional sobre ese buque particular, contenida en otros sistemas.</w:t>
      </w:r>
    </w:p>
    <w:p w:rsidR="00A41DB9" w:rsidRPr="00A318FA"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 xml:space="preserve"> </w:t>
      </w:r>
    </w:p>
    <w:p w:rsidR="00A41DB9" w:rsidRPr="00A318FA"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Se ha desarrollado una funcionalidad de subida de datos tras las recomendaciones del GRWG-2</w:t>
      </w:r>
      <w:r w:rsidRPr="00A318FA">
        <w:rPr>
          <w:rStyle w:val="FootnoteReference"/>
          <w:rFonts w:ascii="Times New Roman" w:hAnsi="Times New Roman" w:cs="Times New Roman"/>
          <w:bCs/>
          <w:sz w:val="24"/>
          <w:szCs w:val="24"/>
          <w:lang w:val="es-ES"/>
        </w:rPr>
        <w:footnoteReference w:id="6"/>
      </w:r>
      <w:r w:rsidRPr="00A318FA">
        <w:rPr>
          <w:rFonts w:ascii="Times New Roman" w:hAnsi="Times New Roman" w:cs="Times New Roman"/>
          <w:bCs/>
          <w:sz w:val="24"/>
          <w:szCs w:val="24"/>
          <w:lang w:val="es-ES"/>
        </w:rPr>
        <w:t xml:space="preserve"> sobre el uso de los archivos</w:t>
      </w:r>
      <w:r w:rsidR="00D056B0">
        <w:rPr>
          <w:rFonts w:ascii="Times New Roman" w:hAnsi="Times New Roman" w:cs="Times New Roman"/>
          <w:bCs/>
          <w:sz w:val="24"/>
          <w:szCs w:val="24"/>
          <w:lang w:val="es-ES"/>
        </w:rPr>
        <w:t xml:space="preserve"> con extensión </w:t>
      </w:r>
      <w:r w:rsidRPr="00A318FA">
        <w:rPr>
          <w:rFonts w:ascii="Times New Roman" w:hAnsi="Times New Roman" w:cs="Times New Roman"/>
          <w:bCs/>
          <w:sz w:val="24"/>
          <w:szCs w:val="24"/>
          <w:lang w:val="es-ES"/>
        </w:rPr>
        <w:t xml:space="preserve">.csv para </w:t>
      </w:r>
      <w:r w:rsidR="00D056B0">
        <w:rPr>
          <w:rFonts w:ascii="Times New Roman" w:hAnsi="Times New Roman" w:cs="Times New Roman"/>
          <w:bCs/>
          <w:sz w:val="24"/>
          <w:szCs w:val="24"/>
          <w:lang w:val="es-ES"/>
        </w:rPr>
        <w:t xml:space="preserve">su subida </w:t>
      </w:r>
      <w:r w:rsidRPr="00A318FA">
        <w:rPr>
          <w:rFonts w:ascii="Times New Roman" w:hAnsi="Times New Roman" w:cs="Times New Roman"/>
          <w:bCs/>
          <w:sz w:val="24"/>
          <w:szCs w:val="24"/>
          <w:lang w:val="es-ES"/>
        </w:rPr>
        <w:t>directa por medio del portal</w:t>
      </w:r>
      <w:r w:rsidRPr="00A318FA">
        <w:rPr>
          <w:rStyle w:val="FootnoteReference"/>
          <w:rFonts w:ascii="Times New Roman" w:hAnsi="Times New Roman" w:cs="Times New Roman"/>
          <w:bCs/>
          <w:sz w:val="24"/>
          <w:szCs w:val="24"/>
          <w:lang w:val="es-ES"/>
        </w:rPr>
        <w:footnoteReference w:id="7"/>
      </w:r>
      <w:r w:rsidRPr="00A318FA">
        <w:rPr>
          <w:rFonts w:ascii="Times New Roman" w:hAnsi="Times New Roman" w:cs="Times New Roman"/>
          <w:bCs/>
          <w:sz w:val="24"/>
          <w:szCs w:val="24"/>
          <w:lang w:val="es-ES"/>
        </w:rPr>
        <w:t xml:space="preserve">. Se dispone de instrucciones básicas en el sitio, junto con formularios .csv para la </w:t>
      </w:r>
      <w:r w:rsidR="00DD1328">
        <w:rPr>
          <w:rFonts w:ascii="Times New Roman" w:hAnsi="Times New Roman" w:cs="Times New Roman"/>
          <w:bCs/>
          <w:sz w:val="24"/>
          <w:szCs w:val="24"/>
          <w:lang w:val="es-ES"/>
        </w:rPr>
        <w:t>subida</w:t>
      </w:r>
      <w:r w:rsidRPr="00A318FA">
        <w:rPr>
          <w:rFonts w:ascii="Times New Roman" w:hAnsi="Times New Roman" w:cs="Times New Roman"/>
          <w:bCs/>
          <w:sz w:val="24"/>
          <w:szCs w:val="24"/>
          <w:lang w:val="es-ES"/>
        </w:rPr>
        <w:t xml:space="preserve"> de datos y </w:t>
      </w:r>
      <w:r w:rsidR="00DD1328">
        <w:rPr>
          <w:rFonts w:ascii="Times New Roman" w:hAnsi="Times New Roman" w:cs="Times New Roman"/>
          <w:bCs/>
          <w:sz w:val="24"/>
          <w:szCs w:val="24"/>
          <w:lang w:val="es-ES"/>
        </w:rPr>
        <w:t>ficheros</w:t>
      </w:r>
      <w:r w:rsidRPr="00A318FA">
        <w:rPr>
          <w:rFonts w:ascii="Times New Roman" w:hAnsi="Times New Roman" w:cs="Times New Roman"/>
          <w:bCs/>
          <w:sz w:val="24"/>
          <w:szCs w:val="24"/>
          <w:lang w:val="es-ES"/>
        </w:rPr>
        <w:t xml:space="preserve"> con los requisitos de datos para su </w:t>
      </w:r>
      <w:r w:rsidR="00DD1328">
        <w:rPr>
          <w:rFonts w:ascii="Times New Roman" w:hAnsi="Times New Roman" w:cs="Times New Roman"/>
          <w:bCs/>
          <w:sz w:val="24"/>
          <w:szCs w:val="24"/>
          <w:lang w:val="es-ES"/>
        </w:rPr>
        <w:t>facilidad de</w:t>
      </w:r>
      <w:r w:rsidRPr="00A318FA">
        <w:rPr>
          <w:rFonts w:ascii="Times New Roman" w:hAnsi="Times New Roman" w:cs="Times New Roman"/>
          <w:bCs/>
          <w:sz w:val="24"/>
          <w:szCs w:val="24"/>
          <w:lang w:val="es-ES"/>
        </w:rPr>
        <w:t xml:space="preserve"> uso. Esta funcionalidad permite también la visión de los ficheros precedentemente cargados para referencia. </w:t>
      </w:r>
    </w:p>
    <w:p w:rsidR="00A41DB9" w:rsidRPr="00A318FA"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p>
    <w:p w:rsidR="00A41DB9" w:rsidRPr="00A318FA"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 xml:space="preserve">La validación de datos incluye una funcionalidad de informe de errores que envía mensajes automáticamente a los usuarios sobre los resultados de la </w:t>
      </w:r>
      <w:r w:rsidR="00DD1328">
        <w:rPr>
          <w:rFonts w:ascii="Times New Roman" w:hAnsi="Times New Roman" w:cs="Times New Roman"/>
          <w:bCs/>
          <w:sz w:val="24"/>
          <w:szCs w:val="24"/>
          <w:lang w:val="es-ES"/>
        </w:rPr>
        <w:t>subida de datos</w:t>
      </w:r>
      <w:r w:rsidRPr="00A318FA">
        <w:rPr>
          <w:rFonts w:ascii="Times New Roman" w:hAnsi="Times New Roman" w:cs="Times New Roman"/>
          <w:bCs/>
          <w:sz w:val="24"/>
          <w:szCs w:val="24"/>
          <w:lang w:val="es-ES"/>
        </w:rPr>
        <w:t xml:space="preserve">, con especificaciones sobre el número de </w:t>
      </w:r>
      <w:r w:rsidR="00DD1328">
        <w:rPr>
          <w:rFonts w:ascii="Times New Roman" w:hAnsi="Times New Roman" w:cs="Times New Roman"/>
          <w:bCs/>
          <w:sz w:val="24"/>
          <w:szCs w:val="24"/>
          <w:lang w:val="es-ES"/>
        </w:rPr>
        <w:t xml:space="preserve">los </w:t>
      </w:r>
      <w:r w:rsidRPr="00A318FA">
        <w:rPr>
          <w:rFonts w:ascii="Times New Roman" w:hAnsi="Times New Roman" w:cs="Times New Roman"/>
          <w:bCs/>
          <w:sz w:val="24"/>
          <w:szCs w:val="24"/>
          <w:lang w:val="es-ES"/>
        </w:rPr>
        <w:t>registros insertados y rechazados y, para estos últimos, un marcador de posición para cualquier error individual identificado</w:t>
      </w:r>
      <w:r w:rsidR="00D056B0">
        <w:rPr>
          <w:rFonts w:ascii="Times New Roman" w:hAnsi="Times New Roman" w:cs="Times New Roman"/>
          <w:bCs/>
          <w:sz w:val="24"/>
          <w:szCs w:val="24"/>
          <w:lang w:val="es-ES"/>
        </w:rPr>
        <w:t>,</w:t>
      </w:r>
      <w:r w:rsidRPr="00A318FA">
        <w:rPr>
          <w:rFonts w:ascii="Times New Roman" w:hAnsi="Times New Roman" w:cs="Times New Roman"/>
          <w:bCs/>
          <w:sz w:val="24"/>
          <w:szCs w:val="24"/>
          <w:lang w:val="es-ES"/>
        </w:rPr>
        <w:t xml:space="preserve"> junto con algunas indicaciones sobre el tipo de error para su corrección. </w:t>
      </w:r>
    </w:p>
    <w:p w:rsidR="00A41DB9" w:rsidRPr="00A318FA"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p>
    <w:p w:rsidR="00A41DB9" w:rsidRPr="00A318FA"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 xml:space="preserve">Se estarán implementando ulteriores características y funcionalidades durante los próximos meses. Entre otras se incluyen un panorama mundial mejorado, intercambio automático de datos por medio del uso de esquemas desarrollados a través del </w:t>
      </w:r>
      <w:r w:rsidR="00DD1328" w:rsidRPr="00DD1328">
        <w:rPr>
          <w:rFonts w:ascii="Times New Roman" w:hAnsi="Times New Roman" w:cs="Times New Roman"/>
          <w:bCs/>
          <w:sz w:val="24"/>
          <w:szCs w:val="24"/>
          <w:lang w:val="es-ES"/>
        </w:rPr>
        <w:t xml:space="preserve">Centro de las Naciones Unidas de Facilitación del Comercio y las Transacciones Electrónicas </w:t>
      </w:r>
      <w:r w:rsidRPr="00A318FA">
        <w:rPr>
          <w:rFonts w:ascii="Times New Roman" w:hAnsi="Times New Roman" w:cs="Times New Roman"/>
          <w:bCs/>
          <w:sz w:val="24"/>
          <w:szCs w:val="24"/>
          <w:lang w:val="es-ES"/>
        </w:rPr>
        <w:t>(CEFACT-ONU)</w:t>
      </w:r>
      <w:r w:rsidRPr="00DD1328">
        <w:rPr>
          <w:vertAlign w:val="superscript"/>
          <w:lang w:val="es-ES"/>
        </w:rPr>
        <w:footnoteReference w:id="8"/>
      </w:r>
      <w:r w:rsidRPr="00A318FA">
        <w:rPr>
          <w:rFonts w:ascii="Times New Roman" w:hAnsi="Times New Roman" w:cs="Times New Roman"/>
          <w:bCs/>
          <w:sz w:val="24"/>
          <w:szCs w:val="24"/>
          <w:lang w:val="es-ES"/>
        </w:rPr>
        <w:t xml:space="preserve">, y validaciones más avanzadas. Se realizará una prueba inicial </w:t>
      </w:r>
      <w:r w:rsidR="00D056B0">
        <w:rPr>
          <w:rFonts w:ascii="Times New Roman" w:hAnsi="Times New Roman" w:cs="Times New Roman"/>
          <w:bCs/>
          <w:sz w:val="24"/>
          <w:szCs w:val="24"/>
          <w:lang w:val="es-ES"/>
        </w:rPr>
        <w:t xml:space="preserve">en </w:t>
      </w:r>
      <w:r w:rsidRPr="00A318FA">
        <w:rPr>
          <w:rFonts w:ascii="Times New Roman" w:hAnsi="Times New Roman" w:cs="Times New Roman"/>
          <w:bCs/>
          <w:sz w:val="24"/>
          <w:szCs w:val="24"/>
          <w:lang w:val="es-ES"/>
        </w:rPr>
        <w:t>la Unión Europea (UE) y posiblemente en otros países hacia finales de 2017.</w:t>
      </w:r>
    </w:p>
    <w:p w:rsidR="00A41DB9" w:rsidRPr="00A318FA" w:rsidRDefault="00A41DB9" w:rsidP="00A41DB9">
      <w:pPr>
        <w:pStyle w:val="ListParagraph"/>
        <w:autoSpaceDE w:val="0"/>
        <w:autoSpaceDN w:val="0"/>
        <w:adjustRightInd w:val="0"/>
        <w:spacing w:after="0" w:line="240" w:lineRule="auto"/>
        <w:ind w:left="2160"/>
        <w:jc w:val="both"/>
        <w:rPr>
          <w:rFonts w:ascii="Times New Roman" w:hAnsi="Times New Roman" w:cs="Times New Roman"/>
          <w:b/>
          <w:bCs/>
          <w:sz w:val="24"/>
          <w:szCs w:val="24"/>
          <w:lang w:val="es-ES"/>
        </w:rPr>
      </w:pPr>
    </w:p>
    <w:p w:rsidR="00A41DB9" w:rsidRPr="00A318FA" w:rsidRDefault="00A41DB9" w:rsidP="00A41DB9">
      <w:pPr>
        <w:pStyle w:val="ListParagraph"/>
        <w:numPr>
          <w:ilvl w:val="2"/>
          <w:numId w:val="4"/>
        </w:numPr>
        <w:autoSpaceDE w:val="0"/>
        <w:autoSpaceDN w:val="0"/>
        <w:adjustRightInd w:val="0"/>
        <w:spacing w:after="0" w:line="240" w:lineRule="auto"/>
        <w:jc w:val="both"/>
        <w:rPr>
          <w:rFonts w:ascii="Times New Roman" w:hAnsi="Times New Roman" w:cs="Times New Roman"/>
          <w:b/>
          <w:bCs/>
          <w:sz w:val="24"/>
          <w:szCs w:val="24"/>
          <w:lang w:val="es-ES"/>
        </w:rPr>
      </w:pPr>
      <w:r w:rsidRPr="00A318FA">
        <w:rPr>
          <w:rFonts w:ascii="Times New Roman" w:hAnsi="Times New Roman" w:cs="Times New Roman"/>
          <w:b/>
          <w:bCs/>
          <w:sz w:val="24"/>
          <w:szCs w:val="24"/>
          <w:lang w:val="es-ES"/>
        </w:rPr>
        <w:t>Participación</w:t>
      </w:r>
    </w:p>
    <w:p w:rsidR="00A41DB9" w:rsidRPr="00A318FA"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 xml:space="preserve">La implementación de un mecanismo automático de intercambio de datos facilitará la participación y eliminará la carga </w:t>
      </w:r>
      <w:r w:rsidR="00303476">
        <w:rPr>
          <w:rFonts w:ascii="Times New Roman" w:hAnsi="Times New Roman" w:cs="Times New Roman"/>
          <w:bCs/>
          <w:sz w:val="24"/>
          <w:szCs w:val="24"/>
          <w:lang w:val="es-ES"/>
        </w:rPr>
        <w:t xml:space="preserve">que pesa sobre los </w:t>
      </w:r>
      <w:r w:rsidRPr="00A318FA">
        <w:rPr>
          <w:rFonts w:ascii="Times New Roman" w:hAnsi="Times New Roman" w:cs="Times New Roman"/>
          <w:bCs/>
          <w:sz w:val="24"/>
          <w:szCs w:val="24"/>
          <w:lang w:val="es-ES"/>
        </w:rPr>
        <w:t xml:space="preserve">Miembros. El retraso en la participación de algunos Miembros parece responder, en la mayoría de los casos, a un período inicial de preparación de los datos en el formato requerido y acordado por el GRWG. Además, la falta de participación podría estar relacionada también con la falta de capacidad para </w:t>
      </w:r>
      <w:r w:rsidR="00303476">
        <w:rPr>
          <w:rFonts w:ascii="Times New Roman" w:hAnsi="Times New Roman" w:cs="Times New Roman"/>
          <w:bCs/>
          <w:sz w:val="24"/>
          <w:szCs w:val="24"/>
          <w:lang w:val="es-ES"/>
        </w:rPr>
        <w:t xml:space="preserve">emprender </w:t>
      </w:r>
      <w:r w:rsidRPr="00A318FA">
        <w:rPr>
          <w:rFonts w:ascii="Times New Roman" w:hAnsi="Times New Roman" w:cs="Times New Roman"/>
          <w:bCs/>
          <w:sz w:val="24"/>
          <w:szCs w:val="24"/>
          <w:lang w:val="es-ES"/>
        </w:rPr>
        <w:t xml:space="preserve">los ajustes necesarios. Actualmente, varios </w:t>
      </w:r>
      <w:r w:rsidR="008D649E">
        <w:rPr>
          <w:rFonts w:ascii="Times New Roman" w:hAnsi="Times New Roman" w:cs="Times New Roman"/>
          <w:bCs/>
          <w:sz w:val="24"/>
          <w:szCs w:val="24"/>
          <w:lang w:val="es-ES"/>
        </w:rPr>
        <w:t>M</w:t>
      </w:r>
      <w:r w:rsidRPr="00A318FA">
        <w:rPr>
          <w:rFonts w:ascii="Times New Roman" w:hAnsi="Times New Roman" w:cs="Times New Roman"/>
          <w:bCs/>
          <w:sz w:val="24"/>
          <w:szCs w:val="24"/>
          <w:lang w:val="es-ES"/>
        </w:rPr>
        <w:t>iembros están en contacto con la Secretaría para aclaraciones sobre los procedimientos de subida de datos y se espera que empiecen a cargar sus datos muy pronto. La participación es fundamental para el avance del Registro mundial y se ha identificado en el Documento de estrategia como un factor de riesgo para la implementación del Registro mundial.</w:t>
      </w:r>
    </w:p>
    <w:p w:rsidR="00A41DB9" w:rsidRPr="00A318FA" w:rsidRDefault="00A41DB9" w:rsidP="00A41DB9">
      <w:pPr>
        <w:autoSpaceDE w:val="0"/>
        <w:autoSpaceDN w:val="0"/>
        <w:adjustRightInd w:val="0"/>
        <w:spacing w:after="0" w:line="240" w:lineRule="auto"/>
        <w:ind w:left="1080" w:firstLine="360"/>
        <w:jc w:val="both"/>
        <w:rPr>
          <w:rFonts w:ascii="Times New Roman" w:hAnsi="Times New Roman" w:cs="Times New Roman"/>
          <w:bCs/>
          <w:sz w:val="24"/>
          <w:szCs w:val="24"/>
          <w:lang w:val="es-ES"/>
        </w:rPr>
      </w:pPr>
    </w:p>
    <w:p w:rsidR="00A41DB9" w:rsidRPr="00A318FA" w:rsidRDefault="00A41DB9" w:rsidP="00A41D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firstLine="360"/>
        <w:jc w:val="both"/>
        <w:rPr>
          <w:rFonts w:ascii="Times New Roman" w:hAnsi="Times New Roman" w:cs="Times New Roman"/>
          <w:bCs/>
          <w:i/>
          <w:sz w:val="24"/>
          <w:szCs w:val="24"/>
          <w:lang w:val="es-ES"/>
        </w:rPr>
      </w:pPr>
      <w:r w:rsidRPr="00A318FA">
        <w:rPr>
          <w:rFonts w:ascii="Times New Roman" w:hAnsi="Times New Roman" w:cs="Times New Roman"/>
          <w:bCs/>
          <w:i/>
          <w:sz w:val="24"/>
          <w:szCs w:val="24"/>
          <w:lang w:val="es-ES"/>
        </w:rPr>
        <w:t xml:space="preserve">Se solicita al GRWG-3 que brinde orientaciones sobre las posibles formas para mejorar la experiencia del usuario y sobre cualesquiera otras características o funcionalidades que podrían hacer el Sistema de información del Registro mundial más útil y </w:t>
      </w:r>
      <w:r w:rsidR="008D649E">
        <w:rPr>
          <w:rFonts w:ascii="Times New Roman" w:hAnsi="Times New Roman" w:cs="Times New Roman"/>
          <w:bCs/>
          <w:i/>
          <w:sz w:val="24"/>
          <w:szCs w:val="24"/>
          <w:lang w:val="es-ES"/>
        </w:rPr>
        <w:t xml:space="preserve">más </w:t>
      </w:r>
      <w:r w:rsidRPr="00A318FA">
        <w:rPr>
          <w:rFonts w:ascii="Times New Roman" w:hAnsi="Times New Roman" w:cs="Times New Roman"/>
          <w:bCs/>
          <w:i/>
          <w:sz w:val="24"/>
          <w:szCs w:val="24"/>
          <w:lang w:val="es-ES"/>
        </w:rPr>
        <w:t>fácil de utilizar. Se invita al GRWG-3 a fomentar una participación más amplia en el Registro mundial y a identificar áreas que podrían necesitar medidas de la FAO.</w:t>
      </w:r>
    </w:p>
    <w:p w:rsidR="00A41DB9" w:rsidRPr="00A318FA" w:rsidRDefault="00A41DB9" w:rsidP="00A41DB9">
      <w:pPr>
        <w:pStyle w:val="ListParagraph"/>
        <w:autoSpaceDE w:val="0"/>
        <w:autoSpaceDN w:val="0"/>
        <w:adjustRightInd w:val="0"/>
        <w:spacing w:after="0" w:line="240" w:lineRule="auto"/>
        <w:ind w:left="1440"/>
        <w:jc w:val="both"/>
        <w:rPr>
          <w:rFonts w:ascii="Times New Roman" w:hAnsi="Times New Roman" w:cs="Times New Roman"/>
          <w:bCs/>
          <w:sz w:val="24"/>
          <w:szCs w:val="24"/>
          <w:lang w:val="es-ES"/>
        </w:rPr>
      </w:pPr>
    </w:p>
    <w:p w:rsidR="00A41DB9" w:rsidRPr="00A318FA" w:rsidRDefault="00A41DB9" w:rsidP="00A41DB9">
      <w:pPr>
        <w:pStyle w:val="ListParagraph"/>
        <w:numPr>
          <w:ilvl w:val="1"/>
          <w:numId w:val="4"/>
        </w:numPr>
        <w:autoSpaceDE w:val="0"/>
        <w:autoSpaceDN w:val="0"/>
        <w:adjustRightInd w:val="0"/>
        <w:spacing w:after="0" w:line="240" w:lineRule="auto"/>
        <w:jc w:val="both"/>
        <w:rPr>
          <w:rFonts w:ascii="Times New Roman" w:hAnsi="Times New Roman" w:cs="Times New Roman"/>
          <w:b/>
          <w:bCs/>
          <w:sz w:val="24"/>
          <w:szCs w:val="24"/>
          <w:lang w:val="es-ES"/>
        </w:rPr>
      </w:pPr>
      <w:r w:rsidRPr="00A318FA">
        <w:rPr>
          <w:rFonts w:ascii="Times New Roman" w:hAnsi="Times New Roman" w:cs="Times New Roman"/>
          <w:b/>
          <w:bCs/>
          <w:sz w:val="24"/>
          <w:szCs w:val="24"/>
          <w:lang w:val="es-ES"/>
        </w:rPr>
        <w:t>Normas y procedimientos</w:t>
      </w:r>
    </w:p>
    <w:p w:rsidR="00A41DB9" w:rsidRPr="00A318FA" w:rsidRDefault="00A41DB9" w:rsidP="00A41DB9">
      <w:pPr>
        <w:pStyle w:val="ListParagraph"/>
        <w:numPr>
          <w:ilvl w:val="2"/>
          <w:numId w:val="4"/>
        </w:numPr>
        <w:autoSpaceDE w:val="0"/>
        <w:autoSpaceDN w:val="0"/>
        <w:adjustRightInd w:val="0"/>
        <w:spacing w:after="0" w:line="240" w:lineRule="auto"/>
        <w:jc w:val="both"/>
        <w:rPr>
          <w:rFonts w:ascii="Times New Roman" w:hAnsi="Times New Roman" w:cs="Times New Roman"/>
          <w:b/>
          <w:bCs/>
          <w:sz w:val="24"/>
          <w:szCs w:val="24"/>
          <w:lang w:val="es-ES"/>
        </w:rPr>
      </w:pPr>
      <w:r w:rsidRPr="00A318FA">
        <w:rPr>
          <w:rFonts w:ascii="Times New Roman" w:hAnsi="Times New Roman" w:cs="Times New Roman"/>
          <w:b/>
          <w:bCs/>
          <w:sz w:val="24"/>
          <w:szCs w:val="24"/>
          <w:lang w:val="es-ES"/>
        </w:rPr>
        <w:t>Frecuencia de la presentación de datos</w:t>
      </w:r>
    </w:p>
    <w:p w:rsidR="00A41DB9" w:rsidRPr="00A318FA"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 xml:space="preserve">En virtud de que el </w:t>
      </w:r>
      <w:r w:rsidR="0062196D">
        <w:rPr>
          <w:rFonts w:ascii="Times New Roman" w:hAnsi="Times New Roman" w:cs="Times New Roman"/>
          <w:bCs/>
          <w:sz w:val="24"/>
          <w:szCs w:val="24"/>
          <w:lang w:val="es-ES"/>
        </w:rPr>
        <w:t xml:space="preserve">31º COFI </w:t>
      </w:r>
      <w:r w:rsidRPr="00A318FA">
        <w:rPr>
          <w:rFonts w:ascii="Times New Roman" w:hAnsi="Times New Roman" w:cs="Times New Roman"/>
          <w:bCs/>
          <w:sz w:val="24"/>
          <w:szCs w:val="24"/>
          <w:lang w:val="es-ES"/>
        </w:rPr>
        <w:t xml:space="preserve">ha acordado que los datos y su presentación </w:t>
      </w:r>
      <w:r w:rsidR="00303476">
        <w:rPr>
          <w:rFonts w:ascii="Times New Roman" w:hAnsi="Times New Roman" w:cs="Times New Roman"/>
          <w:bCs/>
          <w:sz w:val="24"/>
          <w:szCs w:val="24"/>
          <w:lang w:val="es-ES"/>
        </w:rPr>
        <w:t xml:space="preserve">(posiblemente a través de las OROP) </w:t>
      </w:r>
      <w:r w:rsidRPr="00A318FA">
        <w:rPr>
          <w:rFonts w:ascii="Times New Roman" w:hAnsi="Times New Roman" w:cs="Times New Roman"/>
          <w:bCs/>
          <w:sz w:val="24"/>
          <w:szCs w:val="24"/>
          <w:lang w:val="es-ES"/>
        </w:rPr>
        <w:t xml:space="preserve">son responsabilidad de los Estados que los producen, se recomienda que la frecuencia de la presentación de los datos sea determinada por cada Estado Miembro u OROP que participan en el Registro mundial. Para que los datos sean relevantes es necesario </w:t>
      </w:r>
      <w:r w:rsidR="006D2B2D">
        <w:rPr>
          <w:rFonts w:ascii="Times New Roman" w:hAnsi="Times New Roman" w:cs="Times New Roman"/>
          <w:bCs/>
          <w:sz w:val="24"/>
          <w:szCs w:val="24"/>
          <w:lang w:val="es-ES"/>
        </w:rPr>
        <w:t xml:space="preserve">actualizarlos en el </w:t>
      </w:r>
      <w:r w:rsidR="004E4BFC">
        <w:rPr>
          <w:rFonts w:ascii="Times New Roman" w:hAnsi="Times New Roman" w:cs="Times New Roman"/>
          <w:bCs/>
          <w:sz w:val="24"/>
          <w:szCs w:val="24"/>
          <w:lang w:val="es-ES"/>
        </w:rPr>
        <w:t>sistema</w:t>
      </w:r>
      <w:r w:rsidRPr="00A318FA">
        <w:rPr>
          <w:rFonts w:ascii="Times New Roman" w:hAnsi="Times New Roman" w:cs="Times New Roman"/>
          <w:bCs/>
          <w:sz w:val="24"/>
          <w:szCs w:val="24"/>
          <w:lang w:val="es-ES"/>
        </w:rPr>
        <w:t xml:space="preserve"> tan pronto como </w:t>
      </w:r>
      <w:r w:rsidR="008D649E">
        <w:rPr>
          <w:rFonts w:ascii="Times New Roman" w:hAnsi="Times New Roman" w:cs="Times New Roman"/>
          <w:bCs/>
          <w:sz w:val="24"/>
          <w:szCs w:val="24"/>
          <w:lang w:val="es-ES"/>
        </w:rPr>
        <w:t xml:space="preserve">surjan </w:t>
      </w:r>
      <w:r w:rsidRPr="00A318FA">
        <w:rPr>
          <w:rFonts w:ascii="Times New Roman" w:hAnsi="Times New Roman" w:cs="Times New Roman"/>
          <w:bCs/>
          <w:sz w:val="24"/>
          <w:szCs w:val="24"/>
          <w:lang w:val="es-ES"/>
        </w:rPr>
        <w:t xml:space="preserve">cambios. Diferentes módulos de información podrían requerir </w:t>
      </w:r>
      <w:r w:rsidRPr="00ED0008">
        <w:rPr>
          <w:rFonts w:ascii="Times New Roman" w:hAnsi="Times New Roman" w:cs="Times New Roman"/>
          <w:bCs/>
          <w:sz w:val="24"/>
          <w:szCs w:val="24"/>
          <w:lang w:val="es-ES"/>
        </w:rPr>
        <w:t xml:space="preserve">diferentes frecuencias de </w:t>
      </w:r>
      <w:r w:rsidR="0062196D">
        <w:rPr>
          <w:rFonts w:ascii="Times New Roman" w:hAnsi="Times New Roman" w:cs="Times New Roman"/>
          <w:bCs/>
          <w:sz w:val="24"/>
          <w:szCs w:val="24"/>
          <w:lang w:val="es-ES"/>
        </w:rPr>
        <w:t>subida de datos</w:t>
      </w:r>
      <w:r w:rsidRPr="00ED0008">
        <w:rPr>
          <w:rFonts w:ascii="Times New Roman" w:hAnsi="Times New Roman" w:cs="Times New Roman"/>
          <w:bCs/>
          <w:sz w:val="24"/>
          <w:szCs w:val="24"/>
          <w:lang w:val="es-ES"/>
        </w:rPr>
        <w:t>. Los módulos sobre Detalles del buque e</w:t>
      </w:r>
      <w:r w:rsidRPr="00A318FA">
        <w:rPr>
          <w:rFonts w:ascii="Times New Roman" w:hAnsi="Times New Roman" w:cs="Times New Roman"/>
          <w:bCs/>
          <w:sz w:val="24"/>
          <w:szCs w:val="24"/>
          <w:lang w:val="es-ES"/>
        </w:rPr>
        <w:t xml:space="preserve"> Información histórica se prevén más estáticos que los demás módulos. Otros sistemas similares parecen recibir datos con frecuencia semanal, mensual o anual, sin embargo esto podría </w:t>
      </w:r>
      <w:r w:rsidR="006D2B2D">
        <w:rPr>
          <w:rFonts w:ascii="Times New Roman" w:hAnsi="Times New Roman" w:cs="Times New Roman"/>
          <w:bCs/>
          <w:sz w:val="24"/>
          <w:szCs w:val="24"/>
          <w:lang w:val="es-ES"/>
        </w:rPr>
        <w:t>comprometer</w:t>
      </w:r>
      <w:r w:rsidRPr="00A318FA">
        <w:rPr>
          <w:rFonts w:ascii="Times New Roman" w:hAnsi="Times New Roman" w:cs="Times New Roman"/>
          <w:bCs/>
          <w:sz w:val="24"/>
          <w:szCs w:val="24"/>
          <w:lang w:val="es-ES"/>
        </w:rPr>
        <w:t xml:space="preserve"> la eficacia del Registro mundial como herramienta de lucha contra la pesca INDNR, ya que se necesita información fidedigna y al día para tomar acciones contra los presuntos autores de estas violaciones.</w:t>
      </w:r>
    </w:p>
    <w:p w:rsidR="00A41DB9" w:rsidRPr="00A318FA" w:rsidRDefault="00A41DB9" w:rsidP="00A41DB9">
      <w:pPr>
        <w:pStyle w:val="ListParagraph"/>
        <w:autoSpaceDE w:val="0"/>
        <w:autoSpaceDN w:val="0"/>
        <w:adjustRightInd w:val="0"/>
        <w:spacing w:after="0" w:line="240" w:lineRule="auto"/>
        <w:ind w:left="360" w:firstLine="450"/>
        <w:jc w:val="both"/>
        <w:rPr>
          <w:rFonts w:ascii="Times New Roman" w:hAnsi="Times New Roman" w:cs="Times New Roman"/>
          <w:b/>
          <w:bCs/>
          <w:sz w:val="24"/>
          <w:szCs w:val="24"/>
          <w:lang w:val="es-ES"/>
        </w:rPr>
      </w:pPr>
    </w:p>
    <w:p w:rsidR="00A41DB9" w:rsidRPr="00A318FA" w:rsidRDefault="00A41DB9" w:rsidP="00A41DB9">
      <w:pPr>
        <w:pStyle w:val="ListParagraph"/>
        <w:numPr>
          <w:ilvl w:val="2"/>
          <w:numId w:val="4"/>
        </w:numPr>
        <w:autoSpaceDE w:val="0"/>
        <w:autoSpaceDN w:val="0"/>
        <w:adjustRightInd w:val="0"/>
        <w:spacing w:after="0" w:line="240" w:lineRule="auto"/>
        <w:jc w:val="both"/>
        <w:rPr>
          <w:rFonts w:ascii="Times New Roman" w:hAnsi="Times New Roman" w:cs="Times New Roman"/>
          <w:b/>
          <w:bCs/>
          <w:sz w:val="24"/>
          <w:szCs w:val="24"/>
          <w:lang w:val="es-ES"/>
        </w:rPr>
      </w:pPr>
      <w:r w:rsidRPr="00A318FA">
        <w:rPr>
          <w:rFonts w:ascii="Times New Roman" w:hAnsi="Times New Roman" w:cs="Times New Roman"/>
          <w:b/>
          <w:bCs/>
          <w:sz w:val="24"/>
          <w:szCs w:val="24"/>
          <w:lang w:val="es-ES"/>
        </w:rPr>
        <w:t>Calidad de los datos</w:t>
      </w:r>
    </w:p>
    <w:p w:rsidR="00A41DB9" w:rsidRPr="00A318FA"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 xml:space="preserve">Los procedimientos actuales de validación de datos son bastante sencillos y tienen que ver principalmente con tipos de datos básicos (texto, números, </w:t>
      </w:r>
      <w:r w:rsidR="00044CEF">
        <w:rPr>
          <w:rFonts w:ascii="Times New Roman" w:hAnsi="Times New Roman" w:cs="Times New Roman"/>
          <w:bCs/>
          <w:sz w:val="24"/>
          <w:szCs w:val="24"/>
          <w:lang w:val="es-ES"/>
        </w:rPr>
        <w:t xml:space="preserve">secuencias </w:t>
      </w:r>
      <w:r w:rsidRPr="00A318FA">
        <w:rPr>
          <w:rFonts w:ascii="Times New Roman" w:hAnsi="Times New Roman" w:cs="Times New Roman"/>
          <w:bCs/>
          <w:sz w:val="24"/>
          <w:szCs w:val="24"/>
          <w:lang w:val="es-ES"/>
        </w:rPr>
        <w:t>alfanuméric</w:t>
      </w:r>
      <w:r w:rsidR="00044CEF">
        <w:rPr>
          <w:rFonts w:ascii="Times New Roman" w:hAnsi="Times New Roman" w:cs="Times New Roman"/>
          <w:bCs/>
          <w:sz w:val="24"/>
          <w:szCs w:val="24"/>
          <w:lang w:val="es-ES"/>
        </w:rPr>
        <w:t>a</w:t>
      </w:r>
      <w:r w:rsidRPr="00A318FA">
        <w:rPr>
          <w:rFonts w:ascii="Times New Roman" w:hAnsi="Times New Roman" w:cs="Times New Roman"/>
          <w:bCs/>
          <w:sz w:val="24"/>
          <w:szCs w:val="24"/>
          <w:lang w:val="es-ES"/>
        </w:rPr>
        <w:t xml:space="preserve">s, referencias) y rangos con amplios intervalos (en esta fase inicial). </w:t>
      </w:r>
      <w:r w:rsidR="003635AD" w:rsidRPr="00A318FA">
        <w:rPr>
          <w:rFonts w:ascii="Times New Roman" w:hAnsi="Times New Roman" w:cs="Times New Roman"/>
          <w:bCs/>
          <w:sz w:val="24"/>
          <w:szCs w:val="24"/>
          <w:lang w:val="es-ES"/>
        </w:rPr>
        <w:t>En la siguiente fase de desarrollo</w:t>
      </w:r>
      <w:r w:rsidR="003635AD">
        <w:rPr>
          <w:rFonts w:ascii="Times New Roman" w:hAnsi="Times New Roman" w:cs="Times New Roman"/>
          <w:bCs/>
          <w:sz w:val="24"/>
          <w:szCs w:val="24"/>
          <w:lang w:val="es-ES"/>
        </w:rPr>
        <w:t>, s</w:t>
      </w:r>
      <w:r w:rsidRPr="00A318FA">
        <w:rPr>
          <w:rFonts w:ascii="Times New Roman" w:hAnsi="Times New Roman" w:cs="Times New Roman"/>
          <w:bCs/>
          <w:sz w:val="24"/>
          <w:szCs w:val="24"/>
          <w:lang w:val="es-ES"/>
        </w:rPr>
        <w:t xml:space="preserve">e implementarán procedimientos de validación de datos más avanzados para perfeccionar la calidad de los datos hasta los estándares más altos posibles para un sistema mundial como este. La característica </w:t>
      </w:r>
      <w:r w:rsidR="00BB0070" w:rsidRPr="00A318FA">
        <w:rPr>
          <w:rFonts w:ascii="Times New Roman" w:hAnsi="Times New Roman" w:cs="Times New Roman"/>
          <w:bCs/>
          <w:sz w:val="24"/>
          <w:szCs w:val="24"/>
          <w:lang w:val="es-ES"/>
        </w:rPr>
        <w:t xml:space="preserve">actual </w:t>
      </w:r>
      <w:r w:rsidRPr="00A318FA">
        <w:rPr>
          <w:rFonts w:ascii="Times New Roman" w:hAnsi="Times New Roman" w:cs="Times New Roman"/>
          <w:bCs/>
          <w:sz w:val="24"/>
          <w:szCs w:val="24"/>
          <w:lang w:val="es-ES"/>
        </w:rPr>
        <w:t>de informe de errores ofrece al usuario información sobre el número de entradas aceptadas o rechazadas, además de indicaciones sobre la ubicación de dichos errores y una breve explicación de las medidas a tomar.</w:t>
      </w:r>
    </w:p>
    <w:p w:rsidR="00A41DB9" w:rsidRPr="00A318FA"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p>
    <w:p w:rsidR="00A41DB9"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Otra forma adicional para mejorar la calidad de los datos ser</w:t>
      </w:r>
      <w:r w:rsidR="00BB0070">
        <w:rPr>
          <w:rFonts w:ascii="Times New Roman" w:hAnsi="Times New Roman" w:cs="Times New Roman"/>
          <w:bCs/>
          <w:sz w:val="24"/>
          <w:szCs w:val="24"/>
          <w:lang w:val="es-ES"/>
        </w:rPr>
        <w:t>í</w:t>
      </w:r>
      <w:r w:rsidRPr="00A318FA">
        <w:rPr>
          <w:rFonts w:ascii="Times New Roman" w:hAnsi="Times New Roman" w:cs="Times New Roman"/>
          <w:bCs/>
          <w:sz w:val="24"/>
          <w:szCs w:val="24"/>
          <w:lang w:val="es-ES"/>
        </w:rPr>
        <w:t xml:space="preserve">a la comparación (control cruzado) de los datos del Estado del pabellón con los de la IHSM&amp;T (los cinco campos de datos esenciales ofrecidos) e informar sobre cualesquiera discrepancias al Estado del pabellón para </w:t>
      </w:r>
      <w:r w:rsidR="00BB0070">
        <w:rPr>
          <w:rFonts w:ascii="Times New Roman" w:hAnsi="Times New Roman" w:cs="Times New Roman"/>
          <w:bCs/>
          <w:sz w:val="24"/>
          <w:szCs w:val="24"/>
          <w:lang w:val="es-ES"/>
        </w:rPr>
        <w:t>s</w:t>
      </w:r>
      <w:r w:rsidRPr="00A318FA">
        <w:rPr>
          <w:rFonts w:ascii="Times New Roman" w:hAnsi="Times New Roman" w:cs="Times New Roman"/>
          <w:bCs/>
          <w:sz w:val="24"/>
          <w:szCs w:val="24"/>
          <w:lang w:val="es-ES"/>
        </w:rPr>
        <w:t xml:space="preserve">u examinación. El desarrollo de esta característica depende de los resultados del debate sobre el </w:t>
      </w:r>
      <w:r w:rsidR="00BB0070">
        <w:rPr>
          <w:rFonts w:ascii="Times New Roman" w:hAnsi="Times New Roman" w:cs="Times New Roman"/>
          <w:bCs/>
          <w:sz w:val="24"/>
          <w:szCs w:val="24"/>
          <w:lang w:val="es-ES"/>
        </w:rPr>
        <w:t>punto</w:t>
      </w:r>
      <w:r w:rsidRPr="00A318FA">
        <w:rPr>
          <w:rFonts w:ascii="Times New Roman" w:hAnsi="Times New Roman" w:cs="Times New Roman"/>
          <w:bCs/>
          <w:sz w:val="24"/>
          <w:szCs w:val="24"/>
          <w:lang w:val="es-ES"/>
        </w:rPr>
        <w:t xml:space="preserve"> 7 del programa (Oferta revisada de la IHS Maritime &amp; Trade para la inserción de sus datos en el Registro mundial)</w:t>
      </w:r>
      <w:r w:rsidRPr="00A318FA">
        <w:rPr>
          <w:rStyle w:val="FootnoteReference"/>
          <w:rFonts w:ascii="Times New Roman" w:hAnsi="Times New Roman" w:cs="Times New Roman"/>
          <w:bCs/>
          <w:sz w:val="24"/>
          <w:szCs w:val="24"/>
          <w:lang w:val="es-ES"/>
        </w:rPr>
        <w:footnoteReference w:id="9"/>
      </w:r>
      <w:r w:rsidRPr="00A318FA">
        <w:rPr>
          <w:rFonts w:ascii="Times New Roman" w:hAnsi="Times New Roman" w:cs="Times New Roman"/>
          <w:bCs/>
          <w:sz w:val="24"/>
          <w:szCs w:val="24"/>
          <w:lang w:val="es-ES"/>
        </w:rPr>
        <w:t>. De la misma forma, el GRWG</w:t>
      </w:r>
      <w:r w:rsidR="00647E2B">
        <w:rPr>
          <w:rFonts w:ascii="Times New Roman" w:hAnsi="Times New Roman" w:cs="Times New Roman"/>
          <w:bCs/>
          <w:sz w:val="24"/>
          <w:szCs w:val="24"/>
          <w:lang w:val="es-ES"/>
        </w:rPr>
        <w:t>-3</w:t>
      </w:r>
      <w:r w:rsidRPr="00A318FA">
        <w:rPr>
          <w:rFonts w:ascii="Times New Roman" w:hAnsi="Times New Roman" w:cs="Times New Roman"/>
          <w:bCs/>
          <w:sz w:val="24"/>
          <w:szCs w:val="24"/>
          <w:lang w:val="es-ES"/>
        </w:rPr>
        <w:t xml:space="preserve"> podría examinar la comparación de datos del Estado rector del puerto y del Estado ribereño (sólo los cinco campos de datos esenciales) con los del Estado del pabellón</w:t>
      </w:r>
      <w:r w:rsidRPr="00A318FA">
        <w:rPr>
          <w:rStyle w:val="FootnoteReference"/>
          <w:rFonts w:ascii="Times New Roman" w:hAnsi="Times New Roman" w:cs="Times New Roman"/>
          <w:bCs/>
          <w:sz w:val="24"/>
          <w:szCs w:val="24"/>
          <w:lang w:val="es-ES"/>
        </w:rPr>
        <w:footnoteReference w:id="10"/>
      </w:r>
      <w:r w:rsidRPr="00A318FA">
        <w:rPr>
          <w:rFonts w:ascii="Times New Roman" w:hAnsi="Times New Roman" w:cs="Times New Roman"/>
          <w:bCs/>
          <w:sz w:val="24"/>
          <w:szCs w:val="24"/>
          <w:lang w:val="es-ES"/>
        </w:rPr>
        <w:t>.</w:t>
      </w:r>
    </w:p>
    <w:p w:rsidR="00BA46F3" w:rsidRPr="00A318FA" w:rsidRDefault="00BA46F3"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p>
    <w:p w:rsidR="00A41DB9" w:rsidRPr="00A318FA" w:rsidRDefault="00A41DB9" w:rsidP="00A41DB9">
      <w:pPr>
        <w:autoSpaceDE w:val="0"/>
        <w:autoSpaceDN w:val="0"/>
        <w:adjustRightInd w:val="0"/>
        <w:spacing w:after="0" w:line="240" w:lineRule="auto"/>
        <w:ind w:left="360" w:firstLine="360"/>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 xml:space="preserve">Es un hecho constatado que la transparencia mejora la calidad de los datos cuando muchos usuarios podrían detectar errores en los datos e informar al sistema. En esta línea de acción, debería tenerse en cuenta la utilidad de los usuarios que reportan </w:t>
      </w:r>
      <w:r w:rsidR="003635AD">
        <w:rPr>
          <w:rFonts w:ascii="Times New Roman" w:hAnsi="Times New Roman" w:cs="Times New Roman"/>
          <w:bCs/>
          <w:sz w:val="24"/>
          <w:szCs w:val="24"/>
          <w:lang w:val="es-ES"/>
        </w:rPr>
        <w:t xml:space="preserve">los </w:t>
      </w:r>
      <w:r w:rsidRPr="00A318FA">
        <w:rPr>
          <w:rFonts w:ascii="Times New Roman" w:hAnsi="Times New Roman" w:cs="Times New Roman"/>
          <w:bCs/>
          <w:sz w:val="24"/>
          <w:szCs w:val="24"/>
          <w:lang w:val="es-ES"/>
        </w:rPr>
        <w:t>errores detectados en el sistema.</w:t>
      </w:r>
    </w:p>
    <w:p w:rsidR="00A41DB9" w:rsidRPr="00A318FA" w:rsidRDefault="00A41DB9" w:rsidP="00A41DB9">
      <w:pPr>
        <w:autoSpaceDE w:val="0"/>
        <w:autoSpaceDN w:val="0"/>
        <w:adjustRightInd w:val="0"/>
        <w:spacing w:after="0" w:line="240" w:lineRule="auto"/>
        <w:ind w:left="360" w:firstLine="450"/>
        <w:jc w:val="both"/>
        <w:rPr>
          <w:rFonts w:ascii="Times New Roman" w:hAnsi="Times New Roman" w:cs="Times New Roman"/>
          <w:b/>
          <w:bCs/>
          <w:sz w:val="24"/>
          <w:szCs w:val="24"/>
          <w:lang w:val="es-ES"/>
        </w:rPr>
      </w:pPr>
    </w:p>
    <w:p w:rsidR="00A41DB9" w:rsidRPr="00A318FA" w:rsidRDefault="00A41DB9" w:rsidP="00A41DB9">
      <w:pPr>
        <w:pStyle w:val="ListParagraph"/>
        <w:numPr>
          <w:ilvl w:val="2"/>
          <w:numId w:val="4"/>
        </w:numPr>
        <w:autoSpaceDE w:val="0"/>
        <w:autoSpaceDN w:val="0"/>
        <w:adjustRightInd w:val="0"/>
        <w:spacing w:after="0" w:line="240" w:lineRule="auto"/>
        <w:jc w:val="both"/>
        <w:rPr>
          <w:rFonts w:ascii="Times New Roman" w:hAnsi="Times New Roman" w:cs="Times New Roman"/>
          <w:b/>
          <w:bCs/>
          <w:sz w:val="24"/>
          <w:szCs w:val="24"/>
          <w:lang w:val="es-ES"/>
        </w:rPr>
      </w:pPr>
      <w:r w:rsidRPr="00A318FA">
        <w:rPr>
          <w:rFonts w:ascii="Times New Roman" w:hAnsi="Times New Roman" w:cs="Times New Roman"/>
          <w:b/>
          <w:bCs/>
          <w:sz w:val="24"/>
          <w:szCs w:val="24"/>
          <w:lang w:val="es-ES"/>
        </w:rPr>
        <w:t>Conflictos de los datos</w:t>
      </w:r>
    </w:p>
    <w:p w:rsidR="00D619ED" w:rsidRDefault="00A41DB9" w:rsidP="00A41DB9">
      <w:pPr>
        <w:pStyle w:val="ListParagraph"/>
        <w:autoSpaceDE w:val="0"/>
        <w:autoSpaceDN w:val="0"/>
        <w:adjustRightInd w:val="0"/>
        <w:spacing w:after="0" w:line="240" w:lineRule="auto"/>
        <w:ind w:left="360" w:firstLine="360"/>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 xml:space="preserve">Es muy probable que </w:t>
      </w:r>
      <w:r w:rsidR="00647E2B">
        <w:rPr>
          <w:rFonts w:ascii="Times New Roman" w:hAnsi="Times New Roman" w:cs="Times New Roman"/>
          <w:bCs/>
          <w:sz w:val="24"/>
          <w:szCs w:val="24"/>
          <w:lang w:val="es-ES"/>
        </w:rPr>
        <w:t>se produzcan</w:t>
      </w:r>
      <w:r w:rsidRPr="00A318FA">
        <w:rPr>
          <w:rFonts w:ascii="Times New Roman" w:hAnsi="Times New Roman" w:cs="Times New Roman"/>
          <w:bCs/>
          <w:sz w:val="24"/>
          <w:szCs w:val="24"/>
          <w:lang w:val="es-ES"/>
        </w:rPr>
        <w:t xml:space="preserve"> conflictos en los datos de un sistema mundial donde algunos Estados podrían decidir asignar la facultad (y la responsabilidad) de la presentación de datos a las OROP relevantes. Por ejemplo, dos diferentes OROP podrían</w:t>
      </w:r>
      <w:r w:rsidR="006D4200">
        <w:rPr>
          <w:rFonts w:ascii="Times New Roman" w:hAnsi="Times New Roman" w:cs="Times New Roman"/>
          <w:bCs/>
          <w:sz w:val="24"/>
          <w:szCs w:val="24"/>
          <w:lang w:val="es-ES"/>
        </w:rPr>
        <w:t>,</w:t>
      </w:r>
      <w:r w:rsidRPr="00A318FA">
        <w:rPr>
          <w:rFonts w:ascii="Times New Roman" w:hAnsi="Times New Roman" w:cs="Times New Roman"/>
          <w:bCs/>
          <w:sz w:val="24"/>
          <w:szCs w:val="24"/>
          <w:lang w:val="es-ES"/>
        </w:rPr>
        <w:t xml:space="preserve"> eventualmente</w:t>
      </w:r>
      <w:r w:rsidR="006D4200">
        <w:rPr>
          <w:rFonts w:ascii="Times New Roman" w:hAnsi="Times New Roman" w:cs="Times New Roman"/>
          <w:bCs/>
          <w:sz w:val="24"/>
          <w:szCs w:val="24"/>
          <w:lang w:val="es-ES"/>
        </w:rPr>
        <w:t>,</w:t>
      </w:r>
      <w:r w:rsidRPr="00A318FA">
        <w:rPr>
          <w:rFonts w:ascii="Times New Roman" w:hAnsi="Times New Roman" w:cs="Times New Roman"/>
          <w:bCs/>
          <w:sz w:val="24"/>
          <w:szCs w:val="24"/>
          <w:lang w:val="es-ES"/>
        </w:rPr>
        <w:t xml:space="preserve"> presentar datos sobre el mismo buque (para los buques autorizados a operar en diferentes áreas</w:t>
      </w:r>
      <w:r w:rsidR="00B10DFA">
        <w:rPr>
          <w:rFonts w:ascii="Times New Roman" w:hAnsi="Times New Roman" w:cs="Times New Roman"/>
          <w:bCs/>
          <w:sz w:val="24"/>
          <w:szCs w:val="24"/>
          <w:lang w:val="es-ES"/>
        </w:rPr>
        <w:t>,</w:t>
      </w:r>
      <w:r w:rsidRPr="00A318FA">
        <w:rPr>
          <w:rFonts w:ascii="Times New Roman" w:hAnsi="Times New Roman" w:cs="Times New Roman"/>
          <w:bCs/>
          <w:sz w:val="24"/>
          <w:szCs w:val="24"/>
          <w:lang w:val="es-ES"/>
        </w:rPr>
        <w:t xml:space="preserve"> en diferentes períodos de tiempo) y</w:t>
      </w:r>
      <w:r w:rsidR="006D1B99">
        <w:rPr>
          <w:rFonts w:ascii="Times New Roman" w:hAnsi="Times New Roman" w:cs="Times New Roman"/>
          <w:bCs/>
          <w:sz w:val="24"/>
          <w:szCs w:val="24"/>
          <w:lang w:val="es-ES"/>
        </w:rPr>
        <w:t>,</w:t>
      </w:r>
      <w:r w:rsidRPr="00A318FA">
        <w:rPr>
          <w:rFonts w:ascii="Times New Roman" w:hAnsi="Times New Roman" w:cs="Times New Roman"/>
          <w:bCs/>
          <w:sz w:val="24"/>
          <w:szCs w:val="24"/>
          <w:lang w:val="es-ES"/>
        </w:rPr>
        <w:t xml:space="preserve"> potencialmente</w:t>
      </w:r>
      <w:r w:rsidR="006D1B99">
        <w:rPr>
          <w:rFonts w:ascii="Times New Roman" w:hAnsi="Times New Roman" w:cs="Times New Roman"/>
          <w:bCs/>
          <w:sz w:val="24"/>
          <w:szCs w:val="24"/>
          <w:lang w:val="es-ES"/>
        </w:rPr>
        <w:t>,</w:t>
      </w:r>
      <w:r w:rsidRPr="00A318FA">
        <w:rPr>
          <w:rFonts w:ascii="Times New Roman" w:hAnsi="Times New Roman" w:cs="Times New Roman"/>
          <w:bCs/>
          <w:sz w:val="24"/>
          <w:szCs w:val="24"/>
          <w:lang w:val="es-ES"/>
        </w:rPr>
        <w:t xml:space="preserve"> mostrar discrepancias. Las discrepancias más </w:t>
      </w:r>
      <w:r w:rsidR="006D1B99">
        <w:rPr>
          <w:rFonts w:ascii="Times New Roman" w:hAnsi="Times New Roman" w:cs="Times New Roman"/>
          <w:bCs/>
          <w:sz w:val="24"/>
          <w:szCs w:val="24"/>
          <w:lang w:val="es-ES"/>
        </w:rPr>
        <w:t>importantes</w:t>
      </w:r>
      <w:r w:rsidRPr="00A318FA">
        <w:rPr>
          <w:rFonts w:ascii="Times New Roman" w:hAnsi="Times New Roman" w:cs="Times New Roman"/>
          <w:bCs/>
          <w:sz w:val="24"/>
          <w:szCs w:val="24"/>
          <w:lang w:val="es-ES"/>
        </w:rPr>
        <w:t xml:space="preserve"> son las relacionadas con el módulo de Detalles del buque (identificación, registro, características, armador</w:t>
      </w:r>
      <w:r w:rsidR="00B10DFA">
        <w:rPr>
          <w:rFonts w:ascii="Times New Roman" w:hAnsi="Times New Roman" w:cs="Times New Roman"/>
          <w:bCs/>
          <w:sz w:val="24"/>
          <w:szCs w:val="24"/>
          <w:lang w:val="es-ES"/>
        </w:rPr>
        <w:t>/propiedad</w:t>
      </w:r>
      <w:r w:rsidRPr="00A318FA">
        <w:rPr>
          <w:rFonts w:ascii="Times New Roman" w:hAnsi="Times New Roman" w:cs="Times New Roman"/>
          <w:bCs/>
          <w:sz w:val="24"/>
          <w:szCs w:val="24"/>
          <w:lang w:val="es-ES"/>
        </w:rPr>
        <w:t>, etc.). Se podrían también encontrar discrepancias en cualquier otro m</w:t>
      </w:r>
      <w:r w:rsidR="00D619ED">
        <w:rPr>
          <w:rFonts w:ascii="Times New Roman" w:hAnsi="Times New Roman" w:cs="Times New Roman"/>
          <w:bCs/>
          <w:sz w:val="24"/>
          <w:szCs w:val="24"/>
          <w:lang w:val="es-ES"/>
        </w:rPr>
        <w:t>ó</w:t>
      </w:r>
      <w:r w:rsidRPr="00A318FA">
        <w:rPr>
          <w:rFonts w:ascii="Times New Roman" w:hAnsi="Times New Roman" w:cs="Times New Roman"/>
          <w:bCs/>
          <w:sz w:val="24"/>
          <w:szCs w:val="24"/>
          <w:lang w:val="es-ES"/>
        </w:rPr>
        <w:t>dulo y también en dependencia del nivel y del t</w:t>
      </w:r>
      <w:r w:rsidR="00D619ED">
        <w:rPr>
          <w:rFonts w:ascii="Times New Roman" w:hAnsi="Times New Roman" w:cs="Times New Roman"/>
          <w:bCs/>
          <w:sz w:val="24"/>
          <w:szCs w:val="24"/>
          <w:lang w:val="es-ES"/>
        </w:rPr>
        <w:t>ipo de validación implementado.</w:t>
      </w:r>
    </w:p>
    <w:p w:rsidR="0053315C" w:rsidRDefault="0053315C" w:rsidP="00A41DB9">
      <w:pPr>
        <w:pStyle w:val="ListParagraph"/>
        <w:autoSpaceDE w:val="0"/>
        <w:autoSpaceDN w:val="0"/>
        <w:adjustRightInd w:val="0"/>
        <w:spacing w:after="0" w:line="240" w:lineRule="auto"/>
        <w:ind w:left="360" w:firstLine="360"/>
        <w:jc w:val="both"/>
        <w:rPr>
          <w:rFonts w:ascii="Times New Roman" w:hAnsi="Times New Roman" w:cs="Times New Roman"/>
          <w:bCs/>
          <w:sz w:val="24"/>
          <w:szCs w:val="24"/>
          <w:lang w:val="es-ES"/>
        </w:rPr>
      </w:pPr>
    </w:p>
    <w:p w:rsidR="00A41DB9" w:rsidRDefault="0053315C" w:rsidP="00A41DB9">
      <w:pPr>
        <w:pStyle w:val="ListParagraph"/>
        <w:autoSpaceDE w:val="0"/>
        <w:autoSpaceDN w:val="0"/>
        <w:adjustRightInd w:val="0"/>
        <w:spacing w:after="0" w:line="240" w:lineRule="auto"/>
        <w:ind w:left="360" w:firstLine="360"/>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El </w:t>
      </w:r>
      <w:r w:rsidR="00A41DB9" w:rsidRPr="00A318FA">
        <w:rPr>
          <w:rFonts w:ascii="Times New Roman" w:hAnsi="Times New Roman" w:cs="Times New Roman"/>
          <w:bCs/>
          <w:sz w:val="24"/>
          <w:szCs w:val="24"/>
          <w:lang w:val="es-ES"/>
        </w:rPr>
        <w:t xml:space="preserve">Sistema de información del registro mundial es concebido como un punto de acceso único para todos los datos del buque </w:t>
      </w:r>
      <w:r w:rsidR="00B10DFA">
        <w:rPr>
          <w:rFonts w:ascii="Times New Roman" w:hAnsi="Times New Roman" w:cs="Times New Roman"/>
          <w:bCs/>
          <w:sz w:val="24"/>
          <w:szCs w:val="24"/>
          <w:lang w:val="es-ES"/>
        </w:rPr>
        <w:t xml:space="preserve">que son </w:t>
      </w:r>
      <w:r w:rsidR="00A41DB9" w:rsidRPr="00A318FA">
        <w:rPr>
          <w:rFonts w:ascii="Times New Roman" w:hAnsi="Times New Roman" w:cs="Times New Roman"/>
          <w:bCs/>
          <w:sz w:val="24"/>
          <w:szCs w:val="24"/>
          <w:lang w:val="es-ES"/>
        </w:rPr>
        <w:t>fundamentales para luchar contra la pesca INDNR</w:t>
      </w:r>
      <w:r>
        <w:rPr>
          <w:rFonts w:ascii="Times New Roman" w:hAnsi="Times New Roman" w:cs="Times New Roman"/>
          <w:bCs/>
          <w:sz w:val="24"/>
          <w:szCs w:val="24"/>
          <w:lang w:val="es-ES"/>
        </w:rPr>
        <w:t xml:space="preserve">. Se debería </w:t>
      </w:r>
      <w:r w:rsidR="00A41DB9" w:rsidRPr="00A318FA">
        <w:rPr>
          <w:rFonts w:ascii="Times New Roman" w:hAnsi="Times New Roman" w:cs="Times New Roman"/>
          <w:bCs/>
          <w:sz w:val="24"/>
          <w:szCs w:val="24"/>
          <w:lang w:val="es-ES"/>
        </w:rPr>
        <w:t xml:space="preserve">incluir </w:t>
      </w:r>
      <w:r>
        <w:rPr>
          <w:rFonts w:ascii="Times New Roman" w:hAnsi="Times New Roman" w:cs="Times New Roman"/>
          <w:bCs/>
          <w:sz w:val="24"/>
          <w:szCs w:val="24"/>
          <w:lang w:val="es-ES"/>
        </w:rPr>
        <w:t xml:space="preserve">sólo un registro por buque de </w:t>
      </w:r>
      <w:r w:rsidR="00A41DB9" w:rsidRPr="00A318FA">
        <w:rPr>
          <w:rFonts w:ascii="Times New Roman" w:hAnsi="Times New Roman" w:cs="Times New Roman"/>
          <w:bCs/>
          <w:sz w:val="24"/>
          <w:szCs w:val="24"/>
          <w:lang w:val="es-ES"/>
        </w:rPr>
        <w:t>información</w:t>
      </w:r>
      <w:r>
        <w:rPr>
          <w:rFonts w:ascii="Times New Roman" w:hAnsi="Times New Roman" w:cs="Times New Roman"/>
          <w:bCs/>
          <w:sz w:val="24"/>
          <w:szCs w:val="24"/>
          <w:lang w:val="es-ES"/>
        </w:rPr>
        <w:t xml:space="preserve"> certificada</w:t>
      </w:r>
      <w:r>
        <w:rPr>
          <w:rStyle w:val="FootnoteReference"/>
          <w:rFonts w:ascii="Times New Roman" w:hAnsi="Times New Roman" w:cs="Times New Roman"/>
          <w:bCs/>
          <w:sz w:val="24"/>
          <w:szCs w:val="24"/>
          <w:lang w:val="es-ES"/>
        </w:rPr>
        <w:footnoteReference w:id="11"/>
      </w:r>
      <w:r>
        <w:rPr>
          <w:rFonts w:ascii="Times New Roman" w:hAnsi="Times New Roman" w:cs="Times New Roman"/>
          <w:bCs/>
          <w:sz w:val="24"/>
          <w:szCs w:val="24"/>
          <w:lang w:val="es-ES"/>
        </w:rPr>
        <w:t xml:space="preserve">, fidedigna y </w:t>
      </w:r>
      <w:r w:rsidR="00A41DB9" w:rsidRPr="00A318FA">
        <w:rPr>
          <w:rFonts w:ascii="Times New Roman" w:hAnsi="Times New Roman" w:cs="Times New Roman"/>
          <w:bCs/>
          <w:sz w:val="24"/>
          <w:szCs w:val="24"/>
          <w:lang w:val="es-ES"/>
        </w:rPr>
        <w:t>actualizada</w:t>
      </w:r>
      <w:r>
        <w:rPr>
          <w:rFonts w:ascii="Times New Roman" w:hAnsi="Times New Roman" w:cs="Times New Roman"/>
          <w:bCs/>
          <w:sz w:val="24"/>
          <w:szCs w:val="24"/>
          <w:lang w:val="es-ES"/>
        </w:rPr>
        <w:t>. Por lo tanto</w:t>
      </w:r>
      <w:r w:rsidR="00A41DB9" w:rsidRPr="00A318FA">
        <w:rPr>
          <w:rFonts w:ascii="Times New Roman" w:hAnsi="Times New Roman" w:cs="Times New Roman"/>
          <w:bCs/>
          <w:sz w:val="24"/>
          <w:szCs w:val="24"/>
          <w:lang w:val="es-ES"/>
        </w:rPr>
        <w:t>, es necesario decidir si: i) establecer protocolos de resolución de conflictos al menos para las discrepancias en los cinco campos de datos esenciales; o ii) indicar una única OROP como fuente de los datos</w:t>
      </w:r>
      <w:r>
        <w:rPr>
          <w:rFonts w:ascii="Times New Roman" w:hAnsi="Times New Roman" w:cs="Times New Roman"/>
          <w:bCs/>
          <w:sz w:val="24"/>
          <w:szCs w:val="24"/>
          <w:lang w:val="es-ES"/>
        </w:rPr>
        <w:t xml:space="preserve"> (¿por tipo de buque, especie, área?).</w:t>
      </w:r>
    </w:p>
    <w:p w:rsidR="0053315C" w:rsidRDefault="0053315C" w:rsidP="00A41DB9">
      <w:pPr>
        <w:pStyle w:val="ListParagraph"/>
        <w:autoSpaceDE w:val="0"/>
        <w:autoSpaceDN w:val="0"/>
        <w:adjustRightInd w:val="0"/>
        <w:spacing w:after="0" w:line="240" w:lineRule="auto"/>
        <w:ind w:left="360" w:firstLine="360"/>
        <w:jc w:val="both"/>
        <w:rPr>
          <w:rFonts w:ascii="Times New Roman" w:hAnsi="Times New Roman" w:cs="Times New Roman"/>
          <w:bCs/>
          <w:sz w:val="24"/>
          <w:szCs w:val="24"/>
          <w:lang w:val="es-ES"/>
        </w:rPr>
      </w:pPr>
    </w:p>
    <w:p w:rsidR="0053315C" w:rsidRPr="00A318FA" w:rsidRDefault="0053315C" w:rsidP="00A41DB9">
      <w:pPr>
        <w:pStyle w:val="ListParagraph"/>
        <w:autoSpaceDE w:val="0"/>
        <w:autoSpaceDN w:val="0"/>
        <w:adjustRightInd w:val="0"/>
        <w:spacing w:after="0" w:line="240" w:lineRule="auto"/>
        <w:ind w:left="360" w:firstLine="360"/>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Un procedimiento sugerido para la resolución de conflictos podría ser el siguiente: los datos producidos por el Estado </w:t>
      </w:r>
      <w:r w:rsidR="00B10DFA">
        <w:rPr>
          <w:rFonts w:ascii="Times New Roman" w:hAnsi="Times New Roman" w:cs="Times New Roman"/>
          <w:bCs/>
          <w:sz w:val="24"/>
          <w:szCs w:val="24"/>
          <w:lang w:val="es-ES"/>
        </w:rPr>
        <w:t xml:space="preserve">son los que predominan; </w:t>
      </w:r>
      <w:r>
        <w:rPr>
          <w:rFonts w:ascii="Times New Roman" w:hAnsi="Times New Roman" w:cs="Times New Roman"/>
          <w:bCs/>
          <w:sz w:val="24"/>
          <w:szCs w:val="24"/>
          <w:lang w:val="es-ES"/>
        </w:rPr>
        <w:t>al surgir conflictos (discrepancia de los datos que se cargan con los que ya existen en el sistema) se envía un mensaje a ambas fuentes (y al Estado que los origina) indicando la discrepancia e incluyendo la solicitud de aclaración dentro de las 24–48 horas;</w:t>
      </w:r>
      <w:r w:rsidR="00282D4C">
        <w:rPr>
          <w:rFonts w:ascii="Times New Roman" w:hAnsi="Times New Roman" w:cs="Times New Roman"/>
          <w:bCs/>
          <w:sz w:val="24"/>
          <w:szCs w:val="24"/>
          <w:lang w:val="es-ES"/>
        </w:rPr>
        <w:t xml:space="preserve"> en usencia de respuesta, los datos originales se mantienen ya que </w:t>
      </w:r>
      <w:r w:rsidR="00974711">
        <w:rPr>
          <w:rFonts w:ascii="Times New Roman" w:hAnsi="Times New Roman" w:cs="Times New Roman"/>
          <w:bCs/>
          <w:sz w:val="24"/>
          <w:szCs w:val="24"/>
          <w:lang w:val="es-ES"/>
        </w:rPr>
        <w:t>e</w:t>
      </w:r>
      <w:r w:rsidR="00282D4C">
        <w:rPr>
          <w:rFonts w:ascii="Times New Roman" w:hAnsi="Times New Roman" w:cs="Times New Roman"/>
          <w:bCs/>
          <w:sz w:val="24"/>
          <w:szCs w:val="24"/>
          <w:lang w:val="es-ES"/>
        </w:rPr>
        <w:t xml:space="preserve">l Estado tiene la plena responsabilidad de </w:t>
      </w:r>
      <w:r w:rsidR="00B10DFA">
        <w:rPr>
          <w:rFonts w:ascii="Times New Roman" w:hAnsi="Times New Roman" w:cs="Times New Roman"/>
          <w:bCs/>
          <w:sz w:val="24"/>
          <w:szCs w:val="24"/>
          <w:lang w:val="es-ES"/>
        </w:rPr>
        <w:t>sus</w:t>
      </w:r>
      <w:r w:rsidR="00282D4C">
        <w:rPr>
          <w:rFonts w:ascii="Times New Roman" w:hAnsi="Times New Roman" w:cs="Times New Roman"/>
          <w:bCs/>
          <w:sz w:val="24"/>
          <w:szCs w:val="24"/>
          <w:lang w:val="es-ES"/>
        </w:rPr>
        <w:t xml:space="preserve"> datos.</w:t>
      </w:r>
    </w:p>
    <w:p w:rsidR="00A41DB9" w:rsidRPr="00A318FA" w:rsidRDefault="00A41DB9" w:rsidP="00A41DB9">
      <w:pPr>
        <w:pStyle w:val="ListParagraph"/>
        <w:autoSpaceDE w:val="0"/>
        <w:autoSpaceDN w:val="0"/>
        <w:adjustRightInd w:val="0"/>
        <w:spacing w:after="0" w:line="240" w:lineRule="auto"/>
        <w:ind w:left="1080" w:firstLine="360"/>
        <w:jc w:val="both"/>
        <w:rPr>
          <w:rFonts w:ascii="Times New Roman" w:hAnsi="Times New Roman" w:cs="Times New Roman"/>
          <w:bCs/>
          <w:sz w:val="24"/>
          <w:szCs w:val="24"/>
          <w:lang w:val="es-ES"/>
        </w:rPr>
      </w:pPr>
    </w:p>
    <w:p w:rsidR="00A41DB9" w:rsidRPr="00A318FA" w:rsidRDefault="00A41DB9" w:rsidP="00A41DB9">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6" w:firstLine="360"/>
        <w:jc w:val="both"/>
        <w:rPr>
          <w:rFonts w:ascii="Times New Roman" w:hAnsi="Times New Roman" w:cs="Times New Roman"/>
          <w:lang w:val="es-ES"/>
        </w:rPr>
      </w:pPr>
      <w:r w:rsidRPr="00A318FA">
        <w:rPr>
          <w:rFonts w:ascii="Times New Roman" w:hAnsi="Times New Roman" w:cs="Times New Roman"/>
          <w:bCs/>
          <w:i/>
          <w:sz w:val="24"/>
          <w:szCs w:val="24"/>
          <w:lang w:val="es-ES"/>
        </w:rPr>
        <w:t xml:space="preserve">Se solicita al GRWG-3 que ofrezca orientaciones sobre la frecuencia deseada para la presentación de datos al Registro mundial, los procedimientos avanzados para la validación de los datos incluyendo o menos la posibilidad de comparar los datos </w:t>
      </w:r>
      <w:r w:rsidR="00300BC6">
        <w:rPr>
          <w:rFonts w:ascii="Times New Roman" w:hAnsi="Times New Roman" w:cs="Times New Roman"/>
          <w:bCs/>
          <w:i/>
          <w:sz w:val="24"/>
          <w:szCs w:val="24"/>
          <w:lang w:val="es-ES"/>
        </w:rPr>
        <w:t xml:space="preserve">con los </w:t>
      </w:r>
      <w:r w:rsidRPr="00A318FA">
        <w:rPr>
          <w:rFonts w:ascii="Times New Roman" w:hAnsi="Times New Roman" w:cs="Times New Roman"/>
          <w:bCs/>
          <w:i/>
          <w:sz w:val="24"/>
          <w:szCs w:val="24"/>
          <w:lang w:val="es-ES"/>
        </w:rPr>
        <w:t xml:space="preserve">de la IHSM&amp;T, </w:t>
      </w:r>
      <w:r w:rsidR="00300BC6">
        <w:rPr>
          <w:rFonts w:ascii="Times New Roman" w:hAnsi="Times New Roman" w:cs="Times New Roman"/>
          <w:bCs/>
          <w:i/>
          <w:sz w:val="24"/>
          <w:szCs w:val="24"/>
          <w:lang w:val="es-ES"/>
        </w:rPr>
        <w:t xml:space="preserve">los de </w:t>
      </w:r>
      <w:r w:rsidR="006D4200">
        <w:rPr>
          <w:rFonts w:ascii="Times New Roman" w:hAnsi="Times New Roman" w:cs="Times New Roman"/>
          <w:bCs/>
          <w:i/>
          <w:sz w:val="24"/>
          <w:szCs w:val="24"/>
          <w:lang w:val="es-ES"/>
        </w:rPr>
        <w:t xml:space="preserve">los </w:t>
      </w:r>
      <w:r w:rsidRPr="00A318FA">
        <w:rPr>
          <w:rFonts w:ascii="Times New Roman" w:hAnsi="Times New Roman" w:cs="Times New Roman"/>
          <w:bCs/>
          <w:i/>
          <w:sz w:val="24"/>
          <w:szCs w:val="24"/>
          <w:lang w:val="es-ES"/>
        </w:rPr>
        <w:t xml:space="preserve">Estados rectores del puerto y </w:t>
      </w:r>
      <w:r w:rsidR="00300BC6">
        <w:rPr>
          <w:rFonts w:ascii="Times New Roman" w:hAnsi="Times New Roman" w:cs="Times New Roman"/>
          <w:bCs/>
          <w:i/>
          <w:sz w:val="24"/>
          <w:szCs w:val="24"/>
          <w:lang w:val="es-ES"/>
        </w:rPr>
        <w:t xml:space="preserve">los de los </w:t>
      </w:r>
      <w:r w:rsidRPr="00A318FA">
        <w:rPr>
          <w:rFonts w:ascii="Times New Roman" w:hAnsi="Times New Roman" w:cs="Times New Roman"/>
          <w:bCs/>
          <w:i/>
          <w:sz w:val="24"/>
          <w:szCs w:val="24"/>
          <w:lang w:val="es-ES"/>
        </w:rPr>
        <w:t>Estado ribereños, de ser necesario. Se solicita además, al GRWG-3</w:t>
      </w:r>
      <w:r w:rsidR="00652749">
        <w:rPr>
          <w:rFonts w:ascii="Times New Roman" w:hAnsi="Times New Roman" w:cs="Times New Roman"/>
          <w:bCs/>
          <w:i/>
          <w:sz w:val="24"/>
          <w:szCs w:val="24"/>
          <w:lang w:val="es-ES"/>
        </w:rPr>
        <w:t>,</w:t>
      </w:r>
      <w:r w:rsidRPr="00A318FA">
        <w:rPr>
          <w:rFonts w:ascii="Times New Roman" w:hAnsi="Times New Roman" w:cs="Times New Roman"/>
          <w:bCs/>
          <w:i/>
          <w:sz w:val="24"/>
          <w:szCs w:val="24"/>
          <w:lang w:val="es-ES"/>
        </w:rPr>
        <w:t xml:space="preserve"> que ofrezca orientaciones sobre los procedimientos que tienen que ver con los datos provenientes de las OROP y, de ser relevante, </w:t>
      </w:r>
      <w:r w:rsidR="00652749">
        <w:rPr>
          <w:rFonts w:ascii="Times New Roman" w:hAnsi="Times New Roman" w:cs="Times New Roman"/>
          <w:bCs/>
          <w:i/>
          <w:sz w:val="24"/>
          <w:szCs w:val="24"/>
          <w:lang w:val="es-ES"/>
        </w:rPr>
        <w:t>la resolución de</w:t>
      </w:r>
      <w:r w:rsidR="00300BC6">
        <w:rPr>
          <w:rFonts w:ascii="Times New Roman" w:hAnsi="Times New Roman" w:cs="Times New Roman"/>
          <w:bCs/>
          <w:i/>
          <w:sz w:val="24"/>
          <w:szCs w:val="24"/>
          <w:lang w:val="es-ES"/>
        </w:rPr>
        <w:t xml:space="preserve"> </w:t>
      </w:r>
      <w:r w:rsidRPr="00A318FA">
        <w:rPr>
          <w:rFonts w:ascii="Times New Roman" w:hAnsi="Times New Roman" w:cs="Times New Roman"/>
          <w:bCs/>
          <w:i/>
          <w:sz w:val="24"/>
          <w:szCs w:val="24"/>
          <w:lang w:val="es-ES"/>
        </w:rPr>
        <w:t>las discrepancias de los datos.</w:t>
      </w:r>
    </w:p>
    <w:p w:rsidR="004D3A39" w:rsidRPr="00A318FA" w:rsidRDefault="004D3A39" w:rsidP="004D3A39">
      <w:pPr>
        <w:pStyle w:val="ListParagraph"/>
        <w:autoSpaceDE w:val="0"/>
        <w:autoSpaceDN w:val="0"/>
        <w:adjustRightInd w:val="0"/>
        <w:spacing w:after="0" w:line="240" w:lineRule="auto"/>
        <w:ind w:left="1080" w:firstLine="360"/>
        <w:jc w:val="both"/>
        <w:rPr>
          <w:rFonts w:ascii="Times New Roman" w:hAnsi="Times New Roman" w:cs="Times New Roman"/>
          <w:bCs/>
          <w:sz w:val="24"/>
          <w:szCs w:val="24"/>
          <w:lang w:val="es-ES"/>
        </w:rPr>
      </w:pPr>
    </w:p>
    <w:p w:rsidR="00581EB5" w:rsidRDefault="00581EB5" w:rsidP="004D3A39">
      <w:pPr>
        <w:pStyle w:val="ListParagraph"/>
        <w:autoSpaceDE w:val="0"/>
        <w:autoSpaceDN w:val="0"/>
        <w:adjustRightInd w:val="0"/>
        <w:spacing w:after="0" w:line="240" w:lineRule="auto"/>
        <w:ind w:left="1080" w:firstLine="360"/>
        <w:jc w:val="both"/>
        <w:rPr>
          <w:rFonts w:ascii="Times New Roman" w:hAnsi="Times New Roman" w:cs="Times New Roman"/>
          <w:bCs/>
          <w:sz w:val="24"/>
          <w:szCs w:val="24"/>
          <w:lang w:val="es-ES"/>
        </w:rPr>
      </w:pPr>
    </w:p>
    <w:p w:rsidR="000D6B6A" w:rsidRPr="00A318FA" w:rsidRDefault="000D6B6A" w:rsidP="004D3A39">
      <w:pPr>
        <w:pStyle w:val="ListParagraph"/>
        <w:autoSpaceDE w:val="0"/>
        <w:autoSpaceDN w:val="0"/>
        <w:adjustRightInd w:val="0"/>
        <w:spacing w:after="0" w:line="240" w:lineRule="auto"/>
        <w:ind w:left="1080" w:firstLine="360"/>
        <w:jc w:val="both"/>
        <w:rPr>
          <w:rFonts w:ascii="Times New Roman" w:hAnsi="Times New Roman" w:cs="Times New Roman"/>
          <w:bCs/>
          <w:sz w:val="24"/>
          <w:szCs w:val="24"/>
          <w:lang w:val="es-ES"/>
        </w:rPr>
      </w:pPr>
    </w:p>
    <w:p w:rsidR="00910953" w:rsidRPr="00A318FA" w:rsidRDefault="00A318FA" w:rsidP="00910953">
      <w:pPr>
        <w:pStyle w:val="ListParagraph"/>
        <w:numPr>
          <w:ilvl w:val="0"/>
          <w:numId w:val="4"/>
        </w:numPr>
        <w:autoSpaceDE w:val="0"/>
        <w:autoSpaceDN w:val="0"/>
        <w:adjustRightInd w:val="0"/>
        <w:spacing w:after="0" w:line="240" w:lineRule="auto"/>
        <w:jc w:val="both"/>
        <w:rPr>
          <w:rFonts w:ascii="Times New Roman" w:hAnsi="Times New Roman" w:cs="Times New Roman"/>
          <w:b/>
          <w:bCs/>
          <w:sz w:val="24"/>
          <w:szCs w:val="24"/>
          <w:lang w:val="es-ES"/>
        </w:rPr>
      </w:pPr>
      <w:r w:rsidRPr="00A318FA">
        <w:rPr>
          <w:rFonts w:ascii="Times New Roman" w:hAnsi="Times New Roman" w:cs="Times New Roman"/>
          <w:b/>
          <w:bCs/>
          <w:sz w:val="24"/>
          <w:szCs w:val="24"/>
          <w:lang w:val="es-ES"/>
        </w:rPr>
        <w:t>Resultados de la primera reunión de las Partes en el Acuerdo de la FAO sobre las medidas del Estado rector del puerto y de la Conferencia sobre los océanos relativos al Registro mundial. Sinergias con las Directrices voluntarias para los sistemas de documentación de la</w:t>
      </w:r>
      <w:r>
        <w:rPr>
          <w:rFonts w:ascii="Times New Roman" w:hAnsi="Times New Roman" w:cs="Times New Roman"/>
          <w:b/>
          <w:bCs/>
          <w:sz w:val="24"/>
          <w:szCs w:val="24"/>
          <w:lang w:val="es-ES"/>
        </w:rPr>
        <w:t xml:space="preserve"> captura</w:t>
      </w:r>
      <w:r w:rsidR="001820DD" w:rsidRPr="00A318FA">
        <w:rPr>
          <w:rFonts w:ascii="Times New Roman" w:hAnsi="Times New Roman" w:cs="Times New Roman"/>
          <w:b/>
          <w:bCs/>
          <w:sz w:val="24"/>
          <w:szCs w:val="24"/>
          <w:lang w:val="es-ES"/>
        </w:rPr>
        <w:t>.</w:t>
      </w:r>
    </w:p>
    <w:p w:rsidR="007265AD" w:rsidRPr="00A318FA" w:rsidRDefault="007265AD" w:rsidP="007265AD">
      <w:pPr>
        <w:autoSpaceDE w:val="0"/>
        <w:autoSpaceDN w:val="0"/>
        <w:adjustRightInd w:val="0"/>
        <w:spacing w:after="0" w:line="240" w:lineRule="auto"/>
        <w:jc w:val="both"/>
        <w:rPr>
          <w:rFonts w:ascii="Times New Roman" w:hAnsi="Times New Roman" w:cs="Times New Roman"/>
          <w:bCs/>
          <w:sz w:val="24"/>
          <w:szCs w:val="24"/>
          <w:lang w:val="es-ES"/>
        </w:rPr>
      </w:pPr>
    </w:p>
    <w:p w:rsidR="00F6552E" w:rsidRPr="00A318FA" w:rsidRDefault="004532E5" w:rsidP="007265AD">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Tal y como se ha indicado precedentemente, </w:t>
      </w:r>
      <w:r w:rsidR="009E69CE">
        <w:rPr>
          <w:rFonts w:ascii="Times New Roman" w:hAnsi="Times New Roman" w:cs="Times New Roman"/>
          <w:bCs/>
          <w:sz w:val="24"/>
          <w:szCs w:val="24"/>
          <w:lang w:val="es-ES"/>
        </w:rPr>
        <w:t xml:space="preserve">el </w:t>
      </w:r>
      <w:r>
        <w:rPr>
          <w:rFonts w:ascii="Times New Roman" w:hAnsi="Times New Roman" w:cs="Times New Roman"/>
          <w:bCs/>
          <w:sz w:val="24"/>
          <w:szCs w:val="24"/>
          <w:lang w:val="es-ES"/>
        </w:rPr>
        <w:t>32</w:t>
      </w:r>
      <w:r w:rsidR="009E69CE">
        <w:rPr>
          <w:rFonts w:ascii="Times New Roman" w:hAnsi="Times New Roman" w:cs="Times New Roman"/>
          <w:bCs/>
          <w:sz w:val="24"/>
          <w:szCs w:val="24"/>
          <w:lang w:val="es-ES"/>
        </w:rPr>
        <w:t>.</w:t>
      </w:r>
      <w:r>
        <w:rPr>
          <w:rFonts w:ascii="Times New Roman" w:hAnsi="Times New Roman" w:cs="Times New Roman"/>
          <w:bCs/>
          <w:sz w:val="24"/>
          <w:szCs w:val="24"/>
          <w:lang w:val="es-ES"/>
        </w:rPr>
        <w:t>º COFI</w:t>
      </w:r>
      <w:r w:rsidR="009E69CE">
        <w:rPr>
          <w:rFonts w:ascii="Times New Roman" w:hAnsi="Times New Roman" w:cs="Times New Roman"/>
          <w:bCs/>
          <w:sz w:val="24"/>
          <w:szCs w:val="24"/>
          <w:lang w:val="es-ES"/>
        </w:rPr>
        <w:t xml:space="preserve"> “</w:t>
      </w:r>
      <w:r w:rsidR="009E69CE" w:rsidRPr="009E69CE">
        <w:rPr>
          <w:rFonts w:ascii="Times New Roman" w:hAnsi="Times New Roman" w:cs="Times New Roman"/>
          <w:bCs/>
          <w:i/>
          <w:sz w:val="24"/>
          <w:szCs w:val="24"/>
          <w:lang w:val="es-ES"/>
        </w:rPr>
        <w:t>reconoció que el Registro mundial podría tener un papel importante como herramienta de lucha contra la pesca ilegal, no declarada y no reglamentada (pesca INDNR) y en el apoyo a la implementación del Acuerdo sobre las medidas del Estado rector del puerto (AMERP) y demás instrumentos internacionales</w:t>
      </w:r>
      <w:r w:rsidR="009E69CE">
        <w:rPr>
          <w:rFonts w:ascii="Times New Roman" w:hAnsi="Times New Roman" w:cs="Times New Roman"/>
          <w:bCs/>
          <w:sz w:val="24"/>
          <w:szCs w:val="24"/>
          <w:lang w:val="es-ES"/>
        </w:rPr>
        <w:t>”</w:t>
      </w:r>
      <w:r w:rsidR="009E69CE" w:rsidRPr="00A318FA">
        <w:rPr>
          <w:rFonts w:ascii="Times New Roman" w:hAnsi="Times New Roman" w:cs="Times New Roman"/>
          <w:bCs/>
          <w:sz w:val="24"/>
          <w:szCs w:val="24"/>
          <w:lang w:val="es-ES"/>
        </w:rPr>
        <w:t>.</w:t>
      </w:r>
      <w:r w:rsidR="002E51E0" w:rsidRPr="00A318FA">
        <w:rPr>
          <w:rFonts w:ascii="Times New Roman" w:hAnsi="Times New Roman" w:cs="Times New Roman"/>
          <w:bCs/>
          <w:sz w:val="24"/>
          <w:szCs w:val="24"/>
          <w:lang w:val="es-ES"/>
        </w:rPr>
        <w:t xml:space="preserve"> </w:t>
      </w:r>
    </w:p>
    <w:p w:rsidR="00F6552E" w:rsidRPr="00A318FA" w:rsidRDefault="00F6552E" w:rsidP="007265AD">
      <w:pPr>
        <w:autoSpaceDE w:val="0"/>
        <w:autoSpaceDN w:val="0"/>
        <w:adjustRightInd w:val="0"/>
        <w:spacing w:after="0" w:line="240" w:lineRule="auto"/>
        <w:jc w:val="both"/>
        <w:rPr>
          <w:rFonts w:ascii="Times New Roman" w:hAnsi="Times New Roman" w:cs="Times New Roman"/>
          <w:bCs/>
          <w:sz w:val="24"/>
          <w:szCs w:val="24"/>
          <w:lang w:val="es-ES"/>
        </w:rPr>
      </w:pPr>
    </w:p>
    <w:p w:rsidR="009E69CE" w:rsidRDefault="009E69CE" w:rsidP="007265AD">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Ya en 2014, el Documento de estrategia</w:t>
      </w:r>
      <w:r w:rsidRPr="00A318FA">
        <w:rPr>
          <w:rStyle w:val="FootnoteReference"/>
          <w:rFonts w:ascii="Times New Roman" w:hAnsi="Times New Roman" w:cs="Times New Roman"/>
          <w:bCs/>
          <w:sz w:val="24"/>
          <w:szCs w:val="24"/>
          <w:lang w:val="es-ES"/>
        </w:rPr>
        <w:footnoteReference w:id="12"/>
      </w:r>
      <w:r>
        <w:rPr>
          <w:rFonts w:ascii="Times New Roman" w:hAnsi="Times New Roman" w:cs="Times New Roman"/>
          <w:bCs/>
          <w:sz w:val="24"/>
          <w:szCs w:val="24"/>
          <w:lang w:val="es-ES"/>
        </w:rPr>
        <w:t xml:space="preserve"> ofreció algunas indicaciones iniciales detalladas en el </w:t>
      </w:r>
      <w:r w:rsidR="000F1D4F">
        <w:rPr>
          <w:rFonts w:ascii="Times New Roman" w:hAnsi="Times New Roman" w:cs="Times New Roman"/>
          <w:bCs/>
          <w:sz w:val="24"/>
          <w:szCs w:val="24"/>
          <w:lang w:val="es-ES"/>
        </w:rPr>
        <w:t>Apéndice</w:t>
      </w:r>
      <w:r>
        <w:rPr>
          <w:rFonts w:ascii="Times New Roman" w:hAnsi="Times New Roman" w:cs="Times New Roman"/>
          <w:bCs/>
          <w:sz w:val="24"/>
          <w:szCs w:val="24"/>
          <w:lang w:val="es-ES"/>
        </w:rPr>
        <w:t xml:space="preserve"> 1 “</w:t>
      </w:r>
      <w:r w:rsidRPr="009E69CE">
        <w:rPr>
          <w:rFonts w:ascii="Times New Roman" w:hAnsi="Times New Roman" w:cs="Times New Roman"/>
          <w:bCs/>
          <w:i/>
          <w:sz w:val="24"/>
          <w:szCs w:val="24"/>
          <w:lang w:val="es-ES"/>
        </w:rPr>
        <w:t>Sinergias con los instrumentos internacionales</w:t>
      </w:r>
      <w:r>
        <w:rPr>
          <w:rFonts w:ascii="Times New Roman" w:hAnsi="Times New Roman" w:cs="Times New Roman"/>
          <w:bCs/>
          <w:sz w:val="24"/>
          <w:szCs w:val="24"/>
          <w:lang w:val="es-ES"/>
        </w:rPr>
        <w:t>”, sobre las formas en que el Registro mundial podría apoyar: i) la implementación del AMERP; ii) la actuación del Estado del pabellón; iii) las medidas relacionadas con el mercado.</w:t>
      </w:r>
    </w:p>
    <w:p w:rsidR="000F1D4F" w:rsidRDefault="000F1D4F" w:rsidP="007265AD">
      <w:pPr>
        <w:autoSpaceDE w:val="0"/>
        <w:autoSpaceDN w:val="0"/>
        <w:adjustRightInd w:val="0"/>
        <w:spacing w:after="0" w:line="240" w:lineRule="auto"/>
        <w:jc w:val="both"/>
        <w:rPr>
          <w:rFonts w:ascii="Times New Roman" w:hAnsi="Times New Roman" w:cs="Times New Roman"/>
          <w:bCs/>
          <w:sz w:val="24"/>
          <w:szCs w:val="24"/>
          <w:lang w:val="es-ES"/>
        </w:rPr>
      </w:pPr>
    </w:p>
    <w:p w:rsidR="00F6552E" w:rsidRPr="00A318FA" w:rsidRDefault="009E69CE" w:rsidP="007265AD">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Con la reciente entrada en vigor del AMERP (junio de 2016) y las Directrices voluntarias para los </w:t>
      </w:r>
      <w:r w:rsidR="009510F3">
        <w:rPr>
          <w:rFonts w:ascii="Times New Roman" w:hAnsi="Times New Roman" w:cs="Times New Roman"/>
          <w:bCs/>
          <w:sz w:val="24"/>
          <w:szCs w:val="24"/>
          <w:lang w:val="es-ES"/>
        </w:rPr>
        <w:t>sistemas</w:t>
      </w:r>
      <w:r>
        <w:rPr>
          <w:rFonts w:ascii="Times New Roman" w:hAnsi="Times New Roman" w:cs="Times New Roman"/>
          <w:bCs/>
          <w:sz w:val="24"/>
          <w:szCs w:val="24"/>
          <w:lang w:val="es-ES"/>
        </w:rPr>
        <w:t xml:space="preserve"> de documentación de la</w:t>
      </w:r>
      <w:r w:rsidR="006D4200">
        <w:rPr>
          <w:rFonts w:ascii="Times New Roman" w:hAnsi="Times New Roman" w:cs="Times New Roman"/>
          <w:bCs/>
          <w:sz w:val="24"/>
          <w:szCs w:val="24"/>
          <w:lang w:val="es-ES"/>
        </w:rPr>
        <w:t>s</w:t>
      </w:r>
      <w:r>
        <w:rPr>
          <w:rFonts w:ascii="Times New Roman" w:hAnsi="Times New Roman" w:cs="Times New Roman"/>
          <w:bCs/>
          <w:sz w:val="24"/>
          <w:szCs w:val="24"/>
          <w:lang w:val="es-ES"/>
        </w:rPr>
        <w:t xml:space="preserve"> captura</w:t>
      </w:r>
      <w:r w:rsidR="006D4200">
        <w:rPr>
          <w:rFonts w:ascii="Times New Roman" w:hAnsi="Times New Roman" w:cs="Times New Roman"/>
          <w:bCs/>
          <w:sz w:val="24"/>
          <w:szCs w:val="24"/>
          <w:lang w:val="es-ES"/>
        </w:rPr>
        <w:t>s</w:t>
      </w:r>
      <w:r>
        <w:rPr>
          <w:rFonts w:ascii="Times New Roman" w:hAnsi="Times New Roman" w:cs="Times New Roman"/>
          <w:bCs/>
          <w:sz w:val="24"/>
          <w:szCs w:val="24"/>
          <w:lang w:val="es-ES"/>
        </w:rPr>
        <w:t xml:space="preserve"> </w:t>
      </w:r>
      <w:r w:rsidR="00BA6484">
        <w:rPr>
          <w:rFonts w:ascii="Times New Roman" w:hAnsi="Times New Roman" w:cs="Times New Roman"/>
          <w:bCs/>
          <w:sz w:val="24"/>
          <w:szCs w:val="24"/>
          <w:lang w:val="es-ES"/>
        </w:rPr>
        <w:t>(DV-</w:t>
      </w:r>
      <w:r w:rsidR="009510F3">
        <w:rPr>
          <w:rFonts w:ascii="Times New Roman" w:hAnsi="Times New Roman" w:cs="Times New Roman"/>
          <w:bCs/>
          <w:sz w:val="24"/>
          <w:szCs w:val="24"/>
          <w:lang w:val="es-ES"/>
        </w:rPr>
        <w:t>S</w:t>
      </w:r>
      <w:r w:rsidR="00BA6484">
        <w:rPr>
          <w:rFonts w:ascii="Times New Roman" w:hAnsi="Times New Roman" w:cs="Times New Roman"/>
          <w:bCs/>
          <w:sz w:val="24"/>
          <w:szCs w:val="24"/>
          <w:lang w:val="es-ES"/>
        </w:rPr>
        <w:t xml:space="preserve">DC) </w:t>
      </w:r>
      <w:r w:rsidR="006D4200">
        <w:rPr>
          <w:rFonts w:ascii="Times New Roman" w:hAnsi="Times New Roman" w:cs="Times New Roman"/>
          <w:bCs/>
          <w:sz w:val="24"/>
          <w:szCs w:val="24"/>
          <w:lang w:val="es-ES"/>
        </w:rPr>
        <w:t xml:space="preserve">que </w:t>
      </w:r>
      <w:r w:rsidR="00BA6484">
        <w:rPr>
          <w:rFonts w:ascii="Times New Roman" w:hAnsi="Times New Roman" w:cs="Times New Roman"/>
          <w:bCs/>
          <w:sz w:val="24"/>
          <w:szCs w:val="24"/>
          <w:lang w:val="es-ES"/>
        </w:rPr>
        <w:t xml:space="preserve">fueron </w:t>
      </w:r>
      <w:r w:rsidR="00BA6484" w:rsidRPr="00D21B13">
        <w:rPr>
          <w:rFonts w:ascii="Times New Roman" w:hAnsi="Times New Roman" w:cs="Times New Roman"/>
          <w:bCs/>
          <w:sz w:val="24"/>
          <w:szCs w:val="24"/>
          <w:lang w:val="es-ES"/>
        </w:rPr>
        <w:t xml:space="preserve">aprobadas por la </w:t>
      </w:r>
      <w:r w:rsidR="0054148D" w:rsidRPr="00D21B13">
        <w:rPr>
          <w:rFonts w:ascii="Times New Roman" w:hAnsi="Times New Roman" w:cs="Times New Roman"/>
          <w:bCs/>
          <w:sz w:val="24"/>
          <w:szCs w:val="24"/>
          <w:lang w:val="es-ES"/>
        </w:rPr>
        <w:t xml:space="preserve">tercera reunión </w:t>
      </w:r>
      <w:r w:rsidR="00D21B13" w:rsidRPr="00D21B13">
        <w:rPr>
          <w:rFonts w:ascii="Times New Roman" w:hAnsi="Times New Roman" w:cs="Times New Roman"/>
          <w:bCs/>
          <w:sz w:val="24"/>
          <w:szCs w:val="24"/>
          <w:lang w:val="es-ES"/>
        </w:rPr>
        <w:t xml:space="preserve">resumida </w:t>
      </w:r>
      <w:r w:rsidR="0054148D" w:rsidRPr="00D21B13">
        <w:rPr>
          <w:rFonts w:ascii="Times New Roman" w:hAnsi="Times New Roman" w:cs="Times New Roman"/>
          <w:bCs/>
          <w:sz w:val="24"/>
          <w:szCs w:val="24"/>
          <w:lang w:val="es-ES"/>
        </w:rPr>
        <w:t xml:space="preserve">de la Consulta Técnica </w:t>
      </w:r>
      <w:r w:rsidR="00BA6484" w:rsidRPr="00D21B13">
        <w:rPr>
          <w:rFonts w:ascii="Times New Roman" w:hAnsi="Times New Roman" w:cs="Times New Roman"/>
          <w:bCs/>
          <w:sz w:val="24"/>
          <w:szCs w:val="24"/>
          <w:lang w:val="es-ES"/>
        </w:rPr>
        <w:t>(5 de abril de 2017) y</w:t>
      </w:r>
      <w:r w:rsidR="00BA6484">
        <w:rPr>
          <w:rFonts w:ascii="Times New Roman" w:hAnsi="Times New Roman" w:cs="Times New Roman"/>
          <w:bCs/>
          <w:sz w:val="24"/>
          <w:szCs w:val="24"/>
          <w:lang w:val="es-ES"/>
        </w:rPr>
        <w:t xml:space="preserve"> </w:t>
      </w:r>
      <w:r w:rsidR="00E43214">
        <w:rPr>
          <w:rFonts w:ascii="Times New Roman" w:hAnsi="Times New Roman" w:cs="Times New Roman"/>
          <w:bCs/>
          <w:sz w:val="24"/>
          <w:szCs w:val="24"/>
          <w:lang w:val="es-ES"/>
        </w:rPr>
        <w:t>remitidas</w:t>
      </w:r>
      <w:r w:rsidR="00BA6484">
        <w:rPr>
          <w:rFonts w:ascii="Times New Roman" w:hAnsi="Times New Roman" w:cs="Times New Roman"/>
          <w:bCs/>
          <w:sz w:val="24"/>
          <w:szCs w:val="24"/>
          <w:lang w:val="es-ES"/>
        </w:rPr>
        <w:t xml:space="preserve"> a la Conferencia de la FAO para su aprobación (3</w:t>
      </w:r>
      <w:r w:rsidR="00E11FBB">
        <w:rPr>
          <w:rFonts w:ascii="Times New Roman" w:hAnsi="Times New Roman" w:cs="Times New Roman"/>
          <w:bCs/>
          <w:sz w:val="24"/>
          <w:szCs w:val="24"/>
          <w:lang w:val="es-ES"/>
        </w:rPr>
        <w:t>–</w:t>
      </w:r>
      <w:r w:rsidR="00BA6484">
        <w:rPr>
          <w:rFonts w:ascii="Times New Roman" w:hAnsi="Times New Roman" w:cs="Times New Roman"/>
          <w:bCs/>
          <w:sz w:val="24"/>
          <w:szCs w:val="24"/>
          <w:lang w:val="es-ES"/>
        </w:rPr>
        <w:t xml:space="preserve">7 de julio de 2017), éste es el momento adecuado para examinar las formas en que dichos instrumentos puedan crear mayores sinergias para luchar contra la pesca INDNR y </w:t>
      </w:r>
      <w:r w:rsidR="00E11FBB">
        <w:rPr>
          <w:rFonts w:ascii="Times New Roman" w:hAnsi="Times New Roman" w:cs="Times New Roman"/>
          <w:bCs/>
          <w:sz w:val="24"/>
          <w:szCs w:val="24"/>
          <w:lang w:val="es-ES"/>
        </w:rPr>
        <w:t xml:space="preserve">estrechar el cerco a los </w:t>
      </w:r>
      <w:r w:rsidR="00BA6484">
        <w:rPr>
          <w:rFonts w:ascii="Times New Roman" w:hAnsi="Times New Roman" w:cs="Times New Roman"/>
          <w:bCs/>
          <w:sz w:val="24"/>
          <w:szCs w:val="24"/>
          <w:lang w:val="es-ES"/>
        </w:rPr>
        <w:t>que practican la pesca INDNR.</w:t>
      </w:r>
    </w:p>
    <w:p w:rsidR="00F6552E" w:rsidRPr="00A318FA" w:rsidRDefault="00F6552E" w:rsidP="007265AD">
      <w:pPr>
        <w:autoSpaceDE w:val="0"/>
        <w:autoSpaceDN w:val="0"/>
        <w:adjustRightInd w:val="0"/>
        <w:spacing w:after="0" w:line="240" w:lineRule="auto"/>
        <w:jc w:val="both"/>
        <w:rPr>
          <w:rFonts w:ascii="Times New Roman" w:hAnsi="Times New Roman" w:cs="Times New Roman"/>
          <w:bCs/>
          <w:sz w:val="24"/>
          <w:szCs w:val="24"/>
          <w:lang w:val="es-ES"/>
        </w:rPr>
      </w:pPr>
    </w:p>
    <w:p w:rsidR="006D6E79" w:rsidRPr="00A318FA" w:rsidRDefault="006D6E79" w:rsidP="007265AD">
      <w:pPr>
        <w:autoSpaceDE w:val="0"/>
        <w:autoSpaceDN w:val="0"/>
        <w:adjustRightInd w:val="0"/>
        <w:spacing w:after="0" w:line="240" w:lineRule="auto"/>
        <w:jc w:val="both"/>
        <w:rPr>
          <w:rFonts w:ascii="Times New Roman" w:hAnsi="Times New Roman" w:cs="Times New Roman"/>
          <w:bCs/>
          <w:sz w:val="24"/>
          <w:szCs w:val="24"/>
          <w:lang w:val="es-ES"/>
        </w:rPr>
      </w:pPr>
    </w:p>
    <w:p w:rsidR="00F10F9F" w:rsidRPr="00A318FA" w:rsidRDefault="00BA6484" w:rsidP="007265AD">
      <w:pPr>
        <w:autoSpaceDE w:val="0"/>
        <w:autoSpaceDN w:val="0"/>
        <w:adjustRightInd w:val="0"/>
        <w:spacing w:after="0" w:line="24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El AMERP</w:t>
      </w:r>
    </w:p>
    <w:p w:rsidR="00775613" w:rsidRPr="00A318FA" w:rsidRDefault="00BA6484" w:rsidP="00BA6484">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En la primera reunión de las Partes</w:t>
      </w:r>
      <w:r w:rsidRPr="00A318FA">
        <w:rPr>
          <w:rStyle w:val="FootnoteReference"/>
          <w:rFonts w:ascii="Times New Roman" w:hAnsi="Times New Roman" w:cs="Times New Roman"/>
          <w:bCs/>
          <w:sz w:val="24"/>
          <w:szCs w:val="24"/>
          <w:lang w:val="es-ES"/>
        </w:rPr>
        <w:footnoteReference w:id="13"/>
      </w:r>
      <w:r>
        <w:rPr>
          <w:rFonts w:ascii="Times New Roman" w:hAnsi="Times New Roman" w:cs="Times New Roman"/>
          <w:bCs/>
          <w:sz w:val="24"/>
          <w:szCs w:val="24"/>
          <w:lang w:val="es-ES"/>
        </w:rPr>
        <w:t xml:space="preserve"> (29- 31 de mayo de 2017, Oslo, Noruega), diferentes Partes indicaron que</w:t>
      </w:r>
      <w:r w:rsidR="00775613" w:rsidRPr="00A318FA">
        <w:rPr>
          <w:rFonts w:ascii="Times New Roman" w:hAnsi="Times New Roman" w:cs="Times New Roman"/>
          <w:bCs/>
          <w:sz w:val="24"/>
          <w:szCs w:val="24"/>
          <w:lang w:val="es-ES"/>
        </w:rPr>
        <w:t>:</w:t>
      </w:r>
    </w:p>
    <w:p w:rsidR="00D2562D" w:rsidRPr="00D2562D" w:rsidRDefault="00775613" w:rsidP="00775613">
      <w:pPr>
        <w:pStyle w:val="ListParagraph"/>
        <w:numPr>
          <w:ilvl w:val="0"/>
          <w:numId w:val="8"/>
        </w:numPr>
        <w:autoSpaceDE w:val="0"/>
        <w:autoSpaceDN w:val="0"/>
        <w:adjustRightInd w:val="0"/>
        <w:spacing w:after="0" w:line="240" w:lineRule="auto"/>
        <w:jc w:val="both"/>
        <w:rPr>
          <w:rFonts w:ascii="Times New Roman" w:hAnsi="Times New Roman" w:cs="Times New Roman"/>
          <w:bCs/>
          <w:sz w:val="24"/>
          <w:szCs w:val="24"/>
          <w:lang w:val="es-ES"/>
        </w:rPr>
      </w:pPr>
      <w:r w:rsidRPr="00D21B13">
        <w:rPr>
          <w:rFonts w:ascii="Times New Roman" w:hAnsi="Times New Roman" w:cs="Times New Roman"/>
          <w:bCs/>
          <w:sz w:val="24"/>
          <w:szCs w:val="24"/>
          <w:lang w:val="es-ES"/>
        </w:rPr>
        <w:t>(</w:t>
      </w:r>
      <w:r w:rsidR="00D2562D" w:rsidRPr="00D21B13">
        <w:rPr>
          <w:rFonts w:ascii="Times New Roman" w:hAnsi="Times New Roman" w:cs="Times New Roman"/>
          <w:bCs/>
          <w:sz w:val="24"/>
          <w:szCs w:val="24"/>
          <w:lang w:val="es-ES"/>
        </w:rPr>
        <w:t>Párrafo</w:t>
      </w:r>
      <w:r w:rsidRPr="00D21B13">
        <w:rPr>
          <w:rFonts w:ascii="Times New Roman" w:hAnsi="Times New Roman" w:cs="Times New Roman"/>
          <w:bCs/>
          <w:sz w:val="24"/>
          <w:szCs w:val="24"/>
          <w:lang w:val="es-ES"/>
        </w:rPr>
        <w:t xml:space="preserve"> 13)</w:t>
      </w:r>
      <w:r w:rsidRPr="00A318FA">
        <w:rPr>
          <w:rFonts w:ascii="Times New Roman" w:hAnsi="Times New Roman" w:cs="Times New Roman"/>
          <w:bCs/>
          <w:sz w:val="24"/>
          <w:szCs w:val="24"/>
          <w:lang w:val="es-ES"/>
        </w:rPr>
        <w:t xml:space="preserve"> </w:t>
      </w:r>
      <w:r w:rsidR="00B61C96" w:rsidRPr="00A318FA">
        <w:rPr>
          <w:rFonts w:ascii="Times New Roman" w:hAnsi="Times New Roman" w:cs="Times New Roman"/>
          <w:bCs/>
          <w:sz w:val="24"/>
          <w:szCs w:val="24"/>
          <w:lang w:val="es-ES"/>
        </w:rPr>
        <w:t>“</w:t>
      </w:r>
      <w:r w:rsidR="00D2562D">
        <w:rPr>
          <w:rFonts w:ascii="Times New Roman" w:hAnsi="Times New Roman" w:cs="Times New Roman"/>
          <w:bCs/>
          <w:i/>
          <w:sz w:val="24"/>
          <w:szCs w:val="24"/>
          <w:lang w:val="es-ES"/>
        </w:rPr>
        <w:t>se debería tomar en cuenta el papel de los instrumentos y herramientas complementarios en el apoyo al Acuerdo, en particular el Registro mundial de los buques pesqueros, frigoríficos y de suministro (Registro mundial), las Directrices voluntarias para los sistemas de documentación de la</w:t>
      </w:r>
      <w:r w:rsidR="00D21B13">
        <w:rPr>
          <w:rFonts w:ascii="Times New Roman" w:hAnsi="Times New Roman" w:cs="Times New Roman"/>
          <w:bCs/>
          <w:i/>
          <w:sz w:val="24"/>
          <w:szCs w:val="24"/>
          <w:lang w:val="es-ES"/>
        </w:rPr>
        <w:t>s</w:t>
      </w:r>
      <w:r w:rsidR="00D2562D">
        <w:rPr>
          <w:rFonts w:ascii="Times New Roman" w:hAnsi="Times New Roman" w:cs="Times New Roman"/>
          <w:bCs/>
          <w:i/>
          <w:sz w:val="24"/>
          <w:szCs w:val="24"/>
          <w:lang w:val="es-ES"/>
        </w:rPr>
        <w:t xml:space="preserve"> captura</w:t>
      </w:r>
      <w:r w:rsidR="00D21B13">
        <w:rPr>
          <w:rFonts w:ascii="Times New Roman" w:hAnsi="Times New Roman" w:cs="Times New Roman"/>
          <w:bCs/>
          <w:i/>
          <w:sz w:val="24"/>
          <w:szCs w:val="24"/>
          <w:lang w:val="es-ES"/>
        </w:rPr>
        <w:t>s</w:t>
      </w:r>
      <w:r w:rsidR="00D2562D">
        <w:rPr>
          <w:rFonts w:ascii="Times New Roman" w:hAnsi="Times New Roman" w:cs="Times New Roman"/>
          <w:bCs/>
          <w:i/>
          <w:sz w:val="24"/>
          <w:szCs w:val="24"/>
          <w:lang w:val="es-ES"/>
        </w:rPr>
        <w:t xml:space="preserve"> y las herramientas desarrolladas por las Organizaciones Regionales de Ordenación Pesquera (OROP)”.</w:t>
      </w:r>
    </w:p>
    <w:p w:rsidR="00775613" w:rsidRPr="00D2562D" w:rsidRDefault="00D2562D" w:rsidP="00775613">
      <w:pPr>
        <w:pStyle w:val="ListParagraph"/>
        <w:numPr>
          <w:ilvl w:val="0"/>
          <w:numId w:val="8"/>
        </w:numPr>
        <w:autoSpaceDE w:val="0"/>
        <w:autoSpaceDN w:val="0"/>
        <w:adjustRightInd w:val="0"/>
        <w:spacing w:after="0" w:line="240" w:lineRule="auto"/>
        <w:jc w:val="both"/>
        <w:rPr>
          <w:rFonts w:ascii="Times New Roman" w:hAnsi="Times New Roman" w:cs="Times New Roman"/>
          <w:bCs/>
          <w:sz w:val="24"/>
          <w:szCs w:val="24"/>
          <w:lang w:val="es-ES"/>
        </w:rPr>
      </w:pPr>
      <w:r w:rsidRPr="00D21B13">
        <w:rPr>
          <w:rFonts w:ascii="Times New Roman" w:hAnsi="Times New Roman" w:cs="Times New Roman"/>
          <w:bCs/>
          <w:sz w:val="24"/>
          <w:szCs w:val="24"/>
          <w:lang w:val="es-ES"/>
        </w:rPr>
        <w:t>(Párrafo 14)</w:t>
      </w:r>
      <w:r w:rsidRPr="00D2562D">
        <w:rPr>
          <w:rFonts w:ascii="Times New Roman" w:hAnsi="Times New Roman" w:cs="Times New Roman"/>
          <w:bCs/>
          <w:i/>
          <w:sz w:val="24"/>
          <w:szCs w:val="24"/>
          <w:lang w:val="es-ES"/>
        </w:rPr>
        <w:t xml:space="preserve"> “se subrayó que se deberían poner de relieve los cambios fundamentales,</w:t>
      </w:r>
      <w:r w:rsidR="00BB0508">
        <w:rPr>
          <w:rFonts w:ascii="Times New Roman" w:hAnsi="Times New Roman" w:cs="Times New Roman"/>
          <w:bCs/>
          <w:i/>
          <w:sz w:val="24"/>
          <w:szCs w:val="24"/>
          <w:lang w:val="es-ES"/>
        </w:rPr>
        <w:t xml:space="preserve"> </w:t>
      </w:r>
      <w:r w:rsidRPr="00D2562D">
        <w:rPr>
          <w:rFonts w:ascii="Times New Roman" w:hAnsi="Times New Roman" w:cs="Times New Roman"/>
          <w:bCs/>
          <w:i/>
          <w:sz w:val="24"/>
          <w:szCs w:val="24"/>
          <w:lang w:val="es-ES"/>
        </w:rPr>
        <w:t>por ejemplo, la información sobre los trasbordos, el desarrollo de procedimientos sólidos para la evaluación de riesgos, la cooperación en toda la cadena de valor y la información en tiempo real sobre los buques y los resultados de las inspecciones”</w:t>
      </w:r>
      <w:r>
        <w:rPr>
          <w:rFonts w:ascii="Times New Roman" w:hAnsi="Times New Roman" w:cs="Times New Roman"/>
          <w:bCs/>
          <w:i/>
          <w:sz w:val="24"/>
          <w:szCs w:val="24"/>
          <w:lang w:val="es-ES"/>
        </w:rPr>
        <w:t>.</w:t>
      </w:r>
    </w:p>
    <w:p w:rsidR="00B61C96" w:rsidRPr="00A318FA" w:rsidRDefault="00B61C96" w:rsidP="00B61C96">
      <w:pPr>
        <w:autoSpaceDE w:val="0"/>
        <w:autoSpaceDN w:val="0"/>
        <w:adjustRightInd w:val="0"/>
        <w:spacing w:after="0" w:line="240" w:lineRule="auto"/>
        <w:jc w:val="both"/>
        <w:rPr>
          <w:rFonts w:ascii="Times New Roman" w:hAnsi="Times New Roman" w:cs="Times New Roman"/>
          <w:bCs/>
          <w:sz w:val="24"/>
          <w:szCs w:val="24"/>
          <w:lang w:val="es-ES"/>
        </w:rPr>
      </w:pPr>
    </w:p>
    <w:p w:rsidR="0066340B" w:rsidRPr="00A318FA" w:rsidRDefault="00BA6484" w:rsidP="00BA6484">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Resulta evidente que el Registro mundial puede apoyar la implementación del AMER</w:t>
      </w:r>
      <w:r w:rsidR="00DF5720">
        <w:rPr>
          <w:rFonts w:ascii="Times New Roman" w:hAnsi="Times New Roman" w:cs="Times New Roman"/>
          <w:bCs/>
          <w:sz w:val="24"/>
          <w:szCs w:val="24"/>
          <w:lang w:val="es-ES"/>
        </w:rPr>
        <w:t>P</w:t>
      </w:r>
      <w:r>
        <w:rPr>
          <w:rFonts w:ascii="Times New Roman" w:hAnsi="Times New Roman" w:cs="Times New Roman"/>
          <w:bCs/>
          <w:sz w:val="24"/>
          <w:szCs w:val="24"/>
          <w:lang w:val="es-ES"/>
        </w:rPr>
        <w:t>, al menos de dos formas</w:t>
      </w:r>
      <w:r w:rsidR="006D6E79" w:rsidRPr="00A318FA">
        <w:rPr>
          <w:rFonts w:ascii="Times New Roman" w:hAnsi="Times New Roman" w:cs="Times New Roman"/>
          <w:bCs/>
          <w:sz w:val="24"/>
          <w:szCs w:val="24"/>
          <w:lang w:val="es-ES"/>
        </w:rPr>
        <w:t>:</w:t>
      </w:r>
    </w:p>
    <w:p w:rsidR="00BA6484" w:rsidRDefault="00BA6484" w:rsidP="00495363">
      <w:pPr>
        <w:pStyle w:val="ListParagraph"/>
        <w:numPr>
          <w:ilvl w:val="0"/>
          <w:numId w:val="5"/>
        </w:num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en la verificación y validación, por parte del Estado rector del puerto, </w:t>
      </w:r>
      <w:r w:rsidR="00893B1E">
        <w:rPr>
          <w:rFonts w:ascii="Times New Roman" w:hAnsi="Times New Roman" w:cs="Times New Roman"/>
          <w:bCs/>
          <w:sz w:val="24"/>
          <w:szCs w:val="24"/>
          <w:lang w:val="es-ES"/>
        </w:rPr>
        <w:t>de la información que deben remitir anticipadamente los buques pesqueros (extranjeros) que solicitan entrada en puerto. Esto apoyaría la decisión de autorizar o denegar la entrada y el uso del puerto;</w:t>
      </w:r>
    </w:p>
    <w:p w:rsidR="00617EB7" w:rsidRDefault="00893B1E" w:rsidP="00737C97">
      <w:pPr>
        <w:pStyle w:val="ListParagraph"/>
        <w:numPr>
          <w:ilvl w:val="0"/>
          <w:numId w:val="5"/>
        </w:numPr>
        <w:autoSpaceDE w:val="0"/>
        <w:autoSpaceDN w:val="0"/>
        <w:adjustRightInd w:val="0"/>
        <w:spacing w:after="0" w:line="240" w:lineRule="auto"/>
        <w:jc w:val="both"/>
        <w:rPr>
          <w:rFonts w:ascii="Times New Roman" w:hAnsi="Times New Roman" w:cs="Times New Roman"/>
          <w:bCs/>
          <w:sz w:val="24"/>
          <w:szCs w:val="24"/>
          <w:lang w:val="es-ES"/>
        </w:rPr>
      </w:pPr>
      <w:r w:rsidRPr="00893B1E">
        <w:rPr>
          <w:rFonts w:ascii="Times New Roman" w:hAnsi="Times New Roman" w:cs="Times New Roman"/>
          <w:bCs/>
          <w:sz w:val="24"/>
          <w:szCs w:val="24"/>
          <w:lang w:val="es-ES"/>
        </w:rPr>
        <w:t>en la realización de análisis de riesgo</w:t>
      </w:r>
      <w:r w:rsidR="00617EB7">
        <w:rPr>
          <w:rFonts w:ascii="Times New Roman" w:hAnsi="Times New Roman" w:cs="Times New Roman"/>
          <w:bCs/>
          <w:sz w:val="24"/>
          <w:szCs w:val="24"/>
          <w:lang w:val="es-ES"/>
        </w:rPr>
        <w:t>s</w:t>
      </w:r>
      <w:r w:rsidRPr="00893B1E">
        <w:rPr>
          <w:rFonts w:ascii="Times New Roman" w:hAnsi="Times New Roman" w:cs="Times New Roman"/>
          <w:bCs/>
          <w:sz w:val="24"/>
          <w:szCs w:val="24"/>
          <w:lang w:val="es-ES"/>
        </w:rPr>
        <w:t xml:space="preserve"> para comprender si el buque es sospechado de pesca INDNR y tomar decisiones para inspeccionarlo o no</w:t>
      </w:r>
      <w:r w:rsidR="00DF5720">
        <w:rPr>
          <w:rFonts w:ascii="Times New Roman" w:hAnsi="Times New Roman" w:cs="Times New Roman"/>
          <w:bCs/>
          <w:sz w:val="24"/>
          <w:szCs w:val="24"/>
          <w:lang w:val="es-ES"/>
        </w:rPr>
        <w:t>.</w:t>
      </w:r>
    </w:p>
    <w:p w:rsidR="00617EB7" w:rsidRDefault="00617EB7" w:rsidP="00617EB7">
      <w:pPr>
        <w:autoSpaceDE w:val="0"/>
        <w:autoSpaceDN w:val="0"/>
        <w:adjustRightInd w:val="0"/>
        <w:spacing w:after="0" w:line="240" w:lineRule="auto"/>
        <w:jc w:val="both"/>
        <w:rPr>
          <w:rFonts w:ascii="Times New Roman" w:hAnsi="Times New Roman" w:cs="Times New Roman"/>
          <w:bCs/>
          <w:sz w:val="24"/>
          <w:szCs w:val="24"/>
          <w:lang w:val="es-ES"/>
        </w:rPr>
      </w:pPr>
    </w:p>
    <w:p w:rsidR="002530DB" w:rsidRPr="00617EB7" w:rsidRDefault="00893B1E" w:rsidP="00617EB7">
      <w:pPr>
        <w:autoSpaceDE w:val="0"/>
        <w:autoSpaceDN w:val="0"/>
        <w:adjustRightInd w:val="0"/>
        <w:spacing w:after="0" w:line="240" w:lineRule="auto"/>
        <w:jc w:val="both"/>
        <w:rPr>
          <w:rFonts w:ascii="Times New Roman" w:hAnsi="Times New Roman" w:cs="Times New Roman"/>
          <w:bCs/>
          <w:sz w:val="24"/>
          <w:szCs w:val="24"/>
          <w:lang w:val="es-ES"/>
        </w:rPr>
      </w:pPr>
      <w:r w:rsidRPr="00617EB7">
        <w:rPr>
          <w:rFonts w:ascii="Times New Roman" w:hAnsi="Times New Roman" w:cs="Times New Roman"/>
          <w:bCs/>
          <w:sz w:val="24"/>
          <w:szCs w:val="24"/>
          <w:lang w:val="es-ES"/>
        </w:rPr>
        <w:t xml:space="preserve">Y esto tiene importancia fundamental para obtener información sobre los buques de </w:t>
      </w:r>
      <w:r w:rsidR="00DF5720" w:rsidRPr="00617EB7">
        <w:rPr>
          <w:rFonts w:ascii="Times New Roman" w:hAnsi="Times New Roman" w:cs="Times New Roman"/>
          <w:bCs/>
          <w:sz w:val="24"/>
          <w:szCs w:val="24"/>
          <w:lang w:val="es-ES"/>
        </w:rPr>
        <w:t>los Estados que no son parte</w:t>
      </w:r>
      <w:r w:rsidR="002530DB" w:rsidRPr="00617EB7">
        <w:rPr>
          <w:rFonts w:ascii="Times New Roman" w:hAnsi="Times New Roman" w:cs="Times New Roman"/>
          <w:bCs/>
          <w:sz w:val="24"/>
          <w:szCs w:val="24"/>
          <w:lang w:val="es-ES"/>
        </w:rPr>
        <w:t>.</w:t>
      </w:r>
    </w:p>
    <w:p w:rsidR="0066340B" w:rsidRPr="00A318FA" w:rsidRDefault="0066340B" w:rsidP="007265AD">
      <w:pPr>
        <w:autoSpaceDE w:val="0"/>
        <w:autoSpaceDN w:val="0"/>
        <w:adjustRightInd w:val="0"/>
        <w:spacing w:after="0" w:line="240" w:lineRule="auto"/>
        <w:jc w:val="both"/>
        <w:rPr>
          <w:rFonts w:ascii="Times New Roman" w:hAnsi="Times New Roman" w:cs="Times New Roman"/>
          <w:bCs/>
          <w:sz w:val="24"/>
          <w:szCs w:val="24"/>
          <w:lang w:val="es-ES"/>
        </w:rPr>
      </w:pPr>
    </w:p>
    <w:p w:rsidR="00495363" w:rsidRPr="00A318FA" w:rsidRDefault="00495363" w:rsidP="007265AD">
      <w:pPr>
        <w:autoSpaceDE w:val="0"/>
        <w:autoSpaceDN w:val="0"/>
        <w:adjustRightInd w:val="0"/>
        <w:spacing w:after="0" w:line="240" w:lineRule="auto"/>
        <w:jc w:val="both"/>
        <w:rPr>
          <w:rFonts w:ascii="Times New Roman" w:hAnsi="Times New Roman" w:cs="Times New Roman"/>
          <w:bCs/>
          <w:sz w:val="24"/>
          <w:szCs w:val="24"/>
          <w:lang w:val="es-ES"/>
        </w:rPr>
      </w:pPr>
    </w:p>
    <w:p w:rsidR="00F10F9F" w:rsidRPr="00A40A29" w:rsidRDefault="00893B1E" w:rsidP="007265AD">
      <w:pPr>
        <w:autoSpaceDE w:val="0"/>
        <w:autoSpaceDN w:val="0"/>
        <w:adjustRightInd w:val="0"/>
        <w:spacing w:after="0" w:line="240" w:lineRule="auto"/>
        <w:jc w:val="both"/>
        <w:rPr>
          <w:rFonts w:ascii="Times New Roman" w:hAnsi="Times New Roman" w:cs="Times New Roman"/>
          <w:b/>
          <w:bCs/>
          <w:sz w:val="24"/>
          <w:szCs w:val="24"/>
          <w:lang w:val="es-ES"/>
        </w:rPr>
      </w:pPr>
      <w:r w:rsidRPr="00A40A29">
        <w:rPr>
          <w:rFonts w:ascii="Times New Roman" w:hAnsi="Times New Roman" w:cs="Times New Roman"/>
          <w:b/>
          <w:bCs/>
          <w:sz w:val="24"/>
          <w:szCs w:val="24"/>
          <w:lang w:val="es-ES"/>
        </w:rPr>
        <w:t>Las DV-</w:t>
      </w:r>
      <w:r w:rsidR="00DF5720" w:rsidRPr="00A40A29">
        <w:rPr>
          <w:rFonts w:ascii="Times New Roman" w:hAnsi="Times New Roman" w:cs="Times New Roman"/>
          <w:b/>
          <w:bCs/>
          <w:sz w:val="24"/>
          <w:szCs w:val="24"/>
          <w:lang w:val="es-ES"/>
        </w:rPr>
        <w:t>AEP</w:t>
      </w:r>
    </w:p>
    <w:p w:rsidR="00F10F9F" w:rsidRPr="00A318FA" w:rsidRDefault="00893B1E" w:rsidP="00893B1E">
      <w:pPr>
        <w:autoSpaceDE w:val="0"/>
        <w:autoSpaceDN w:val="0"/>
        <w:adjustRightInd w:val="0"/>
        <w:spacing w:after="0" w:line="240" w:lineRule="auto"/>
        <w:jc w:val="both"/>
        <w:rPr>
          <w:rFonts w:ascii="Times New Roman" w:hAnsi="Times New Roman" w:cs="Times New Roman"/>
          <w:bCs/>
          <w:sz w:val="24"/>
          <w:szCs w:val="24"/>
          <w:lang w:val="es-ES"/>
        </w:rPr>
      </w:pPr>
      <w:r w:rsidRPr="00A40A29">
        <w:rPr>
          <w:rFonts w:ascii="Times New Roman" w:hAnsi="Times New Roman" w:cs="Times New Roman"/>
          <w:bCs/>
          <w:sz w:val="24"/>
          <w:szCs w:val="24"/>
          <w:lang w:val="es-ES"/>
        </w:rPr>
        <w:t xml:space="preserve">En lo concerniente a la Directrices voluntarias para </w:t>
      </w:r>
      <w:r w:rsidR="00DF5720" w:rsidRPr="00A40A29">
        <w:rPr>
          <w:rFonts w:ascii="Times New Roman" w:hAnsi="Times New Roman" w:cs="Times New Roman"/>
          <w:bCs/>
          <w:sz w:val="24"/>
          <w:szCs w:val="24"/>
          <w:lang w:val="es-ES"/>
        </w:rPr>
        <w:t>la actuación del Estado del pabellón</w:t>
      </w:r>
      <w:r w:rsidRPr="00A40A29">
        <w:rPr>
          <w:rStyle w:val="FootnoteReference"/>
          <w:rFonts w:ascii="Times New Roman" w:hAnsi="Times New Roman" w:cs="Times New Roman"/>
          <w:bCs/>
          <w:sz w:val="24"/>
          <w:szCs w:val="24"/>
          <w:lang w:val="es-ES"/>
        </w:rPr>
        <w:footnoteReference w:id="14"/>
      </w:r>
      <w:r w:rsidRPr="00A40A29">
        <w:rPr>
          <w:rFonts w:ascii="Times New Roman" w:hAnsi="Times New Roman" w:cs="Times New Roman"/>
          <w:bCs/>
          <w:sz w:val="24"/>
          <w:szCs w:val="24"/>
          <w:lang w:val="es-ES"/>
        </w:rPr>
        <w:t>, el Registro mundial puede apoyar algunas obligaciones del Estado del pabellón, entre otras</w:t>
      </w:r>
      <w:r w:rsidR="007B21AD" w:rsidRPr="00A40A29">
        <w:rPr>
          <w:rFonts w:ascii="Times New Roman" w:hAnsi="Times New Roman" w:cs="Times New Roman"/>
          <w:bCs/>
          <w:sz w:val="24"/>
          <w:szCs w:val="24"/>
          <w:lang w:val="es-ES"/>
        </w:rPr>
        <w:t>:</w:t>
      </w:r>
      <w:r w:rsidR="007B21AD" w:rsidRPr="00A318FA">
        <w:rPr>
          <w:rFonts w:ascii="Times New Roman" w:hAnsi="Times New Roman" w:cs="Times New Roman"/>
          <w:bCs/>
          <w:sz w:val="24"/>
          <w:szCs w:val="24"/>
          <w:lang w:val="es-ES"/>
        </w:rPr>
        <w:t xml:space="preserve"> </w:t>
      </w:r>
    </w:p>
    <w:p w:rsidR="00893B1E" w:rsidRDefault="00893B1E" w:rsidP="007B21AD">
      <w:pPr>
        <w:pStyle w:val="ListParagraph"/>
        <w:numPr>
          <w:ilvl w:val="0"/>
          <w:numId w:val="6"/>
        </w:num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procedimientos de registro adecuados; con la verificación de los registros del buque y de su historia</w:t>
      </w:r>
      <w:r w:rsidR="00A40A29">
        <w:rPr>
          <w:rFonts w:ascii="Times New Roman" w:hAnsi="Times New Roman" w:cs="Times New Roman"/>
          <w:bCs/>
          <w:sz w:val="24"/>
          <w:szCs w:val="24"/>
          <w:lang w:val="es-ES"/>
        </w:rPr>
        <w:t>l</w:t>
      </w:r>
      <w:r>
        <w:rPr>
          <w:rFonts w:ascii="Times New Roman" w:hAnsi="Times New Roman" w:cs="Times New Roman"/>
          <w:bCs/>
          <w:sz w:val="24"/>
          <w:szCs w:val="24"/>
          <w:lang w:val="es-ES"/>
        </w:rPr>
        <w:t xml:space="preserve"> (a fin de evitar el registro de buques con un historial </w:t>
      </w:r>
      <w:r w:rsidR="00617EB7">
        <w:rPr>
          <w:rFonts w:ascii="Times New Roman" w:hAnsi="Times New Roman" w:cs="Times New Roman"/>
          <w:bCs/>
          <w:sz w:val="24"/>
          <w:szCs w:val="24"/>
          <w:lang w:val="es-ES"/>
        </w:rPr>
        <w:t xml:space="preserve">de </w:t>
      </w:r>
      <w:r>
        <w:rPr>
          <w:rFonts w:ascii="Times New Roman" w:hAnsi="Times New Roman" w:cs="Times New Roman"/>
          <w:bCs/>
          <w:sz w:val="24"/>
          <w:szCs w:val="24"/>
          <w:lang w:val="es-ES"/>
        </w:rPr>
        <w:t>incumplimiento o que ya están registrados en otros Estados);</w:t>
      </w:r>
    </w:p>
    <w:p w:rsidR="00893B1E" w:rsidRDefault="00BE2EF4" w:rsidP="007B21AD">
      <w:pPr>
        <w:pStyle w:val="ListParagraph"/>
        <w:numPr>
          <w:ilvl w:val="0"/>
          <w:numId w:val="6"/>
        </w:num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garantizar autorización (para pesca, transbordo u otras actividades) a los buques que tienen un “número de identificación único y reconocido internacionalmente” y un </w:t>
      </w:r>
      <w:r w:rsidR="00A40A29">
        <w:rPr>
          <w:rFonts w:ascii="Times New Roman" w:hAnsi="Times New Roman" w:cs="Times New Roman"/>
          <w:bCs/>
          <w:sz w:val="24"/>
          <w:szCs w:val="24"/>
          <w:lang w:val="es-ES"/>
        </w:rPr>
        <w:t>expediente</w:t>
      </w:r>
      <w:r>
        <w:rPr>
          <w:rFonts w:ascii="Times New Roman" w:hAnsi="Times New Roman" w:cs="Times New Roman"/>
          <w:bCs/>
          <w:sz w:val="24"/>
          <w:szCs w:val="24"/>
          <w:lang w:val="es-ES"/>
        </w:rPr>
        <w:t xml:space="preserve"> de cumplimiento limpio;</w:t>
      </w:r>
    </w:p>
    <w:p w:rsidR="007B21AD" w:rsidRPr="00A318FA" w:rsidRDefault="00BE2EF4" w:rsidP="00BE2EF4">
      <w:pPr>
        <w:pStyle w:val="ListParagraph"/>
        <w:numPr>
          <w:ilvl w:val="0"/>
          <w:numId w:val="6"/>
        </w:num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transparencia de la información por medio del intercambio de información y del uso de los estándares internacionales</w:t>
      </w:r>
      <w:r w:rsidR="007B21AD" w:rsidRPr="00A318FA">
        <w:rPr>
          <w:rFonts w:ascii="Times New Roman" w:hAnsi="Times New Roman" w:cs="Times New Roman"/>
          <w:bCs/>
          <w:sz w:val="24"/>
          <w:szCs w:val="24"/>
          <w:lang w:val="es-ES"/>
        </w:rPr>
        <w:t>.</w:t>
      </w:r>
    </w:p>
    <w:p w:rsidR="00617EB7" w:rsidRDefault="00617EB7" w:rsidP="007265AD">
      <w:pPr>
        <w:autoSpaceDE w:val="0"/>
        <w:autoSpaceDN w:val="0"/>
        <w:adjustRightInd w:val="0"/>
        <w:spacing w:after="0" w:line="240" w:lineRule="auto"/>
        <w:jc w:val="both"/>
        <w:rPr>
          <w:rFonts w:ascii="Times New Roman" w:hAnsi="Times New Roman" w:cs="Times New Roman"/>
          <w:bCs/>
          <w:sz w:val="24"/>
          <w:szCs w:val="24"/>
          <w:lang w:val="es-ES"/>
        </w:rPr>
      </w:pPr>
    </w:p>
    <w:p w:rsidR="00F10F9F" w:rsidRPr="00A318FA" w:rsidRDefault="00BE2EF4" w:rsidP="007265AD">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Todo lo anterior se aplica a los buques pesqueros, </w:t>
      </w:r>
      <w:r w:rsidR="00A24AB8">
        <w:rPr>
          <w:rFonts w:ascii="Times New Roman" w:hAnsi="Times New Roman" w:cs="Times New Roman"/>
          <w:bCs/>
          <w:sz w:val="24"/>
          <w:szCs w:val="24"/>
          <w:lang w:val="es-ES"/>
        </w:rPr>
        <w:t xml:space="preserve">además de </w:t>
      </w:r>
      <w:r>
        <w:rPr>
          <w:rFonts w:ascii="Times New Roman" w:hAnsi="Times New Roman" w:cs="Times New Roman"/>
          <w:bCs/>
          <w:sz w:val="24"/>
          <w:szCs w:val="24"/>
          <w:lang w:val="es-ES"/>
        </w:rPr>
        <w:t>los buques de transporte frigorífico y de suministro que también se incluyen en el Registro mundial.</w:t>
      </w:r>
      <w:r w:rsidR="005150CC" w:rsidRPr="00A318FA">
        <w:rPr>
          <w:rFonts w:ascii="Times New Roman" w:hAnsi="Times New Roman" w:cs="Times New Roman"/>
          <w:bCs/>
          <w:sz w:val="24"/>
          <w:szCs w:val="24"/>
          <w:lang w:val="es-ES"/>
        </w:rPr>
        <w:t xml:space="preserve"> </w:t>
      </w:r>
    </w:p>
    <w:p w:rsidR="005150CC" w:rsidRPr="00A318FA" w:rsidRDefault="005150CC" w:rsidP="007265AD">
      <w:pPr>
        <w:autoSpaceDE w:val="0"/>
        <w:autoSpaceDN w:val="0"/>
        <w:adjustRightInd w:val="0"/>
        <w:spacing w:after="0" w:line="240" w:lineRule="auto"/>
        <w:jc w:val="both"/>
        <w:rPr>
          <w:rFonts w:ascii="Times New Roman" w:hAnsi="Times New Roman" w:cs="Times New Roman"/>
          <w:bCs/>
          <w:sz w:val="24"/>
          <w:szCs w:val="24"/>
          <w:lang w:val="es-ES"/>
        </w:rPr>
      </w:pPr>
    </w:p>
    <w:p w:rsidR="00F10F9F" w:rsidRPr="00A318FA" w:rsidRDefault="00BE2EF4" w:rsidP="007265AD">
      <w:pPr>
        <w:autoSpaceDE w:val="0"/>
        <w:autoSpaceDN w:val="0"/>
        <w:adjustRightInd w:val="0"/>
        <w:spacing w:after="0" w:line="24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Las DV-SDC</w:t>
      </w:r>
    </w:p>
    <w:p w:rsidR="00BE2EF4" w:rsidRDefault="00BE2EF4" w:rsidP="007265AD">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Las Directrices voluntarias para los sistemas de </w:t>
      </w:r>
      <w:r w:rsidR="00691E98">
        <w:rPr>
          <w:rFonts w:ascii="Times New Roman" w:hAnsi="Times New Roman" w:cs="Times New Roman"/>
          <w:bCs/>
          <w:sz w:val="24"/>
          <w:szCs w:val="24"/>
          <w:lang w:val="es-ES"/>
        </w:rPr>
        <w:t>documentación de la</w:t>
      </w:r>
      <w:r w:rsidR="00A40A29">
        <w:rPr>
          <w:rFonts w:ascii="Times New Roman" w:hAnsi="Times New Roman" w:cs="Times New Roman"/>
          <w:bCs/>
          <w:sz w:val="24"/>
          <w:szCs w:val="24"/>
          <w:lang w:val="es-ES"/>
        </w:rPr>
        <w:t>s</w:t>
      </w:r>
      <w:r w:rsidR="00691E98">
        <w:rPr>
          <w:rFonts w:ascii="Times New Roman" w:hAnsi="Times New Roman" w:cs="Times New Roman"/>
          <w:bCs/>
          <w:sz w:val="24"/>
          <w:szCs w:val="24"/>
          <w:lang w:val="es-ES"/>
        </w:rPr>
        <w:t xml:space="preserve"> captura</w:t>
      </w:r>
      <w:r w:rsidR="00A40A29">
        <w:rPr>
          <w:rFonts w:ascii="Times New Roman" w:hAnsi="Times New Roman" w:cs="Times New Roman"/>
          <w:bCs/>
          <w:sz w:val="24"/>
          <w:szCs w:val="24"/>
          <w:lang w:val="es-ES"/>
        </w:rPr>
        <w:t>s</w:t>
      </w:r>
      <w:r w:rsidR="00691E98" w:rsidRPr="00A318FA">
        <w:rPr>
          <w:rStyle w:val="FootnoteReference"/>
          <w:rFonts w:ascii="Times New Roman" w:hAnsi="Times New Roman" w:cs="Times New Roman"/>
          <w:bCs/>
          <w:sz w:val="24"/>
          <w:szCs w:val="24"/>
          <w:lang w:val="es-ES"/>
        </w:rPr>
        <w:footnoteReference w:id="15"/>
      </w:r>
      <w:r w:rsidR="00691E98">
        <w:rPr>
          <w:rFonts w:ascii="Times New Roman" w:hAnsi="Times New Roman" w:cs="Times New Roman"/>
          <w:bCs/>
          <w:sz w:val="24"/>
          <w:szCs w:val="24"/>
          <w:lang w:val="es-ES"/>
        </w:rPr>
        <w:t xml:space="preserve"> se basan en la responsabilidad principal del Estado del pabellón en la lucha contra la pesca INDNR, garantizando que las capturas se realizan </w:t>
      </w:r>
      <w:r w:rsidR="00F51EC8">
        <w:rPr>
          <w:rFonts w:ascii="Times New Roman" w:hAnsi="Times New Roman" w:cs="Times New Roman"/>
          <w:bCs/>
          <w:sz w:val="24"/>
          <w:szCs w:val="24"/>
          <w:lang w:val="es-ES"/>
        </w:rPr>
        <w:t>de conformidad</w:t>
      </w:r>
      <w:r w:rsidR="00691E98">
        <w:rPr>
          <w:rFonts w:ascii="Times New Roman" w:hAnsi="Times New Roman" w:cs="Times New Roman"/>
          <w:bCs/>
          <w:sz w:val="24"/>
          <w:szCs w:val="24"/>
          <w:lang w:val="es-ES"/>
        </w:rPr>
        <w:t xml:space="preserve"> con las medidas de conservación y gestión internacionales, regionales y nacionales (que impiden la entrada en la cadena de suministro de los productos derivados de la pesca INDNR)</w:t>
      </w:r>
      <w:r w:rsidR="00F51EC8">
        <w:rPr>
          <w:rFonts w:ascii="Times New Roman" w:hAnsi="Times New Roman" w:cs="Times New Roman"/>
          <w:bCs/>
          <w:sz w:val="24"/>
          <w:szCs w:val="24"/>
          <w:lang w:val="es-ES"/>
        </w:rPr>
        <w:t>.</w:t>
      </w:r>
    </w:p>
    <w:p w:rsidR="00691E98" w:rsidRDefault="00691E98" w:rsidP="007265AD">
      <w:pPr>
        <w:autoSpaceDE w:val="0"/>
        <w:autoSpaceDN w:val="0"/>
        <w:adjustRightInd w:val="0"/>
        <w:spacing w:after="0" w:line="240" w:lineRule="auto"/>
        <w:jc w:val="both"/>
        <w:rPr>
          <w:rFonts w:ascii="Times New Roman" w:hAnsi="Times New Roman" w:cs="Times New Roman"/>
          <w:bCs/>
          <w:sz w:val="24"/>
          <w:szCs w:val="24"/>
          <w:lang w:val="es-ES"/>
        </w:rPr>
      </w:pPr>
    </w:p>
    <w:p w:rsidR="006D6E79" w:rsidRPr="00A318FA" w:rsidRDefault="00691E98" w:rsidP="007265AD">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Al respecto, el Registro mundial puede apoyar la trazabilidad de la pesca y de los productos pesqueros desde el punto de desembarque o transbordo hasta el destino final, </w:t>
      </w:r>
      <w:r w:rsidR="00F51EC8">
        <w:rPr>
          <w:rFonts w:ascii="Times New Roman" w:hAnsi="Times New Roman" w:cs="Times New Roman"/>
          <w:bCs/>
          <w:sz w:val="24"/>
          <w:szCs w:val="24"/>
          <w:lang w:val="es-ES"/>
        </w:rPr>
        <w:t xml:space="preserve">a través de </w:t>
      </w:r>
      <w:r>
        <w:rPr>
          <w:rFonts w:ascii="Times New Roman" w:hAnsi="Times New Roman" w:cs="Times New Roman"/>
          <w:bCs/>
          <w:sz w:val="24"/>
          <w:szCs w:val="24"/>
          <w:lang w:val="es-ES"/>
        </w:rPr>
        <w:t>la cadena de mercado, por medio de</w:t>
      </w:r>
      <w:r w:rsidR="00946DDF" w:rsidRPr="00A318FA">
        <w:rPr>
          <w:rFonts w:ascii="Times New Roman" w:hAnsi="Times New Roman" w:cs="Times New Roman"/>
          <w:bCs/>
          <w:sz w:val="24"/>
          <w:szCs w:val="24"/>
          <w:lang w:val="es-ES"/>
        </w:rPr>
        <w:t>:</w:t>
      </w:r>
    </w:p>
    <w:p w:rsidR="00691E98" w:rsidRDefault="00691E98" w:rsidP="00946DDF">
      <w:pPr>
        <w:pStyle w:val="ListParagraph"/>
        <w:numPr>
          <w:ilvl w:val="0"/>
          <w:numId w:val="7"/>
        </w:num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vinculación del buque y de los productos pesqueros a través del identificador único del buque (IU</w:t>
      </w:r>
      <w:r w:rsidR="00974711">
        <w:rPr>
          <w:rFonts w:ascii="Times New Roman" w:hAnsi="Times New Roman" w:cs="Times New Roman"/>
          <w:bCs/>
          <w:sz w:val="24"/>
          <w:szCs w:val="24"/>
          <w:lang w:val="es-ES"/>
        </w:rPr>
        <w:t>B</w:t>
      </w:r>
      <w:r>
        <w:rPr>
          <w:rFonts w:ascii="Times New Roman" w:hAnsi="Times New Roman" w:cs="Times New Roman"/>
          <w:bCs/>
          <w:sz w:val="24"/>
          <w:szCs w:val="24"/>
          <w:lang w:val="es-ES"/>
        </w:rPr>
        <w:t>) que debería incluirse en toda la documentación relacionada con el producto (acompañada con un número de documento único y seguro);</w:t>
      </w:r>
    </w:p>
    <w:p w:rsidR="00691E98" w:rsidRDefault="00691E98" w:rsidP="00946DDF">
      <w:pPr>
        <w:pStyle w:val="ListParagraph"/>
        <w:numPr>
          <w:ilvl w:val="0"/>
          <w:numId w:val="7"/>
        </w:num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verificación del origen legal (o no) de la pesca y los productos pesqueros (</w:t>
      </w:r>
      <w:r w:rsidR="00617EB7">
        <w:rPr>
          <w:rFonts w:ascii="Times New Roman" w:hAnsi="Times New Roman" w:cs="Times New Roman"/>
          <w:bCs/>
          <w:sz w:val="24"/>
          <w:szCs w:val="24"/>
          <w:lang w:val="es-ES"/>
        </w:rPr>
        <w:t>trazabilidad d</w:t>
      </w:r>
      <w:r w:rsidR="001C44FB">
        <w:rPr>
          <w:rFonts w:ascii="Times New Roman" w:hAnsi="Times New Roman" w:cs="Times New Roman"/>
          <w:bCs/>
          <w:sz w:val="24"/>
          <w:szCs w:val="24"/>
          <w:lang w:val="es-ES"/>
        </w:rPr>
        <w:t>el producto hasta su fuente, el buque);</w:t>
      </w:r>
    </w:p>
    <w:p w:rsidR="007A2332" w:rsidRDefault="001C44FB" w:rsidP="00946DDF">
      <w:pPr>
        <w:pStyle w:val="ListParagraph"/>
        <w:numPr>
          <w:ilvl w:val="0"/>
          <w:numId w:val="7"/>
        </w:numPr>
        <w:autoSpaceDE w:val="0"/>
        <w:autoSpaceDN w:val="0"/>
        <w:adjustRightInd w:val="0"/>
        <w:spacing w:after="0" w:line="240" w:lineRule="auto"/>
        <w:jc w:val="both"/>
        <w:rPr>
          <w:rFonts w:ascii="Times New Roman" w:hAnsi="Times New Roman" w:cs="Times New Roman"/>
          <w:bCs/>
          <w:sz w:val="24"/>
          <w:szCs w:val="24"/>
          <w:lang w:val="es-ES"/>
        </w:rPr>
      </w:pPr>
      <w:r w:rsidRPr="001C44FB">
        <w:rPr>
          <w:rFonts w:ascii="Times New Roman" w:hAnsi="Times New Roman" w:cs="Times New Roman"/>
          <w:bCs/>
          <w:sz w:val="24"/>
          <w:szCs w:val="24"/>
          <w:lang w:val="es-ES"/>
        </w:rPr>
        <w:t>el apoyo al análisis de riesgo</w:t>
      </w:r>
      <w:r w:rsidR="00617EB7">
        <w:rPr>
          <w:rFonts w:ascii="Times New Roman" w:hAnsi="Times New Roman" w:cs="Times New Roman"/>
          <w:bCs/>
          <w:sz w:val="24"/>
          <w:szCs w:val="24"/>
          <w:lang w:val="es-ES"/>
        </w:rPr>
        <w:t>s</w:t>
      </w:r>
      <w:r w:rsidRPr="001C44FB">
        <w:rPr>
          <w:rFonts w:ascii="Times New Roman" w:hAnsi="Times New Roman" w:cs="Times New Roman"/>
          <w:bCs/>
          <w:sz w:val="24"/>
          <w:szCs w:val="24"/>
          <w:lang w:val="es-ES"/>
        </w:rPr>
        <w:t xml:space="preserve"> para diseñar e implementar el SDC.</w:t>
      </w:r>
    </w:p>
    <w:p w:rsidR="001C44FB" w:rsidRPr="001C44FB" w:rsidRDefault="001C44FB" w:rsidP="001C44FB">
      <w:pPr>
        <w:autoSpaceDE w:val="0"/>
        <w:autoSpaceDN w:val="0"/>
        <w:adjustRightInd w:val="0"/>
        <w:spacing w:after="0" w:line="240" w:lineRule="auto"/>
        <w:jc w:val="both"/>
        <w:rPr>
          <w:rFonts w:ascii="Times New Roman" w:hAnsi="Times New Roman" w:cs="Times New Roman"/>
          <w:bCs/>
          <w:sz w:val="24"/>
          <w:szCs w:val="24"/>
          <w:lang w:val="es-ES"/>
        </w:rPr>
      </w:pPr>
    </w:p>
    <w:p w:rsidR="00E4631B" w:rsidRPr="00A318FA" w:rsidRDefault="001C44FB" w:rsidP="00E4631B">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Todo esto, de nuevo</w:t>
      </w:r>
      <w:r w:rsidR="00E4631B" w:rsidRPr="00A318FA">
        <w:rPr>
          <w:rFonts w:ascii="Times New Roman" w:hAnsi="Times New Roman" w:cs="Times New Roman"/>
          <w:bCs/>
          <w:sz w:val="24"/>
          <w:szCs w:val="24"/>
          <w:lang w:val="es-ES"/>
        </w:rPr>
        <w:t>,</w:t>
      </w:r>
      <w:r>
        <w:rPr>
          <w:rFonts w:ascii="Times New Roman" w:hAnsi="Times New Roman" w:cs="Times New Roman"/>
          <w:bCs/>
          <w:sz w:val="24"/>
          <w:szCs w:val="24"/>
          <w:lang w:val="es-ES"/>
        </w:rPr>
        <w:t xml:space="preserve"> se aplica a los buques pesqueros y también a los buques de suministro, de procesamiento de la pesca, </w:t>
      </w:r>
      <w:r w:rsidR="00A24AB8">
        <w:rPr>
          <w:rFonts w:ascii="Times New Roman" w:hAnsi="Times New Roman" w:cs="Times New Roman"/>
          <w:bCs/>
          <w:sz w:val="24"/>
          <w:szCs w:val="24"/>
          <w:lang w:val="es-ES"/>
        </w:rPr>
        <w:t xml:space="preserve">los </w:t>
      </w:r>
      <w:r>
        <w:rPr>
          <w:rFonts w:ascii="Times New Roman" w:hAnsi="Times New Roman" w:cs="Times New Roman"/>
          <w:bCs/>
          <w:sz w:val="24"/>
          <w:szCs w:val="24"/>
          <w:lang w:val="es-ES"/>
        </w:rPr>
        <w:t xml:space="preserve">que realizan actividades de transbordo y </w:t>
      </w:r>
      <w:r w:rsidR="00F51EC8">
        <w:rPr>
          <w:rFonts w:ascii="Times New Roman" w:hAnsi="Times New Roman" w:cs="Times New Roman"/>
          <w:bCs/>
          <w:sz w:val="24"/>
          <w:szCs w:val="24"/>
          <w:lang w:val="es-ES"/>
        </w:rPr>
        <w:t xml:space="preserve">los buques cargueros </w:t>
      </w:r>
      <w:r>
        <w:rPr>
          <w:rFonts w:ascii="Times New Roman" w:hAnsi="Times New Roman" w:cs="Times New Roman"/>
          <w:bCs/>
          <w:sz w:val="24"/>
          <w:szCs w:val="24"/>
          <w:lang w:val="es-ES"/>
        </w:rPr>
        <w:t xml:space="preserve">equipados para el transporto de los productos pesqueros a excepción de los </w:t>
      </w:r>
      <w:r w:rsidR="00F51EC8">
        <w:rPr>
          <w:rFonts w:ascii="Times New Roman" w:hAnsi="Times New Roman" w:cs="Times New Roman"/>
          <w:bCs/>
          <w:sz w:val="24"/>
          <w:szCs w:val="24"/>
          <w:lang w:val="es-ES"/>
        </w:rPr>
        <w:t>portacontenedores</w:t>
      </w:r>
      <w:r>
        <w:rPr>
          <w:rFonts w:ascii="Times New Roman" w:hAnsi="Times New Roman" w:cs="Times New Roman"/>
          <w:bCs/>
          <w:sz w:val="24"/>
          <w:szCs w:val="24"/>
          <w:lang w:val="es-ES"/>
        </w:rPr>
        <w:t>. Esta última categoría se refier</w:t>
      </w:r>
      <w:r w:rsidR="00617EB7">
        <w:rPr>
          <w:rFonts w:ascii="Times New Roman" w:hAnsi="Times New Roman" w:cs="Times New Roman"/>
          <w:bCs/>
          <w:sz w:val="24"/>
          <w:szCs w:val="24"/>
          <w:lang w:val="es-ES"/>
        </w:rPr>
        <w:t>e</w:t>
      </w:r>
      <w:r>
        <w:rPr>
          <w:rFonts w:ascii="Times New Roman" w:hAnsi="Times New Roman" w:cs="Times New Roman"/>
          <w:bCs/>
          <w:sz w:val="24"/>
          <w:szCs w:val="24"/>
          <w:lang w:val="es-ES"/>
        </w:rPr>
        <w:t xml:space="preserve"> a los buques de transporte frigorífico y de suministro</w:t>
      </w:r>
      <w:r w:rsidR="00E4631B" w:rsidRPr="00A318FA">
        <w:rPr>
          <w:rFonts w:ascii="Times New Roman" w:hAnsi="Times New Roman" w:cs="Times New Roman"/>
          <w:bCs/>
          <w:sz w:val="24"/>
          <w:szCs w:val="24"/>
          <w:lang w:val="es-ES"/>
        </w:rPr>
        <w:t>.</w:t>
      </w:r>
    </w:p>
    <w:p w:rsidR="00894DBA" w:rsidRPr="00A318FA" w:rsidRDefault="00894DBA" w:rsidP="007265AD">
      <w:pPr>
        <w:autoSpaceDE w:val="0"/>
        <w:autoSpaceDN w:val="0"/>
        <w:adjustRightInd w:val="0"/>
        <w:spacing w:after="0" w:line="240" w:lineRule="auto"/>
        <w:jc w:val="both"/>
        <w:rPr>
          <w:rFonts w:ascii="Times New Roman" w:hAnsi="Times New Roman" w:cs="Times New Roman"/>
          <w:bCs/>
          <w:sz w:val="24"/>
          <w:szCs w:val="24"/>
          <w:lang w:val="es-ES"/>
        </w:rPr>
      </w:pPr>
    </w:p>
    <w:p w:rsidR="00A24AB8" w:rsidRDefault="00A24AB8" w:rsidP="007265AD">
      <w:pPr>
        <w:autoSpaceDE w:val="0"/>
        <w:autoSpaceDN w:val="0"/>
        <w:adjustRightInd w:val="0"/>
        <w:spacing w:after="0" w:line="240" w:lineRule="auto"/>
        <w:jc w:val="both"/>
        <w:rPr>
          <w:rFonts w:ascii="Times New Roman" w:hAnsi="Times New Roman" w:cs="Times New Roman"/>
          <w:b/>
          <w:bCs/>
          <w:sz w:val="24"/>
          <w:szCs w:val="24"/>
          <w:lang w:val="es-ES"/>
        </w:rPr>
      </w:pPr>
    </w:p>
    <w:p w:rsidR="00A24AB8" w:rsidRDefault="00A24AB8" w:rsidP="007265AD">
      <w:pPr>
        <w:autoSpaceDE w:val="0"/>
        <w:autoSpaceDN w:val="0"/>
        <w:adjustRightInd w:val="0"/>
        <w:spacing w:after="0" w:line="240" w:lineRule="auto"/>
        <w:jc w:val="both"/>
        <w:rPr>
          <w:rFonts w:ascii="Times New Roman" w:hAnsi="Times New Roman" w:cs="Times New Roman"/>
          <w:b/>
          <w:bCs/>
          <w:sz w:val="24"/>
          <w:szCs w:val="24"/>
          <w:lang w:val="es-ES"/>
        </w:rPr>
      </w:pPr>
    </w:p>
    <w:p w:rsidR="00A24AB8" w:rsidRDefault="00A24AB8" w:rsidP="007265AD">
      <w:pPr>
        <w:autoSpaceDE w:val="0"/>
        <w:autoSpaceDN w:val="0"/>
        <w:adjustRightInd w:val="0"/>
        <w:spacing w:after="0" w:line="240" w:lineRule="auto"/>
        <w:jc w:val="both"/>
        <w:rPr>
          <w:rFonts w:ascii="Times New Roman" w:hAnsi="Times New Roman" w:cs="Times New Roman"/>
          <w:b/>
          <w:bCs/>
          <w:sz w:val="24"/>
          <w:szCs w:val="24"/>
          <w:lang w:val="es-ES"/>
        </w:rPr>
      </w:pPr>
    </w:p>
    <w:p w:rsidR="00894DBA" w:rsidRPr="00A318FA" w:rsidRDefault="001C44FB" w:rsidP="007265AD">
      <w:pPr>
        <w:autoSpaceDE w:val="0"/>
        <w:autoSpaceDN w:val="0"/>
        <w:adjustRightInd w:val="0"/>
        <w:spacing w:after="0" w:line="24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El </w:t>
      </w:r>
      <w:r w:rsidR="00894DBA" w:rsidRPr="00A318FA">
        <w:rPr>
          <w:rFonts w:ascii="Times New Roman" w:hAnsi="Times New Roman" w:cs="Times New Roman"/>
          <w:b/>
          <w:bCs/>
          <w:sz w:val="24"/>
          <w:szCs w:val="24"/>
          <w:lang w:val="es-ES"/>
        </w:rPr>
        <w:t>UNFSA</w:t>
      </w:r>
    </w:p>
    <w:p w:rsidR="001C44FB" w:rsidRDefault="001C44FB" w:rsidP="001C44FB">
      <w:pPr>
        <w:autoSpaceDE w:val="0"/>
        <w:autoSpaceDN w:val="0"/>
        <w:adjustRightInd w:val="0"/>
        <w:spacing w:after="0" w:line="240" w:lineRule="auto"/>
        <w:jc w:val="both"/>
        <w:rPr>
          <w:rFonts w:ascii="Times New Roman" w:hAnsi="Times New Roman" w:cs="Times New Roman"/>
          <w:bCs/>
          <w:sz w:val="24"/>
          <w:szCs w:val="24"/>
          <w:lang w:val="es-ES"/>
        </w:rPr>
      </w:pPr>
      <w:r w:rsidRPr="001C44FB">
        <w:rPr>
          <w:rFonts w:ascii="Times New Roman" w:hAnsi="Times New Roman" w:cs="Times New Roman"/>
          <w:bCs/>
          <w:sz w:val="24"/>
          <w:szCs w:val="24"/>
          <w:lang w:val="es-ES"/>
        </w:rPr>
        <w:t>E</w:t>
      </w:r>
      <w:r w:rsidR="00ED6DCA">
        <w:rPr>
          <w:rFonts w:ascii="Times New Roman" w:hAnsi="Times New Roman" w:cs="Times New Roman"/>
          <w:bCs/>
          <w:sz w:val="24"/>
          <w:szCs w:val="24"/>
          <w:lang w:val="es-ES"/>
        </w:rPr>
        <w:t>l</w:t>
      </w:r>
      <w:r w:rsidRPr="001C44FB">
        <w:rPr>
          <w:rFonts w:ascii="Times New Roman" w:hAnsi="Times New Roman" w:cs="Times New Roman"/>
          <w:bCs/>
          <w:sz w:val="24"/>
          <w:szCs w:val="24"/>
          <w:lang w:val="es-ES"/>
        </w:rPr>
        <w:t xml:space="preserve"> </w:t>
      </w:r>
      <w:r w:rsidR="00ED6DCA">
        <w:rPr>
          <w:rFonts w:ascii="Times New Roman" w:hAnsi="Times New Roman" w:cs="Times New Roman"/>
          <w:bCs/>
          <w:sz w:val="24"/>
          <w:szCs w:val="24"/>
          <w:lang w:val="es-ES"/>
        </w:rPr>
        <w:t>A</w:t>
      </w:r>
      <w:r w:rsidRPr="001C44FB">
        <w:rPr>
          <w:rFonts w:ascii="Times New Roman" w:hAnsi="Times New Roman" w:cs="Times New Roman"/>
          <w:bCs/>
          <w:sz w:val="24"/>
          <w:szCs w:val="24"/>
          <w:lang w:val="es-ES"/>
        </w:rPr>
        <w:t>cuerdo sobre la aplicación de las disposiciones de la Convención de las Naciones Unidas sobre</w:t>
      </w:r>
      <w:r>
        <w:rPr>
          <w:rFonts w:ascii="Times New Roman" w:hAnsi="Times New Roman" w:cs="Times New Roman"/>
          <w:bCs/>
          <w:sz w:val="24"/>
          <w:szCs w:val="24"/>
          <w:lang w:val="es-ES"/>
        </w:rPr>
        <w:t xml:space="preserve"> </w:t>
      </w:r>
      <w:r w:rsidRPr="001C44FB">
        <w:rPr>
          <w:rFonts w:ascii="Times New Roman" w:hAnsi="Times New Roman" w:cs="Times New Roman"/>
          <w:bCs/>
          <w:sz w:val="24"/>
          <w:szCs w:val="24"/>
          <w:lang w:val="es-ES"/>
        </w:rPr>
        <w:t>el Derecho del Mar de 10 de diciembre de 1982 relativas a la conservación y ordenación de las poblaciones de peces transzonales y las poblaciones de peces altamente migratorios</w:t>
      </w:r>
      <w:r w:rsidRPr="00A318FA">
        <w:rPr>
          <w:rStyle w:val="FootnoteReference"/>
          <w:rFonts w:ascii="Times New Roman" w:hAnsi="Times New Roman" w:cs="Times New Roman"/>
          <w:bCs/>
          <w:sz w:val="24"/>
          <w:szCs w:val="24"/>
          <w:lang w:val="es-ES"/>
        </w:rPr>
        <w:footnoteReference w:id="16"/>
      </w:r>
      <w:r>
        <w:rPr>
          <w:rFonts w:ascii="Times New Roman" w:hAnsi="Times New Roman" w:cs="Times New Roman"/>
          <w:bCs/>
          <w:sz w:val="24"/>
          <w:szCs w:val="24"/>
          <w:lang w:val="es-ES"/>
        </w:rPr>
        <w:t xml:space="preserve">, en su Artículo </w:t>
      </w:r>
      <w:r w:rsidR="005F78F7">
        <w:rPr>
          <w:rFonts w:ascii="Times New Roman" w:hAnsi="Times New Roman" w:cs="Times New Roman"/>
          <w:bCs/>
          <w:sz w:val="24"/>
          <w:szCs w:val="24"/>
          <w:lang w:val="es-ES"/>
        </w:rPr>
        <w:t>1</w:t>
      </w:r>
      <w:r>
        <w:rPr>
          <w:rFonts w:ascii="Times New Roman" w:hAnsi="Times New Roman" w:cs="Times New Roman"/>
          <w:bCs/>
          <w:sz w:val="24"/>
          <w:szCs w:val="24"/>
          <w:lang w:val="es-ES"/>
        </w:rPr>
        <w:t>8</w:t>
      </w:r>
      <w:r w:rsidR="005F78F7">
        <w:rPr>
          <w:rFonts w:ascii="Times New Roman" w:hAnsi="Times New Roman" w:cs="Times New Roman"/>
          <w:bCs/>
          <w:sz w:val="24"/>
          <w:szCs w:val="24"/>
          <w:lang w:val="es-ES"/>
        </w:rPr>
        <w:t xml:space="preserve"> estipula los </w:t>
      </w:r>
      <w:r>
        <w:rPr>
          <w:rFonts w:ascii="Times New Roman" w:hAnsi="Times New Roman" w:cs="Times New Roman"/>
          <w:bCs/>
          <w:sz w:val="24"/>
          <w:szCs w:val="24"/>
          <w:lang w:val="es-ES"/>
        </w:rPr>
        <w:t>deberes del Estado del pabellón de conformidad con los indicados en el PAI-</w:t>
      </w:r>
      <w:r w:rsidR="005F78F7">
        <w:rPr>
          <w:rFonts w:ascii="Times New Roman" w:hAnsi="Times New Roman" w:cs="Times New Roman"/>
          <w:bCs/>
          <w:sz w:val="24"/>
          <w:szCs w:val="24"/>
          <w:lang w:val="es-ES"/>
        </w:rPr>
        <w:t xml:space="preserve">pesca </w:t>
      </w:r>
      <w:r>
        <w:rPr>
          <w:rFonts w:ascii="Times New Roman" w:hAnsi="Times New Roman" w:cs="Times New Roman"/>
          <w:bCs/>
          <w:sz w:val="24"/>
          <w:szCs w:val="24"/>
          <w:lang w:val="es-ES"/>
        </w:rPr>
        <w:t xml:space="preserve">INDNR y las </w:t>
      </w:r>
      <w:r w:rsidR="005F78F7">
        <w:rPr>
          <w:rFonts w:ascii="Times New Roman" w:hAnsi="Times New Roman" w:cs="Times New Roman"/>
          <w:bCs/>
          <w:sz w:val="24"/>
          <w:szCs w:val="24"/>
          <w:lang w:val="es-ES"/>
        </w:rPr>
        <w:t>DV-</w:t>
      </w:r>
      <w:r w:rsidR="00ED6DCA">
        <w:rPr>
          <w:rFonts w:ascii="Times New Roman" w:hAnsi="Times New Roman" w:cs="Times New Roman"/>
          <w:bCs/>
          <w:sz w:val="24"/>
          <w:szCs w:val="24"/>
          <w:lang w:val="es-ES"/>
        </w:rPr>
        <w:t>AEP</w:t>
      </w:r>
      <w:r w:rsidR="005F78F7">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para los cuales el Registro mundial puede tener el papel indicado anteriormente.</w:t>
      </w:r>
    </w:p>
    <w:p w:rsidR="001C44FB" w:rsidRDefault="001C44FB" w:rsidP="001C44FB">
      <w:pPr>
        <w:autoSpaceDE w:val="0"/>
        <w:autoSpaceDN w:val="0"/>
        <w:adjustRightInd w:val="0"/>
        <w:spacing w:after="0" w:line="240" w:lineRule="auto"/>
        <w:jc w:val="both"/>
        <w:rPr>
          <w:rFonts w:ascii="Times New Roman" w:hAnsi="Times New Roman" w:cs="Times New Roman"/>
          <w:bCs/>
          <w:sz w:val="24"/>
          <w:szCs w:val="24"/>
          <w:lang w:val="es-ES"/>
        </w:rPr>
      </w:pPr>
    </w:p>
    <w:p w:rsidR="00032729" w:rsidRDefault="001C44FB" w:rsidP="00A17643">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En relación con el intercambio de datos, Artículo 7 del </w:t>
      </w:r>
      <w:r w:rsidR="00032729">
        <w:rPr>
          <w:rFonts w:ascii="Times New Roman" w:hAnsi="Times New Roman" w:cs="Times New Roman"/>
          <w:bCs/>
          <w:sz w:val="24"/>
          <w:szCs w:val="24"/>
          <w:lang w:val="es-ES"/>
        </w:rPr>
        <w:t>Anexo I</w:t>
      </w:r>
      <w:r w:rsidR="00032729" w:rsidRPr="00A318FA">
        <w:rPr>
          <w:rStyle w:val="FootnoteReference"/>
          <w:rFonts w:ascii="Times New Roman" w:hAnsi="Times New Roman" w:cs="Times New Roman"/>
          <w:bCs/>
          <w:sz w:val="24"/>
          <w:szCs w:val="24"/>
          <w:lang w:val="es-ES"/>
        </w:rPr>
        <w:footnoteReference w:id="17"/>
      </w:r>
      <w:r w:rsidR="00032729">
        <w:rPr>
          <w:rFonts w:ascii="Times New Roman" w:hAnsi="Times New Roman" w:cs="Times New Roman"/>
          <w:bCs/>
          <w:sz w:val="24"/>
          <w:szCs w:val="24"/>
          <w:lang w:val="es-ES"/>
        </w:rPr>
        <w:t xml:space="preserve"> indica en su Párrafo 2 que </w:t>
      </w:r>
      <w:r w:rsidR="000C44A6" w:rsidRPr="00A318FA">
        <w:rPr>
          <w:rFonts w:ascii="Times New Roman" w:hAnsi="Times New Roman" w:cs="Times New Roman"/>
          <w:bCs/>
          <w:sz w:val="24"/>
          <w:szCs w:val="24"/>
          <w:lang w:val="es-ES"/>
        </w:rPr>
        <w:t>“</w:t>
      </w:r>
      <w:r w:rsidR="00A17643" w:rsidRPr="00A17643">
        <w:rPr>
          <w:rFonts w:ascii="Times New Roman" w:hAnsi="Times New Roman" w:cs="Times New Roman"/>
          <w:bCs/>
          <w:i/>
          <w:sz w:val="24"/>
          <w:szCs w:val="24"/>
          <w:lang w:val="es-ES"/>
        </w:rPr>
        <w:t xml:space="preserve">en el plano mundial, la reunión y la difusión de datos deberían efectuarse por conducto de la Organización de las Naciones Unidas para la </w:t>
      </w:r>
      <w:r w:rsidR="00A17643">
        <w:rPr>
          <w:rFonts w:ascii="Times New Roman" w:hAnsi="Times New Roman" w:cs="Times New Roman"/>
          <w:bCs/>
          <w:i/>
          <w:sz w:val="24"/>
          <w:szCs w:val="24"/>
          <w:lang w:val="es-ES"/>
        </w:rPr>
        <w:t>Alimentación y la Agricultura</w:t>
      </w:r>
      <w:r w:rsidR="00A17643">
        <w:rPr>
          <w:rFonts w:ascii="Times New Roman" w:hAnsi="Times New Roman" w:cs="Times New Roman"/>
          <w:bCs/>
          <w:sz w:val="24"/>
          <w:szCs w:val="24"/>
          <w:lang w:val="es-ES"/>
        </w:rPr>
        <w:t xml:space="preserve">”. </w:t>
      </w:r>
    </w:p>
    <w:p w:rsidR="00FA3A8A" w:rsidRPr="00A318FA" w:rsidRDefault="000C44A6" w:rsidP="007265AD">
      <w:pPr>
        <w:autoSpaceDE w:val="0"/>
        <w:autoSpaceDN w:val="0"/>
        <w:adjustRightInd w:val="0"/>
        <w:spacing w:after="0" w:line="240" w:lineRule="auto"/>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 xml:space="preserve"> </w:t>
      </w:r>
    </w:p>
    <w:p w:rsidR="00894DBA" w:rsidRPr="00A318FA" w:rsidRDefault="00032729" w:rsidP="007265AD">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Por otra parte</w:t>
      </w:r>
      <w:r w:rsidR="00CF5106" w:rsidRPr="00A318FA">
        <w:rPr>
          <w:rFonts w:ascii="Times New Roman" w:hAnsi="Times New Roman" w:cs="Times New Roman"/>
          <w:bCs/>
          <w:sz w:val="24"/>
          <w:szCs w:val="24"/>
          <w:lang w:val="es-ES"/>
        </w:rPr>
        <w:t>,</w:t>
      </w:r>
      <w:r>
        <w:rPr>
          <w:rFonts w:ascii="Times New Roman" w:hAnsi="Times New Roman" w:cs="Times New Roman"/>
          <w:bCs/>
          <w:sz w:val="24"/>
          <w:szCs w:val="24"/>
          <w:lang w:val="es-ES"/>
        </w:rPr>
        <w:t xml:space="preserve"> el Registro mundial ha adoptado el listado de las violaciones graves señaladas en el Párrafo 11 del Artículo 21 como listado de referencia para el campo de datos sobre la “infracción/infracción aparente” del módulo de inspecci</w:t>
      </w:r>
      <w:r w:rsidR="00291704">
        <w:rPr>
          <w:rFonts w:ascii="Times New Roman" w:hAnsi="Times New Roman" w:cs="Times New Roman"/>
          <w:bCs/>
          <w:sz w:val="24"/>
          <w:szCs w:val="24"/>
          <w:lang w:val="es-ES"/>
        </w:rPr>
        <w:t>ones</w:t>
      </w:r>
      <w:r>
        <w:rPr>
          <w:rFonts w:ascii="Times New Roman" w:hAnsi="Times New Roman" w:cs="Times New Roman"/>
          <w:bCs/>
          <w:sz w:val="24"/>
          <w:szCs w:val="24"/>
          <w:lang w:val="es-ES"/>
        </w:rPr>
        <w:t xml:space="preserve"> y vigilancia. Esto es muy útil para desarrollar un estándar mundial y ampliar su uso para facilitar la detección y el análisis de las actividades INDNR</w:t>
      </w:r>
      <w:r w:rsidR="00740DA1" w:rsidRPr="00A318FA">
        <w:rPr>
          <w:rFonts w:ascii="Times New Roman" w:hAnsi="Times New Roman" w:cs="Times New Roman"/>
          <w:bCs/>
          <w:sz w:val="24"/>
          <w:szCs w:val="24"/>
          <w:lang w:val="es-ES"/>
        </w:rPr>
        <w:t>.</w:t>
      </w:r>
    </w:p>
    <w:p w:rsidR="00242534" w:rsidRPr="00A318FA" w:rsidRDefault="00242534" w:rsidP="007265AD">
      <w:pPr>
        <w:autoSpaceDE w:val="0"/>
        <w:autoSpaceDN w:val="0"/>
        <w:adjustRightInd w:val="0"/>
        <w:spacing w:after="0" w:line="240" w:lineRule="auto"/>
        <w:jc w:val="both"/>
        <w:rPr>
          <w:rFonts w:ascii="Times New Roman" w:hAnsi="Times New Roman" w:cs="Times New Roman"/>
          <w:bCs/>
          <w:sz w:val="24"/>
          <w:szCs w:val="24"/>
          <w:lang w:val="es-ES"/>
        </w:rPr>
      </w:pPr>
    </w:p>
    <w:p w:rsidR="00242534" w:rsidRPr="00A318FA" w:rsidRDefault="00032729" w:rsidP="007265AD">
      <w:pPr>
        <w:autoSpaceDE w:val="0"/>
        <w:autoSpaceDN w:val="0"/>
        <w:adjustRightInd w:val="0"/>
        <w:spacing w:after="0" w:line="24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La Agenda </w:t>
      </w:r>
      <w:r w:rsidR="00242534" w:rsidRPr="00A318FA">
        <w:rPr>
          <w:rFonts w:ascii="Times New Roman" w:hAnsi="Times New Roman" w:cs="Times New Roman"/>
          <w:b/>
          <w:bCs/>
          <w:sz w:val="24"/>
          <w:szCs w:val="24"/>
          <w:lang w:val="es-ES"/>
        </w:rPr>
        <w:t>2030</w:t>
      </w:r>
      <w:r w:rsidR="00AC4A7F" w:rsidRPr="00A318FA">
        <w:rPr>
          <w:rFonts w:ascii="Times New Roman" w:hAnsi="Times New Roman" w:cs="Times New Roman"/>
          <w:b/>
          <w:bCs/>
          <w:sz w:val="24"/>
          <w:szCs w:val="24"/>
          <w:lang w:val="es-ES"/>
        </w:rPr>
        <w:t xml:space="preserve"> </w:t>
      </w:r>
      <w:r>
        <w:rPr>
          <w:rFonts w:ascii="Times New Roman" w:hAnsi="Times New Roman" w:cs="Times New Roman"/>
          <w:b/>
          <w:bCs/>
          <w:sz w:val="24"/>
          <w:szCs w:val="24"/>
          <w:lang w:val="es-ES"/>
        </w:rPr>
        <w:t>para el Desarrollo Sostenible</w:t>
      </w:r>
      <w:r w:rsidR="00AC4A7F" w:rsidRPr="00A318FA">
        <w:rPr>
          <w:rFonts w:ascii="Times New Roman" w:hAnsi="Times New Roman" w:cs="Times New Roman"/>
          <w:b/>
          <w:bCs/>
          <w:sz w:val="24"/>
          <w:szCs w:val="24"/>
          <w:lang w:val="es-ES"/>
        </w:rPr>
        <w:t xml:space="preserve"> </w:t>
      </w:r>
    </w:p>
    <w:p w:rsidR="00242534" w:rsidRPr="00A318FA" w:rsidRDefault="00032729" w:rsidP="007265AD">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La Conferencia sobre los océanos (Nueva York, EE.UU.),</w:t>
      </w:r>
      <w:r w:rsidR="00BB0508">
        <w:rPr>
          <w:rFonts w:ascii="Times New Roman" w:hAnsi="Times New Roman" w:cs="Times New Roman"/>
          <w:bCs/>
          <w:sz w:val="24"/>
          <w:szCs w:val="24"/>
          <w:lang w:val="es-ES"/>
        </w:rPr>
        <w:t xml:space="preserve"> </w:t>
      </w:r>
      <w:r w:rsidR="0029310F">
        <w:rPr>
          <w:rFonts w:ascii="Times New Roman" w:hAnsi="Times New Roman" w:cs="Times New Roman"/>
          <w:bCs/>
          <w:sz w:val="24"/>
          <w:szCs w:val="24"/>
          <w:lang w:val="es-ES"/>
        </w:rPr>
        <w:t>marcó un hito para la comunidad internacional en términos del cumplimiento del Objetivo de Desarrollo Sostenible (ODS)</w:t>
      </w:r>
      <w:r w:rsidR="00BB0508">
        <w:rPr>
          <w:rFonts w:ascii="Times New Roman" w:hAnsi="Times New Roman" w:cs="Times New Roman"/>
          <w:bCs/>
          <w:sz w:val="24"/>
          <w:szCs w:val="24"/>
          <w:lang w:val="es-ES"/>
        </w:rPr>
        <w:t xml:space="preserve"> </w:t>
      </w:r>
      <w:r w:rsidR="00586011">
        <w:rPr>
          <w:rFonts w:ascii="Times New Roman" w:hAnsi="Times New Roman" w:cs="Times New Roman"/>
          <w:bCs/>
          <w:sz w:val="24"/>
          <w:szCs w:val="24"/>
          <w:lang w:val="es-ES"/>
        </w:rPr>
        <w:t>14</w:t>
      </w:r>
      <w:r w:rsidR="00953A8A">
        <w:rPr>
          <w:rStyle w:val="FootnoteReference"/>
          <w:rFonts w:ascii="Times New Roman" w:hAnsi="Times New Roman" w:cs="Times New Roman"/>
          <w:bCs/>
          <w:sz w:val="24"/>
          <w:szCs w:val="24"/>
          <w:lang w:val="es-ES"/>
        </w:rPr>
        <w:footnoteReference w:id="18"/>
      </w:r>
      <w:r w:rsidR="00586011">
        <w:rPr>
          <w:rFonts w:ascii="Times New Roman" w:hAnsi="Times New Roman" w:cs="Times New Roman"/>
          <w:bCs/>
          <w:sz w:val="24"/>
          <w:szCs w:val="24"/>
          <w:lang w:val="es-ES"/>
        </w:rPr>
        <w:t xml:space="preserve">, para </w:t>
      </w:r>
      <w:r w:rsidR="00586011" w:rsidRPr="00586011">
        <w:rPr>
          <w:rFonts w:ascii="Times New Roman" w:hAnsi="Times New Roman" w:cs="Times New Roman"/>
          <w:bCs/>
          <w:sz w:val="24"/>
          <w:szCs w:val="24"/>
          <w:lang w:val="es-ES"/>
        </w:rPr>
        <w:t>conservar y utilizar en forma sostenible los océanos, los mares y los recursos marinos para el desarrollo sostenible</w:t>
      </w:r>
      <w:r w:rsidR="00586011">
        <w:rPr>
          <w:rFonts w:ascii="Times New Roman" w:hAnsi="Times New Roman" w:cs="Times New Roman"/>
          <w:bCs/>
          <w:sz w:val="24"/>
          <w:szCs w:val="24"/>
          <w:lang w:val="es-ES"/>
        </w:rPr>
        <w:t xml:space="preserve">. La meta 14.4 aborda específicamente la lucha contra la pesca INDNR y se esperan resultados </w:t>
      </w:r>
      <w:r w:rsidR="00964CA0">
        <w:rPr>
          <w:rFonts w:ascii="Times New Roman" w:hAnsi="Times New Roman" w:cs="Times New Roman"/>
          <w:bCs/>
          <w:sz w:val="24"/>
          <w:szCs w:val="24"/>
          <w:lang w:val="es-ES"/>
        </w:rPr>
        <w:t xml:space="preserve">ya </w:t>
      </w:r>
      <w:r w:rsidR="00586011">
        <w:rPr>
          <w:rFonts w:ascii="Times New Roman" w:hAnsi="Times New Roman" w:cs="Times New Roman"/>
          <w:bCs/>
          <w:sz w:val="24"/>
          <w:szCs w:val="24"/>
          <w:lang w:val="es-ES"/>
        </w:rPr>
        <w:t xml:space="preserve">en 2020. El Registro mundial aumentará la transparencia y trazabilidad y consolidará sinergias entre todos los instrumentos mencionados anteriormente, además de otros instrumentos para </w:t>
      </w:r>
      <w:r w:rsidR="002D2767">
        <w:rPr>
          <w:rFonts w:ascii="Times New Roman" w:hAnsi="Times New Roman" w:cs="Times New Roman"/>
          <w:bCs/>
          <w:sz w:val="24"/>
          <w:szCs w:val="24"/>
          <w:lang w:val="es-ES"/>
        </w:rPr>
        <w:t xml:space="preserve">estrechar el cerco a </w:t>
      </w:r>
      <w:r w:rsidR="00586011">
        <w:rPr>
          <w:rFonts w:ascii="Times New Roman" w:hAnsi="Times New Roman" w:cs="Times New Roman"/>
          <w:bCs/>
          <w:sz w:val="24"/>
          <w:szCs w:val="24"/>
          <w:lang w:val="es-ES"/>
        </w:rPr>
        <w:t xml:space="preserve">los autores de la pesca INDNR </w:t>
      </w:r>
      <w:r w:rsidR="002D2767">
        <w:rPr>
          <w:rFonts w:ascii="Times New Roman" w:hAnsi="Times New Roman" w:cs="Times New Roman"/>
          <w:bCs/>
          <w:sz w:val="24"/>
          <w:szCs w:val="24"/>
          <w:lang w:val="es-ES"/>
        </w:rPr>
        <w:t>con el fin de</w:t>
      </w:r>
      <w:r w:rsidR="00586011">
        <w:rPr>
          <w:rFonts w:ascii="Times New Roman" w:hAnsi="Times New Roman" w:cs="Times New Roman"/>
          <w:bCs/>
          <w:sz w:val="24"/>
          <w:szCs w:val="24"/>
          <w:lang w:val="es-ES"/>
        </w:rPr>
        <w:t xml:space="preserve"> prevenir, desalentar y eliminar eficazmente la pesca INDNR</w:t>
      </w:r>
      <w:r w:rsidR="00A721BF" w:rsidRPr="00A318FA">
        <w:rPr>
          <w:rFonts w:ascii="Times New Roman" w:hAnsi="Times New Roman" w:cs="Times New Roman"/>
          <w:bCs/>
          <w:sz w:val="24"/>
          <w:szCs w:val="24"/>
          <w:lang w:val="es-ES"/>
        </w:rPr>
        <w:t>.</w:t>
      </w:r>
    </w:p>
    <w:p w:rsidR="00894DBA" w:rsidRPr="00A318FA" w:rsidRDefault="00894DBA" w:rsidP="007265AD">
      <w:pPr>
        <w:autoSpaceDE w:val="0"/>
        <w:autoSpaceDN w:val="0"/>
        <w:adjustRightInd w:val="0"/>
        <w:spacing w:after="0" w:line="240" w:lineRule="auto"/>
        <w:jc w:val="both"/>
        <w:rPr>
          <w:rFonts w:ascii="Times New Roman" w:hAnsi="Times New Roman" w:cs="Times New Roman"/>
          <w:bCs/>
          <w:sz w:val="24"/>
          <w:szCs w:val="24"/>
          <w:lang w:val="es-ES"/>
        </w:rPr>
      </w:pPr>
    </w:p>
    <w:p w:rsidR="005B2F29" w:rsidRPr="00A318FA" w:rsidRDefault="00586011" w:rsidP="005860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Cs/>
          <w:i/>
          <w:sz w:val="24"/>
          <w:szCs w:val="24"/>
          <w:lang w:val="es-ES"/>
        </w:rPr>
      </w:pPr>
      <w:r>
        <w:rPr>
          <w:rFonts w:ascii="Times New Roman" w:hAnsi="Times New Roman" w:cs="Times New Roman"/>
          <w:bCs/>
          <w:i/>
          <w:sz w:val="24"/>
          <w:szCs w:val="24"/>
          <w:lang w:val="es-ES"/>
        </w:rPr>
        <w:t>Se solicita al GRWG-3 que ofrezca orientaciones sobre cualquier evolución potencial del Registro mundial que pudiera consolidar ulteriormente su papel de apoyo a las iniciativas internacionales de lucha contra la pesca INDNR y crear mayores sinergias</w:t>
      </w:r>
      <w:r w:rsidR="005B2F29" w:rsidRPr="00A318FA">
        <w:rPr>
          <w:rFonts w:ascii="Times New Roman" w:hAnsi="Times New Roman" w:cs="Times New Roman"/>
          <w:bCs/>
          <w:i/>
          <w:sz w:val="24"/>
          <w:szCs w:val="24"/>
          <w:lang w:val="es-ES"/>
        </w:rPr>
        <w:t>.</w:t>
      </w:r>
    </w:p>
    <w:p w:rsidR="001820DD" w:rsidRPr="00A318FA" w:rsidRDefault="001820DD" w:rsidP="001820DD">
      <w:pPr>
        <w:pStyle w:val="ListParagraph"/>
        <w:autoSpaceDE w:val="0"/>
        <w:autoSpaceDN w:val="0"/>
        <w:adjustRightInd w:val="0"/>
        <w:spacing w:after="0" w:line="240" w:lineRule="auto"/>
        <w:jc w:val="both"/>
        <w:rPr>
          <w:rFonts w:ascii="Times New Roman" w:hAnsi="Times New Roman" w:cs="Times New Roman"/>
          <w:bCs/>
          <w:sz w:val="24"/>
          <w:szCs w:val="24"/>
          <w:lang w:val="es-ES"/>
        </w:rPr>
      </w:pPr>
    </w:p>
    <w:p w:rsidR="00910953" w:rsidRPr="00A318FA" w:rsidRDefault="00C66B1E" w:rsidP="00910953">
      <w:pPr>
        <w:pStyle w:val="ListParagraph"/>
        <w:numPr>
          <w:ilvl w:val="0"/>
          <w:numId w:val="4"/>
        </w:numPr>
        <w:autoSpaceDE w:val="0"/>
        <w:autoSpaceDN w:val="0"/>
        <w:adjustRightInd w:val="0"/>
        <w:spacing w:after="0" w:line="24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Apoyo al desarrollo de capacidad</w:t>
      </w:r>
    </w:p>
    <w:p w:rsidR="00C93454" w:rsidRPr="00A318FA" w:rsidRDefault="00C93454" w:rsidP="00EB243F">
      <w:pPr>
        <w:autoSpaceDE w:val="0"/>
        <w:autoSpaceDN w:val="0"/>
        <w:adjustRightInd w:val="0"/>
        <w:spacing w:after="0" w:line="240" w:lineRule="auto"/>
        <w:jc w:val="both"/>
        <w:rPr>
          <w:rFonts w:ascii="Times New Roman" w:hAnsi="Times New Roman" w:cs="Times New Roman"/>
          <w:bCs/>
          <w:sz w:val="24"/>
          <w:szCs w:val="24"/>
          <w:lang w:val="es-ES"/>
        </w:rPr>
      </w:pPr>
    </w:p>
    <w:p w:rsidR="007D3518" w:rsidRDefault="00C66B1E" w:rsidP="00D5132D">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El 31.º </w:t>
      </w:r>
      <w:r w:rsidR="00D5132D" w:rsidRPr="00A318FA">
        <w:rPr>
          <w:rFonts w:ascii="Times New Roman" w:hAnsi="Times New Roman" w:cs="Times New Roman"/>
          <w:bCs/>
          <w:sz w:val="24"/>
          <w:szCs w:val="24"/>
          <w:lang w:val="es-ES"/>
        </w:rPr>
        <w:t>COFI</w:t>
      </w:r>
      <w:r w:rsidR="00D5132D" w:rsidRPr="00A318FA">
        <w:rPr>
          <w:rStyle w:val="FootnoteReference"/>
          <w:rFonts w:ascii="Times New Roman" w:hAnsi="Times New Roman" w:cs="Times New Roman"/>
          <w:bCs/>
          <w:sz w:val="24"/>
          <w:szCs w:val="24"/>
          <w:lang w:val="es-ES"/>
        </w:rPr>
        <w:footnoteReference w:id="19"/>
      </w:r>
      <w:r w:rsidR="00D5132D" w:rsidRPr="00A318FA">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 xml:space="preserve">apreció con beneplácito la continua asistencia de la FAO a los Estados en desarrollo en el contexto del Registro mundial. En la misma línea de acción, las dos reuniones del GRWG reconocieron la importancia de la </w:t>
      </w:r>
      <w:r w:rsidR="00964CA0">
        <w:rPr>
          <w:rFonts w:ascii="Times New Roman" w:hAnsi="Times New Roman" w:cs="Times New Roman"/>
          <w:bCs/>
          <w:sz w:val="24"/>
          <w:szCs w:val="24"/>
          <w:lang w:val="es-ES"/>
        </w:rPr>
        <w:t xml:space="preserve">prestación </w:t>
      </w:r>
      <w:r>
        <w:rPr>
          <w:rFonts w:ascii="Times New Roman" w:hAnsi="Times New Roman" w:cs="Times New Roman"/>
          <w:bCs/>
          <w:sz w:val="24"/>
          <w:szCs w:val="24"/>
          <w:lang w:val="es-ES"/>
        </w:rPr>
        <w:t>de asistencia a los países en desarrollo con el fin de facilitarles la participación</w:t>
      </w:r>
      <w:r w:rsidR="002D2767">
        <w:rPr>
          <w:rFonts w:ascii="Times New Roman" w:hAnsi="Times New Roman" w:cs="Times New Roman"/>
          <w:bCs/>
          <w:sz w:val="24"/>
          <w:szCs w:val="24"/>
          <w:lang w:val="es-ES"/>
        </w:rPr>
        <w:t>,</w:t>
      </w:r>
      <w:r>
        <w:rPr>
          <w:rFonts w:ascii="Times New Roman" w:hAnsi="Times New Roman" w:cs="Times New Roman"/>
          <w:bCs/>
          <w:sz w:val="24"/>
          <w:szCs w:val="24"/>
          <w:lang w:val="es-ES"/>
        </w:rPr>
        <w:t xml:space="preserve"> integrando sus datos con los del Sistema de información del Registro mundial</w:t>
      </w:r>
      <w:r w:rsidR="007D3518">
        <w:rPr>
          <w:rFonts w:ascii="Times New Roman" w:hAnsi="Times New Roman" w:cs="Times New Roman"/>
          <w:bCs/>
          <w:sz w:val="24"/>
          <w:szCs w:val="24"/>
          <w:lang w:val="es-ES"/>
        </w:rPr>
        <w:t>. Posteriormente, el 32</w:t>
      </w:r>
      <w:r w:rsidR="00291704">
        <w:rPr>
          <w:rFonts w:ascii="Times New Roman" w:hAnsi="Times New Roman" w:cs="Times New Roman"/>
          <w:bCs/>
          <w:sz w:val="24"/>
          <w:szCs w:val="24"/>
          <w:lang w:val="es-ES"/>
        </w:rPr>
        <w:t>.</w:t>
      </w:r>
      <w:r w:rsidR="007D3518">
        <w:rPr>
          <w:rFonts w:ascii="Times New Roman" w:hAnsi="Times New Roman" w:cs="Times New Roman"/>
          <w:bCs/>
          <w:sz w:val="24"/>
          <w:szCs w:val="24"/>
          <w:lang w:val="es-ES"/>
        </w:rPr>
        <w:t>º COFI llamó a una mayor participación, incluyendo l</w:t>
      </w:r>
      <w:r w:rsidR="00964CA0">
        <w:rPr>
          <w:rFonts w:ascii="Times New Roman" w:hAnsi="Times New Roman" w:cs="Times New Roman"/>
          <w:bCs/>
          <w:sz w:val="24"/>
          <w:szCs w:val="24"/>
          <w:lang w:val="es-ES"/>
        </w:rPr>
        <w:t>a</w:t>
      </w:r>
      <w:r w:rsidR="007D3518">
        <w:rPr>
          <w:rFonts w:ascii="Times New Roman" w:hAnsi="Times New Roman" w:cs="Times New Roman"/>
          <w:bCs/>
          <w:sz w:val="24"/>
          <w:szCs w:val="24"/>
          <w:lang w:val="es-ES"/>
        </w:rPr>
        <w:t xml:space="preserve"> </w:t>
      </w:r>
      <w:r w:rsidR="002D2767">
        <w:rPr>
          <w:rFonts w:ascii="Times New Roman" w:hAnsi="Times New Roman" w:cs="Times New Roman"/>
          <w:bCs/>
          <w:sz w:val="24"/>
          <w:szCs w:val="24"/>
          <w:lang w:val="es-ES"/>
        </w:rPr>
        <w:t>presentación</w:t>
      </w:r>
      <w:r w:rsidR="007D3518">
        <w:rPr>
          <w:rFonts w:ascii="Times New Roman" w:hAnsi="Times New Roman" w:cs="Times New Roman"/>
          <w:bCs/>
          <w:sz w:val="24"/>
          <w:szCs w:val="24"/>
          <w:lang w:val="es-ES"/>
        </w:rPr>
        <w:t xml:space="preserve"> de datos por los Miembros</w:t>
      </w:r>
      <w:r w:rsidR="0040137A" w:rsidRPr="00A318FA">
        <w:rPr>
          <w:rFonts w:ascii="Times New Roman" w:hAnsi="Times New Roman" w:cs="Times New Roman"/>
          <w:bCs/>
          <w:sz w:val="24"/>
          <w:szCs w:val="24"/>
          <w:lang w:val="es-ES"/>
        </w:rPr>
        <w:t>.</w:t>
      </w:r>
    </w:p>
    <w:p w:rsidR="007D3518" w:rsidRDefault="007D3518" w:rsidP="00D5132D">
      <w:pPr>
        <w:autoSpaceDE w:val="0"/>
        <w:autoSpaceDN w:val="0"/>
        <w:adjustRightInd w:val="0"/>
        <w:spacing w:after="0" w:line="240" w:lineRule="auto"/>
        <w:jc w:val="both"/>
        <w:rPr>
          <w:rFonts w:ascii="Times New Roman" w:hAnsi="Times New Roman" w:cs="Times New Roman"/>
          <w:bCs/>
          <w:sz w:val="24"/>
          <w:szCs w:val="24"/>
          <w:lang w:val="es-ES"/>
        </w:rPr>
      </w:pPr>
    </w:p>
    <w:p w:rsidR="007D3518" w:rsidRDefault="007D3518" w:rsidP="00D5132D">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El GRWG tiene también las funciones atribuidas por </w:t>
      </w:r>
      <w:r w:rsidR="00EB436A">
        <w:rPr>
          <w:rFonts w:ascii="Times New Roman" w:hAnsi="Times New Roman" w:cs="Times New Roman"/>
          <w:bCs/>
          <w:sz w:val="24"/>
          <w:szCs w:val="24"/>
          <w:lang w:val="es-ES"/>
        </w:rPr>
        <w:t xml:space="preserve">su </w:t>
      </w:r>
      <w:r>
        <w:rPr>
          <w:rFonts w:ascii="Times New Roman" w:hAnsi="Times New Roman" w:cs="Times New Roman"/>
          <w:bCs/>
          <w:sz w:val="24"/>
          <w:szCs w:val="24"/>
          <w:lang w:val="es-ES"/>
        </w:rPr>
        <w:t>mandato de ofrecer orientaciones para “</w:t>
      </w:r>
      <w:r w:rsidRPr="007D3518">
        <w:rPr>
          <w:rFonts w:ascii="Times New Roman" w:hAnsi="Times New Roman" w:cs="Times New Roman"/>
          <w:bCs/>
          <w:i/>
          <w:sz w:val="24"/>
          <w:szCs w:val="24"/>
          <w:lang w:val="es-ES"/>
        </w:rPr>
        <w:t>identificar cuestiones clave y Estados Miembros, especialmente Estados en desarrollo, y regiones en lo referente a la creación de capacidad, incluida la identificación de áreas pertinentes para la prestación de asistencia de carácter técnico</w:t>
      </w:r>
      <w:r w:rsidRPr="007D3518">
        <w:rPr>
          <w:rFonts w:ascii="Times New Roman" w:hAnsi="Times New Roman" w:cs="Times New Roman"/>
          <w:bCs/>
          <w:sz w:val="24"/>
          <w:szCs w:val="24"/>
          <w:lang w:val="es-ES"/>
        </w:rPr>
        <w:t>”.</w:t>
      </w:r>
    </w:p>
    <w:p w:rsidR="0007318C" w:rsidRPr="00A318FA" w:rsidRDefault="0040137A" w:rsidP="00D5132D">
      <w:pPr>
        <w:autoSpaceDE w:val="0"/>
        <w:autoSpaceDN w:val="0"/>
        <w:adjustRightInd w:val="0"/>
        <w:spacing w:after="0" w:line="240" w:lineRule="auto"/>
        <w:jc w:val="both"/>
        <w:rPr>
          <w:rFonts w:ascii="Times New Roman" w:hAnsi="Times New Roman" w:cs="Times New Roman"/>
          <w:bCs/>
          <w:sz w:val="24"/>
          <w:szCs w:val="24"/>
          <w:lang w:val="es-ES"/>
        </w:rPr>
      </w:pPr>
      <w:r w:rsidRPr="00A318FA">
        <w:rPr>
          <w:rFonts w:ascii="Times New Roman" w:hAnsi="Times New Roman" w:cs="Times New Roman"/>
          <w:bCs/>
          <w:sz w:val="24"/>
          <w:szCs w:val="24"/>
          <w:lang w:val="es-ES"/>
        </w:rPr>
        <w:t xml:space="preserve"> </w:t>
      </w:r>
    </w:p>
    <w:p w:rsidR="0007318C" w:rsidRDefault="0080657F" w:rsidP="0007318C">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La </w:t>
      </w:r>
      <w:r w:rsidR="001177EE">
        <w:rPr>
          <w:rFonts w:ascii="Times New Roman" w:hAnsi="Times New Roman" w:cs="Times New Roman"/>
          <w:bCs/>
          <w:sz w:val="24"/>
          <w:szCs w:val="24"/>
          <w:lang w:val="es-ES"/>
        </w:rPr>
        <w:t xml:space="preserve">prestación </w:t>
      </w:r>
      <w:r>
        <w:rPr>
          <w:rFonts w:ascii="Times New Roman" w:hAnsi="Times New Roman" w:cs="Times New Roman"/>
          <w:bCs/>
          <w:sz w:val="24"/>
          <w:szCs w:val="24"/>
          <w:lang w:val="es-ES"/>
        </w:rPr>
        <w:t xml:space="preserve">de apoyo en materia de desarrollo de </w:t>
      </w:r>
      <w:r w:rsidR="00C84E60">
        <w:rPr>
          <w:rFonts w:ascii="Times New Roman" w:hAnsi="Times New Roman" w:cs="Times New Roman"/>
          <w:bCs/>
          <w:sz w:val="24"/>
          <w:szCs w:val="24"/>
          <w:lang w:val="es-ES"/>
        </w:rPr>
        <w:t>capacidad</w:t>
      </w:r>
      <w:r>
        <w:rPr>
          <w:rFonts w:ascii="Times New Roman" w:hAnsi="Times New Roman" w:cs="Times New Roman"/>
          <w:bCs/>
          <w:sz w:val="24"/>
          <w:szCs w:val="24"/>
          <w:lang w:val="es-ES"/>
        </w:rPr>
        <w:t xml:space="preserve"> es crucial para una aplicación adecuada y amplia del Registro mundial.</w:t>
      </w:r>
    </w:p>
    <w:p w:rsidR="0080657F" w:rsidRDefault="0080657F" w:rsidP="0007318C">
      <w:pPr>
        <w:autoSpaceDE w:val="0"/>
        <w:autoSpaceDN w:val="0"/>
        <w:adjustRightInd w:val="0"/>
        <w:spacing w:after="0" w:line="240" w:lineRule="auto"/>
        <w:jc w:val="both"/>
        <w:rPr>
          <w:rFonts w:ascii="Times New Roman" w:hAnsi="Times New Roman" w:cs="Times New Roman"/>
          <w:bCs/>
          <w:sz w:val="24"/>
          <w:szCs w:val="24"/>
          <w:lang w:val="es-ES"/>
        </w:rPr>
      </w:pPr>
    </w:p>
    <w:p w:rsidR="00EB3C46" w:rsidRPr="00A318FA" w:rsidRDefault="0070538E" w:rsidP="00EB3C46">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El Documento de estrategia sugirió un marco de desarrollo de capacidad que indica, entre otros aspectos</w:t>
      </w:r>
      <w:r w:rsidR="0007318C" w:rsidRPr="00A318FA">
        <w:rPr>
          <w:rFonts w:ascii="Times New Roman" w:hAnsi="Times New Roman" w:cs="Times New Roman"/>
          <w:bCs/>
          <w:sz w:val="24"/>
          <w:szCs w:val="24"/>
          <w:lang w:val="es-ES"/>
        </w:rPr>
        <w:t>:</w:t>
      </w:r>
      <w:r w:rsidR="00EB3C46" w:rsidRPr="00A318FA">
        <w:rPr>
          <w:rFonts w:ascii="Times New Roman" w:hAnsi="Times New Roman" w:cs="Times New Roman"/>
          <w:bCs/>
          <w:sz w:val="24"/>
          <w:szCs w:val="24"/>
          <w:lang w:val="es-ES"/>
        </w:rPr>
        <w:t xml:space="preserve"> </w:t>
      </w:r>
    </w:p>
    <w:p w:rsidR="00C84E60" w:rsidRPr="00C84E60" w:rsidRDefault="00C84E60" w:rsidP="00591457">
      <w:pPr>
        <w:pStyle w:val="ListParagraph"/>
        <w:numPr>
          <w:ilvl w:val="0"/>
          <w:numId w:val="12"/>
        </w:numPr>
        <w:autoSpaceDE w:val="0"/>
        <w:autoSpaceDN w:val="0"/>
        <w:adjustRightInd w:val="0"/>
        <w:spacing w:after="0" w:line="240" w:lineRule="auto"/>
        <w:jc w:val="both"/>
        <w:rPr>
          <w:iCs/>
          <w:lang w:val="es-ES"/>
        </w:rPr>
      </w:pPr>
      <w:r>
        <w:rPr>
          <w:rFonts w:ascii="Times New Roman" w:hAnsi="Times New Roman" w:cs="Times New Roman"/>
          <w:bCs/>
          <w:sz w:val="24"/>
          <w:szCs w:val="24"/>
          <w:lang w:val="es-ES"/>
        </w:rPr>
        <w:t>estudio del material de referencia incluso por medio de cuestionarios;</w:t>
      </w:r>
    </w:p>
    <w:p w:rsidR="00EB3C46" w:rsidRPr="00A318FA" w:rsidRDefault="00C84E60" w:rsidP="00591457">
      <w:pPr>
        <w:pStyle w:val="ListParagraph"/>
        <w:numPr>
          <w:ilvl w:val="0"/>
          <w:numId w:val="12"/>
        </w:numPr>
        <w:autoSpaceDE w:val="0"/>
        <w:autoSpaceDN w:val="0"/>
        <w:adjustRightInd w:val="0"/>
        <w:spacing w:after="0" w:line="240" w:lineRule="auto"/>
        <w:jc w:val="both"/>
        <w:rPr>
          <w:iCs/>
          <w:lang w:val="es-ES"/>
        </w:rPr>
      </w:pPr>
      <w:r>
        <w:rPr>
          <w:rFonts w:ascii="Times New Roman" w:hAnsi="Times New Roman" w:cs="Times New Roman"/>
          <w:bCs/>
          <w:sz w:val="24"/>
          <w:szCs w:val="24"/>
          <w:lang w:val="es-ES"/>
        </w:rPr>
        <w:t>sensibilización;</w:t>
      </w:r>
    </w:p>
    <w:p w:rsidR="00EB3C46" w:rsidRPr="00A318FA" w:rsidRDefault="00C84E60" w:rsidP="00591457">
      <w:pPr>
        <w:pStyle w:val="ListParagraph"/>
        <w:numPr>
          <w:ilvl w:val="0"/>
          <w:numId w:val="12"/>
        </w:numPr>
        <w:autoSpaceDE w:val="0"/>
        <w:autoSpaceDN w:val="0"/>
        <w:adjustRightInd w:val="0"/>
        <w:spacing w:after="0" w:line="240" w:lineRule="auto"/>
        <w:jc w:val="both"/>
        <w:rPr>
          <w:iCs/>
          <w:lang w:val="es-ES"/>
        </w:rPr>
      </w:pPr>
      <w:r>
        <w:rPr>
          <w:rFonts w:ascii="Times New Roman" w:hAnsi="Times New Roman" w:cs="Times New Roman"/>
          <w:bCs/>
          <w:sz w:val="24"/>
          <w:szCs w:val="24"/>
          <w:lang w:val="es-ES"/>
        </w:rPr>
        <w:t>talleres de desarrollo de capacidad y de armonización;</w:t>
      </w:r>
    </w:p>
    <w:p w:rsidR="00EB3C46" w:rsidRPr="00A318FA" w:rsidRDefault="00C84E60" w:rsidP="00591457">
      <w:pPr>
        <w:pStyle w:val="ListParagraph"/>
        <w:numPr>
          <w:ilvl w:val="0"/>
          <w:numId w:val="12"/>
        </w:numPr>
        <w:autoSpaceDE w:val="0"/>
        <w:autoSpaceDN w:val="0"/>
        <w:adjustRightInd w:val="0"/>
        <w:spacing w:after="0" w:line="240" w:lineRule="auto"/>
        <w:jc w:val="both"/>
        <w:rPr>
          <w:iCs/>
          <w:lang w:val="es-ES"/>
        </w:rPr>
      </w:pPr>
      <w:r>
        <w:rPr>
          <w:rFonts w:ascii="Times New Roman" w:hAnsi="Times New Roman" w:cs="Times New Roman"/>
          <w:bCs/>
          <w:sz w:val="24"/>
          <w:szCs w:val="24"/>
          <w:lang w:val="es-ES"/>
        </w:rPr>
        <w:t>análisis de las lagunas;</w:t>
      </w:r>
    </w:p>
    <w:p w:rsidR="00EB3C46" w:rsidRPr="00A318FA" w:rsidRDefault="00C84E60" w:rsidP="00591457">
      <w:pPr>
        <w:pStyle w:val="ListParagraph"/>
        <w:numPr>
          <w:ilvl w:val="0"/>
          <w:numId w:val="12"/>
        </w:numPr>
        <w:autoSpaceDE w:val="0"/>
        <w:autoSpaceDN w:val="0"/>
        <w:adjustRightInd w:val="0"/>
        <w:spacing w:after="0" w:line="240" w:lineRule="auto"/>
        <w:jc w:val="both"/>
        <w:rPr>
          <w:iCs/>
          <w:lang w:val="es-ES"/>
        </w:rPr>
      </w:pPr>
      <w:r>
        <w:rPr>
          <w:rFonts w:ascii="Times New Roman" w:hAnsi="Times New Roman" w:cs="Times New Roman"/>
          <w:bCs/>
          <w:sz w:val="24"/>
          <w:szCs w:val="24"/>
          <w:lang w:val="es-ES"/>
        </w:rPr>
        <w:t>implantación personalizada de actividades recomendadas;</w:t>
      </w:r>
    </w:p>
    <w:p w:rsidR="007E524B" w:rsidRPr="00A318FA" w:rsidRDefault="00C84E60" w:rsidP="00591457">
      <w:pPr>
        <w:pStyle w:val="ListParagraph"/>
        <w:numPr>
          <w:ilvl w:val="0"/>
          <w:numId w:val="12"/>
        </w:numPr>
        <w:autoSpaceDE w:val="0"/>
        <w:autoSpaceDN w:val="0"/>
        <w:adjustRightInd w:val="0"/>
        <w:spacing w:after="0" w:line="240" w:lineRule="auto"/>
        <w:jc w:val="both"/>
        <w:rPr>
          <w:iCs/>
          <w:lang w:val="es-ES"/>
        </w:rPr>
      </w:pPr>
      <w:r>
        <w:rPr>
          <w:rFonts w:ascii="Times New Roman" w:hAnsi="Times New Roman" w:cs="Times New Roman"/>
          <w:bCs/>
          <w:sz w:val="24"/>
          <w:szCs w:val="24"/>
          <w:lang w:val="es-ES"/>
        </w:rPr>
        <w:t>asistencia técnica individual</w:t>
      </w:r>
      <w:r w:rsidR="00EB436A">
        <w:rPr>
          <w:rFonts w:ascii="Times New Roman" w:hAnsi="Times New Roman" w:cs="Times New Roman"/>
          <w:bCs/>
          <w:sz w:val="24"/>
          <w:szCs w:val="24"/>
          <w:lang w:val="es-ES"/>
        </w:rPr>
        <w:t>;</w:t>
      </w:r>
    </w:p>
    <w:p w:rsidR="00C93454" w:rsidRPr="00C84E60" w:rsidRDefault="00C84E60" w:rsidP="00591457">
      <w:pPr>
        <w:pStyle w:val="ListParagraph"/>
        <w:numPr>
          <w:ilvl w:val="0"/>
          <w:numId w:val="12"/>
        </w:numPr>
        <w:autoSpaceDE w:val="0"/>
        <w:autoSpaceDN w:val="0"/>
        <w:adjustRightInd w:val="0"/>
        <w:spacing w:after="0" w:line="240" w:lineRule="auto"/>
        <w:jc w:val="both"/>
        <w:rPr>
          <w:iCs/>
          <w:lang w:val="es-ES"/>
        </w:rPr>
      </w:pPr>
      <w:r w:rsidRPr="00C84E60">
        <w:rPr>
          <w:rFonts w:ascii="Times New Roman" w:hAnsi="Times New Roman" w:cs="Times New Roman"/>
          <w:bCs/>
          <w:sz w:val="24"/>
          <w:szCs w:val="24"/>
          <w:lang w:val="es-ES"/>
        </w:rPr>
        <w:t>realización de programas piloto.</w:t>
      </w:r>
    </w:p>
    <w:p w:rsidR="00C84E60" w:rsidRPr="00C84E60" w:rsidRDefault="00C84E60" w:rsidP="00C84E60">
      <w:pPr>
        <w:pStyle w:val="ListParagraph"/>
        <w:autoSpaceDE w:val="0"/>
        <w:autoSpaceDN w:val="0"/>
        <w:adjustRightInd w:val="0"/>
        <w:spacing w:after="0" w:line="240" w:lineRule="auto"/>
        <w:jc w:val="both"/>
        <w:rPr>
          <w:iCs/>
          <w:lang w:val="es-ES"/>
        </w:rPr>
      </w:pPr>
    </w:p>
    <w:p w:rsidR="00DB07DD" w:rsidRDefault="00C84E60" w:rsidP="00E801E2">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Algunas de estas actividades ya se han realizado anteriormente, con grandes limitaciones debidas principalmente a la insuficiencia de fondos. </w:t>
      </w:r>
      <w:r w:rsidR="00E801E2">
        <w:rPr>
          <w:rFonts w:ascii="Times New Roman" w:hAnsi="Times New Roman" w:cs="Times New Roman"/>
          <w:bCs/>
          <w:sz w:val="24"/>
          <w:szCs w:val="24"/>
          <w:lang w:val="es-ES"/>
        </w:rPr>
        <w:t>Ahora que se ha dado inicio a la fase de implementación</w:t>
      </w:r>
      <w:r w:rsidR="001177EE">
        <w:rPr>
          <w:rFonts w:ascii="Times New Roman" w:hAnsi="Times New Roman" w:cs="Times New Roman"/>
          <w:bCs/>
          <w:sz w:val="24"/>
          <w:szCs w:val="24"/>
          <w:lang w:val="es-ES"/>
        </w:rPr>
        <w:t>,</w:t>
      </w:r>
      <w:r w:rsidR="00E801E2">
        <w:rPr>
          <w:rFonts w:ascii="Times New Roman" w:hAnsi="Times New Roman" w:cs="Times New Roman"/>
          <w:bCs/>
          <w:sz w:val="24"/>
          <w:szCs w:val="24"/>
          <w:lang w:val="es-ES"/>
        </w:rPr>
        <w:t xml:space="preserve"> se buscar</w:t>
      </w:r>
      <w:r w:rsidR="00974711">
        <w:rPr>
          <w:rFonts w:ascii="Times New Roman" w:hAnsi="Times New Roman" w:cs="Times New Roman"/>
          <w:bCs/>
          <w:sz w:val="24"/>
          <w:szCs w:val="24"/>
          <w:lang w:val="es-ES"/>
        </w:rPr>
        <w:t>á</w:t>
      </w:r>
      <w:r w:rsidR="00E801E2">
        <w:rPr>
          <w:rFonts w:ascii="Times New Roman" w:hAnsi="Times New Roman" w:cs="Times New Roman"/>
          <w:bCs/>
          <w:sz w:val="24"/>
          <w:szCs w:val="24"/>
          <w:lang w:val="es-ES"/>
        </w:rPr>
        <w:t>n fondos para apoyar a los Estados en desarrollo</w:t>
      </w:r>
      <w:r w:rsidR="00455347" w:rsidRPr="00A318FA">
        <w:rPr>
          <w:rFonts w:ascii="Times New Roman" w:hAnsi="Times New Roman" w:cs="Times New Roman"/>
          <w:bCs/>
          <w:sz w:val="24"/>
          <w:szCs w:val="24"/>
          <w:lang w:val="es-ES"/>
        </w:rPr>
        <w:t>.</w:t>
      </w:r>
    </w:p>
    <w:p w:rsidR="00DB07DD" w:rsidRDefault="00DB07DD" w:rsidP="00E801E2">
      <w:pPr>
        <w:autoSpaceDE w:val="0"/>
        <w:autoSpaceDN w:val="0"/>
        <w:adjustRightInd w:val="0"/>
        <w:spacing w:after="0" w:line="240" w:lineRule="auto"/>
        <w:jc w:val="both"/>
        <w:rPr>
          <w:rFonts w:ascii="Times New Roman" w:hAnsi="Times New Roman" w:cs="Times New Roman"/>
          <w:bCs/>
          <w:sz w:val="24"/>
          <w:szCs w:val="24"/>
          <w:lang w:val="es-ES"/>
        </w:rPr>
      </w:pPr>
    </w:p>
    <w:p w:rsidR="00C93454" w:rsidRPr="00A318FA" w:rsidRDefault="00DB07DD" w:rsidP="00630F9F">
      <w:pPr>
        <w:autoSpaceDE w:val="0"/>
        <w:autoSpaceDN w:val="0"/>
        <w:adjustRightInd w:val="0"/>
        <w:spacing w:after="0" w:line="24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Podría ser beneficioso concentrarse en los usuarios y en </w:t>
      </w:r>
      <w:r w:rsidR="00974711">
        <w:rPr>
          <w:rFonts w:ascii="Times New Roman" w:hAnsi="Times New Roman" w:cs="Times New Roman"/>
          <w:bCs/>
          <w:sz w:val="24"/>
          <w:szCs w:val="24"/>
          <w:lang w:val="es-ES"/>
        </w:rPr>
        <w:t xml:space="preserve">los proveedores de </w:t>
      </w:r>
      <w:r>
        <w:rPr>
          <w:rFonts w:ascii="Times New Roman" w:hAnsi="Times New Roman" w:cs="Times New Roman"/>
          <w:bCs/>
          <w:sz w:val="24"/>
          <w:szCs w:val="24"/>
          <w:lang w:val="es-ES"/>
        </w:rPr>
        <w:t xml:space="preserve">datos, además de la colaboración con las OROP, para </w:t>
      </w:r>
      <w:r w:rsidR="00ED6F57">
        <w:rPr>
          <w:rFonts w:ascii="Times New Roman" w:hAnsi="Times New Roman" w:cs="Times New Roman"/>
          <w:bCs/>
          <w:sz w:val="24"/>
          <w:szCs w:val="24"/>
          <w:lang w:val="es-ES"/>
        </w:rPr>
        <w:t>armonizar los sistemas de información de los Miembros y de las OROP con los requisitos y los mecanismos de intercambio de datos del Registro mundial.</w:t>
      </w:r>
    </w:p>
    <w:p w:rsidR="00C93454" w:rsidRPr="00A318FA" w:rsidRDefault="00C93454" w:rsidP="007D42EC">
      <w:pPr>
        <w:autoSpaceDE w:val="0"/>
        <w:autoSpaceDN w:val="0"/>
        <w:adjustRightInd w:val="0"/>
        <w:spacing w:after="0" w:line="240" w:lineRule="auto"/>
        <w:jc w:val="both"/>
        <w:rPr>
          <w:rFonts w:ascii="Times New Roman" w:hAnsi="Times New Roman" w:cs="Times New Roman"/>
          <w:bCs/>
          <w:sz w:val="24"/>
          <w:szCs w:val="24"/>
          <w:lang w:val="es-ES"/>
        </w:rPr>
      </w:pPr>
    </w:p>
    <w:p w:rsidR="00C93454" w:rsidRPr="00A318FA" w:rsidRDefault="00ED6F57" w:rsidP="007D42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bCs/>
          <w:i/>
          <w:sz w:val="24"/>
          <w:szCs w:val="24"/>
          <w:lang w:val="es-ES"/>
        </w:rPr>
      </w:pPr>
      <w:r>
        <w:rPr>
          <w:rFonts w:ascii="Times New Roman" w:hAnsi="Times New Roman" w:cs="Times New Roman"/>
          <w:bCs/>
          <w:i/>
          <w:sz w:val="24"/>
          <w:szCs w:val="24"/>
          <w:lang w:val="es-ES"/>
        </w:rPr>
        <w:t xml:space="preserve">Se solicita al Grupo de trabajo que ofrezca orientaciones sobre los temas/áreas y países/regiones prioritarios para </w:t>
      </w:r>
      <w:r w:rsidR="001177EE">
        <w:rPr>
          <w:rFonts w:ascii="Times New Roman" w:hAnsi="Times New Roman" w:cs="Times New Roman"/>
          <w:bCs/>
          <w:i/>
          <w:sz w:val="24"/>
          <w:szCs w:val="24"/>
          <w:lang w:val="es-ES"/>
        </w:rPr>
        <w:t xml:space="preserve">la prestación </w:t>
      </w:r>
      <w:r>
        <w:rPr>
          <w:rFonts w:ascii="Times New Roman" w:hAnsi="Times New Roman" w:cs="Times New Roman"/>
          <w:bCs/>
          <w:i/>
          <w:sz w:val="24"/>
          <w:szCs w:val="24"/>
          <w:lang w:val="es-ES"/>
        </w:rPr>
        <w:t>de asistencia a fin de que los Estados en desarrollo participen en el Registro mundial</w:t>
      </w:r>
      <w:r w:rsidR="00C93454" w:rsidRPr="00A318FA">
        <w:rPr>
          <w:rFonts w:ascii="Times New Roman" w:hAnsi="Times New Roman" w:cs="Times New Roman"/>
          <w:bCs/>
          <w:i/>
          <w:sz w:val="24"/>
          <w:szCs w:val="24"/>
          <w:lang w:val="es-ES"/>
        </w:rPr>
        <w:t>.</w:t>
      </w:r>
      <w:r w:rsidR="00BB0508">
        <w:rPr>
          <w:rFonts w:ascii="Times New Roman" w:hAnsi="Times New Roman" w:cs="Times New Roman"/>
          <w:bCs/>
          <w:i/>
          <w:sz w:val="24"/>
          <w:szCs w:val="24"/>
          <w:lang w:val="es-ES"/>
        </w:rPr>
        <w:t xml:space="preserve">  </w:t>
      </w:r>
    </w:p>
    <w:p w:rsidR="00C93454" w:rsidRPr="00A318FA" w:rsidRDefault="00C93454" w:rsidP="00C93454">
      <w:pPr>
        <w:pStyle w:val="ListParagraph"/>
        <w:autoSpaceDE w:val="0"/>
        <w:autoSpaceDN w:val="0"/>
        <w:adjustRightInd w:val="0"/>
        <w:spacing w:after="0" w:line="240" w:lineRule="auto"/>
        <w:jc w:val="both"/>
        <w:rPr>
          <w:rFonts w:ascii="Times New Roman" w:hAnsi="Times New Roman" w:cs="Times New Roman"/>
          <w:bCs/>
          <w:sz w:val="24"/>
          <w:szCs w:val="24"/>
          <w:lang w:val="es-ES"/>
        </w:rPr>
      </w:pPr>
    </w:p>
    <w:p w:rsidR="001820DD" w:rsidRPr="00A318FA" w:rsidRDefault="001820DD" w:rsidP="001820DD">
      <w:pPr>
        <w:autoSpaceDE w:val="0"/>
        <w:autoSpaceDN w:val="0"/>
        <w:adjustRightInd w:val="0"/>
        <w:spacing w:after="0" w:line="240" w:lineRule="auto"/>
        <w:jc w:val="both"/>
        <w:rPr>
          <w:rFonts w:ascii="Times New Roman" w:hAnsi="Times New Roman" w:cs="Times New Roman"/>
          <w:bCs/>
          <w:sz w:val="24"/>
          <w:szCs w:val="24"/>
          <w:lang w:val="es-ES"/>
        </w:rPr>
      </w:pPr>
    </w:p>
    <w:p w:rsidR="00C93454" w:rsidRPr="00A318FA" w:rsidRDefault="00ED6F57" w:rsidP="0057343B">
      <w:pPr>
        <w:pStyle w:val="ListParagraph"/>
        <w:numPr>
          <w:ilvl w:val="0"/>
          <w:numId w:val="11"/>
        </w:numPr>
        <w:autoSpaceDE w:val="0"/>
        <w:autoSpaceDN w:val="0"/>
        <w:adjustRightInd w:val="0"/>
        <w:spacing w:after="0" w:line="24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Otros asuntos</w:t>
      </w:r>
    </w:p>
    <w:p w:rsidR="00C93454" w:rsidRPr="00A318FA" w:rsidRDefault="00C93454" w:rsidP="0057343B">
      <w:pPr>
        <w:pStyle w:val="ListParagraph"/>
        <w:autoSpaceDE w:val="0"/>
        <w:autoSpaceDN w:val="0"/>
        <w:adjustRightInd w:val="0"/>
        <w:spacing w:after="0" w:line="240" w:lineRule="auto"/>
        <w:jc w:val="both"/>
        <w:rPr>
          <w:rFonts w:ascii="Times New Roman" w:hAnsi="Times New Roman" w:cs="Times New Roman"/>
          <w:bCs/>
          <w:sz w:val="24"/>
          <w:szCs w:val="24"/>
          <w:lang w:val="es-ES"/>
        </w:rPr>
      </w:pPr>
    </w:p>
    <w:p w:rsidR="0074363D" w:rsidRPr="00A318FA" w:rsidRDefault="0074363D" w:rsidP="0074363D">
      <w:pPr>
        <w:pStyle w:val="ListParagraph"/>
        <w:autoSpaceDE w:val="0"/>
        <w:autoSpaceDN w:val="0"/>
        <w:adjustRightInd w:val="0"/>
        <w:spacing w:after="0" w:line="240" w:lineRule="auto"/>
        <w:ind w:left="0"/>
        <w:jc w:val="both"/>
        <w:rPr>
          <w:rFonts w:ascii="Times New Roman" w:hAnsi="Times New Roman" w:cs="Times New Roman"/>
          <w:b/>
          <w:bCs/>
          <w:sz w:val="24"/>
          <w:szCs w:val="24"/>
          <w:lang w:val="es-ES"/>
        </w:rPr>
      </w:pPr>
      <w:r w:rsidRPr="00A318FA">
        <w:rPr>
          <w:rFonts w:ascii="Times New Roman" w:hAnsi="Times New Roman" w:cs="Times New Roman"/>
          <w:b/>
          <w:bCs/>
          <w:sz w:val="24"/>
          <w:szCs w:val="24"/>
          <w:lang w:val="es-ES"/>
        </w:rPr>
        <w:t>Trans</w:t>
      </w:r>
      <w:r w:rsidR="00ED6F57">
        <w:rPr>
          <w:rFonts w:ascii="Times New Roman" w:hAnsi="Times New Roman" w:cs="Times New Roman"/>
          <w:b/>
          <w:bCs/>
          <w:sz w:val="24"/>
          <w:szCs w:val="24"/>
          <w:lang w:val="es-ES"/>
        </w:rPr>
        <w:t>bordo</w:t>
      </w:r>
    </w:p>
    <w:p w:rsidR="00976F0A" w:rsidRPr="00A318FA" w:rsidRDefault="00974711" w:rsidP="0074363D">
      <w:pPr>
        <w:pStyle w:val="ListParagraph"/>
        <w:autoSpaceDE w:val="0"/>
        <w:autoSpaceDN w:val="0"/>
        <w:adjustRightInd w:val="0"/>
        <w:spacing w:after="0" w:line="240" w:lineRule="auto"/>
        <w:ind w:left="0"/>
        <w:jc w:val="both"/>
        <w:rPr>
          <w:rFonts w:ascii="Times New Roman" w:hAnsi="Times New Roman" w:cs="Times New Roman"/>
          <w:bCs/>
          <w:sz w:val="24"/>
          <w:szCs w:val="24"/>
          <w:lang w:val="es-ES"/>
        </w:rPr>
      </w:pPr>
      <w:r>
        <w:rPr>
          <w:rFonts w:ascii="Times New Roman" w:hAnsi="Times New Roman" w:cs="Times New Roman"/>
          <w:bCs/>
          <w:sz w:val="24"/>
          <w:szCs w:val="24"/>
          <w:lang w:val="es-ES"/>
        </w:rPr>
        <w:t xml:space="preserve">Debido a que </w:t>
      </w:r>
      <w:r w:rsidR="00ED6F57">
        <w:rPr>
          <w:rFonts w:ascii="Times New Roman" w:hAnsi="Times New Roman" w:cs="Times New Roman"/>
          <w:bCs/>
          <w:sz w:val="24"/>
          <w:szCs w:val="24"/>
          <w:lang w:val="es-ES"/>
        </w:rPr>
        <w:t xml:space="preserve">la pesca INDNR no es </w:t>
      </w:r>
      <w:r>
        <w:rPr>
          <w:rFonts w:ascii="Times New Roman" w:hAnsi="Times New Roman" w:cs="Times New Roman"/>
          <w:bCs/>
          <w:sz w:val="24"/>
          <w:szCs w:val="24"/>
          <w:lang w:val="es-ES"/>
        </w:rPr>
        <w:t xml:space="preserve">una actividad </w:t>
      </w:r>
      <w:r w:rsidR="00ED6F57">
        <w:rPr>
          <w:rFonts w:ascii="Times New Roman" w:hAnsi="Times New Roman" w:cs="Times New Roman"/>
          <w:bCs/>
          <w:sz w:val="24"/>
          <w:szCs w:val="24"/>
          <w:lang w:val="es-ES"/>
        </w:rPr>
        <w:t>realizada solamente por los buques pesqueros, el 32.º COFI tomó en cuenta una propuesta (</w:t>
      </w:r>
      <w:r>
        <w:rPr>
          <w:rFonts w:ascii="Times New Roman" w:hAnsi="Times New Roman" w:cs="Times New Roman"/>
          <w:bCs/>
          <w:sz w:val="24"/>
          <w:szCs w:val="24"/>
          <w:lang w:val="es-ES"/>
        </w:rPr>
        <w:t>presentada</w:t>
      </w:r>
      <w:r w:rsidR="00ED6F57">
        <w:rPr>
          <w:rFonts w:ascii="Times New Roman" w:hAnsi="Times New Roman" w:cs="Times New Roman"/>
          <w:bCs/>
          <w:sz w:val="24"/>
          <w:szCs w:val="24"/>
          <w:lang w:val="es-ES"/>
        </w:rPr>
        <w:t xml:space="preserve"> por los Estados Unidos de América) e instó a la FAO a iniciar a trabajar en los transbordos, ofreciendo sugerencias adicionales sobre varios aspectos entre los que se destaca el Registro mundial. Puesto que el Registro mundial incluye a los buques que realizan actividades de transbordo</w:t>
      </w:r>
      <w:r>
        <w:rPr>
          <w:rFonts w:ascii="Times New Roman" w:hAnsi="Times New Roman" w:cs="Times New Roman"/>
          <w:bCs/>
          <w:sz w:val="24"/>
          <w:szCs w:val="24"/>
          <w:lang w:val="es-ES"/>
        </w:rPr>
        <w:t xml:space="preserve"> –</w:t>
      </w:r>
      <w:r w:rsidR="00ED6F57">
        <w:rPr>
          <w:rFonts w:ascii="Times New Roman" w:hAnsi="Times New Roman" w:cs="Times New Roman"/>
          <w:bCs/>
          <w:sz w:val="24"/>
          <w:szCs w:val="24"/>
          <w:lang w:val="es-ES"/>
        </w:rPr>
        <w:t>por ejemplo los buques de transporte frigorífico</w:t>
      </w:r>
      <w:r>
        <w:rPr>
          <w:rFonts w:ascii="Times New Roman" w:hAnsi="Times New Roman" w:cs="Times New Roman"/>
          <w:bCs/>
          <w:sz w:val="24"/>
          <w:szCs w:val="24"/>
          <w:lang w:val="es-ES"/>
        </w:rPr>
        <w:t>–</w:t>
      </w:r>
      <w:r w:rsidR="00ED6F57">
        <w:rPr>
          <w:rFonts w:ascii="Times New Roman" w:hAnsi="Times New Roman" w:cs="Times New Roman"/>
          <w:bCs/>
          <w:sz w:val="24"/>
          <w:szCs w:val="24"/>
          <w:lang w:val="es-ES"/>
        </w:rPr>
        <w:t xml:space="preserve"> podría tener un papel fundamental </w:t>
      </w:r>
      <w:r w:rsidR="001177EE">
        <w:rPr>
          <w:rFonts w:ascii="Times New Roman" w:hAnsi="Times New Roman" w:cs="Times New Roman"/>
          <w:bCs/>
          <w:sz w:val="24"/>
          <w:szCs w:val="24"/>
          <w:lang w:val="es-ES"/>
        </w:rPr>
        <w:t xml:space="preserve">para fomentar </w:t>
      </w:r>
      <w:r w:rsidR="00ED6F57">
        <w:rPr>
          <w:rFonts w:ascii="Times New Roman" w:hAnsi="Times New Roman" w:cs="Times New Roman"/>
          <w:bCs/>
          <w:sz w:val="24"/>
          <w:szCs w:val="24"/>
          <w:lang w:val="es-ES"/>
        </w:rPr>
        <w:t>la transparencia de las prácticas de transbordo, autorización, notificación y requisitos y procedimientos para la presentación de informes</w:t>
      </w:r>
      <w:r w:rsidR="00976F0A" w:rsidRPr="00A318FA">
        <w:rPr>
          <w:rFonts w:ascii="Times New Roman" w:hAnsi="Times New Roman" w:cs="Times New Roman"/>
          <w:bCs/>
          <w:sz w:val="24"/>
          <w:szCs w:val="24"/>
          <w:lang w:val="es-ES"/>
        </w:rPr>
        <w:t>.</w:t>
      </w:r>
      <w:bookmarkStart w:id="0" w:name="_GoBack"/>
      <w:bookmarkEnd w:id="0"/>
    </w:p>
    <w:sectPr w:rsidR="00976F0A" w:rsidRPr="00A318FA" w:rsidSect="00040E3C">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CE2" w:rsidRDefault="00284CE2" w:rsidP="00DF4A82">
      <w:pPr>
        <w:spacing w:after="0" w:line="240" w:lineRule="auto"/>
      </w:pPr>
      <w:r>
        <w:separator/>
      </w:r>
    </w:p>
  </w:endnote>
  <w:endnote w:type="continuationSeparator" w:id="0">
    <w:p w:rsidR="00284CE2" w:rsidRDefault="00284CE2" w:rsidP="00DF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khbar MT">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49343"/>
      <w:docPartObj>
        <w:docPartGallery w:val="Page Numbers (Bottom of Page)"/>
        <w:docPartUnique/>
      </w:docPartObj>
    </w:sdtPr>
    <w:sdtEndPr/>
    <w:sdtContent>
      <w:p w:rsidR="000139F6" w:rsidRDefault="002B1149">
        <w:pPr>
          <w:pStyle w:val="Footer"/>
          <w:jc w:val="center"/>
        </w:pPr>
        <w:r>
          <w:fldChar w:fldCharType="begin"/>
        </w:r>
        <w:r>
          <w:instrText xml:space="preserve"> PAGE   \* MERGEFORMAT </w:instrText>
        </w:r>
        <w:r>
          <w:fldChar w:fldCharType="separate"/>
        </w:r>
        <w:r w:rsidR="002702C5">
          <w:rPr>
            <w:noProof/>
          </w:rPr>
          <w:t>9</w:t>
        </w:r>
        <w:r>
          <w:rPr>
            <w:noProof/>
          </w:rPr>
          <w:fldChar w:fldCharType="end"/>
        </w:r>
      </w:p>
    </w:sdtContent>
  </w:sdt>
  <w:p w:rsidR="000139F6" w:rsidRDefault="00013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CE2" w:rsidRDefault="00284CE2" w:rsidP="00DF4A82">
      <w:pPr>
        <w:spacing w:after="0" w:line="240" w:lineRule="auto"/>
      </w:pPr>
      <w:r>
        <w:separator/>
      </w:r>
    </w:p>
  </w:footnote>
  <w:footnote w:type="continuationSeparator" w:id="0">
    <w:p w:rsidR="00284CE2" w:rsidRDefault="00284CE2" w:rsidP="00DF4A82">
      <w:pPr>
        <w:spacing w:after="0" w:line="240" w:lineRule="auto"/>
      </w:pPr>
      <w:r>
        <w:continuationSeparator/>
      </w:r>
    </w:p>
  </w:footnote>
  <w:footnote w:id="1">
    <w:p w:rsidR="00A41DB9" w:rsidRPr="0006064F" w:rsidRDefault="00A41DB9" w:rsidP="00A41DB9">
      <w:pPr>
        <w:pStyle w:val="FootnoteText"/>
        <w:rPr>
          <w:lang w:val="es-ES"/>
        </w:rPr>
      </w:pPr>
      <w:r w:rsidRPr="0006064F">
        <w:rPr>
          <w:rStyle w:val="FootnoteReference"/>
          <w:lang w:val="es-ES"/>
        </w:rPr>
        <w:footnoteRef/>
      </w:r>
      <w:r w:rsidRPr="0006064F">
        <w:rPr>
          <w:lang w:val="es-ES"/>
        </w:rPr>
        <w:t xml:space="preserve"> </w:t>
      </w:r>
      <w:hyperlink r:id="rId1" w:history="1">
        <w:r w:rsidRPr="0006064F">
          <w:rPr>
            <w:rStyle w:val="Hyperlink"/>
            <w:lang w:val="es-ES"/>
          </w:rPr>
          <w:t>http://www.fao.org/3/a-i6882s.pdf</w:t>
        </w:r>
      </w:hyperlink>
      <w:r w:rsidRPr="0006064F">
        <w:rPr>
          <w:lang w:val="es-ES"/>
        </w:rPr>
        <w:t xml:space="preserve"> </w:t>
      </w:r>
    </w:p>
  </w:footnote>
  <w:footnote w:id="2">
    <w:p w:rsidR="00A41DB9" w:rsidRPr="0006064F" w:rsidRDefault="00A41DB9" w:rsidP="00A41DB9">
      <w:pPr>
        <w:pStyle w:val="FootnoteText"/>
        <w:rPr>
          <w:lang w:val="es-ES"/>
        </w:rPr>
      </w:pPr>
      <w:r w:rsidRPr="0006064F">
        <w:rPr>
          <w:rStyle w:val="FootnoteReference"/>
          <w:lang w:val="es-ES"/>
        </w:rPr>
        <w:footnoteRef/>
      </w:r>
      <w:r w:rsidRPr="0006064F">
        <w:rPr>
          <w:lang w:val="es-ES"/>
        </w:rPr>
        <w:t xml:space="preserve"> </w:t>
      </w:r>
      <w:hyperlink r:id="rId2" w:history="1">
        <w:r w:rsidRPr="0006064F">
          <w:rPr>
            <w:rStyle w:val="Hyperlink"/>
            <w:lang w:val="es-ES"/>
          </w:rPr>
          <w:t>http://www.fao.org/in-action/global-record/background/global-record-pilot-project/es/</w:t>
        </w:r>
      </w:hyperlink>
      <w:r w:rsidRPr="0006064F">
        <w:rPr>
          <w:lang w:val="es-ES"/>
        </w:rPr>
        <w:t xml:space="preserve"> </w:t>
      </w:r>
    </w:p>
  </w:footnote>
  <w:footnote w:id="3">
    <w:p w:rsidR="00A41DB9" w:rsidRPr="0006064F" w:rsidRDefault="00A41DB9" w:rsidP="00A41DB9">
      <w:pPr>
        <w:pStyle w:val="FootnoteText"/>
        <w:rPr>
          <w:lang w:val="es-ES"/>
        </w:rPr>
      </w:pPr>
      <w:r w:rsidRPr="0006064F">
        <w:rPr>
          <w:rStyle w:val="FootnoteReference"/>
          <w:lang w:val="es-ES"/>
        </w:rPr>
        <w:footnoteRef/>
      </w:r>
      <w:r w:rsidRPr="0006064F">
        <w:rPr>
          <w:lang w:val="es-ES"/>
        </w:rPr>
        <w:t xml:space="preserve"> Colombia, Comoras, España, Filipinas, Ghana, Islandia, Mauricio, Mozambique, Seychelles y Uruguay.</w:t>
      </w:r>
    </w:p>
  </w:footnote>
  <w:footnote w:id="4">
    <w:p w:rsidR="00A41DB9" w:rsidRPr="0006064F" w:rsidRDefault="00A41DB9" w:rsidP="00A41DB9">
      <w:pPr>
        <w:pStyle w:val="FootnoteText"/>
        <w:rPr>
          <w:lang w:val="es-ES"/>
        </w:rPr>
      </w:pPr>
      <w:r w:rsidRPr="0006064F">
        <w:rPr>
          <w:rStyle w:val="FootnoteReference"/>
          <w:lang w:val="es-ES"/>
        </w:rPr>
        <w:footnoteRef/>
      </w:r>
      <w:r w:rsidRPr="0006064F">
        <w:rPr>
          <w:lang w:val="es-ES"/>
        </w:rPr>
        <w:t xml:space="preserve"> </w:t>
      </w:r>
      <w:hyperlink r:id="rId3" w:history="1">
        <w:r w:rsidRPr="0006064F">
          <w:rPr>
            <w:rStyle w:val="Hyperlink"/>
            <w:lang w:val="es-ES"/>
          </w:rPr>
          <w:t>http://www.fao.org/in-action/global-record/news-events/detail/en/c/882133/</w:t>
        </w:r>
      </w:hyperlink>
      <w:r w:rsidRPr="0006064F">
        <w:rPr>
          <w:lang w:val="es-ES"/>
        </w:rPr>
        <w:t xml:space="preserve"> </w:t>
      </w:r>
    </w:p>
  </w:footnote>
  <w:footnote w:id="5">
    <w:p w:rsidR="00A41DB9" w:rsidRPr="0006064F" w:rsidRDefault="00A41DB9" w:rsidP="00A41DB9">
      <w:pPr>
        <w:pStyle w:val="FootnoteText"/>
        <w:rPr>
          <w:lang w:val="es-ES"/>
        </w:rPr>
      </w:pPr>
      <w:r w:rsidRPr="0006064F">
        <w:rPr>
          <w:rStyle w:val="FootnoteReference"/>
          <w:lang w:val="es-ES"/>
        </w:rPr>
        <w:footnoteRef/>
      </w:r>
      <w:r w:rsidRPr="0006064F">
        <w:rPr>
          <w:lang w:val="es-ES"/>
        </w:rPr>
        <w:t xml:space="preserve"> </w:t>
      </w:r>
      <w:hyperlink r:id="rId4" w:history="1">
        <w:r w:rsidR="00A1713D" w:rsidRPr="0006064F">
          <w:rPr>
            <w:rStyle w:val="Hyperlink"/>
            <w:lang w:val="es-ES"/>
          </w:rPr>
          <w:t>http://www.fao.org/3/a-bl006s.pdf</w:t>
        </w:r>
      </w:hyperlink>
      <w:r w:rsidR="00BB0508">
        <w:rPr>
          <w:lang w:val="es-ES"/>
        </w:rPr>
        <w:t xml:space="preserve"> </w:t>
      </w:r>
    </w:p>
  </w:footnote>
  <w:footnote w:id="6">
    <w:p w:rsidR="00A41DB9" w:rsidRPr="0006064F" w:rsidRDefault="00A41DB9" w:rsidP="00A41DB9">
      <w:pPr>
        <w:pStyle w:val="FootnoteText"/>
        <w:rPr>
          <w:lang w:val="es-ES"/>
        </w:rPr>
      </w:pPr>
      <w:r w:rsidRPr="0006064F">
        <w:rPr>
          <w:rStyle w:val="FootnoteReference"/>
          <w:lang w:val="es-ES"/>
        </w:rPr>
        <w:footnoteRef/>
      </w:r>
      <w:r w:rsidRPr="0006064F">
        <w:rPr>
          <w:lang w:val="es-ES"/>
        </w:rPr>
        <w:t xml:space="preserve"> Se deberían desarrollar tres diferentes mecanismos de intercambio de datos para permitir que los países desarrollados y en desarrollo presenten información. Véase: </w:t>
      </w:r>
      <w:hyperlink r:id="rId5" w:history="1">
        <w:r w:rsidRPr="0006064F">
          <w:rPr>
            <w:rStyle w:val="Hyperlink"/>
            <w:lang w:val="es-ES"/>
          </w:rPr>
          <w:t>http://www.fao.org/3/a-i5793s.pdf</w:t>
        </w:r>
      </w:hyperlink>
      <w:r w:rsidRPr="0006064F">
        <w:rPr>
          <w:rStyle w:val="Hyperlink"/>
          <w:lang w:val="es-ES"/>
        </w:rPr>
        <w:t xml:space="preserve"> </w:t>
      </w:r>
    </w:p>
  </w:footnote>
  <w:footnote w:id="7">
    <w:p w:rsidR="00A41DB9" w:rsidRPr="0006064F" w:rsidRDefault="00A41DB9" w:rsidP="00A41DB9">
      <w:pPr>
        <w:pStyle w:val="FootnoteText"/>
        <w:rPr>
          <w:lang w:val="es-ES"/>
        </w:rPr>
      </w:pPr>
      <w:r w:rsidRPr="0006064F">
        <w:rPr>
          <w:rStyle w:val="FootnoteReference"/>
          <w:lang w:val="es-ES"/>
        </w:rPr>
        <w:footnoteRef/>
      </w:r>
      <w:r w:rsidRPr="0006064F">
        <w:rPr>
          <w:lang w:val="es-ES"/>
        </w:rPr>
        <w:t xml:space="preserve"> </w:t>
      </w:r>
      <w:hyperlink r:id="rId6" w:history="1">
        <w:r w:rsidRPr="0006064F">
          <w:rPr>
            <w:rStyle w:val="Hyperlink"/>
            <w:lang w:val="es-ES"/>
          </w:rPr>
          <w:t>http://www.fao.org/in-action/global-record/information-system/es/</w:t>
        </w:r>
      </w:hyperlink>
      <w:r w:rsidRPr="0006064F">
        <w:rPr>
          <w:lang w:val="es-ES"/>
        </w:rPr>
        <w:t xml:space="preserve"> </w:t>
      </w:r>
    </w:p>
  </w:footnote>
  <w:footnote w:id="8">
    <w:p w:rsidR="00A41DB9" w:rsidRPr="0006064F" w:rsidRDefault="00A41DB9" w:rsidP="00A41DB9">
      <w:pPr>
        <w:pStyle w:val="FootnoteText"/>
        <w:rPr>
          <w:rStyle w:val="Hyperlink"/>
          <w:lang w:val="es-ES"/>
        </w:rPr>
      </w:pPr>
      <w:r w:rsidRPr="0006064F">
        <w:rPr>
          <w:rStyle w:val="FootnoteReference"/>
          <w:lang w:val="es-ES"/>
        </w:rPr>
        <w:footnoteRef/>
      </w:r>
      <w:r w:rsidRPr="0006064F">
        <w:rPr>
          <w:lang w:val="es-ES"/>
        </w:rPr>
        <w:t xml:space="preserve"> </w:t>
      </w:r>
      <w:hyperlink r:id="rId7" w:history="1">
        <w:r w:rsidRPr="0006064F">
          <w:rPr>
            <w:rStyle w:val="Hyperlink"/>
            <w:lang w:val="es-ES"/>
          </w:rPr>
          <w:t>http://www.unece.org/cefact/xml_schemas/index</w:t>
        </w:r>
      </w:hyperlink>
      <w:r w:rsidRPr="0006064F">
        <w:rPr>
          <w:rStyle w:val="Hyperlink"/>
          <w:lang w:val="es-ES"/>
        </w:rPr>
        <w:t xml:space="preserve"> </w:t>
      </w:r>
    </w:p>
  </w:footnote>
  <w:footnote w:id="9">
    <w:p w:rsidR="00A41DB9" w:rsidRPr="0006064F" w:rsidRDefault="00A41DB9" w:rsidP="00A41DB9">
      <w:pPr>
        <w:pStyle w:val="FootnoteText"/>
        <w:rPr>
          <w:lang w:val="es-ES"/>
        </w:rPr>
      </w:pPr>
      <w:r w:rsidRPr="0006064F">
        <w:rPr>
          <w:rStyle w:val="FootnoteReference"/>
          <w:lang w:val="es-ES"/>
        </w:rPr>
        <w:footnoteRef/>
      </w:r>
      <w:r w:rsidRPr="0006064F">
        <w:rPr>
          <w:lang w:val="es-ES"/>
        </w:rPr>
        <w:t xml:space="preserve"> </w:t>
      </w:r>
      <w:hyperlink r:id="rId8" w:history="1">
        <w:r w:rsidRPr="0006064F">
          <w:rPr>
            <w:rStyle w:val="Hyperlink"/>
            <w:lang w:val="es-ES"/>
          </w:rPr>
          <w:t>http://www.fao.org/fi/static-media/MeetingDocuments/GlobalRecord/GRWG3/3s.pdf</w:t>
        </w:r>
      </w:hyperlink>
      <w:r w:rsidRPr="0006064F">
        <w:rPr>
          <w:lang w:val="es-ES"/>
        </w:rPr>
        <w:t xml:space="preserve"> </w:t>
      </w:r>
    </w:p>
  </w:footnote>
  <w:footnote w:id="10">
    <w:p w:rsidR="00A41DB9" w:rsidRPr="0006064F" w:rsidRDefault="00A41DB9" w:rsidP="00A41DB9">
      <w:pPr>
        <w:pStyle w:val="FootnoteText"/>
        <w:rPr>
          <w:lang w:val="es-ES"/>
        </w:rPr>
      </w:pPr>
      <w:r w:rsidRPr="0006064F">
        <w:rPr>
          <w:rStyle w:val="FootnoteReference"/>
          <w:lang w:val="es-ES"/>
        </w:rPr>
        <w:footnoteRef/>
      </w:r>
      <w:r w:rsidRPr="0006064F">
        <w:rPr>
          <w:lang w:val="es-ES"/>
        </w:rPr>
        <w:t xml:space="preserve"> Se realizó un debate al respecto en el GRWG-2, donde se decidió que los datos del Estado rector del puerto o del Estado ribereño (los cinco campos de datos esenciales para la identificación) no deberían sustituir los datos del Estado del pabellón mientras estos no existan. Sin embargo, se debería tomar en cuenta su uso potencial para fines de comparación.</w:t>
      </w:r>
    </w:p>
  </w:footnote>
  <w:footnote w:id="11">
    <w:p w:rsidR="0053315C" w:rsidRPr="0006064F" w:rsidRDefault="0053315C">
      <w:pPr>
        <w:pStyle w:val="FootnoteText"/>
        <w:rPr>
          <w:lang w:val="es-ES"/>
        </w:rPr>
      </w:pPr>
      <w:r w:rsidRPr="0006064F">
        <w:rPr>
          <w:rStyle w:val="FootnoteReference"/>
          <w:lang w:val="es-ES"/>
        </w:rPr>
        <w:footnoteRef/>
      </w:r>
      <w:r w:rsidRPr="0006064F">
        <w:rPr>
          <w:lang w:val="es-ES"/>
        </w:rPr>
        <w:t xml:space="preserve"> </w:t>
      </w:r>
      <w:r w:rsidR="0006064F" w:rsidRPr="0006064F">
        <w:rPr>
          <w:lang w:val="es-ES"/>
        </w:rPr>
        <w:t>Por el Estado que los produce.</w:t>
      </w:r>
    </w:p>
  </w:footnote>
  <w:footnote w:id="12">
    <w:p w:rsidR="009E69CE" w:rsidRPr="0006064F" w:rsidRDefault="009E69CE" w:rsidP="009E69CE">
      <w:pPr>
        <w:pStyle w:val="FootnoteText"/>
        <w:rPr>
          <w:lang w:val="es-ES"/>
        </w:rPr>
      </w:pPr>
      <w:r w:rsidRPr="0006064F">
        <w:rPr>
          <w:rStyle w:val="FootnoteReference"/>
          <w:lang w:val="es-ES"/>
        </w:rPr>
        <w:footnoteRef/>
      </w:r>
      <w:r w:rsidRPr="0006064F">
        <w:rPr>
          <w:lang w:val="es-ES"/>
        </w:rPr>
        <w:t xml:space="preserve"> </w:t>
      </w:r>
      <w:hyperlink r:id="rId9" w:history="1">
        <w:r w:rsidR="00DF5720" w:rsidRPr="00726341">
          <w:rPr>
            <w:rStyle w:val="Hyperlink"/>
            <w:lang w:val="es-ES"/>
          </w:rPr>
          <w:t>http://www.fao.org/3/a-bl006s.pdf</w:t>
        </w:r>
      </w:hyperlink>
      <w:r w:rsidR="00BB0508">
        <w:rPr>
          <w:lang w:val="es-ES"/>
        </w:rPr>
        <w:t xml:space="preserve"> </w:t>
      </w:r>
    </w:p>
  </w:footnote>
  <w:footnote w:id="13">
    <w:p w:rsidR="00BA6484" w:rsidRPr="0006064F" w:rsidRDefault="00BA6484" w:rsidP="00BA6484">
      <w:pPr>
        <w:pStyle w:val="FootnoteText"/>
        <w:rPr>
          <w:lang w:val="es-ES"/>
        </w:rPr>
      </w:pPr>
      <w:r w:rsidRPr="0006064F">
        <w:rPr>
          <w:rStyle w:val="FootnoteReference"/>
          <w:lang w:val="es-ES"/>
        </w:rPr>
        <w:footnoteRef/>
      </w:r>
      <w:r w:rsidRPr="0006064F">
        <w:rPr>
          <w:lang w:val="es-ES"/>
        </w:rPr>
        <w:t xml:space="preserve"> </w:t>
      </w:r>
      <w:hyperlink r:id="rId10" w:history="1">
        <w:r w:rsidRPr="0006064F">
          <w:rPr>
            <w:rStyle w:val="Hyperlink"/>
            <w:lang w:val="es-ES"/>
          </w:rPr>
          <w:t>http://www.fao.org/fi/static-media/MeetingDocuments/PSMA/Parties/adoptedreport.pdf</w:t>
        </w:r>
      </w:hyperlink>
      <w:r w:rsidRPr="0006064F">
        <w:rPr>
          <w:lang w:val="es-ES"/>
        </w:rPr>
        <w:t xml:space="preserve"> </w:t>
      </w:r>
    </w:p>
  </w:footnote>
  <w:footnote w:id="14">
    <w:p w:rsidR="00893B1E" w:rsidRPr="0006064F" w:rsidRDefault="00893B1E" w:rsidP="00893B1E">
      <w:pPr>
        <w:pStyle w:val="FootnoteText"/>
        <w:rPr>
          <w:lang w:val="es-ES"/>
        </w:rPr>
      </w:pPr>
      <w:r w:rsidRPr="0006064F">
        <w:rPr>
          <w:rStyle w:val="FootnoteReference"/>
          <w:lang w:val="es-ES"/>
        </w:rPr>
        <w:footnoteRef/>
      </w:r>
      <w:r w:rsidRPr="0006064F">
        <w:rPr>
          <w:lang w:val="es-ES"/>
        </w:rPr>
        <w:t xml:space="preserve"> </w:t>
      </w:r>
      <w:hyperlink r:id="rId11" w:history="1">
        <w:r w:rsidRPr="0006064F">
          <w:rPr>
            <w:rStyle w:val="Hyperlink"/>
            <w:lang w:val="es-ES"/>
          </w:rPr>
          <w:t>http://www.fao.org/3/a-i4577t.pdf</w:t>
        </w:r>
      </w:hyperlink>
      <w:r w:rsidRPr="0006064F">
        <w:rPr>
          <w:lang w:val="es-ES"/>
        </w:rPr>
        <w:t xml:space="preserve"> </w:t>
      </w:r>
    </w:p>
  </w:footnote>
  <w:footnote w:id="15">
    <w:p w:rsidR="00691E98" w:rsidRPr="0006064F" w:rsidRDefault="00691E98" w:rsidP="00691E98">
      <w:pPr>
        <w:pStyle w:val="FootnoteText"/>
        <w:rPr>
          <w:lang w:val="es-ES"/>
        </w:rPr>
      </w:pPr>
      <w:r w:rsidRPr="0006064F">
        <w:rPr>
          <w:rStyle w:val="FootnoteReference"/>
          <w:lang w:val="es-ES"/>
        </w:rPr>
        <w:footnoteRef/>
      </w:r>
      <w:r w:rsidRPr="0006064F">
        <w:rPr>
          <w:lang w:val="es-ES"/>
        </w:rPr>
        <w:t xml:space="preserve"> </w:t>
      </w:r>
      <w:hyperlink r:id="rId12" w:history="1">
        <w:r w:rsidR="00413806" w:rsidRPr="00726341">
          <w:rPr>
            <w:rStyle w:val="Hyperlink"/>
            <w:lang w:val="es-ES"/>
          </w:rPr>
          <w:t>http://www.fao.org/fi/static-media/MeetingDocuments/CDS/TC2016/wpAnnex_es.pdf</w:t>
        </w:r>
      </w:hyperlink>
      <w:r w:rsidR="00BB0508">
        <w:rPr>
          <w:lang w:val="es-ES"/>
        </w:rPr>
        <w:t xml:space="preserve"> </w:t>
      </w:r>
    </w:p>
  </w:footnote>
  <w:footnote w:id="16">
    <w:p w:rsidR="001C44FB" w:rsidRPr="0006064F" w:rsidRDefault="001C44FB" w:rsidP="001C44FB">
      <w:pPr>
        <w:pStyle w:val="FootnoteText"/>
        <w:rPr>
          <w:lang w:val="es-ES"/>
        </w:rPr>
      </w:pPr>
      <w:r w:rsidRPr="0006064F">
        <w:rPr>
          <w:rStyle w:val="FootnoteReference"/>
          <w:lang w:val="es-ES"/>
        </w:rPr>
        <w:footnoteRef/>
      </w:r>
      <w:r w:rsidRPr="0006064F">
        <w:rPr>
          <w:lang w:val="es-ES"/>
        </w:rPr>
        <w:t xml:space="preserve"> </w:t>
      </w:r>
      <w:hyperlink r:id="rId13" w:history="1">
        <w:r w:rsidRPr="0006064F">
          <w:rPr>
            <w:rStyle w:val="Hyperlink"/>
            <w:lang w:val="es-ES"/>
          </w:rPr>
          <w:t>http://www.un.org/depts/los/convention_agreements/convention_overview_fish_stocks.htm</w:t>
        </w:r>
      </w:hyperlink>
      <w:r w:rsidRPr="0006064F">
        <w:rPr>
          <w:lang w:val="es-ES"/>
        </w:rPr>
        <w:t xml:space="preserve"> </w:t>
      </w:r>
    </w:p>
  </w:footnote>
  <w:footnote w:id="17">
    <w:p w:rsidR="00032729" w:rsidRPr="0006064F" w:rsidRDefault="00032729" w:rsidP="00032729">
      <w:pPr>
        <w:pStyle w:val="FootnoteText"/>
        <w:rPr>
          <w:lang w:val="es-ES"/>
        </w:rPr>
      </w:pPr>
      <w:r w:rsidRPr="0006064F">
        <w:rPr>
          <w:rStyle w:val="FootnoteReference"/>
          <w:lang w:val="es-ES"/>
        </w:rPr>
        <w:footnoteRef/>
      </w:r>
      <w:r w:rsidRPr="0006064F">
        <w:rPr>
          <w:lang w:val="es-ES"/>
        </w:rPr>
        <w:t xml:space="preserve"> </w:t>
      </w:r>
      <w:r w:rsidR="00A17643">
        <w:rPr>
          <w:lang w:val="es-ES"/>
        </w:rPr>
        <w:t>Requisitos estándar para la compilación y el intercambio de datos.</w:t>
      </w:r>
    </w:p>
  </w:footnote>
  <w:footnote w:id="18">
    <w:p w:rsidR="00953A8A" w:rsidRDefault="00953A8A">
      <w:pPr>
        <w:pStyle w:val="FootnoteText"/>
      </w:pPr>
      <w:r>
        <w:rPr>
          <w:rStyle w:val="FootnoteReference"/>
        </w:rPr>
        <w:footnoteRef/>
      </w:r>
      <w:r>
        <w:t xml:space="preserve"> </w:t>
      </w:r>
      <w:hyperlink r:id="rId14" w:history="1">
        <w:r w:rsidRPr="00726341">
          <w:rPr>
            <w:rStyle w:val="Hyperlink"/>
          </w:rPr>
          <w:t>http://www.un.org/sustainabledevelopment/es/oceans/</w:t>
        </w:r>
      </w:hyperlink>
      <w:r>
        <w:t xml:space="preserve"> </w:t>
      </w:r>
    </w:p>
  </w:footnote>
  <w:footnote w:id="19">
    <w:p w:rsidR="00D5132D" w:rsidRPr="0006064F" w:rsidRDefault="00D5132D">
      <w:pPr>
        <w:pStyle w:val="FootnoteText"/>
        <w:rPr>
          <w:lang w:val="es-ES"/>
        </w:rPr>
      </w:pPr>
      <w:r w:rsidRPr="0006064F">
        <w:rPr>
          <w:rStyle w:val="FootnoteReference"/>
          <w:lang w:val="es-ES"/>
        </w:rPr>
        <w:footnoteRef/>
      </w:r>
      <w:r w:rsidRPr="0006064F">
        <w:rPr>
          <w:lang w:val="es-ES"/>
        </w:rPr>
        <w:t xml:space="preserve"> </w:t>
      </w:r>
      <w:hyperlink r:id="rId15" w:history="1">
        <w:r w:rsidR="00EB436A" w:rsidRPr="00726341">
          <w:rPr>
            <w:rStyle w:val="Hyperlink"/>
            <w:lang w:val="es-ES"/>
          </w:rPr>
          <w:t>http://www.fao.org/3/a-i4634s.pdf</w:t>
        </w:r>
      </w:hyperlink>
      <w:r w:rsidRPr="0006064F">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9F6" w:rsidRPr="008860FF" w:rsidRDefault="00A37FD5">
    <w:pPr>
      <w:pStyle w:val="Header"/>
      <w:rPr>
        <w:rFonts w:ascii="Times New Roman" w:eastAsiaTheme="majorEastAsia" w:hAnsi="Times New Roman" w:cs="Times New Roman"/>
        <w:sz w:val="24"/>
        <w:szCs w:val="24"/>
        <w:u w:val="single"/>
        <w:lang w:val="es-ES"/>
      </w:rPr>
    </w:pPr>
    <w:r w:rsidRPr="008860FF">
      <w:rPr>
        <w:rFonts w:ascii="Times New Roman" w:eastAsiaTheme="majorEastAsia" w:hAnsi="Times New Roman" w:cs="Times New Roman"/>
        <w:sz w:val="24"/>
        <w:szCs w:val="24"/>
        <w:u w:val="single"/>
        <w:lang w:val="es-ES"/>
      </w:rPr>
      <w:t>Jun</w:t>
    </w:r>
    <w:r w:rsidR="008860FF" w:rsidRPr="008860FF">
      <w:rPr>
        <w:rFonts w:ascii="Times New Roman" w:eastAsiaTheme="majorEastAsia" w:hAnsi="Times New Roman" w:cs="Times New Roman"/>
        <w:sz w:val="24"/>
        <w:szCs w:val="24"/>
        <w:u w:val="single"/>
        <w:lang w:val="es-ES"/>
      </w:rPr>
      <w:t xml:space="preserve">io de </w:t>
    </w:r>
    <w:r w:rsidR="00BF0D9E" w:rsidRPr="008860FF">
      <w:rPr>
        <w:rFonts w:ascii="Times New Roman" w:eastAsiaTheme="majorEastAsia" w:hAnsi="Times New Roman" w:cs="Times New Roman"/>
        <w:sz w:val="24"/>
        <w:szCs w:val="24"/>
        <w:u w:val="single"/>
        <w:lang w:val="es-ES"/>
      </w:rPr>
      <w:t>201</w:t>
    </w:r>
    <w:r w:rsidR="008860FF" w:rsidRPr="008860FF">
      <w:rPr>
        <w:rFonts w:ascii="Times New Roman" w:eastAsiaTheme="majorEastAsia" w:hAnsi="Times New Roman" w:cs="Times New Roman"/>
        <w:sz w:val="24"/>
        <w:szCs w:val="24"/>
        <w:u w:val="single"/>
        <w:lang w:val="es-ES"/>
      </w:rPr>
      <w:t>7</w:t>
    </w:r>
    <w:r w:rsidR="00BF0D9E" w:rsidRPr="008860FF">
      <w:rPr>
        <w:rFonts w:ascii="Times New Roman" w:eastAsiaTheme="majorEastAsia" w:hAnsi="Times New Roman" w:cs="Times New Roman"/>
        <w:sz w:val="24"/>
        <w:szCs w:val="24"/>
        <w:u w:val="single"/>
        <w:lang w:val="es-ES"/>
      </w:rPr>
      <w:ptab w:relativeTo="margin" w:alignment="center" w:leader="none"/>
    </w:r>
    <w:r w:rsidR="00BF0D9E" w:rsidRPr="008860FF">
      <w:rPr>
        <w:rFonts w:ascii="Times New Roman" w:eastAsiaTheme="majorEastAsia" w:hAnsi="Times New Roman" w:cs="Times New Roman"/>
        <w:sz w:val="24"/>
        <w:szCs w:val="24"/>
        <w:u w:val="single"/>
        <w:lang w:val="es-ES"/>
      </w:rPr>
      <w:ptab w:relativeTo="margin" w:alignment="right" w:leader="none"/>
    </w:r>
    <w:r w:rsidRPr="008860FF">
      <w:rPr>
        <w:rFonts w:ascii="Times New Roman" w:eastAsiaTheme="majorEastAsia" w:hAnsi="Times New Roman" w:cs="Times New Roman"/>
        <w:sz w:val="24"/>
        <w:szCs w:val="24"/>
        <w:u w:val="single"/>
        <w:lang w:val="es-ES"/>
      </w:rPr>
      <w:t>GRWG</w:t>
    </w:r>
    <w:r w:rsidR="001F5155" w:rsidRPr="008860FF">
      <w:rPr>
        <w:rFonts w:ascii="Times New Roman" w:eastAsiaTheme="majorEastAsia" w:hAnsi="Times New Roman" w:cs="Times New Roman"/>
        <w:sz w:val="24"/>
        <w:szCs w:val="24"/>
        <w:u w:val="single"/>
        <w:lang w:val="es-ES"/>
      </w:rPr>
      <w:t>/3</w:t>
    </w:r>
    <w:r w:rsidRPr="008860FF">
      <w:rPr>
        <w:rFonts w:ascii="Times New Roman" w:eastAsiaTheme="majorEastAsia" w:hAnsi="Times New Roman" w:cs="Times New Roman"/>
        <w:sz w:val="24"/>
        <w:szCs w:val="24"/>
        <w:u w:val="single"/>
        <w:lang w:val="es-ES"/>
      </w:rPr>
      <w:t>/2017/4</w:t>
    </w:r>
  </w:p>
  <w:p w:rsidR="00BF0D9E" w:rsidRPr="00734C44" w:rsidRDefault="008860FF" w:rsidP="00BF0D9E">
    <w:pPr>
      <w:pStyle w:val="LanguageSymbol"/>
      <w:framePr w:wrap="around"/>
    </w:pPr>
    <w:bookmarkStart w:id="1" w:name="LanguageSymbolBookmark"/>
    <w:r>
      <w:t>S</w:t>
    </w:r>
  </w:p>
  <w:bookmarkEnd w:id="1"/>
  <w:p w:rsidR="00BF0D9E" w:rsidRDefault="00BF0D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B3E4C"/>
    <w:multiLevelType w:val="hybridMultilevel"/>
    <w:tmpl w:val="32A8B85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E41688"/>
    <w:multiLevelType w:val="hybridMultilevel"/>
    <w:tmpl w:val="E620E3AE"/>
    <w:lvl w:ilvl="0" w:tplc="6AA0071A">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14B70"/>
    <w:multiLevelType w:val="hybridMultilevel"/>
    <w:tmpl w:val="B4F4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B941F8"/>
    <w:multiLevelType w:val="hybridMultilevel"/>
    <w:tmpl w:val="76D0909C"/>
    <w:lvl w:ilvl="0" w:tplc="45BE1D82">
      <w:start w:val="1"/>
      <w:numFmt w:val="decimal"/>
      <w:lvlText w:val="%1)"/>
      <w:lvlJc w:val="left"/>
      <w:pPr>
        <w:ind w:left="720" w:hanging="360"/>
      </w:pPr>
      <w:rPr>
        <w:rFonts w:ascii="Times New Roman" w:hAnsi="Times New Roman" w:cs="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20499"/>
    <w:multiLevelType w:val="hybridMultilevel"/>
    <w:tmpl w:val="60A072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1E240A"/>
    <w:multiLevelType w:val="hybridMultilevel"/>
    <w:tmpl w:val="BDAE69B4"/>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1845D5"/>
    <w:multiLevelType w:val="hybridMultilevel"/>
    <w:tmpl w:val="6D92E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7299A"/>
    <w:multiLevelType w:val="hybridMultilevel"/>
    <w:tmpl w:val="465EE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DE2FEC"/>
    <w:multiLevelType w:val="hybridMultilevel"/>
    <w:tmpl w:val="63AC21CA"/>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69581303"/>
    <w:multiLevelType w:val="hybridMultilevel"/>
    <w:tmpl w:val="0486E976"/>
    <w:lvl w:ilvl="0" w:tplc="7E0067D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8A39C0"/>
    <w:multiLevelType w:val="hybridMultilevel"/>
    <w:tmpl w:val="6A0CE218"/>
    <w:lvl w:ilvl="0" w:tplc="CD4EBDB0">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E2109"/>
    <w:multiLevelType w:val="hybridMultilevel"/>
    <w:tmpl w:val="0776B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10"/>
  </w:num>
  <w:num w:numId="5">
    <w:abstractNumId w:val="11"/>
  </w:num>
  <w:num w:numId="6">
    <w:abstractNumId w:val="6"/>
  </w:num>
  <w:num w:numId="7">
    <w:abstractNumId w:val="2"/>
  </w:num>
  <w:num w:numId="8">
    <w:abstractNumId w:val="8"/>
  </w:num>
  <w:num w:numId="9">
    <w:abstractNumId w:val="7"/>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4F"/>
    <w:rsid w:val="00000ED0"/>
    <w:rsid w:val="00007B26"/>
    <w:rsid w:val="0001312A"/>
    <w:rsid w:val="000139F6"/>
    <w:rsid w:val="0001409F"/>
    <w:rsid w:val="00015ADF"/>
    <w:rsid w:val="000268D8"/>
    <w:rsid w:val="00032729"/>
    <w:rsid w:val="00040E3C"/>
    <w:rsid w:val="00044CEF"/>
    <w:rsid w:val="00051A01"/>
    <w:rsid w:val="0006064F"/>
    <w:rsid w:val="00061ADD"/>
    <w:rsid w:val="00070818"/>
    <w:rsid w:val="000723D0"/>
    <w:rsid w:val="0007318C"/>
    <w:rsid w:val="0007344F"/>
    <w:rsid w:val="00085F89"/>
    <w:rsid w:val="000935D6"/>
    <w:rsid w:val="00093CDB"/>
    <w:rsid w:val="00095FAD"/>
    <w:rsid w:val="00097A65"/>
    <w:rsid w:val="000A19C3"/>
    <w:rsid w:val="000B3780"/>
    <w:rsid w:val="000B41C8"/>
    <w:rsid w:val="000B4CAB"/>
    <w:rsid w:val="000B4F4C"/>
    <w:rsid w:val="000C44A6"/>
    <w:rsid w:val="000C755C"/>
    <w:rsid w:val="000D23B7"/>
    <w:rsid w:val="000D6B6A"/>
    <w:rsid w:val="000D7863"/>
    <w:rsid w:val="000E24E9"/>
    <w:rsid w:val="000E4A0C"/>
    <w:rsid w:val="000F1D4F"/>
    <w:rsid w:val="000F43B6"/>
    <w:rsid w:val="001049C7"/>
    <w:rsid w:val="001177EE"/>
    <w:rsid w:val="001301B4"/>
    <w:rsid w:val="00146978"/>
    <w:rsid w:val="00147553"/>
    <w:rsid w:val="0016174A"/>
    <w:rsid w:val="00172FA5"/>
    <w:rsid w:val="001820DD"/>
    <w:rsid w:val="00197A03"/>
    <w:rsid w:val="00197A55"/>
    <w:rsid w:val="001A03A9"/>
    <w:rsid w:val="001A3CFF"/>
    <w:rsid w:val="001B796B"/>
    <w:rsid w:val="001C23D0"/>
    <w:rsid w:val="001C44FB"/>
    <w:rsid w:val="001C5BDF"/>
    <w:rsid w:val="001D09D2"/>
    <w:rsid w:val="001E0036"/>
    <w:rsid w:val="001E46E5"/>
    <w:rsid w:val="001E5B91"/>
    <w:rsid w:val="001F1C7C"/>
    <w:rsid w:val="001F5155"/>
    <w:rsid w:val="00202DC5"/>
    <w:rsid w:val="002064CA"/>
    <w:rsid w:val="00206529"/>
    <w:rsid w:val="00211EFB"/>
    <w:rsid w:val="0021645D"/>
    <w:rsid w:val="00222D03"/>
    <w:rsid w:val="002258EB"/>
    <w:rsid w:val="00231D0E"/>
    <w:rsid w:val="002373C5"/>
    <w:rsid w:val="00242534"/>
    <w:rsid w:val="002530DB"/>
    <w:rsid w:val="00254493"/>
    <w:rsid w:val="00261500"/>
    <w:rsid w:val="0026597D"/>
    <w:rsid w:val="002702C5"/>
    <w:rsid w:val="0027604C"/>
    <w:rsid w:val="00282D4C"/>
    <w:rsid w:val="00284CE2"/>
    <w:rsid w:val="00291704"/>
    <w:rsid w:val="0029310F"/>
    <w:rsid w:val="00295D3E"/>
    <w:rsid w:val="002A33B1"/>
    <w:rsid w:val="002A3599"/>
    <w:rsid w:val="002A37ED"/>
    <w:rsid w:val="002A3AD2"/>
    <w:rsid w:val="002A3B9C"/>
    <w:rsid w:val="002B1149"/>
    <w:rsid w:val="002B45FC"/>
    <w:rsid w:val="002B5191"/>
    <w:rsid w:val="002B5406"/>
    <w:rsid w:val="002B715E"/>
    <w:rsid w:val="002C2EDF"/>
    <w:rsid w:val="002C4196"/>
    <w:rsid w:val="002C764E"/>
    <w:rsid w:val="002D2767"/>
    <w:rsid w:val="002D5434"/>
    <w:rsid w:val="002E2C7A"/>
    <w:rsid w:val="002E51E0"/>
    <w:rsid w:val="002F13CA"/>
    <w:rsid w:val="002F15CE"/>
    <w:rsid w:val="002F487E"/>
    <w:rsid w:val="002F6BAC"/>
    <w:rsid w:val="00300BC6"/>
    <w:rsid w:val="00303476"/>
    <w:rsid w:val="00334976"/>
    <w:rsid w:val="003376F5"/>
    <w:rsid w:val="00340AB5"/>
    <w:rsid w:val="003455E0"/>
    <w:rsid w:val="00346F84"/>
    <w:rsid w:val="00352044"/>
    <w:rsid w:val="003563F6"/>
    <w:rsid w:val="00360E6E"/>
    <w:rsid w:val="003630D1"/>
    <w:rsid w:val="00363587"/>
    <w:rsid w:val="003635AD"/>
    <w:rsid w:val="00372BBF"/>
    <w:rsid w:val="00376BDD"/>
    <w:rsid w:val="003853F7"/>
    <w:rsid w:val="00385641"/>
    <w:rsid w:val="00390776"/>
    <w:rsid w:val="0039276B"/>
    <w:rsid w:val="003A0DB2"/>
    <w:rsid w:val="003A38CC"/>
    <w:rsid w:val="003A4258"/>
    <w:rsid w:val="003B2724"/>
    <w:rsid w:val="003B524B"/>
    <w:rsid w:val="003C283E"/>
    <w:rsid w:val="003C41F5"/>
    <w:rsid w:val="003D376A"/>
    <w:rsid w:val="003E4A60"/>
    <w:rsid w:val="003F5F8D"/>
    <w:rsid w:val="0040137A"/>
    <w:rsid w:val="00402DAB"/>
    <w:rsid w:val="0040444E"/>
    <w:rsid w:val="00413806"/>
    <w:rsid w:val="004142E8"/>
    <w:rsid w:val="00416B62"/>
    <w:rsid w:val="00416FC0"/>
    <w:rsid w:val="00424ED8"/>
    <w:rsid w:val="004268E8"/>
    <w:rsid w:val="0042760B"/>
    <w:rsid w:val="00427930"/>
    <w:rsid w:val="00436558"/>
    <w:rsid w:val="00452FBD"/>
    <w:rsid w:val="004532E5"/>
    <w:rsid w:val="00455347"/>
    <w:rsid w:val="004705E7"/>
    <w:rsid w:val="004751F2"/>
    <w:rsid w:val="004900BC"/>
    <w:rsid w:val="00490D17"/>
    <w:rsid w:val="004920A1"/>
    <w:rsid w:val="00495363"/>
    <w:rsid w:val="004A3A24"/>
    <w:rsid w:val="004A7DC5"/>
    <w:rsid w:val="004A7FF7"/>
    <w:rsid w:val="004B2F6C"/>
    <w:rsid w:val="004B427C"/>
    <w:rsid w:val="004B6D06"/>
    <w:rsid w:val="004B7AB0"/>
    <w:rsid w:val="004B7E29"/>
    <w:rsid w:val="004C0C93"/>
    <w:rsid w:val="004C5AD7"/>
    <w:rsid w:val="004D0092"/>
    <w:rsid w:val="004D3A39"/>
    <w:rsid w:val="004D4B81"/>
    <w:rsid w:val="004E057E"/>
    <w:rsid w:val="004E4BFC"/>
    <w:rsid w:val="004E76DC"/>
    <w:rsid w:val="004E7BBD"/>
    <w:rsid w:val="004F3C65"/>
    <w:rsid w:val="004F4B2E"/>
    <w:rsid w:val="0050419B"/>
    <w:rsid w:val="005056B4"/>
    <w:rsid w:val="00505712"/>
    <w:rsid w:val="005078E0"/>
    <w:rsid w:val="00510A8F"/>
    <w:rsid w:val="005111E9"/>
    <w:rsid w:val="005150CC"/>
    <w:rsid w:val="00516D61"/>
    <w:rsid w:val="0053315C"/>
    <w:rsid w:val="005355DA"/>
    <w:rsid w:val="00540B67"/>
    <w:rsid w:val="0054148D"/>
    <w:rsid w:val="0054516B"/>
    <w:rsid w:val="0055225C"/>
    <w:rsid w:val="00554F2A"/>
    <w:rsid w:val="0056187E"/>
    <w:rsid w:val="00566AF4"/>
    <w:rsid w:val="00570A6A"/>
    <w:rsid w:val="00571177"/>
    <w:rsid w:val="0057343B"/>
    <w:rsid w:val="0058013A"/>
    <w:rsid w:val="0058088A"/>
    <w:rsid w:val="00581EB5"/>
    <w:rsid w:val="00586011"/>
    <w:rsid w:val="00591457"/>
    <w:rsid w:val="005970EF"/>
    <w:rsid w:val="005A0561"/>
    <w:rsid w:val="005B2F29"/>
    <w:rsid w:val="005B539F"/>
    <w:rsid w:val="005B58EA"/>
    <w:rsid w:val="005C67F5"/>
    <w:rsid w:val="005D0C1E"/>
    <w:rsid w:val="005D3B5B"/>
    <w:rsid w:val="005D4C95"/>
    <w:rsid w:val="005D571B"/>
    <w:rsid w:val="005D7841"/>
    <w:rsid w:val="005E0444"/>
    <w:rsid w:val="005E1A98"/>
    <w:rsid w:val="005F4671"/>
    <w:rsid w:val="005F78F7"/>
    <w:rsid w:val="00603800"/>
    <w:rsid w:val="00605840"/>
    <w:rsid w:val="0060688F"/>
    <w:rsid w:val="00617EB7"/>
    <w:rsid w:val="0062196D"/>
    <w:rsid w:val="00622C37"/>
    <w:rsid w:val="0063049F"/>
    <w:rsid w:val="00630F9F"/>
    <w:rsid w:val="0063748F"/>
    <w:rsid w:val="00637AB3"/>
    <w:rsid w:val="00641CD1"/>
    <w:rsid w:val="00642BC1"/>
    <w:rsid w:val="00643249"/>
    <w:rsid w:val="00647E2B"/>
    <w:rsid w:val="00652749"/>
    <w:rsid w:val="0066340B"/>
    <w:rsid w:val="00665086"/>
    <w:rsid w:val="00666708"/>
    <w:rsid w:val="00670A54"/>
    <w:rsid w:val="006725A1"/>
    <w:rsid w:val="00673ED5"/>
    <w:rsid w:val="006859B4"/>
    <w:rsid w:val="00686985"/>
    <w:rsid w:val="00691E98"/>
    <w:rsid w:val="00691F86"/>
    <w:rsid w:val="0069555F"/>
    <w:rsid w:val="006A4DC8"/>
    <w:rsid w:val="006A55EF"/>
    <w:rsid w:val="006B0B2C"/>
    <w:rsid w:val="006B1E9E"/>
    <w:rsid w:val="006C08CB"/>
    <w:rsid w:val="006C32CD"/>
    <w:rsid w:val="006C7A73"/>
    <w:rsid w:val="006D1B99"/>
    <w:rsid w:val="006D2B2D"/>
    <w:rsid w:val="006D4200"/>
    <w:rsid w:val="006D6E79"/>
    <w:rsid w:val="006D736B"/>
    <w:rsid w:val="006E143C"/>
    <w:rsid w:val="006F4D72"/>
    <w:rsid w:val="006F58B6"/>
    <w:rsid w:val="006F7D35"/>
    <w:rsid w:val="00700DCE"/>
    <w:rsid w:val="00701B28"/>
    <w:rsid w:val="007046C7"/>
    <w:rsid w:val="00704859"/>
    <w:rsid w:val="0070538E"/>
    <w:rsid w:val="0070579D"/>
    <w:rsid w:val="00711FEB"/>
    <w:rsid w:val="0071273D"/>
    <w:rsid w:val="00715392"/>
    <w:rsid w:val="007156E2"/>
    <w:rsid w:val="00716915"/>
    <w:rsid w:val="00717A02"/>
    <w:rsid w:val="007265AD"/>
    <w:rsid w:val="007266B1"/>
    <w:rsid w:val="00727A41"/>
    <w:rsid w:val="00730748"/>
    <w:rsid w:val="00733CE3"/>
    <w:rsid w:val="00735596"/>
    <w:rsid w:val="007361FF"/>
    <w:rsid w:val="00737C97"/>
    <w:rsid w:val="00740DA1"/>
    <w:rsid w:val="0074177C"/>
    <w:rsid w:val="0074278D"/>
    <w:rsid w:val="0074363D"/>
    <w:rsid w:val="0076009F"/>
    <w:rsid w:val="00765F70"/>
    <w:rsid w:val="00772BC8"/>
    <w:rsid w:val="00775613"/>
    <w:rsid w:val="00777A2F"/>
    <w:rsid w:val="0078435A"/>
    <w:rsid w:val="007872F1"/>
    <w:rsid w:val="0079253A"/>
    <w:rsid w:val="00796B3C"/>
    <w:rsid w:val="00797E04"/>
    <w:rsid w:val="007A2332"/>
    <w:rsid w:val="007A56F5"/>
    <w:rsid w:val="007A7273"/>
    <w:rsid w:val="007B0994"/>
    <w:rsid w:val="007B19B8"/>
    <w:rsid w:val="007B21AD"/>
    <w:rsid w:val="007C2223"/>
    <w:rsid w:val="007C4DBC"/>
    <w:rsid w:val="007D3518"/>
    <w:rsid w:val="007D42EC"/>
    <w:rsid w:val="007E18E0"/>
    <w:rsid w:val="007E406B"/>
    <w:rsid w:val="007E4B82"/>
    <w:rsid w:val="007E524B"/>
    <w:rsid w:val="007E69F9"/>
    <w:rsid w:val="007F6ABD"/>
    <w:rsid w:val="0080657F"/>
    <w:rsid w:val="0081033B"/>
    <w:rsid w:val="00815B5C"/>
    <w:rsid w:val="008162A8"/>
    <w:rsid w:val="00845CD7"/>
    <w:rsid w:val="00845F01"/>
    <w:rsid w:val="0084601E"/>
    <w:rsid w:val="00864BC3"/>
    <w:rsid w:val="00872C37"/>
    <w:rsid w:val="00881ED2"/>
    <w:rsid w:val="0088213B"/>
    <w:rsid w:val="008860FF"/>
    <w:rsid w:val="00891D8D"/>
    <w:rsid w:val="00893B1E"/>
    <w:rsid w:val="00894DBA"/>
    <w:rsid w:val="008A0506"/>
    <w:rsid w:val="008A6DEE"/>
    <w:rsid w:val="008B0B53"/>
    <w:rsid w:val="008C096E"/>
    <w:rsid w:val="008C0B63"/>
    <w:rsid w:val="008D649E"/>
    <w:rsid w:val="008E183E"/>
    <w:rsid w:val="008F3E11"/>
    <w:rsid w:val="00903671"/>
    <w:rsid w:val="0090612E"/>
    <w:rsid w:val="00910953"/>
    <w:rsid w:val="00915D94"/>
    <w:rsid w:val="009218B6"/>
    <w:rsid w:val="009242AF"/>
    <w:rsid w:val="009256EC"/>
    <w:rsid w:val="009262CC"/>
    <w:rsid w:val="0093122F"/>
    <w:rsid w:val="0093278A"/>
    <w:rsid w:val="00934837"/>
    <w:rsid w:val="009414F0"/>
    <w:rsid w:val="00946DDF"/>
    <w:rsid w:val="00947E04"/>
    <w:rsid w:val="009510F3"/>
    <w:rsid w:val="00951E2C"/>
    <w:rsid w:val="00953554"/>
    <w:rsid w:val="00953A8A"/>
    <w:rsid w:val="00955089"/>
    <w:rsid w:val="00955A2F"/>
    <w:rsid w:val="00956CB1"/>
    <w:rsid w:val="009571EB"/>
    <w:rsid w:val="00961FCA"/>
    <w:rsid w:val="009627F6"/>
    <w:rsid w:val="00964CA0"/>
    <w:rsid w:val="00966D39"/>
    <w:rsid w:val="00970628"/>
    <w:rsid w:val="00974711"/>
    <w:rsid w:val="00976F0A"/>
    <w:rsid w:val="00985CF3"/>
    <w:rsid w:val="00995F60"/>
    <w:rsid w:val="00996284"/>
    <w:rsid w:val="009974F2"/>
    <w:rsid w:val="009A428D"/>
    <w:rsid w:val="009C06C4"/>
    <w:rsid w:val="009D2402"/>
    <w:rsid w:val="009D6247"/>
    <w:rsid w:val="009E69CE"/>
    <w:rsid w:val="009F60BD"/>
    <w:rsid w:val="00A01747"/>
    <w:rsid w:val="00A01B2E"/>
    <w:rsid w:val="00A10AA2"/>
    <w:rsid w:val="00A1713D"/>
    <w:rsid w:val="00A17643"/>
    <w:rsid w:val="00A2468A"/>
    <w:rsid w:val="00A24AB8"/>
    <w:rsid w:val="00A30323"/>
    <w:rsid w:val="00A30B1B"/>
    <w:rsid w:val="00A318FA"/>
    <w:rsid w:val="00A36565"/>
    <w:rsid w:val="00A37FD5"/>
    <w:rsid w:val="00A40613"/>
    <w:rsid w:val="00A40A29"/>
    <w:rsid w:val="00A41DB9"/>
    <w:rsid w:val="00A4396E"/>
    <w:rsid w:val="00A5038D"/>
    <w:rsid w:val="00A54E0A"/>
    <w:rsid w:val="00A61EE7"/>
    <w:rsid w:val="00A646CC"/>
    <w:rsid w:val="00A7003C"/>
    <w:rsid w:val="00A721BF"/>
    <w:rsid w:val="00A806A7"/>
    <w:rsid w:val="00A809C2"/>
    <w:rsid w:val="00A92377"/>
    <w:rsid w:val="00A92E9D"/>
    <w:rsid w:val="00A950E2"/>
    <w:rsid w:val="00AA085E"/>
    <w:rsid w:val="00AA2EC7"/>
    <w:rsid w:val="00AB0A38"/>
    <w:rsid w:val="00AB745A"/>
    <w:rsid w:val="00AB77DD"/>
    <w:rsid w:val="00AC21E9"/>
    <w:rsid w:val="00AC4A7F"/>
    <w:rsid w:val="00AC544A"/>
    <w:rsid w:val="00AF2545"/>
    <w:rsid w:val="00AF2711"/>
    <w:rsid w:val="00AF45E7"/>
    <w:rsid w:val="00AF7BF7"/>
    <w:rsid w:val="00B01ED0"/>
    <w:rsid w:val="00B0768F"/>
    <w:rsid w:val="00B10346"/>
    <w:rsid w:val="00B10DFA"/>
    <w:rsid w:val="00B13262"/>
    <w:rsid w:val="00B1423F"/>
    <w:rsid w:val="00B21B6C"/>
    <w:rsid w:val="00B231F7"/>
    <w:rsid w:val="00B24667"/>
    <w:rsid w:val="00B37719"/>
    <w:rsid w:val="00B45BB8"/>
    <w:rsid w:val="00B5009A"/>
    <w:rsid w:val="00B60DDF"/>
    <w:rsid w:val="00B61C96"/>
    <w:rsid w:val="00B6258B"/>
    <w:rsid w:val="00B64EE5"/>
    <w:rsid w:val="00B75A37"/>
    <w:rsid w:val="00B805C0"/>
    <w:rsid w:val="00B845F4"/>
    <w:rsid w:val="00B96AF1"/>
    <w:rsid w:val="00BA27A3"/>
    <w:rsid w:val="00BA46F3"/>
    <w:rsid w:val="00BA598F"/>
    <w:rsid w:val="00BA6484"/>
    <w:rsid w:val="00BB0070"/>
    <w:rsid w:val="00BB0508"/>
    <w:rsid w:val="00BB339C"/>
    <w:rsid w:val="00BB4894"/>
    <w:rsid w:val="00BB7299"/>
    <w:rsid w:val="00BB7B4E"/>
    <w:rsid w:val="00BC5069"/>
    <w:rsid w:val="00BD415F"/>
    <w:rsid w:val="00BD6C15"/>
    <w:rsid w:val="00BD70FD"/>
    <w:rsid w:val="00BE1E4D"/>
    <w:rsid w:val="00BE2E08"/>
    <w:rsid w:val="00BE2EF4"/>
    <w:rsid w:val="00BE49AC"/>
    <w:rsid w:val="00BF0D9E"/>
    <w:rsid w:val="00BF498E"/>
    <w:rsid w:val="00BF4DB2"/>
    <w:rsid w:val="00C06022"/>
    <w:rsid w:val="00C13A88"/>
    <w:rsid w:val="00C20BF8"/>
    <w:rsid w:val="00C24CDA"/>
    <w:rsid w:val="00C260FA"/>
    <w:rsid w:val="00C2625B"/>
    <w:rsid w:val="00C26BCF"/>
    <w:rsid w:val="00C37F01"/>
    <w:rsid w:val="00C44093"/>
    <w:rsid w:val="00C44105"/>
    <w:rsid w:val="00C62534"/>
    <w:rsid w:val="00C63A60"/>
    <w:rsid w:val="00C66B1E"/>
    <w:rsid w:val="00C72478"/>
    <w:rsid w:val="00C759C8"/>
    <w:rsid w:val="00C75A23"/>
    <w:rsid w:val="00C75B46"/>
    <w:rsid w:val="00C83317"/>
    <w:rsid w:val="00C84E60"/>
    <w:rsid w:val="00C85B3B"/>
    <w:rsid w:val="00C875AC"/>
    <w:rsid w:val="00C909F5"/>
    <w:rsid w:val="00C93454"/>
    <w:rsid w:val="00C978AB"/>
    <w:rsid w:val="00CA1092"/>
    <w:rsid w:val="00CA3736"/>
    <w:rsid w:val="00CB1076"/>
    <w:rsid w:val="00CB13EE"/>
    <w:rsid w:val="00CC2D55"/>
    <w:rsid w:val="00CC5E25"/>
    <w:rsid w:val="00CC6B8D"/>
    <w:rsid w:val="00CD2919"/>
    <w:rsid w:val="00CD5CCD"/>
    <w:rsid w:val="00CE4289"/>
    <w:rsid w:val="00CE6AEB"/>
    <w:rsid w:val="00CE74CD"/>
    <w:rsid w:val="00CF5106"/>
    <w:rsid w:val="00D0075C"/>
    <w:rsid w:val="00D025F6"/>
    <w:rsid w:val="00D056B0"/>
    <w:rsid w:val="00D152DB"/>
    <w:rsid w:val="00D21B13"/>
    <w:rsid w:val="00D2562D"/>
    <w:rsid w:val="00D35E08"/>
    <w:rsid w:val="00D41466"/>
    <w:rsid w:val="00D43710"/>
    <w:rsid w:val="00D5132D"/>
    <w:rsid w:val="00D619ED"/>
    <w:rsid w:val="00D62D82"/>
    <w:rsid w:val="00D6423F"/>
    <w:rsid w:val="00D71C84"/>
    <w:rsid w:val="00D74D5F"/>
    <w:rsid w:val="00D75AB8"/>
    <w:rsid w:val="00D911FE"/>
    <w:rsid w:val="00D9297F"/>
    <w:rsid w:val="00D9523A"/>
    <w:rsid w:val="00D97DD6"/>
    <w:rsid w:val="00DA79C4"/>
    <w:rsid w:val="00DB00F2"/>
    <w:rsid w:val="00DB07DD"/>
    <w:rsid w:val="00DB4FDB"/>
    <w:rsid w:val="00DC5337"/>
    <w:rsid w:val="00DD018E"/>
    <w:rsid w:val="00DD1328"/>
    <w:rsid w:val="00DD31EB"/>
    <w:rsid w:val="00DD3657"/>
    <w:rsid w:val="00DD6E40"/>
    <w:rsid w:val="00DE0AA6"/>
    <w:rsid w:val="00DE38E9"/>
    <w:rsid w:val="00DE7E21"/>
    <w:rsid w:val="00DF387C"/>
    <w:rsid w:val="00DF4A82"/>
    <w:rsid w:val="00DF5720"/>
    <w:rsid w:val="00DF6856"/>
    <w:rsid w:val="00E11FBB"/>
    <w:rsid w:val="00E13286"/>
    <w:rsid w:val="00E14166"/>
    <w:rsid w:val="00E2477F"/>
    <w:rsid w:val="00E340E9"/>
    <w:rsid w:val="00E36CD9"/>
    <w:rsid w:val="00E43214"/>
    <w:rsid w:val="00E4631B"/>
    <w:rsid w:val="00E51032"/>
    <w:rsid w:val="00E52CDD"/>
    <w:rsid w:val="00E53A84"/>
    <w:rsid w:val="00E53B3D"/>
    <w:rsid w:val="00E54DED"/>
    <w:rsid w:val="00E635DC"/>
    <w:rsid w:val="00E65F3D"/>
    <w:rsid w:val="00E66810"/>
    <w:rsid w:val="00E801E2"/>
    <w:rsid w:val="00E93955"/>
    <w:rsid w:val="00E965E3"/>
    <w:rsid w:val="00E96C1A"/>
    <w:rsid w:val="00EB243F"/>
    <w:rsid w:val="00EB3C46"/>
    <w:rsid w:val="00EB436A"/>
    <w:rsid w:val="00EC08F3"/>
    <w:rsid w:val="00EC7F94"/>
    <w:rsid w:val="00ED0008"/>
    <w:rsid w:val="00ED2A9B"/>
    <w:rsid w:val="00ED6DCA"/>
    <w:rsid w:val="00ED6F57"/>
    <w:rsid w:val="00ED70E4"/>
    <w:rsid w:val="00EE0E0A"/>
    <w:rsid w:val="00EE64E9"/>
    <w:rsid w:val="00EE6C71"/>
    <w:rsid w:val="00EF25D4"/>
    <w:rsid w:val="00F0080E"/>
    <w:rsid w:val="00F10F9F"/>
    <w:rsid w:val="00F12098"/>
    <w:rsid w:val="00F167CC"/>
    <w:rsid w:val="00F16DA5"/>
    <w:rsid w:val="00F268EF"/>
    <w:rsid w:val="00F30A51"/>
    <w:rsid w:val="00F32D63"/>
    <w:rsid w:val="00F370BF"/>
    <w:rsid w:val="00F40E58"/>
    <w:rsid w:val="00F410AF"/>
    <w:rsid w:val="00F4168C"/>
    <w:rsid w:val="00F4507A"/>
    <w:rsid w:val="00F51EC8"/>
    <w:rsid w:val="00F52B36"/>
    <w:rsid w:val="00F53F76"/>
    <w:rsid w:val="00F56A9B"/>
    <w:rsid w:val="00F56AE1"/>
    <w:rsid w:val="00F6552E"/>
    <w:rsid w:val="00F66313"/>
    <w:rsid w:val="00F75488"/>
    <w:rsid w:val="00F82234"/>
    <w:rsid w:val="00F879CB"/>
    <w:rsid w:val="00F93669"/>
    <w:rsid w:val="00FA0CF2"/>
    <w:rsid w:val="00FA2EAE"/>
    <w:rsid w:val="00FA3A8A"/>
    <w:rsid w:val="00FA3F4A"/>
    <w:rsid w:val="00FA54FA"/>
    <w:rsid w:val="00FA5B5E"/>
    <w:rsid w:val="00FB52EB"/>
    <w:rsid w:val="00FB7728"/>
    <w:rsid w:val="00FC0339"/>
    <w:rsid w:val="00FC381C"/>
    <w:rsid w:val="00FC5B0F"/>
    <w:rsid w:val="00FC709A"/>
    <w:rsid w:val="00FE1DD4"/>
    <w:rsid w:val="00FE43FE"/>
    <w:rsid w:val="00FF51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A318BF9-794F-4282-B395-6DE40FC7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387C"/>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DF387C"/>
    <w:pPr>
      <w:ind w:left="720"/>
      <w:contextualSpacing/>
    </w:pPr>
  </w:style>
  <w:style w:type="paragraph" w:styleId="Header">
    <w:name w:val="header"/>
    <w:basedOn w:val="Normal"/>
    <w:link w:val="HeaderChar"/>
    <w:uiPriority w:val="99"/>
    <w:unhideWhenUsed/>
    <w:rsid w:val="00DF4A82"/>
    <w:pPr>
      <w:tabs>
        <w:tab w:val="center" w:pos="4252"/>
        <w:tab w:val="right" w:pos="8504"/>
      </w:tabs>
      <w:spacing w:after="0" w:line="240" w:lineRule="auto"/>
    </w:pPr>
  </w:style>
  <w:style w:type="character" w:customStyle="1" w:styleId="HeaderChar">
    <w:name w:val="Header Char"/>
    <w:basedOn w:val="DefaultParagraphFont"/>
    <w:link w:val="Header"/>
    <w:uiPriority w:val="99"/>
    <w:rsid w:val="00DF4A82"/>
    <w:rPr>
      <w:lang w:val="en-GB"/>
    </w:rPr>
  </w:style>
  <w:style w:type="paragraph" w:styleId="Footer">
    <w:name w:val="footer"/>
    <w:basedOn w:val="Normal"/>
    <w:link w:val="FooterChar"/>
    <w:uiPriority w:val="99"/>
    <w:unhideWhenUsed/>
    <w:rsid w:val="00DF4A82"/>
    <w:pPr>
      <w:tabs>
        <w:tab w:val="center" w:pos="4252"/>
        <w:tab w:val="right" w:pos="8504"/>
      </w:tabs>
      <w:spacing w:after="0" w:line="240" w:lineRule="auto"/>
    </w:pPr>
  </w:style>
  <w:style w:type="character" w:customStyle="1" w:styleId="FooterChar">
    <w:name w:val="Footer Char"/>
    <w:basedOn w:val="DefaultParagraphFont"/>
    <w:link w:val="Footer"/>
    <w:uiPriority w:val="99"/>
    <w:rsid w:val="00DF4A82"/>
    <w:rPr>
      <w:lang w:val="en-GB"/>
    </w:rPr>
  </w:style>
  <w:style w:type="paragraph" w:styleId="BalloonText">
    <w:name w:val="Balloon Text"/>
    <w:basedOn w:val="Normal"/>
    <w:link w:val="BalloonTextChar"/>
    <w:uiPriority w:val="99"/>
    <w:semiHidden/>
    <w:unhideWhenUsed/>
    <w:rsid w:val="00DF4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A82"/>
    <w:rPr>
      <w:rFonts w:ascii="Tahoma" w:hAnsi="Tahoma" w:cs="Tahoma"/>
      <w:sz w:val="16"/>
      <w:szCs w:val="16"/>
      <w:lang w:val="en-GB"/>
    </w:rPr>
  </w:style>
  <w:style w:type="character" w:styleId="CommentReference">
    <w:name w:val="annotation reference"/>
    <w:basedOn w:val="DefaultParagraphFont"/>
    <w:uiPriority w:val="99"/>
    <w:semiHidden/>
    <w:unhideWhenUsed/>
    <w:rsid w:val="00061ADD"/>
    <w:rPr>
      <w:sz w:val="16"/>
      <w:szCs w:val="16"/>
    </w:rPr>
  </w:style>
  <w:style w:type="paragraph" w:styleId="CommentText">
    <w:name w:val="annotation text"/>
    <w:basedOn w:val="Normal"/>
    <w:link w:val="CommentTextChar"/>
    <w:uiPriority w:val="99"/>
    <w:semiHidden/>
    <w:unhideWhenUsed/>
    <w:rsid w:val="00061ADD"/>
    <w:pPr>
      <w:spacing w:line="240" w:lineRule="auto"/>
    </w:pPr>
    <w:rPr>
      <w:sz w:val="20"/>
      <w:szCs w:val="20"/>
    </w:rPr>
  </w:style>
  <w:style w:type="character" w:customStyle="1" w:styleId="CommentTextChar">
    <w:name w:val="Comment Text Char"/>
    <w:basedOn w:val="DefaultParagraphFont"/>
    <w:link w:val="CommentText"/>
    <w:uiPriority w:val="99"/>
    <w:semiHidden/>
    <w:rsid w:val="00061ADD"/>
    <w:rPr>
      <w:sz w:val="20"/>
      <w:szCs w:val="20"/>
      <w:lang w:val="en-GB"/>
    </w:rPr>
  </w:style>
  <w:style w:type="paragraph" w:styleId="CommentSubject">
    <w:name w:val="annotation subject"/>
    <w:basedOn w:val="CommentText"/>
    <w:next w:val="CommentText"/>
    <w:link w:val="CommentSubjectChar"/>
    <w:uiPriority w:val="99"/>
    <w:semiHidden/>
    <w:unhideWhenUsed/>
    <w:rsid w:val="00061ADD"/>
    <w:rPr>
      <w:b/>
      <w:bCs/>
    </w:rPr>
  </w:style>
  <w:style w:type="character" w:customStyle="1" w:styleId="CommentSubjectChar">
    <w:name w:val="Comment Subject Char"/>
    <w:basedOn w:val="CommentTextChar"/>
    <w:link w:val="CommentSubject"/>
    <w:uiPriority w:val="99"/>
    <w:semiHidden/>
    <w:rsid w:val="00061ADD"/>
    <w:rPr>
      <w:b/>
      <w:bCs/>
      <w:sz w:val="20"/>
      <w:szCs w:val="20"/>
      <w:lang w:val="en-GB"/>
    </w:rPr>
  </w:style>
  <w:style w:type="paragraph" w:customStyle="1" w:styleId="MeetingInfo">
    <w:name w:val="MeetingInfo"/>
    <w:basedOn w:val="Normal"/>
    <w:link w:val="MeetingInfoChar"/>
    <w:qFormat/>
    <w:rsid w:val="00C75A23"/>
    <w:pPr>
      <w:pBdr>
        <w:top w:val="single" w:sz="8" w:space="6" w:color="auto"/>
        <w:left w:val="single" w:sz="8" w:space="0" w:color="auto"/>
        <w:bottom w:val="single" w:sz="8" w:space="6" w:color="auto"/>
        <w:right w:val="single" w:sz="8" w:space="0" w:color="auto"/>
        <w:between w:val="single" w:sz="8" w:space="6" w:color="auto"/>
        <w:bar w:val="single" w:sz="8" w:color="auto"/>
      </w:pBdr>
      <w:spacing w:after="0" w:line="240" w:lineRule="auto"/>
      <w:jc w:val="center"/>
    </w:pPr>
    <w:rPr>
      <w:rFonts w:ascii="Times New Roman Bold" w:eastAsiaTheme="minorHAnsi" w:hAnsi="Times New Roman Bold" w:cs="Akhbar MT"/>
      <w:b/>
      <w:bCs/>
      <w:sz w:val="28"/>
      <w:szCs w:val="36"/>
      <w:lang w:val="en-GB"/>
    </w:rPr>
  </w:style>
  <w:style w:type="character" w:customStyle="1" w:styleId="MeetingInfoChar">
    <w:name w:val="MeetingInfo Char"/>
    <w:basedOn w:val="DefaultParagraphFont"/>
    <w:link w:val="MeetingInfo"/>
    <w:rsid w:val="00C75A23"/>
    <w:rPr>
      <w:rFonts w:ascii="Times New Roman Bold" w:eastAsiaTheme="minorHAnsi" w:hAnsi="Times New Roman Bold" w:cs="Akhbar MT"/>
      <w:b/>
      <w:bCs/>
      <w:sz w:val="28"/>
      <w:szCs w:val="36"/>
      <w:lang w:val="en-GB"/>
    </w:rPr>
  </w:style>
  <w:style w:type="paragraph" w:customStyle="1" w:styleId="LanguageSymbol">
    <w:name w:val="LanguageSymbol"/>
    <w:basedOn w:val="Normal"/>
    <w:link w:val="LanguageSymbolChar"/>
    <w:qFormat/>
    <w:rsid w:val="00BF0D9E"/>
    <w:pPr>
      <w:framePr w:h="655" w:hRule="exact" w:hSpace="181" w:wrap="around" w:vAnchor="page" w:hAnchor="page" w:x="10667" w:y="899"/>
      <w:spacing w:before="120" w:after="0" w:line="240" w:lineRule="auto"/>
    </w:pPr>
    <w:rPr>
      <w:rFonts w:ascii="Times New Roman" w:eastAsiaTheme="minorHAnsi" w:hAnsi="Times New Roman" w:cs="Akhbar MT"/>
      <w:b/>
      <w:color w:val="808080"/>
      <w:sz w:val="56"/>
      <w:szCs w:val="56"/>
      <w:lang w:val="en-GB"/>
    </w:rPr>
  </w:style>
  <w:style w:type="character" w:customStyle="1" w:styleId="LanguageSymbolChar">
    <w:name w:val="LanguageSymbol Char"/>
    <w:basedOn w:val="DefaultParagraphFont"/>
    <w:link w:val="LanguageSymbol"/>
    <w:rsid w:val="00BF0D9E"/>
    <w:rPr>
      <w:rFonts w:ascii="Times New Roman" w:eastAsiaTheme="minorHAnsi" w:hAnsi="Times New Roman" w:cs="Akhbar MT"/>
      <w:b/>
      <w:color w:val="808080"/>
      <w:sz w:val="56"/>
      <w:szCs w:val="56"/>
      <w:lang w:val="en-GB"/>
    </w:rPr>
  </w:style>
  <w:style w:type="paragraph" w:styleId="FootnoteText">
    <w:name w:val="footnote text"/>
    <w:basedOn w:val="Normal"/>
    <w:link w:val="FootnoteTextChar"/>
    <w:uiPriority w:val="99"/>
    <w:semiHidden/>
    <w:unhideWhenUsed/>
    <w:rsid w:val="00673E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3ED5"/>
    <w:rPr>
      <w:sz w:val="20"/>
      <w:szCs w:val="20"/>
    </w:rPr>
  </w:style>
  <w:style w:type="character" w:styleId="FootnoteReference">
    <w:name w:val="footnote reference"/>
    <w:basedOn w:val="DefaultParagraphFont"/>
    <w:uiPriority w:val="99"/>
    <w:semiHidden/>
    <w:unhideWhenUsed/>
    <w:rsid w:val="00673ED5"/>
    <w:rPr>
      <w:vertAlign w:val="superscript"/>
    </w:rPr>
  </w:style>
  <w:style w:type="character" w:styleId="SubtleReference">
    <w:name w:val="Subtle Reference"/>
    <w:uiPriority w:val="31"/>
    <w:qFormat/>
    <w:rsid w:val="00796B3C"/>
  </w:style>
  <w:style w:type="character" w:styleId="Hyperlink">
    <w:name w:val="Hyperlink"/>
    <w:basedOn w:val="DefaultParagraphFont"/>
    <w:uiPriority w:val="99"/>
    <w:unhideWhenUsed/>
    <w:rsid w:val="00360E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18207">
      <w:bodyDiv w:val="1"/>
      <w:marLeft w:val="0"/>
      <w:marRight w:val="0"/>
      <w:marTop w:val="0"/>
      <w:marBottom w:val="0"/>
      <w:divBdr>
        <w:top w:val="none" w:sz="0" w:space="0" w:color="auto"/>
        <w:left w:val="none" w:sz="0" w:space="0" w:color="auto"/>
        <w:bottom w:val="none" w:sz="0" w:space="0" w:color="auto"/>
        <w:right w:val="none" w:sz="0" w:space="0" w:color="auto"/>
      </w:divBdr>
    </w:div>
    <w:div w:id="321399658">
      <w:bodyDiv w:val="1"/>
      <w:marLeft w:val="0"/>
      <w:marRight w:val="0"/>
      <w:marTop w:val="0"/>
      <w:marBottom w:val="0"/>
      <w:divBdr>
        <w:top w:val="none" w:sz="0" w:space="0" w:color="auto"/>
        <w:left w:val="none" w:sz="0" w:space="0" w:color="auto"/>
        <w:bottom w:val="none" w:sz="0" w:space="0" w:color="auto"/>
        <w:right w:val="none" w:sz="0" w:space="0" w:color="auto"/>
      </w:divBdr>
    </w:div>
    <w:div w:id="1055276375">
      <w:bodyDiv w:val="1"/>
      <w:marLeft w:val="0"/>
      <w:marRight w:val="0"/>
      <w:marTop w:val="0"/>
      <w:marBottom w:val="0"/>
      <w:divBdr>
        <w:top w:val="none" w:sz="0" w:space="0" w:color="auto"/>
        <w:left w:val="none" w:sz="0" w:space="0" w:color="auto"/>
        <w:bottom w:val="none" w:sz="0" w:space="0" w:color="auto"/>
        <w:right w:val="none" w:sz="0" w:space="0" w:color="auto"/>
      </w:divBdr>
    </w:div>
    <w:div w:id="1196503480">
      <w:bodyDiv w:val="1"/>
      <w:marLeft w:val="0"/>
      <w:marRight w:val="0"/>
      <w:marTop w:val="0"/>
      <w:marBottom w:val="0"/>
      <w:divBdr>
        <w:top w:val="none" w:sz="0" w:space="0" w:color="auto"/>
        <w:left w:val="none" w:sz="0" w:space="0" w:color="auto"/>
        <w:bottom w:val="none" w:sz="0" w:space="0" w:color="auto"/>
        <w:right w:val="none" w:sz="0" w:space="0" w:color="auto"/>
      </w:divBdr>
    </w:div>
    <w:div w:id="1412119099">
      <w:bodyDiv w:val="1"/>
      <w:marLeft w:val="0"/>
      <w:marRight w:val="0"/>
      <w:marTop w:val="0"/>
      <w:marBottom w:val="0"/>
      <w:divBdr>
        <w:top w:val="none" w:sz="0" w:space="0" w:color="auto"/>
        <w:left w:val="none" w:sz="0" w:space="0" w:color="auto"/>
        <w:bottom w:val="none" w:sz="0" w:space="0" w:color="auto"/>
        <w:right w:val="none" w:sz="0" w:space="0" w:color="auto"/>
      </w:divBdr>
    </w:div>
    <w:div w:id="1477606854">
      <w:bodyDiv w:val="1"/>
      <w:marLeft w:val="0"/>
      <w:marRight w:val="0"/>
      <w:marTop w:val="0"/>
      <w:marBottom w:val="0"/>
      <w:divBdr>
        <w:top w:val="none" w:sz="0" w:space="0" w:color="auto"/>
        <w:left w:val="none" w:sz="0" w:space="0" w:color="auto"/>
        <w:bottom w:val="none" w:sz="0" w:space="0" w:color="auto"/>
        <w:right w:val="none" w:sz="0" w:space="0" w:color="auto"/>
      </w:divBdr>
    </w:div>
    <w:div w:id="1684671821">
      <w:bodyDiv w:val="1"/>
      <w:marLeft w:val="0"/>
      <w:marRight w:val="0"/>
      <w:marTop w:val="0"/>
      <w:marBottom w:val="0"/>
      <w:divBdr>
        <w:top w:val="none" w:sz="0" w:space="0" w:color="auto"/>
        <w:left w:val="none" w:sz="0" w:space="0" w:color="auto"/>
        <w:bottom w:val="none" w:sz="0" w:space="0" w:color="auto"/>
        <w:right w:val="none" w:sz="0" w:space="0" w:color="auto"/>
      </w:divBdr>
    </w:div>
    <w:div w:id="1748918946">
      <w:bodyDiv w:val="1"/>
      <w:marLeft w:val="0"/>
      <w:marRight w:val="0"/>
      <w:marTop w:val="0"/>
      <w:marBottom w:val="0"/>
      <w:divBdr>
        <w:top w:val="none" w:sz="0" w:space="0" w:color="auto"/>
        <w:left w:val="none" w:sz="0" w:space="0" w:color="auto"/>
        <w:bottom w:val="none" w:sz="0" w:space="0" w:color="auto"/>
        <w:right w:val="none" w:sz="0" w:space="0" w:color="auto"/>
      </w:divBdr>
    </w:div>
    <w:div w:id="214125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8" Type="http://schemas.openxmlformats.org/officeDocument/2006/relationships/hyperlink" Target="http://www.fao.org/fi/static-media/MeetingDocuments/GlobalRecord/GRWG3/3s.pdf" TargetMode="External"/><Relationship Id="rId13" Type="http://schemas.openxmlformats.org/officeDocument/2006/relationships/hyperlink" Target="http://www.un.org/depts/los/convention_agreements/convention_overview_fish_stocks.htm" TargetMode="External"/><Relationship Id="rId3" Type="http://schemas.openxmlformats.org/officeDocument/2006/relationships/hyperlink" Target="http://www.fao.org/in-action/global-record/news-events/detail/en/c/882133/" TargetMode="External"/><Relationship Id="rId7" Type="http://schemas.openxmlformats.org/officeDocument/2006/relationships/hyperlink" Target="http://www.unece.org/cefact/xml_schemas/index" TargetMode="External"/><Relationship Id="rId12" Type="http://schemas.openxmlformats.org/officeDocument/2006/relationships/hyperlink" Target="http://www.fao.org/fi/static-media/MeetingDocuments/CDS/TC2016/wpAnnex_es.pdf" TargetMode="External"/><Relationship Id="rId2" Type="http://schemas.openxmlformats.org/officeDocument/2006/relationships/hyperlink" Target="http://www.fao.org/in-action/global-record/background/global-record-pilot-project/es/" TargetMode="External"/><Relationship Id="rId1" Type="http://schemas.openxmlformats.org/officeDocument/2006/relationships/hyperlink" Target="http://www.fao.org/3/a-i6882s.pdf" TargetMode="External"/><Relationship Id="rId6" Type="http://schemas.openxmlformats.org/officeDocument/2006/relationships/hyperlink" Target="http://www.fao.org/in-action/global-record/information-system/es/" TargetMode="External"/><Relationship Id="rId11" Type="http://schemas.openxmlformats.org/officeDocument/2006/relationships/hyperlink" Target="http://www.fao.org/3/a-i4577t.pdf" TargetMode="External"/><Relationship Id="rId5" Type="http://schemas.openxmlformats.org/officeDocument/2006/relationships/hyperlink" Target="http://www.fao.org/3/a-i5793s.pdf" TargetMode="External"/><Relationship Id="rId15" Type="http://schemas.openxmlformats.org/officeDocument/2006/relationships/hyperlink" Target="http://www.fao.org/3/a-i4634s.pdf" TargetMode="External"/><Relationship Id="rId10" Type="http://schemas.openxmlformats.org/officeDocument/2006/relationships/hyperlink" Target="http://www.fao.org/fi/static-media/MeetingDocuments/PSMA/Parties/adoptedreport.pdf" TargetMode="External"/><Relationship Id="rId4" Type="http://schemas.openxmlformats.org/officeDocument/2006/relationships/hyperlink" Target="http://www.fao.org/3/a-bl006s.pdf" TargetMode="External"/><Relationship Id="rId9" Type="http://schemas.openxmlformats.org/officeDocument/2006/relationships/hyperlink" Target="http://www.fao.org/3/a-bl006s.pdf" TargetMode="External"/><Relationship Id="rId14" Type="http://schemas.openxmlformats.org/officeDocument/2006/relationships/hyperlink" Target="http://www.un.org/sustainabledevelopment/es/ocean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BEA0E2-F059-4234-9B10-1555507E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3645</Words>
  <Characters>20779</Characters>
  <Application>Microsoft Office Word</Application>
  <DocSecurity>4</DocSecurity>
  <Lines>173</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GRWG/2015/1/2</vt:lpstr>
      <vt:lpstr>GRWG/2015/1/2</vt:lpstr>
    </vt:vector>
  </TitlesOfParts>
  <Company>Hewlett-Packard Company</Company>
  <LinksUpToDate>false</LinksUpToDate>
  <CharactersWithSpaces>24376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GRWG/2015/1/2</dc:title>
  <dc:creator>Checho</dc:creator>
  <cp:lastModifiedBy>Torquati, Cristina (FIAS)</cp:lastModifiedBy>
  <cp:revision>2</cp:revision>
  <cp:lastPrinted>2017-06-24T19:47:00Z</cp:lastPrinted>
  <dcterms:created xsi:type="dcterms:W3CDTF">2017-06-26T08:04:00Z</dcterms:created>
  <dcterms:modified xsi:type="dcterms:W3CDTF">2017-06-26T08:04:00Z</dcterms:modified>
</cp:coreProperties>
</file>