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B1B" w:rsidRDefault="001B0F98">
      <w:pPr>
        <w:ind w:left="-1260"/>
        <w:jc w:val="center"/>
        <w:rPr>
          <w:rFonts w:ascii="Arial" w:eastAsia="Arial" w:hAnsi="Arial" w:cs="Arial"/>
        </w:rPr>
      </w:pPr>
      <w:bookmarkStart w:id="0" w:name="_GoBack"/>
      <w:bookmarkEnd w:id="0"/>
      <w:r>
        <w:rPr>
          <w:noProof/>
          <w:lang w:val="en-ZA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-372109</wp:posOffset>
            </wp:positionH>
            <wp:positionV relativeFrom="paragraph">
              <wp:posOffset>-649604</wp:posOffset>
            </wp:positionV>
            <wp:extent cx="6254115" cy="1002030"/>
            <wp:effectExtent l="0" t="0" r="0" b="0"/>
            <wp:wrapSquare wrapText="bothSides" distT="0" distB="0" distL="0" distR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54115" cy="10020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65B1B" w:rsidRDefault="00365B1B">
      <w:pPr>
        <w:ind w:left="5040" w:firstLine="720"/>
        <w:jc w:val="center"/>
        <w:rPr>
          <w:rFonts w:ascii="Arial" w:eastAsia="Arial" w:hAnsi="Arial" w:cs="Arial"/>
        </w:rPr>
      </w:pPr>
    </w:p>
    <w:p w:rsidR="00365B1B" w:rsidRDefault="00365B1B">
      <w:pPr>
        <w:ind w:left="5040" w:firstLine="720"/>
        <w:jc w:val="center"/>
        <w:rPr>
          <w:rFonts w:ascii="Arial" w:eastAsia="Arial" w:hAnsi="Arial" w:cs="Arial"/>
        </w:rPr>
      </w:pPr>
    </w:p>
    <w:p w:rsidR="00365B1B" w:rsidRDefault="001B0F98">
      <w:pPr>
        <w:ind w:left="5040" w:firstLine="72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SWIOFC/WPCCTF/19/7 E</w:t>
      </w:r>
    </w:p>
    <w:tbl>
      <w:tblPr>
        <w:tblStyle w:val="a"/>
        <w:tblW w:w="9846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365B1B">
        <w:tc>
          <w:tcPr>
            <w:tcW w:w="9846" w:type="dxa"/>
          </w:tcPr>
          <w:p w:rsidR="00365B1B" w:rsidRDefault="00365B1B">
            <w:pPr>
              <w:rPr>
                <w:sz w:val="28"/>
                <w:szCs w:val="28"/>
              </w:rPr>
            </w:pPr>
          </w:p>
          <w:p w:rsidR="00365B1B" w:rsidRDefault="001B0F9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SOUTHWEST INDIAN OCEAN FISHERIES COMMISSION</w:t>
            </w:r>
          </w:p>
          <w:p w:rsidR="00365B1B" w:rsidRDefault="00365B1B">
            <w:pPr>
              <w:jc w:val="center"/>
            </w:pPr>
          </w:p>
        </w:tc>
      </w:tr>
      <w:tr w:rsidR="00365B1B">
        <w:trPr>
          <w:trHeight w:val="560"/>
        </w:trPr>
        <w:tc>
          <w:tcPr>
            <w:tcW w:w="9846" w:type="dxa"/>
            <w:vAlign w:val="center"/>
          </w:tcPr>
          <w:p w:rsidR="00365B1B" w:rsidRDefault="001B0F98">
            <w:pPr>
              <w:keepNext/>
              <w:spacing w:after="60"/>
              <w:jc w:val="center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Ninth Working Party on Collaboration and Cooperation in Tuna Fisheries</w:t>
            </w:r>
          </w:p>
        </w:tc>
      </w:tr>
      <w:tr w:rsidR="00365B1B">
        <w:trPr>
          <w:trHeight w:val="560"/>
        </w:trPr>
        <w:tc>
          <w:tcPr>
            <w:tcW w:w="9846" w:type="dxa"/>
            <w:vAlign w:val="center"/>
          </w:tcPr>
          <w:p w:rsidR="00365B1B" w:rsidRDefault="001B0F9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Maldives, 29 September 2019</w:t>
            </w:r>
          </w:p>
        </w:tc>
      </w:tr>
      <w:tr w:rsidR="00365B1B">
        <w:trPr>
          <w:trHeight w:val="560"/>
        </w:trPr>
        <w:tc>
          <w:tcPr>
            <w:tcW w:w="9846" w:type="dxa"/>
            <w:vAlign w:val="center"/>
          </w:tcPr>
          <w:p w:rsidR="00365B1B" w:rsidRDefault="001B0F98">
            <w:pPr>
              <w:pStyle w:val="Heading4"/>
            </w:pPr>
            <w:r>
              <w:t>ACTIONS FOR IMPROVED COORDINATION AND COMPLIANCE OF THE SWIO STATES TO IOTC CONSERVATION AND MANAGEMENT MEASURES (CMMs)</w:t>
            </w:r>
          </w:p>
        </w:tc>
      </w:tr>
    </w:tbl>
    <w:p w:rsidR="00365B1B" w:rsidRDefault="00365B1B">
      <w:pPr>
        <w:jc w:val="center"/>
        <w:rPr>
          <w:sz w:val="22"/>
          <w:szCs w:val="22"/>
        </w:rPr>
      </w:pPr>
    </w:p>
    <w:p w:rsidR="00365B1B" w:rsidRDefault="00365B1B">
      <w:pPr>
        <w:ind w:left="-270"/>
        <w:rPr>
          <w:sz w:val="22"/>
          <w:szCs w:val="22"/>
          <w:u w:val="single"/>
        </w:rPr>
      </w:pPr>
    </w:p>
    <w:p w:rsidR="00365B1B" w:rsidRDefault="001B0F98">
      <w:pPr>
        <w:spacing w:after="240"/>
        <w:ind w:left="-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The Working Party on Collaboration and Cooperation in Tuna Fisheries (WPCCTF) has been created as</w:t>
      </w:r>
      <w:r>
        <w:rPr>
          <w:sz w:val="22"/>
          <w:szCs w:val="22"/>
        </w:rPr>
        <w:t xml:space="preserve"> a </w:t>
      </w:r>
      <w:r>
        <w:rPr>
          <w:color w:val="000000"/>
          <w:sz w:val="22"/>
          <w:szCs w:val="22"/>
        </w:rPr>
        <w:t>platform for SWIOFC Member States</w:t>
      </w:r>
      <w:r>
        <w:rPr>
          <w:color w:val="000000"/>
          <w:sz w:val="22"/>
          <w:szCs w:val="22"/>
        </w:rPr>
        <w:t xml:space="preserve"> (SWIOFC MS) to cooperate in matters related to tuna fisheries, including voicing common positions at the Indian Ocean Tuna Commission (IOTC) and improving performance in the implementation of IOTC Conservation</w:t>
      </w:r>
      <w:r>
        <w:rPr>
          <w:sz w:val="22"/>
          <w:szCs w:val="22"/>
        </w:rPr>
        <w:t xml:space="preserve"> and Management </w:t>
      </w:r>
      <w:r>
        <w:rPr>
          <w:color w:val="000000"/>
          <w:sz w:val="22"/>
          <w:szCs w:val="22"/>
        </w:rPr>
        <w:t xml:space="preserve">Measures </w:t>
      </w:r>
      <w:r>
        <w:rPr>
          <w:sz w:val="22"/>
          <w:szCs w:val="22"/>
        </w:rPr>
        <w:t>(</w:t>
      </w:r>
      <w:r>
        <w:rPr>
          <w:color w:val="000000"/>
          <w:sz w:val="22"/>
          <w:szCs w:val="22"/>
        </w:rPr>
        <w:t>CMMs).</w:t>
      </w:r>
    </w:p>
    <w:p w:rsidR="00365B1B" w:rsidRDefault="001B0F98">
      <w:pPr>
        <w:spacing w:after="240"/>
        <w:ind w:left="-709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T</w:t>
      </w:r>
      <w:r>
        <w:rPr>
          <w:color w:val="000000"/>
          <w:sz w:val="22"/>
          <w:szCs w:val="22"/>
        </w:rPr>
        <w:t>he WPCCTF me</w:t>
      </w:r>
      <w:r>
        <w:rPr>
          <w:color w:val="000000"/>
          <w:sz w:val="22"/>
          <w:szCs w:val="22"/>
        </w:rPr>
        <w:t>etings have been instrumental to allow the SWIOFC MS to exchang</w:t>
      </w:r>
      <w:r>
        <w:rPr>
          <w:sz w:val="22"/>
          <w:szCs w:val="22"/>
        </w:rPr>
        <w:t>ing</w:t>
      </w:r>
      <w:r>
        <w:rPr>
          <w:color w:val="000000"/>
          <w:sz w:val="22"/>
          <w:szCs w:val="22"/>
        </w:rPr>
        <w:t xml:space="preserve"> views </w:t>
      </w:r>
      <w:r>
        <w:rPr>
          <w:sz w:val="22"/>
          <w:szCs w:val="22"/>
        </w:rPr>
        <w:t>and prepare common</w:t>
      </w:r>
      <w:r>
        <w:rPr>
          <w:color w:val="000000"/>
          <w:sz w:val="22"/>
          <w:szCs w:val="22"/>
        </w:rPr>
        <w:t xml:space="preserve"> CMM proposals to be tabled at t</w:t>
      </w:r>
      <w:r>
        <w:rPr>
          <w:sz w:val="22"/>
          <w:szCs w:val="22"/>
        </w:rPr>
        <w:t>he IOTC annual Sessions.</w:t>
      </w:r>
      <w:r>
        <w:rPr>
          <w:color w:val="000000"/>
          <w:sz w:val="22"/>
          <w:szCs w:val="22"/>
        </w:rPr>
        <w:t xml:space="preserve"> In the last IOTC </w:t>
      </w:r>
      <w:r>
        <w:rPr>
          <w:sz w:val="22"/>
          <w:szCs w:val="22"/>
        </w:rPr>
        <w:t>S</w:t>
      </w:r>
      <w:r>
        <w:rPr>
          <w:color w:val="000000"/>
          <w:sz w:val="22"/>
          <w:szCs w:val="22"/>
        </w:rPr>
        <w:t xml:space="preserve">ession </w:t>
      </w:r>
      <w:r>
        <w:rPr>
          <w:sz w:val="22"/>
          <w:szCs w:val="22"/>
        </w:rPr>
        <w:t>(Hyderabad, India, 17-21 June 2019)</w:t>
      </w:r>
      <w:r>
        <w:rPr>
          <w:color w:val="000000"/>
          <w:sz w:val="22"/>
          <w:szCs w:val="22"/>
        </w:rPr>
        <w:t>, joint proposals from SWIO states have been con</w:t>
      </w:r>
      <w:r>
        <w:rPr>
          <w:color w:val="000000"/>
          <w:sz w:val="22"/>
          <w:szCs w:val="22"/>
        </w:rPr>
        <w:t>sidered for discussion, namely:</w:t>
      </w:r>
    </w:p>
    <w:p w:rsidR="00365B1B" w:rsidRDefault="001B0F98">
      <w:pPr>
        <w:numPr>
          <w:ilvl w:val="0"/>
          <w:numId w:val="1"/>
        </w:num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On </w:t>
      </w:r>
      <w:proofErr w:type="spellStart"/>
      <w:r>
        <w:rPr>
          <w:sz w:val="22"/>
          <w:szCs w:val="22"/>
        </w:rPr>
        <w:t>Mobulids</w:t>
      </w:r>
      <w:proofErr w:type="spellEnd"/>
      <w:r>
        <w:rPr>
          <w:sz w:val="22"/>
          <w:szCs w:val="22"/>
        </w:rPr>
        <w:t xml:space="preserve"> species, rebuilding yellowfin tuna stocks, chartering agreements, record of fishing vessel authorized to operate and on FADs, which was adopted;</w:t>
      </w:r>
    </w:p>
    <w:p w:rsidR="00365B1B" w:rsidRDefault="001B0F9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On record of licensed foreign vessels fishing for IOTC species in t</w:t>
      </w:r>
      <w:r>
        <w:rPr>
          <w:sz w:val="22"/>
          <w:szCs w:val="22"/>
        </w:rPr>
        <w:t>he IOTC area of competence and access agreement information, which was withdrawn; and</w:t>
      </w:r>
    </w:p>
    <w:p w:rsidR="00365B1B" w:rsidRDefault="001B0F98">
      <w:pPr>
        <w:numPr>
          <w:ilvl w:val="0"/>
          <w:numId w:val="1"/>
        </w:num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On allocation of fishing opportunities, which was deferred and further work was recommended for the IOTC Technical Committee on Allocation Criteria (TCAC). </w:t>
      </w:r>
    </w:p>
    <w:p w:rsidR="00365B1B" w:rsidRDefault="001B0F98">
      <w:pPr>
        <w:spacing w:after="240"/>
        <w:ind w:left="-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With regards </w:t>
      </w:r>
      <w:r>
        <w:rPr>
          <w:color w:val="000000"/>
          <w:sz w:val="22"/>
          <w:szCs w:val="22"/>
        </w:rPr>
        <w:t xml:space="preserve">to compliance to IOTC CMMs, the majority of SWIO </w:t>
      </w:r>
      <w:r>
        <w:rPr>
          <w:sz w:val="22"/>
          <w:szCs w:val="22"/>
        </w:rPr>
        <w:t>S</w:t>
      </w:r>
      <w:r>
        <w:rPr>
          <w:color w:val="000000"/>
          <w:sz w:val="22"/>
          <w:szCs w:val="22"/>
        </w:rPr>
        <w:t>tates has improved its compliance rates, although some countries have had a slight decrease in the level of compliance</w:t>
      </w:r>
      <w:r>
        <w:rPr>
          <w:sz w:val="22"/>
          <w:szCs w:val="22"/>
        </w:rPr>
        <w:t xml:space="preserve"> a</w:t>
      </w:r>
      <w:r>
        <w:rPr>
          <w:color w:val="000000"/>
          <w:sz w:val="22"/>
          <w:szCs w:val="22"/>
        </w:rPr>
        <w:t>nd there is concern for those countries which level of compliance is still rated below</w:t>
      </w:r>
      <w:r>
        <w:rPr>
          <w:color w:val="000000"/>
          <w:sz w:val="22"/>
          <w:szCs w:val="22"/>
        </w:rPr>
        <w:t xml:space="preserve"> 50%. The graph in Figure 1 shows the compliance assessment for the last two years.</w:t>
      </w:r>
    </w:p>
    <w:p w:rsidR="00365B1B" w:rsidRDefault="001B0F98">
      <w:pPr>
        <w:ind w:left="-708" w:firstLine="708"/>
        <w:rPr>
          <w:sz w:val="22"/>
          <w:szCs w:val="22"/>
        </w:rPr>
      </w:pPr>
      <w:r>
        <w:rPr>
          <w:sz w:val="22"/>
          <w:szCs w:val="22"/>
        </w:rPr>
        <w:t xml:space="preserve">Under this agenda item SWIOFC MS are invited </w:t>
      </w:r>
      <w:r>
        <w:rPr>
          <w:sz w:val="22"/>
          <w:szCs w:val="22"/>
          <w:u w:val="single"/>
        </w:rPr>
        <w:t>to note</w:t>
      </w:r>
      <w:r>
        <w:rPr>
          <w:sz w:val="22"/>
          <w:szCs w:val="22"/>
        </w:rPr>
        <w:t xml:space="preserve"> the progress in the performance on IOTC CMMs and </w:t>
      </w:r>
      <w:r>
        <w:rPr>
          <w:sz w:val="22"/>
          <w:szCs w:val="22"/>
          <w:u w:val="single"/>
        </w:rPr>
        <w:t>recommend</w:t>
      </w:r>
      <w:r>
        <w:rPr>
          <w:sz w:val="22"/>
          <w:szCs w:val="22"/>
        </w:rPr>
        <w:t xml:space="preserve"> actions in order to improve cooperation and enhance performance in the IOTC.</w:t>
      </w:r>
    </w:p>
    <w:p w:rsidR="00365B1B" w:rsidRDefault="00365B1B">
      <w:pPr>
        <w:spacing w:after="240"/>
        <w:ind w:left="-709"/>
        <w:jc w:val="both"/>
        <w:rPr>
          <w:sz w:val="22"/>
          <w:szCs w:val="22"/>
        </w:rPr>
      </w:pPr>
    </w:p>
    <w:p w:rsidR="00365B1B" w:rsidRDefault="00365B1B">
      <w:pPr>
        <w:spacing w:after="240"/>
        <w:ind w:left="-709"/>
        <w:jc w:val="both"/>
        <w:rPr>
          <w:sz w:val="22"/>
          <w:szCs w:val="22"/>
        </w:rPr>
      </w:pPr>
    </w:p>
    <w:p w:rsidR="00365B1B" w:rsidRDefault="00365B1B">
      <w:pPr>
        <w:spacing w:after="240"/>
        <w:ind w:left="-709"/>
        <w:jc w:val="both"/>
        <w:rPr>
          <w:sz w:val="22"/>
          <w:szCs w:val="22"/>
        </w:rPr>
      </w:pPr>
    </w:p>
    <w:p w:rsidR="00365B1B" w:rsidRDefault="001B0F98">
      <w:pPr>
        <w:keepNext/>
        <w:ind w:left="-270"/>
        <w:jc w:val="center"/>
      </w:pPr>
      <w:r>
        <w:rPr>
          <w:noProof/>
          <w:lang w:val="en-ZA"/>
        </w:rPr>
        <w:lastRenderedPageBreak/>
        <w:drawing>
          <wp:inline distT="0" distB="0" distL="114300" distR="114300">
            <wp:extent cx="5669076" cy="2986088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9076" cy="29860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65B1B" w:rsidRDefault="001B0F98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b/>
          <w:color w:val="000000"/>
          <w:sz w:val="22"/>
          <w:szCs w:val="22"/>
        </w:rPr>
      </w:pPr>
      <w:proofErr w:type="gramStart"/>
      <w:r>
        <w:rPr>
          <w:b/>
          <w:color w:val="000000"/>
          <w:sz w:val="22"/>
          <w:szCs w:val="22"/>
        </w:rPr>
        <w:t>Figure 1.</w:t>
      </w:r>
      <w:proofErr w:type="gramEnd"/>
      <w:r>
        <w:rPr>
          <w:b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Level of Compliance of </w:t>
      </w:r>
      <w:r>
        <w:rPr>
          <w:b/>
          <w:color w:val="000000"/>
          <w:sz w:val="22"/>
          <w:szCs w:val="22"/>
        </w:rPr>
        <w:t>SWIO States to IOTC CMMs</w:t>
      </w:r>
    </w:p>
    <w:p w:rsidR="00365B1B" w:rsidRDefault="00365B1B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sz w:val="22"/>
          <w:szCs w:val="22"/>
        </w:rPr>
      </w:pPr>
    </w:p>
    <w:p w:rsidR="00365B1B" w:rsidRDefault="00365B1B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sz w:val="22"/>
          <w:szCs w:val="22"/>
        </w:rPr>
      </w:pPr>
    </w:p>
    <w:p w:rsidR="00365B1B" w:rsidRDefault="00365B1B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sz w:val="22"/>
          <w:szCs w:val="22"/>
        </w:rPr>
      </w:pPr>
    </w:p>
    <w:sectPr w:rsidR="00365B1B">
      <w:footerReference w:type="even" r:id="rId10"/>
      <w:footerReference w:type="default" r:id="rId11"/>
      <w:pgSz w:w="12240" w:h="15840"/>
      <w:pgMar w:top="1440" w:right="1325" w:bottom="144" w:left="1800" w:header="144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F98" w:rsidRDefault="001B0F98">
      <w:r>
        <w:separator/>
      </w:r>
    </w:p>
  </w:endnote>
  <w:endnote w:type="continuationSeparator" w:id="0">
    <w:p w:rsidR="001B0F98" w:rsidRDefault="001B0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B1B" w:rsidRDefault="001B0F9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365B1B" w:rsidRDefault="00365B1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B1B" w:rsidRDefault="00365B1B">
    <w:pPr>
      <w:pBdr>
        <w:top w:val="nil"/>
        <w:left w:val="nil"/>
        <w:bottom w:val="nil"/>
        <w:right w:val="nil"/>
        <w:between w:val="nil"/>
      </w:pBdr>
      <w:tabs>
        <w:tab w:val="left" w:pos="6120"/>
      </w:tabs>
      <w:rPr>
        <w:color w:val="000000"/>
      </w:rPr>
    </w:pPr>
  </w:p>
  <w:p w:rsidR="00365B1B" w:rsidRDefault="00365B1B">
    <w:pPr>
      <w:pBdr>
        <w:top w:val="nil"/>
        <w:left w:val="nil"/>
        <w:bottom w:val="nil"/>
        <w:right w:val="nil"/>
        <w:between w:val="nil"/>
      </w:pBdr>
      <w:tabs>
        <w:tab w:val="left" w:pos="612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F98" w:rsidRDefault="001B0F98">
      <w:r>
        <w:separator/>
      </w:r>
    </w:p>
  </w:footnote>
  <w:footnote w:type="continuationSeparator" w:id="0">
    <w:p w:rsidR="001B0F98" w:rsidRDefault="001B0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018DC"/>
    <w:multiLevelType w:val="multilevel"/>
    <w:tmpl w:val="AEA69228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65B1B"/>
    <w:rsid w:val="001B0F98"/>
    <w:rsid w:val="00365B1B"/>
    <w:rsid w:val="00AB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jc w:val="center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jc w:val="center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1743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2</cp:revision>
  <dcterms:created xsi:type="dcterms:W3CDTF">2019-08-27T09:50:00Z</dcterms:created>
  <dcterms:modified xsi:type="dcterms:W3CDTF">2019-08-27T09:50:00Z</dcterms:modified>
</cp:coreProperties>
</file>