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DD5" w:rsidRDefault="00272C63">
      <w:pPr>
        <w:ind w:left="-1260"/>
        <w:jc w:val="center"/>
        <w:rPr>
          <w:rFonts w:ascii="Arial" w:eastAsia="Arial" w:hAnsi="Arial" w:cs="Arial"/>
        </w:rPr>
      </w:pPr>
      <w:bookmarkStart w:id="0" w:name="_GoBack"/>
      <w:bookmarkEnd w:id="0"/>
      <w:r>
        <w:rPr>
          <w:noProof/>
          <w:lang w:val="en-ZA"/>
        </w:rPr>
        <w:drawing>
          <wp:anchor distT="0" distB="0" distL="0" distR="0" simplePos="0" relativeHeight="251658240" behindDoc="0" locked="0" layoutInCell="1" hidden="0" allowOverlap="1">
            <wp:simplePos x="0" y="0"/>
            <wp:positionH relativeFrom="column">
              <wp:posOffset>-372109</wp:posOffset>
            </wp:positionH>
            <wp:positionV relativeFrom="paragraph">
              <wp:posOffset>-649604</wp:posOffset>
            </wp:positionV>
            <wp:extent cx="6254115" cy="100203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254115" cy="1002030"/>
                    </a:xfrm>
                    <a:prstGeom prst="rect">
                      <a:avLst/>
                    </a:prstGeom>
                    <a:ln/>
                  </pic:spPr>
                </pic:pic>
              </a:graphicData>
            </a:graphic>
          </wp:anchor>
        </w:drawing>
      </w:r>
    </w:p>
    <w:p w:rsidR="00861DD5" w:rsidRDefault="00861DD5">
      <w:pPr>
        <w:ind w:left="5040" w:firstLine="720"/>
        <w:jc w:val="center"/>
        <w:rPr>
          <w:rFonts w:ascii="Arial" w:eastAsia="Arial" w:hAnsi="Arial" w:cs="Arial"/>
        </w:rPr>
      </w:pPr>
    </w:p>
    <w:p w:rsidR="00861DD5" w:rsidRDefault="00861DD5">
      <w:pPr>
        <w:ind w:left="5040" w:firstLine="720"/>
        <w:jc w:val="center"/>
        <w:rPr>
          <w:rFonts w:ascii="Arial" w:eastAsia="Arial" w:hAnsi="Arial" w:cs="Arial"/>
        </w:rPr>
      </w:pPr>
    </w:p>
    <w:p w:rsidR="00861DD5" w:rsidRDefault="00272C63">
      <w:pPr>
        <w:ind w:left="5040" w:firstLine="720"/>
        <w:jc w:val="center"/>
        <w:rPr>
          <w:rFonts w:ascii="Arial" w:eastAsia="Arial" w:hAnsi="Arial" w:cs="Arial"/>
        </w:rPr>
      </w:pPr>
      <w:r>
        <w:rPr>
          <w:rFonts w:ascii="Arial" w:eastAsia="Arial" w:hAnsi="Arial" w:cs="Arial"/>
        </w:rPr>
        <w:t>SWIOFC/WPCCTF/19/9 E</w:t>
      </w:r>
    </w:p>
    <w:tbl>
      <w:tblPr>
        <w:tblStyle w:val="a"/>
        <w:tblW w:w="9846"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46"/>
      </w:tblGrid>
      <w:tr w:rsidR="00861DD5">
        <w:tc>
          <w:tcPr>
            <w:tcW w:w="9846" w:type="dxa"/>
          </w:tcPr>
          <w:p w:rsidR="00861DD5" w:rsidRDefault="00861DD5">
            <w:pPr>
              <w:rPr>
                <w:sz w:val="28"/>
                <w:szCs w:val="28"/>
              </w:rPr>
            </w:pPr>
          </w:p>
          <w:p w:rsidR="00861DD5" w:rsidRDefault="00272C63">
            <w:pPr>
              <w:jc w:val="center"/>
              <w:rPr>
                <w:sz w:val="28"/>
                <w:szCs w:val="28"/>
              </w:rPr>
            </w:pPr>
            <w:r>
              <w:rPr>
                <w:b/>
                <w:sz w:val="28"/>
                <w:szCs w:val="28"/>
              </w:rPr>
              <w:t>SOUTHWEST INDIAN OCEAN FISHERIES COMMISSION</w:t>
            </w:r>
          </w:p>
          <w:p w:rsidR="00861DD5" w:rsidRDefault="00861DD5">
            <w:pPr>
              <w:jc w:val="center"/>
            </w:pPr>
          </w:p>
        </w:tc>
      </w:tr>
      <w:tr w:rsidR="00861DD5">
        <w:trPr>
          <w:trHeight w:val="560"/>
        </w:trPr>
        <w:tc>
          <w:tcPr>
            <w:tcW w:w="9846" w:type="dxa"/>
            <w:vAlign w:val="center"/>
          </w:tcPr>
          <w:p w:rsidR="00861DD5" w:rsidRDefault="00272C63">
            <w:pPr>
              <w:keepNext/>
              <w:spacing w:after="60"/>
              <w:jc w:val="center"/>
              <w:rPr>
                <w:sz w:val="28"/>
                <w:szCs w:val="28"/>
              </w:rPr>
            </w:pPr>
            <w:r>
              <w:rPr>
                <w:b/>
                <w:color w:val="000000"/>
                <w:sz w:val="28"/>
                <w:szCs w:val="28"/>
              </w:rPr>
              <w:t>Ninth Working Party on Collaboration and Cooperation in Tuna Fisheries</w:t>
            </w:r>
          </w:p>
        </w:tc>
      </w:tr>
      <w:tr w:rsidR="00861DD5">
        <w:trPr>
          <w:trHeight w:val="560"/>
        </w:trPr>
        <w:tc>
          <w:tcPr>
            <w:tcW w:w="9846" w:type="dxa"/>
            <w:vAlign w:val="center"/>
          </w:tcPr>
          <w:p w:rsidR="00861DD5" w:rsidRDefault="00272C63">
            <w:pPr>
              <w:jc w:val="center"/>
              <w:rPr>
                <w:sz w:val="28"/>
                <w:szCs w:val="28"/>
              </w:rPr>
            </w:pPr>
            <w:r>
              <w:rPr>
                <w:b/>
                <w:color w:val="000000"/>
                <w:sz w:val="28"/>
                <w:szCs w:val="28"/>
              </w:rPr>
              <w:t>Maldives, 29 September 2019</w:t>
            </w:r>
          </w:p>
        </w:tc>
      </w:tr>
      <w:tr w:rsidR="00861DD5">
        <w:trPr>
          <w:trHeight w:val="560"/>
        </w:trPr>
        <w:tc>
          <w:tcPr>
            <w:tcW w:w="9846" w:type="dxa"/>
            <w:vAlign w:val="center"/>
          </w:tcPr>
          <w:p w:rsidR="00861DD5" w:rsidRDefault="00272C63">
            <w:pPr>
              <w:jc w:val="center"/>
              <w:rPr>
                <w:sz w:val="28"/>
                <w:szCs w:val="28"/>
              </w:rPr>
            </w:pPr>
            <w:r>
              <w:rPr>
                <w:b/>
                <w:sz w:val="28"/>
                <w:szCs w:val="28"/>
              </w:rPr>
              <w:t xml:space="preserve">PROGRAMME OF WORK FOR THE WPCCTF </w:t>
            </w:r>
          </w:p>
        </w:tc>
      </w:tr>
    </w:tbl>
    <w:p w:rsidR="00861DD5" w:rsidRDefault="00861DD5">
      <w:pPr>
        <w:jc w:val="center"/>
        <w:rPr>
          <w:sz w:val="22"/>
          <w:szCs w:val="22"/>
        </w:rPr>
      </w:pPr>
    </w:p>
    <w:p w:rsidR="00861DD5" w:rsidRDefault="00861DD5">
      <w:pPr>
        <w:ind w:left="-270"/>
        <w:rPr>
          <w:sz w:val="22"/>
          <w:szCs w:val="22"/>
          <w:u w:val="single"/>
        </w:rPr>
      </w:pPr>
    </w:p>
    <w:p w:rsidR="00861DD5" w:rsidRDefault="00861DD5">
      <w:pPr>
        <w:ind w:left="-709"/>
        <w:jc w:val="both"/>
        <w:rPr>
          <w:color w:val="000000"/>
          <w:sz w:val="22"/>
          <w:szCs w:val="22"/>
        </w:rPr>
      </w:pPr>
    </w:p>
    <w:p w:rsidR="00861DD5" w:rsidRDefault="00272C63">
      <w:pPr>
        <w:ind w:left="-709"/>
        <w:jc w:val="both"/>
        <w:rPr>
          <w:sz w:val="22"/>
          <w:szCs w:val="22"/>
        </w:rPr>
      </w:pPr>
      <w:r>
        <w:rPr>
          <w:sz w:val="22"/>
          <w:szCs w:val="22"/>
        </w:rPr>
        <w:t>Taking into account that, with the adoption of the “Guidelines for Minimum Terms and Conditions (MTC) for Foreign Fisheries Access in the SWIOFC region”, one of the main past activity of the Working Party has been achieved, under this agenda item the M</w:t>
      </w:r>
      <w:r>
        <w:rPr>
          <w:sz w:val="22"/>
          <w:szCs w:val="22"/>
        </w:rPr>
        <w:t>embe</w:t>
      </w:r>
      <w:r>
        <w:rPr>
          <w:sz w:val="22"/>
          <w:szCs w:val="22"/>
        </w:rPr>
        <w:t xml:space="preserve">rs States are </w:t>
      </w:r>
      <w:r>
        <w:rPr>
          <w:sz w:val="22"/>
          <w:szCs w:val="22"/>
          <w:u w:val="single"/>
        </w:rPr>
        <w:t xml:space="preserve">invited </w:t>
      </w:r>
      <w:r>
        <w:rPr>
          <w:sz w:val="22"/>
          <w:szCs w:val="22"/>
          <w:u w:val="single"/>
        </w:rPr>
        <w:t xml:space="preserve">to </w:t>
      </w:r>
      <w:r>
        <w:rPr>
          <w:sz w:val="22"/>
          <w:szCs w:val="22"/>
          <w:u w:val="single"/>
        </w:rPr>
        <w:t>discuss</w:t>
      </w:r>
      <w:r>
        <w:rPr>
          <w:sz w:val="22"/>
          <w:szCs w:val="22"/>
        </w:rPr>
        <w:t xml:space="preserve"> the continuation of </w:t>
      </w:r>
      <w:r>
        <w:rPr>
          <w:sz w:val="22"/>
          <w:szCs w:val="22"/>
        </w:rPr>
        <w:t xml:space="preserve">activities and role of this WP and, in case, </w:t>
      </w:r>
      <w:r>
        <w:rPr>
          <w:sz w:val="22"/>
          <w:szCs w:val="22"/>
          <w:u w:val="single"/>
        </w:rPr>
        <w:t>propose</w:t>
      </w:r>
      <w:r>
        <w:rPr>
          <w:sz w:val="22"/>
          <w:szCs w:val="22"/>
        </w:rPr>
        <w:t xml:space="preserve"> a Programme of Work for the intersessional period</w:t>
      </w:r>
      <w:r>
        <w:rPr>
          <w:sz w:val="22"/>
          <w:szCs w:val="22"/>
        </w:rPr>
        <w:t>.</w:t>
      </w:r>
    </w:p>
    <w:p w:rsidR="00861DD5" w:rsidRDefault="00861DD5">
      <w:pPr>
        <w:ind w:left="-709"/>
        <w:jc w:val="both"/>
        <w:rPr>
          <w:sz w:val="22"/>
          <w:szCs w:val="22"/>
        </w:rPr>
      </w:pPr>
    </w:p>
    <w:p w:rsidR="00861DD5" w:rsidRDefault="00272C63">
      <w:pPr>
        <w:ind w:left="-709"/>
        <w:jc w:val="both"/>
        <w:rPr>
          <w:sz w:val="22"/>
          <w:szCs w:val="22"/>
        </w:rPr>
      </w:pPr>
      <w:r>
        <w:rPr>
          <w:sz w:val="22"/>
          <w:szCs w:val="22"/>
        </w:rPr>
        <w:t>During the past intersessional period, due to delays on finalizing consultancy studies (SWIO FFA p</w:t>
      </w:r>
      <w:r>
        <w:rPr>
          <w:sz w:val="22"/>
          <w:szCs w:val="22"/>
        </w:rPr>
        <w:t>olicy brief and SWIOFC financing mechanisms) and budget constraints, it was only possible to organize the WPCCTF back to back with the 10</w:t>
      </w:r>
      <w:r>
        <w:rPr>
          <w:sz w:val="22"/>
          <w:szCs w:val="22"/>
          <w:vertAlign w:val="superscript"/>
        </w:rPr>
        <w:t>th</w:t>
      </w:r>
      <w:r>
        <w:rPr>
          <w:sz w:val="22"/>
          <w:szCs w:val="22"/>
        </w:rPr>
        <w:t xml:space="preserve"> SWIOFC Session.</w:t>
      </w:r>
    </w:p>
    <w:p w:rsidR="00861DD5" w:rsidRDefault="00861DD5">
      <w:pPr>
        <w:ind w:left="-709"/>
        <w:jc w:val="both"/>
        <w:rPr>
          <w:sz w:val="22"/>
          <w:szCs w:val="22"/>
        </w:rPr>
      </w:pPr>
    </w:p>
    <w:p w:rsidR="00861DD5" w:rsidRDefault="00272C63">
      <w:pPr>
        <w:ind w:left="-709"/>
        <w:jc w:val="both"/>
        <w:rPr>
          <w:sz w:val="22"/>
          <w:szCs w:val="22"/>
        </w:rPr>
      </w:pPr>
      <w:r>
        <w:rPr>
          <w:sz w:val="22"/>
          <w:szCs w:val="22"/>
        </w:rPr>
        <w:t>For the next intersessional period the Chairperson of the WPCCTF</w:t>
      </w:r>
      <w:r>
        <w:rPr>
          <w:sz w:val="22"/>
          <w:szCs w:val="22"/>
        </w:rPr>
        <w:t xml:space="preserve"> could be </w:t>
      </w:r>
      <w:r>
        <w:rPr>
          <w:sz w:val="22"/>
          <w:szCs w:val="22"/>
        </w:rPr>
        <w:t xml:space="preserve">supported to attend </w:t>
      </w:r>
      <w:r>
        <w:rPr>
          <w:sz w:val="22"/>
          <w:szCs w:val="22"/>
        </w:rPr>
        <w:t xml:space="preserve">only </w:t>
      </w:r>
      <w:r>
        <w:rPr>
          <w:sz w:val="22"/>
          <w:szCs w:val="22"/>
        </w:rPr>
        <w:t xml:space="preserve">one of the following: </w:t>
      </w:r>
      <w:r>
        <w:rPr>
          <w:sz w:val="22"/>
          <w:szCs w:val="22"/>
        </w:rPr>
        <w:t xml:space="preserve"> </w:t>
      </w:r>
    </w:p>
    <w:p w:rsidR="00861DD5" w:rsidRDefault="00272C63">
      <w:pPr>
        <w:numPr>
          <w:ilvl w:val="0"/>
          <w:numId w:val="1"/>
        </w:numPr>
        <w:jc w:val="both"/>
        <w:rPr>
          <w:sz w:val="22"/>
          <w:szCs w:val="22"/>
        </w:rPr>
      </w:pPr>
      <w:r>
        <w:rPr>
          <w:sz w:val="22"/>
          <w:szCs w:val="22"/>
        </w:rPr>
        <w:t xml:space="preserve">IOTC Scientific Committee; </w:t>
      </w:r>
    </w:p>
    <w:p w:rsidR="00861DD5" w:rsidRDefault="00272C63">
      <w:pPr>
        <w:numPr>
          <w:ilvl w:val="0"/>
          <w:numId w:val="1"/>
        </w:numPr>
        <w:jc w:val="both"/>
        <w:rPr>
          <w:sz w:val="22"/>
          <w:szCs w:val="22"/>
        </w:rPr>
      </w:pPr>
      <w:r>
        <w:rPr>
          <w:sz w:val="22"/>
          <w:szCs w:val="22"/>
        </w:rPr>
        <w:t>IOTC TCAC;</w:t>
      </w:r>
    </w:p>
    <w:p w:rsidR="00861DD5" w:rsidRDefault="00272C63">
      <w:pPr>
        <w:numPr>
          <w:ilvl w:val="0"/>
          <w:numId w:val="1"/>
        </w:numPr>
        <w:jc w:val="both"/>
        <w:rPr>
          <w:sz w:val="22"/>
          <w:szCs w:val="22"/>
        </w:rPr>
      </w:pPr>
      <w:r>
        <w:rPr>
          <w:sz w:val="22"/>
          <w:szCs w:val="22"/>
        </w:rPr>
        <w:t xml:space="preserve">24th </w:t>
      </w:r>
      <w:r>
        <w:rPr>
          <w:sz w:val="22"/>
          <w:szCs w:val="22"/>
        </w:rPr>
        <w:t>IOTC Session.</w:t>
      </w:r>
    </w:p>
    <w:p w:rsidR="00861DD5" w:rsidRDefault="00861DD5">
      <w:pPr>
        <w:rPr>
          <w:sz w:val="22"/>
          <w:szCs w:val="22"/>
        </w:rPr>
      </w:pPr>
    </w:p>
    <w:p w:rsidR="00861DD5" w:rsidRDefault="00272C63">
      <w:pPr>
        <w:spacing w:after="240"/>
        <w:ind w:left="-709"/>
        <w:jc w:val="both"/>
        <w:rPr>
          <w:sz w:val="22"/>
          <w:szCs w:val="22"/>
        </w:rPr>
      </w:pPr>
      <w:r>
        <w:rPr>
          <w:sz w:val="22"/>
          <w:szCs w:val="22"/>
        </w:rPr>
        <w:t xml:space="preserve">In case the Working Party will </w:t>
      </w:r>
      <w:r>
        <w:rPr>
          <w:sz w:val="22"/>
          <w:szCs w:val="22"/>
          <w:u w:val="single"/>
        </w:rPr>
        <w:t>decide</w:t>
      </w:r>
      <w:r>
        <w:rPr>
          <w:sz w:val="22"/>
          <w:szCs w:val="22"/>
        </w:rPr>
        <w:t xml:space="preserve"> to continue its activities, the WP should </w:t>
      </w:r>
      <w:r>
        <w:rPr>
          <w:sz w:val="22"/>
          <w:szCs w:val="22"/>
          <w:u w:val="single"/>
        </w:rPr>
        <w:t>suggest</w:t>
      </w:r>
      <w:r>
        <w:rPr>
          <w:sz w:val="22"/>
          <w:szCs w:val="22"/>
        </w:rPr>
        <w:t xml:space="preserve"> if its annual Session should be held in the second half of the year back-to-back to the SWIOFC Commission as it was for this 9th Session, or if it should be held in the months before the IOTC annual Session (as it was for the 5th and 6th Working Parties) </w:t>
      </w:r>
      <w:r>
        <w:rPr>
          <w:sz w:val="22"/>
          <w:szCs w:val="22"/>
        </w:rPr>
        <w:t xml:space="preserve">in order to exchange views and prepare common CMM proposals to be tabled at the IOTC annual Session. </w:t>
      </w:r>
    </w:p>
    <w:p w:rsidR="00861DD5" w:rsidRDefault="00861DD5">
      <w:pPr>
        <w:pStyle w:val="Heading1"/>
        <w:spacing w:after="240"/>
        <w:ind w:left="-709"/>
        <w:jc w:val="both"/>
        <w:rPr>
          <w:sz w:val="22"/>
          <w:szCs w:val="22"/>
        </w:rPr>
      </w:pPr>
    </w:p>
    <w:sectPr w:rsidR="00861DD5">
      <w:footerReference w:type="even" r:id="rId9"/>
      <w:footerReference w:type="default" r:id="rId10"/>
      <w:pgSz w:w="12240" w:h="15840"/>
      <w:pgMar w:top="1440" w:right="1325" w:bottom="144" w:left="1800" w:header="144" w:footer="28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C63" w:rsidRDefault="00272C63">
      <w:r>
        <w:separator/>
      </w:r>
    </w:p>
  </w:endnote>
  <w:endnote w:type="continuationSeparator" w:id="0">
    <w:p w:rsidR="00272C63" w:rsidRDefault="0027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D5" w:rsidRDefault="00272C63">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861DD5" w:rsidRDefault="00861DD5">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D5" w:rsidRDefault="00861DD5">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C63" w:rsidRDefault="00272C63">
      <w:r>
        <w:separator/>
      </w:r>
    </w:p>
  </w:footnote>
  <w:footnote w:type="continuationSeparator" w:id="0">
    <w:p w:rsidR="00272C63" w:rsidRDefault="00272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44CE0"/>
    <w:multiLevelType w:val="multilevel"/>
    <w:tmpl w:val="082004DA"/>
    <w:lvl w:ilvl="0">
      <w:start w:val="1"/>
      <w:numFmt w:val="bullet"/>
      <w:lvlText w:val="●"/>
      <w:lvlJc w:val="left"/>
      <w:pPr>
        <w:ind w:left="11" w:hanging="360"/>
      </w:pPr>
      <w:rPr>
        <w:rFonts w:ascii="Noto Sans Symbols" w:eastAsia="Noto Sans Symbols" w:hAnsi="Noto Sans Symbols" w:cs="Noto Sans Symbols"/>
        <w:vertAlign w:val="baseline"/>
      </w:rPr>
    </w:lvl>
    <w:lvl w:ilvl="1">
      <w:start w:val="1"/>
      <w:numFmt w:val="bullet"/>
      <w:lvlText w:val="o"/>
      <w:lvlJc w:val="left"/>
      <w:pPr>
        <w:ind w:left="731" w:hanging="360"/>
      </w:pPr>
      <w:rPr>
        <w:rFonts w:ascii="Courier New" w:eastAsia="Courier New" w:hAnsi="Courier New" w:cs="Courier New"/>
        <w:vertAlign w:val="baseline"/>
      </w:rPr>
    </w:lvl>
    <w:lvl w:ilvl="2">
      <w:start w:val="1"/>
      <w:numFmt w:val="bullet"/>
      <w:lvlText w:val="▪"/>
      <w:lvlJc w:val="left"/>
      <w:pPr>
        <w:ind w:left="1451" w:hanging="360"/>
      </w:pPr>
      <w:rPr>
        <w:rFonts w:ascii="Noto Sans Symbols" w:eastAsia="Noto Sans Symbols" w:hAnsi="Noto Sans Symbols" w:cs="Noto Sans Symbols"/>
        <w:vertAlign w:val="baseline"/>
      </w:rPr>
    </w:lvl>
    <w:lvl w:ilvl="3">
      <w:start w:val="1"/>
      <w:numFmt w:val="bullet"/>
      <w:lvlText w:val="●"/>
      <w:lvlJc w:val="left"/>
      <w:pPr>
        <w:ind w:left="2171" w:hanging="360"/>
      </w:pPr>
      <w:rPr>
        <w:rFonts w:ascii="Noto Sans Symbols" w:eastAsia="Noto Sans Symbols" w:hAnsi="Noto Sans Symbols" w:cs="Noto Sans Symbols"/>
        <w:vertAlign w:val="baseline"/>
      </w:rPr>
    </w:lvl>
    <w:lvl w:ilvl="4">
      <w:start w:val="1"/>
      <w:numFmt w:val="bullet"/>
      <w:lvlText w:val="o"/>
      <w:lvlJc w:val="left"/>
      <w:pPr>
        <w:ind w:left="2891" w:hanging="360"/>
      </w:pPr>
      <w:rPr>
        <w:rFonts w:ascii="Courier New" w:eastAsia="Courier New" w:hAnsi="Courier New" w:cs="Courier New"/>
        <w:vertAlign w:val="baseline"/>
      </w:rPr>
    </w:lvl>
    <w:lvl w:ilvl="5">
      <w:start w:val="1"/>
      <w:numFmt w:val="bullet"/>
      <w:lvlText w:val="▪"/>
      <w:lvlJc w:val="left"/>
      <w:pPr>
        <w:ind w:left="3611" w:hanging="360"/>
      </w:pPr>
      <w:rPr>
        <w:rFonts w:ascii="Noto Sans Symbols" w:eastAsia="Noto Sans Symbols" w:hAnsi="Noto Sans Symbols" w:cs="Noto Sans Symbols"/>
        <w:vertAlign w:val="baseline"/>
      </w:rPr>
    </w:lvl>
    <w:lvl w:ilvl="6">
      <w:start w:val="1"/>
      <w:numFmt w:val="bullet"/>
      <w:lvlText w:val="●"/>
      <w:lvlJc w:val="left"/>
      <w:pPr>
        <w:ind w:left="4331" w:hanging="360"/>
      </w:pPr>
      <w:rPr>
        <w:rFonts w:ascii="Noto Sans Symbols" w:eastAsia="Noto Sans Symbols" w:hAnsi="Noto Sans Symbols" w:cs="Noto Sans Symbols"/>
        <w:vertAlign w:val="baseline"/>
      </w:rPr>
    </w:lvl>
    <w:lvl w:ilvl="7">
      <w:start w:val="1"/>
      <w:numFmt w:val="bullet"/>
      <w:lvlText w:val="o"/>
      <w:lvlJc w:val="left"/>
      <w:pPr>
        <w:ind w:left="5051" w:hanging="360"/>
      </w:pPr>
      <w:rPr>
        <w:rFonts w:ascii="Courier New" w:eastAsia="Courier New" w:hAnsi="Courier New" w:cs="Courier New"/>
        <w:vertAlign w:val="baseline"/>
      </w:rPr>
    </w:lvl>
    <w:lvl w:ilvl="8">
      <w:start w:val="1"/>
      <w:numFmt w:val="bullet"/>
      <w:lvlText w:val="▪"/>
      <w:lvlJc w:val="left"/>
      <w:pPr>
        <w:ind w:left="5771"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61DD5"/>
    <w:rsid w:val="00272C63"/>
    <w:rsid w:val="00861DD5"/>
    <w:rsid w:val="00F97D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sz w:val="24"/>
      <w:szCs w:val="24"/>
    </w:rPr>
  </w:style>
  <w:style w:type="paragraph" w:styleId="Heading2">
    <w:name w:val="heading 2"/>
    <w:basedOn w:val="Normal"/>
    <w:next w:val="Normal"/>
    <w:pPr>
      <w:keepNext/>
      <w:spacing w:before="240" w:after="60"/>
      <w:outlineLvl w:val="1"/>
    </w:pPr>
    <w:rPr>
      <w:rFonts w:ascii="Calibri" w:eastAsia="Calibri" w:hAnsi="Calibri" w:cs="Calibri"/>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jc w:val="center"/>
      <w:outlineLvl w:val="3"/>
    </w:pPr>
    <w:rPr>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sz w:val="24"/>
      <w:szCs w:val="24"/>
    </w:rPr>
  </w:style>
  <w:style w:type="paragraph" w:styleId="Heading2">
    <w:name w:val="heading 2"/>
    <w:basedOn w:val="Normal"/>
    <w:next w:val="Normal"/>
    <w:pPr>
      <w:keepNext/>
      <w:spacing w:before="240" w:after="60"/>
      <w:outlineLvl w:val="1"/>
    </w:pPr>
    <w:rPr>
      <w:rFonts w:ascii="Calibri" w:eastAsia="Calibri" w:hAnsi="Calibri" w:cs="Calibri"/>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jc w:val="center"/>
      <w:outlineLvl w:val="3"/>
    </w:pPr>
    <w:rPr>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1283</Characters>
  <Application>Microsoft Office Word</Application>
  <DocSecurity>0</DocSecurity>
  <Lines>10</Lines>
  <Paragraphs>3</Paragraphs>
  <ScaleCrop>false</ScaleCrop>
  <Company>Hewlett-Packard Company</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Timoteo</dc:creator>
  <cp:lastModifiedBy>Timoteo</cp:lastModifiedBy>
  <cp:revision>2</cp:revision>
  <dcterms:created xsi:type="dcterms:W3CDTF">2019-08-27T09:38:00Z</dcterms:created>
  <dcterms:modified xsi:type="dcterms:W3CDTF">2019-08-27T09:38:00Z</dcterms:modified>
</cp:coreProperties>
</file>