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B86" w:rsidRDefault="005F1618" w:rsidP="001930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Promoting nutritious leafy vegetables in the Pacific and Northern Australia</w:t>
      </w:r>
    </w:p>
    <w:p w:rsidR="0019300A" w:rsidRDefault="0019300A" w:rsidP="0019300A">
      <w:pPr>
        <w:autoSpaceDE w:val="0"/>
        <w:autoSpaceDN w:val="0"/>
        <w:adjustRightInd w:val="0"/>
        <w:spacing w:after="0" w:line="240" w:lineRule="auto"/>
        <w:rPr>
          <w:rFonts w:ascii="Times New Roman" w:hAnsi="Times New Roman" w:cs="Times New Roman"/>
          <w:b/>
          <w:bCs/>
          <w:sz w:val="28"/>
          <w:szCs w:val="28"/>
        </w:rPr>
      </w:pPr>
    </w:p>
    <w:p w:rsidR="00751B86" w:rsidRDefault="00816DFC" w:rsidP="001930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G.H. Lyons</w:t>
      </w:r>
      <w:r w:rsidR="00751B86">
        <w:rPr>
          <w:rFonts w:ascii="Times New Roman" w:hAnsi="Times New Roman" w:cs="Times New Roman"/>
          <w:sz w:val="24"/>
          <w:szCs w:val="24"/>
        </w:rPr>
        <w:tab/>
      </w:r>
      <w:r w:rsidR="00751B86">
        <w:rPr>
          <w:rFonts w:ascii="Times New Roman" w:hAnsi="Times New Roman" w:cs="Times New Roman"/>
          <w:sz w:val="24"/>
          <w:szCs w:val="24"/>
        </w:rPr>
        <w:tab/>
      </w:r>
      <w:r w:rsidR="00751B86">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5F1618">
        <w:rPr>
          <w:rFonts w:ascii="Times New Roman" w:hAnsi="Times New Roman" w:cs="Times New Roman"/>
          <w:sz w:val="24"/>
          <w:szCs w:val="24"/>
        </w:rPr>
        <w:t>R.G. Goebel</w:t>
      </w:r>
    </w:p>
    <w:p w:rsidR="000D70B4" w:rsidRDefault="000D70B4" w:rsidP="001930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University of Adelaide, Waite Campus</w:t>
      </w:r>
      <w:r w:rsidR="00F921AA">
        <w:rPr>
          <w:rFonts w:ascii="Times New Roman" w:hAnsi="Times New Roman" w:cs="Times New Roman"/>
          <w:sz w:val="24"/>
          <w:szCs w:val="24"/>
        </w:rPr>
        <w:tab/>
      </w:r>
      <w:r w:rsidR="00F921AA">
        <w:rPr>
          <w:rFonts w:ascii="Times New Roman" w:hAnsi="Times New Roman" w:cs="Times New Roman"/>
          <w:sz w:val="24"/>
          <w:szCs w:val="24"/>
        </w:rPr>
        <w:tab/>
      </w:r>
      <w:r>
        <w:rPr>
          <w:rFonts w:ascii="Times New Roman" w:hAnsi="Times New Roman" w:cs="Times New Roman"/>
          <w:sz w:val="24"/>
          <w:szCs w:val="24"/>
        </w:rPr>
        <w:t>Etty Bay Exotics</w:t>
      </w:r>
    </w:p>
    <w:p w:rsidR="008635EA" w:rsidRDefault="000D70B4" w:rsidP="001930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Glen Osmond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51B86">
        <w:rPr>
          <w:rFonts w:ascii="Times New Roman" w:hAnsi="Times New Roman" w:cs="Times New Roman"/>
          <w:sz w:val="24"/>
          <w:szCs w:val="24"/>
        </w:rPr>
        <w:tab/>
      </w:r>
      <w:r w:rsidR="005F1618">
        <w:rPr>
          <w:rFonts w:ascii="Times New Roman" w:hAnsi="Times New Roman" w:cs="Times New Roman"/>
          <w:sz w:val="24"/>
          <w:szCs w:val="24"/>
        </w:rPr>
        <w:tab/>
      </w:r>
      <w:r w:rsidR="005F1618">
        <w:rPr>
          <w:rFonts w:ascii="Times New Roman" w:hAnsi="Times New Roman" w:cs="Times New Roman"/>
          <w:sz w:val="24"/>
          <w:szCs w:val="24"/>
        </w:rPr>
        <w:tab/>
        <w:t>Mourilyan</w:t>
      </w:r>
    </w:p>
    <w:p w:rsidR="00751B86" w:rsidRDefault="000D70B4" w:rsidP="001930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Australia</w:t>
      </w:r>
      <w:r w:rsidR="00751B86">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816DFC">
        <w:rPr>
          <w:rFonts w:ascii="Times New Roman" w:hAnsi="Times New Roman" w:cs="Times New Roman"/>
          <w:sz w:val="24"/>
          <w:szCs w:val="24"/>
        </w:rPr>
        <w:t>Australia</w:t>
      </w:r>
    </w:p>
    <w:p w:rsidR="000D70B4" w:rsidRDefault="000D70B4" w:rsidP="0019300A">
      <w:pPr>
        <w:autoSpaceDE w:val="0"/>
        <w:autoSpaceDN w:val="0"/>
        <w:adjustRightInd w:val="0"/>
        <w:spacing w:after="0" w:line="240" w:lineRule="auto"/>
        <w:rPr>
          <w:rFonts w:ascii="Times New Roman" w:hAnsi="Times New Roman" w:cs="Times New Roman"/>
          <w:sz w:val="24"/>
          <w:szCs w:val="24"/>
        </w:rPr>
      </w:pPr>
    </w:p>
    <w:p w:rsidR="008635EA" w:rsidRDefault="00F921AA" w:rsidP="001930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 Tikai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635EA">
        <w:rPr>
          <w:rFonts w:ascii="Times New Roman" w:hAnsi="Times New Roman" w:cs="Times New Roman"/>
          <w:sz w:val="24"/>
          <w:szCs w:val="24"/>
        </w:rPr>
        <w:t>K-J. Stanley</w:t>
      </w:r>
    </w:p>
    <w:p w:rsidR="008635EA" w:rsidRDefault="008635EA" w:rsidP="001930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World Vegetable Center (AVRDC)</w:t>
      </w:r>
      <w:r w:rsidR="002124C0">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816DFC">
        <w:rPr>
          <w:rFonts w:ascii="Times New Roman" w:hAnsi="Times New Roman" w:cs="Times New Roman"/>
          <w:sz w:val="24"/>
          <w:szCs w:val="24"/>
        </w:rPr>
        <w:t>Women in Business Devt.</w:t>
      </w:r>
      <w:r w:rsidR="00F921AA">
        <w:rPr>
          <w:rFonts w:ascii="Times New Roman" w:hAnsi="Times New Roman" w:cs="Times New Roman"/>
          <w:sz w:val="24"/>
          <w:szCs w:val="24"/>
        </w:rPr>
        <w:t xml:space="preserve"> Inc.</w:t>
      </w:r>
    </w:p>
    <w:p w:rsidR="008635EA" w:rsidRDefault="008635EA" w:rsidP="001930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Honiara</w:t>
      </w:r>
      <w:r w:rsidR="00F921AA">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816DFC">
        <w:rPr>
          <w:rFonts w:ascii="Times New Roman" w:hAnsi="Times New Roman" w:cs="Times New Roman"/>
          <w:sz w:val="24"/>
          <w:szCs w:val="24"/>
        </w:rPr>
        <w:t>Apia</w:t>
      </w:r>
    </w:p>
    <w:p w:rsidR="008635EA" w:rsidRDefault="008635EA" w:rsidP="001930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Solomon Islands</w:t>
      </w:r>
      <w:r w:rsidR="00F921AA">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F921AA">
        <w:rPr>
          <w:rFonts w:ascii="Times New Roman" w:hAnsi="Times New Roman" w:cs="Times New Roman"/>
          <w:sz w:val="24"/>
          <w:szCs w:val="24"/>
        </w:rPr>
        <w:tab/>
      </w:r>
      <w:r w:rsidR="00816DFC">
        <w:rPr>
          <w:rFonts w:ascii="Times New Roman" w:hAnsi="Times New Roman" w:cs="Times New Roman"/>
          <w:sz w:val="24"/>
          <w:szCs w:val="24"/>
        </w:rPr>
        <w:t>Western Samoa</w:t>
      </w:r>
    </w:p>
    <w:p w:rsidR="00816DFC" w:rsidRDefault="00816DFC" w:rsidP="0019300A">
      <w:pPr>
        <w:autoSpaceDE w:val="0"/>
        <w:autoSpaceDN w:val="0"/>
        <w:adjustRightInd w:val="0"/>
        <w:spacing w:after="0" w:line="240" w:lineRule="auto"/>
        <w:rPr>
          <w:rFonts w:ascii="Times New Roman" w:hAnsi="Times New Roman" w:cs="Times New Roman"/>
          <w:sz w:val="24"/>
          <w:szCs w:val="24"/>
        </w:rPr>
      </w:pPr>
    </w:p>
    <w:p w:rsidR="00816DFC" w:rsidRDefault="00816DFC" w:rsidP="001930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 Taylor</w:t>
      </w:r>
    </w:p>
    <w:p w:rsidR="00816DFC" w:rsidRDefault="00816DFC" w:rsidP="001930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University of the Sunshine Coast</w:t>
      </w:r>
    </w:p>
    <w:p w:rsidR="00816DFC" w:rsidRDefault="00816DFC" w:rsidP="001930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Maroochydore</w:t>
      </w:r>
    </w:p>
    <w:p w:rsidR="00816DFC" w:rsidRDefault="00816DFC" w:rsidP="001930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Australia</w:t>
      </w:r>
    </w:p>
    <w:p w:rsidR="00816DFC" w:rsidRDefault="00816DFC" w:rsidP="0019300A">
      <w:pPr>
        <w:autoSpaceDE w:val="0"/>
        <w:autoSpaceDN w:val="0"/>
        <w:adjustRightInd w:val="0"/>
        <w:spacing w:after="0" w:line="240" w:lineRule="auto"/>
        <w:rPr>
          <w:rFonts w:ascii="Times New Roman" w:hAnsi="Times New Roman" w:cs="Times New Roman"/>
          <w:sz w:val="24"/>
          <w:szCs w:val="24"/>
        </w:rPr>
      </w:pPr>
    </w:p>
    <w:p w:rsidR="00751B86" w:rsidRPr="00816DFC" w:rsidRDefault="00751B86" w:rsidP="0019300A">
      <w:pPr>
        <w:autoSpaceDE w:val="0"/>
        <w:autoSpaceDN w:val="0"/>
        <w:adjustRightInd w:val="0"/>
        <w:spacing w:after="0" w:line="240" w:lineRule="auto"/>
        <w:ind w:left="340" w:hanging="340"/>
        <w:jc w:val="both"/>
        <w:rPr>
          <w:rFonts w:ascii="Times New Roman" w:hAnsi="Times New Roman" w:cs="Times New Roman"/>
          <w:bCs/>
          <w:sz w:val="24"/>
          <w:szCs w:val="24"/>
        </w:rPr>
      </w:pPr>
      <w:r>
        <w:rPr>
          <w:rFonts w:ascii="Times New Roman" w:hAnsi="Times New Roman" w:cs="Times New Roman"/>
          <w:b/>
          <w:bCs/>
          <w:sz w:val="24"/>
          <w:szCs w:val="24"/>
        </w:rPr>
        <w:t xml:space="preserve">Keywords: </w:t>
      </w:r>
      <w:r w:rsidR="00A2309D" w:rsidRPr="00816DFC">
        <w:rPr>
          <w:rFonts w:ascii="Times New Roman" w:hAnsi="Times New Roman" w:cs="Times New Roman"/>
          <w:bCs/>
          <w:sz w:val="24"/>
          <w:szCs w:val="24"/>
        </w:rPr>
        <w:t>minerals, nutrients, carotenoids, polyphenols, genotype-environment interaction</w:t>
      </w:r>
    </w:p>
    <w:p w:rsidR="0019300A" w:rsidRPr="00751B86" w:rsidRDefault="0019300A" w:rsidP="0019300A">
      <w:pPr>
        <w:autoSpaceDE w:val="0"/>
        <w:autoSpaceDN w:val="0"/>
        <w:adjustRightInd w:val="0"/>
        <w:spacing w:after="0" w:line="240" w:lineRule="auto"/>
        <w:ind w:left="340" w:hanging="340"/>
        <w:jc w:val="both"/>
        <w:rPr>
          <w:rFonts w:ascii="Times New Roman" w:hAnsi="Times New Roman" w:cs="Times New Roman"/>
          <w:sz w:val="24"/>
          <w:szCs w:val="24"/>
        </w:rPr>
      </w:pPr>
    </w:p>
    <w:p w:rsidR="00751B86" w:rsidRDefault="00751B86" w:rsidP="0019300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rsidR="00751B86" w:rsidRPr="00326912" w:rsidRDefault="007C103F" w:rsidP="00930472">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A more traditional lifestyle, especially with respect to</w:t>
      </w:r>
      <w:r w:rsidR="00A2309D">
        <w:rPr>
          <w:rFonts w:ascii="Times New Roman" w:hAnsi="Times New Roman" w:cs="Times New Roman"/>
          <w:b/>
          <w:bCs/>
          <w:sz w:val="24"/>
          <w:szCs w:val="24"/>
        </w:rPr>
        <w:t xml:space="preserve"> diet and exercise, is needed to address the alarming rates of obesity, heart disease and diabetes in Pacific Island countries and indigenous communities in northern Australia. Leafy vegetables </w:t>
      </w:r>
      <w:r>
        <w:rPr>
          <w:rFonts w:ascii="Times New Roman" w:hAnsi="Times New Roman" w:cs="Times New Roman"/>
          <w:b/>
          <w:bCs/>
          <w:sz w:val="24"/>
          <w:szCs w:val="24"/>
        </w:rPr>
        <w:t>should</w:t>
      </w:r>
      <w:r w:rsidR="00287A33">
        <w:rPr>
          <w:rFonts w:ascii="Times New Roman" w:hAnsi="Times New Roman" w:cs="Times New Roman"/>
          <w:b/>
          <w:bCs/>
          <w:sz w:val="24"/>
          <w:szCs w:val="24"/>
        </w:rPr>
        <w:t xml:space="preserve"> play an important role but </w:t>
      </w:r>
      <w:r w:rsidR="00A2309D">
        <w:rPr>
          <w:rFonts w:ascii="Times New Roman" w:hAnsi="Times New Roman" w:cs="Times New Roman"/>
          <w:b/>
          <w:bCs/>
          <w:sz w:val="24"/>
          <w:szCs w:val="24"/>
        </w:rPr>
        <w:t>are often regarded as “low status” foods and have received little research attention. This study found that, although certain leafy vegetables are popular in some countries, particularly Solomon Isl</w:t>
      </w:r>
      <w:r w:rsidR="000000B9">
        <w:rPr>
          <w:rFonts w:ascii="Times New Roman" w:hAnsi="Times New Roman" w:cs="Times New Roman"/>
          <w:b/>
          <w:bCs/>
          <w:sz w:val="24"/>
          <w:szCs w:val="24"/>
        </w:rPr>
        <w:t>ands and Tonga, there is little</w:t>
      </w:r>
      <w:r w:rsidR="00287A33">
        <w:rPr>
          <w:rFonts w:ascii="Times New Roman" w:hAnsi="Times New Roman" w:cs="Times New Roman"/>
          <w:b/>
          <w:bCs/>
          <w:sz w:val="24"/>
          <w:szCs w:val="24"/>
        </w:rPr>
        <w:t xml:space="preserve"> </w:t>
      </w:r>
      <w:r w:rsidR="001B1AD6">
        <w:rPr>
          <w:rFonts w:ascii="Times New Roman" w:hAnsi="Times New Roman" w:cs="Times New Roman"/>
          <w:b/>
          <w:bCs/>
          <w:sz w:val="24"/>
          <w:szCs w:val="24"/>
        </w:rPr>
        <w:t xml:space="preserve">knowledge of </w:t>
      </w:r>
      <w:r w:rsidR="000000B9">
        <w:rPr>
          <w:rFonts w:ascii="Times New Roman" w:hAnsi="Times New Roman" w:cs="Times New Roman"/>
          <w:b/>
          <w:bCs/>
          <w:sz w:val="24"/>
          <w:szCs w:val="24"/>
        </w:rPr>
        <w:t>their health benefits</w:t>
      </w:r>
      <w:r w:rsidR="00A2309D">
        <w:rPr>
          <w:rFonts w:ascii="Times New Roman" w:hAnsi="Times New Roman" w:cs="Times New Roman"/>
          <w:b/>
          <w:bCs/>
          <w:sz w:val="24"/>
          <w:szCs w:val="24"/>
        </w:rPr>
        <w:t>.</w:t>
      </w:r>
      <w:r w:rsidR="00DF61F2">
        <w:rPr>
          <w:rFonts w:ascii="Times New Roman" w:hAnsi="Times New Roman" w:cs="Times New Roman"/>
          <w:b/>
          <w:bCs/>
          <w:sz w:val="24"/>
          <w:szCs w:val="24"/>
        </w:rPr>
        <w:t xml:space="preserve"> Leaf samples were collected in Solomon Is</w:t>
      </w:r>
      <w:r w:rsidR="000000B9">
        <w:rPr>
          <w:rFonts w:ascii="Times New Roman" w:hAnsi="Times New Roman" w:cs="Times New Roman"/>
          <w:b/>
          <w:bCs/>
          <w:sz w:val="24"/>
          <w:szCs w:val="24"/>
        </w:rPr>
        <w:t>lands, Samoa, Tonga, Kiribati, N</w:t>
      </w:r>
      <w:r w:rsidR="00DF61F2">
        <w:rPr>
          <w:rFonts w:ascii="Times New Roman" w:hAnsi="Times New Roman" w:cs="Times New Roman"/>
          <w:b/>
          <w:bCs/>
          <w:sz w:val="24"/>
          <w:szCs w:val="24"/>
        </w:rPr>
        <w:t>orth Queensland and the Torres Strait Islands and minerals, carotenoids and polyp</w:t>
      </w:r>
      <w:r w:rsidR="000000B9">
        <w:rPr>
          <w:rFonts w:ascii="Times New Roman" w:hAnsi="Times New Roman" w:cs="Times New Roman"/>
          <w:b/>
          <w:bCs/>
          <w:sz w:val="24"/>
          <w:szCs w:val="24"/>
        </w:rPr>
        <w:t>henols were analysed. T</w:t>
      </w:r>
      <w:r w:rsidR="00DF61F2">
        <w:rPr>
          <w:rFonts w:ascii="Times New Roman" w:hAnsi="Times New Roman" w:cs="Times New Roman"/>
          <w:b/>
          <w:bCs/>
          <w:sz w:val="24"/>
          <w:szCs w:val="24"/>
        </w:rPr>
        <w:t xml:space="preserve">o study genotype-environment interaction, different species growing at the same location (same soil) and common species growing at multiple locations (different soils) were included in the survey. The data, together </w:t>
      </w:r>
      <w:r w:rsidR="001B1AD6">
        <w:rPr>
          <w:rFonts w:ascii="Times New Roman" w:hAnsi="Times New Roman" w:cs="Times New Roman"/>
          <w:b/>
          <w:bCs/>
          <w:sz w:val="24"/>
          <w:szCs w:val="24"/>
        </w:rPr>
        <w:t xml:space="preserve">with flavour </w:t>
      </w:r>
      <w:r w:rsidR="000000B9">
        <w:rPr>
          <w:rFonts w:ascii="Times New Roman" w:hAnsi="Times New Roman" w:cs="Times New Roman"/>
          <w:b/>
          <w:bCs/>
          <w:sz w:val="24"/>
          <w:szCs w:val="24"/>
        </w:rPr>
        <w:t>and popularity, were used to make</w:t>
      </w:r>
      <w:r w:rsidR="0097395C">
        <w:rPr>
          <w:rFonts w:ascii="Times New Roman" w:hAnsi="Times New Roman" w:cs="Times New Roman"/>
          <w:b/>
          <w:bCs/>
          <w:sz w:val="24"/>
          <w:szCs w:val="24"/>
        </w:rPr>
        <w:t xml:space="preserve"> a “Top 12</w:t>
      </w:r>
      <w:r w:rsidR="00DF61F2">
        <w:rPr>
          <w:rFonts w:ascii="Times New Roman" w:hAnsi="Times New Roman" w:cs="Times New Roman"/>
          <w:b/>
          <w:bCs/>
          <w:sz w:val="24"/>
          <w:szCs w:val="24"/>
        </w:rPr>
        <w:t>” nutritious leafy vegetable factsheet series, which was distributed in participating countries and published online (</w:t>
      </w:r>
      <w:hyperlink r:id="rId5" w:history="1">
        <w:r w:rsidR="00DF61F2" w:rsidRPr="00607DE2">
          <w:rPr>
            <w:rStyle w:val="Hyperlink"/>
            <w:rFonts w:ascii="Times New Roman" w:hAnsi="Times New Roman" w:cs="Times New Roman"/>
            <w:b/>
            <w:bCs/>
            <w:sz w:val="24"/>
            <w:szCs w:val="24"/>
          </w:rPr>
          <w:t>www.aciar.gov.au/News2013July</w:t>
        </w:r>
      </w:hyperlink>
      <w:r w:rsidR="00DF61F2">
        <w:rPr>
          <w:rFonts w:ascii="Times New Roman" w:hAnsi="Times New Roman" w:cs="Times New Roman"/>
          <w:b/>
          <w:bCs/>
          <w:sz w:val="24"/>
          <w:szCs w:val="24"/>
        </w:rPr>
        <w:t>). Outstanding species include</w:t>
      </w:r>
      <w:r w:rsidR="000000B9">
        <w:rPr>
          <w:rFonts w:ascii="Times New Roman" w:hAnsi="Times New Roman" w:cs="Times New Roman"/>
          <w:b/>
          <w:bCs/>
          <w:sz w:val="24"/>
          <w:szCs w:val="24"/>
        </w:rPr>
        <w:t>d</w:t>
      </w:r>
      <w:r w:rsidR="00DF61F2">
        <w:rPr>
          <w:rFonts w:ascii="Times New Roman" w:hAnsi="Times New Roman" w:cs="Times New Roman"/>
          <w:b/>
          <w:bCs/>
          <w:sz w:val="24"/>
          <w:szCs w:val="24"/>
        </w:rPr>
        <w:t xml:space="preserve"> </w:t>
      </w:r>
      <w:r w:rsidR="00DF61F2">
        <w:rPr>
          <w:rFonts w:ascii="Times New Roman" w:hAnsi="Times New Roman" w:cs="Times New Roman"/>
          <w:b/>
          <w:bCs/>
          <w:i/>
          <w:sz w:val="24"/>
          <w:szCs w:val="24"/>
        </w:rPr>
        <w:t xml:space="preserve">Abelmoschus manihot </w:t>
      </w:r>
      <w:r w:rsidR="00DF61F2">
        <w:rPr>
          <w:rFonts w:ascii="Times New Roman" w:hAnsi="Times New Roman" w:cs="Times New Roman"/>
          <w:b/>
          <w:bCs/>
          <w:sz w:val="24"/>
          <w:szCs w:val="24"/>
        </w:rPr>
        <w:t xml:space="preserve">(aibika, bele), </w:t>
      </w:r>
      <w:r w:rsidR="00326912">
        <w:rPr>
          <w:rFonts w:ascii="Times New Roman" w:hAnsi="Times New Roman" w:cs="Times New Roman"/>
          <w:b/>
          <w:bCs/>
          <w:i/>
          <w:sz w:val="24"/>
          <w:szCs w:val="24"/>
        </w:rPr>
        <w:t xml:space="preserve">Polyscias spp. </w:t>
      </w:r>
      <w:r w:rsidR="00326912">
        <w:rPr>
          <w:rFonts w:ascii="Times New Roman" w:hAnsi="Times New Roman" w:cs="Times New Roman"/>
          <w:b/>
          <w:bCs/>
          <w:sz w:val="24"/>
          <w:szCs w:val="24"/>
        </w:rPr>
        <w:t xml:space="preserve">(ete), </w:t>
      </w:r>
      <w:r w:rsidR="00326912">
        <w:rPr>
          <w:rFonts w:ascii="Times New Roman" w:hAnsi="Times New Roman" w:cs="Times New Roman"/>
          <w:b/>
          <w:bCs/>
          <w:i/>
          <w:sz w:val="24"/>
          <w:szCs w:val="24"/>
        </w:rPr>
        <w:t xml:space="preserve">Sauropus androgynus </w:t>
      </w:r>
      <w:r w:rsidR="00326912">
        <w:rPr>
          <w:rFonts w:ascii="Times New Roman" w:hAnsi="Times New Roman" w:cs="Times New Roman"/>
          <w:b/>
          <w:bCs/>
          <w:sz w:val="24"/>
          <w:szCs w:val="24"/>
        </w:rPr>
        <w:t xml:space="preserve">(sweetleaf), </w:t>
      </w:r>
      <w:r w:rsidR="00326912">
        <w:rPr>
          <w:rFonts w:ascii="Times New Roman" w:hAnsi="Times New Roman" w:cs="Times New Roman"/>
          <w:b/>
          <w:bCs/>
          <w:i/>
          <w:sz w:val="24"/>
          <w:szCs w:val="24"/>
        </w:rPr>
        <w:t xml:space="preserve">Moringa oleifera </w:t>
      </w:r>
      <w:r w:rsidR="00326912">
        <w:rPr>
          <w:rFonts w:ascii="Times New Roman" w:hAnsi="Times New Roman" w:cs="Times New Roman"/>
          <w:b/>
          <w:bCs/>
          <w:sz w:val="24"/>
          <w:szCs w:val="24"/>
        </w:rPr>
        <w:t xml:space="preserve">(drumstick tree) and </w:t>
      </w:r>
      <w:r w:rsidR="00326912">
        <w:rPr>
          <w:rFonts w:ascii="Times New Roman" w:hAnsi="Times New Roman" w:cs="Times New Roman"/>
          <w:b/>
          <w:bCs/>
          <w:i/>
          <w:sz w:val="24"/>
          <w:szCs w:val="24"/>
        </w:rPr>
        <w:t xml:space="preserve">Basella alba </w:t>
      </w:r>
      <w:r w:rsidR="001B1AD6">
        <w:rPr>
          <w:rFonts w:ascii="Times New Roman" w:hAnsi="Times New Roman" w:cs="Times New Roman"/>
          <w:b/>
          <w:bCs/>
          <w:sz w:val="24"/>
          <w:szCs w:val="24"/>
        </w:rPr>
        <w:t>(creeping spinach). Aibika was high in iron, zinc, magnesium, manganese, protein and lutein; s</w:t>
      </w:r>
      <w:r w:rsidR="00326912">
        <w:rPr>
          <w:rFonts w:ascii="Times New Roman" w:hAnsi="Times New Roman" w:cs="Times New Roman"/>
          <w:b/>
          <w:bCs/>
          <w:sz w:val="24"/>
          <w:szCs w:val="24"/>
        </w:rPr>
        <w:t>we</w:t>
      </w:r>
      <w:r w:rsidR="001B1AD6">
        <w:rPr>
          <w:rFonts w:ascii="Times New Roman" w:hAnsi="Times New Roman" w:cs="Times New Roman"/>
          <w:b/>
          <w:bCs/>
          <w:sz w:val="24"/>
          <w:szCs w:val="24"/>
        </w:rPr>
        <w:t>etleaf</w:t>
      </w:r>
      <w:r w:rsidR="00326912">
        <w:rPr>
          <w:rFonts w:ascii="Times New Roman" w:hAnsi="Times New Roman" w:cs="Times New Roman"/>
          <w:b/>
          <w:bCs/>
          <w:sz w:val="24"/>
          <w:szCs w:val="24"/>
        </w:rPr>
        <w:t xml:space="preserve"> was high in iron, zinc, calcium, magnesium, manganese, sulphur, lutein, b-carotene and protein; ete was high in zinc and</w:t>
      </w:r>
      <w:r w:rsidR="001B1AD6">
        <w:rPr>
          <w:rFonts w:ascii="Times New Roman" w:hAnsi="Times New Roman" w:cs="Times New Roman"/>
          <w:b/>
          <w:bCs/>
          <w:sz w:val="24"/>
          <w:szCs w:val="24"/>
        </w:rPr>
        <w:t xml:space="preserve"> calcium and grows well on alka</w:t>
      </w:r>
      <w:r w:rsidR="00326912">
        <w:rPr>
          <w:rFonts w:ascii="Times New Roman" w:hAnsi="Times New Roman" w:cs="Times New Roman"/>
          <w:b/>
          <w:bCs/>
          <w:sz w:val="24"/>
          <w:szCs w:val="24"/>
        </w:rPr>
        <w:t>line coral soils</w:t>
      </w:r>
      <w:r w:rsidR="00330D97">
        <w:rPr>
          <w:rFonts w:ascii="Times New Roman" w:hAnsi="Times New Roman" w:cs="Times New Roman"/>
          <w:b/>
          <w:bCs/>
          <w:sz w:val="24"/>
          <w:szCs w:val="24"/>
        </w:rPr>
        <w:t>; drumstick</w:t>
      </w:r>
      <w:r w:rsidR="001B1AD6">
        <w:rPr>
          <w:rFonts w:ascii="Times New Roman" w:hAnsi="Times New Roman" w:cs="Times New Roman"/>
          <w:b/>
          <w:bCs/>
          <w:sz w:val="24"/>
          <w:szCs w:val="24"/>
        </w:rPr>
        <w:t xml:space="preserve"> was high in b-carotene, sulphur and selenium, and creeping spinach was high in </w:t>
      </w:r>
      <w:r w:rsidR="00C26E1C">
        <w:rPr>
          <w:rFonts w:ascii="Times New Roman" w:hAnsi="Times New Roman" w:cs="Times New Roman"/>
          <w:b/>
          <w:bCs/>
          <w:sz w:val="24"/>
          <w:szCs w:val="24"/>
        </w:rPr>
        <w:t>magnesium and polyphenols.</w:t>
      </w:r>
      <w:r w:rsidR="001B1AD6">
        <w:rPr>
          <w:rFonts w:ascii="Times New Roman" w:hAnsi="Times New Roman" w:cs="Times New Roman"/>
          <w:b/>
          <w:bCs/>
          <w:sz w:val="24"/>
          <w:szCs w:val="24"/>
        </w:rPr>
        <w:t xml:space="preserve"> </w:t>
      </w:r>
      <w:r w:rsidR="00FF25C8">
        <w:rPr>
          <w:rFonts w:ascii="Times New Roman" w:hAnsi="Times New Roman" w:cs="Times New Roman"/>
          <w:b/>
          <w:bCs/>
          <w:sz w:val="24"/>
          <w:szCs w:val="24"/>
        </w:rPr>
        <w:t>Reliable</w:t>
      </w:r>
      <w:r w:rsidR="00B46397">
        <w:rPr>
          <w:rFonts w:ascii="Times New Roman" w:hAnsi="Times New Roman" w:cs="Times New Roman"/>
          <w:b/>
          <w:bCs/>
          <w:sz w:val="24"/>
          <w:szCs w:val="24"/>
        </w:rPr>
        <w:t xml:space="preserve"> provision of quality germplasm,</w:t>
      </w:r>
      <w:r w:rsidR="00FF25C8">
        <w:rPr>
          <w:rFonts w:ascii="Times New Roman" w:hAnsi="Times New Roman" w:cs="Times New Roman"/>
          <w:b/>
          <w:bCs/>
          <w:sz w:val="24"/>
          <w:szCs w:val="24"/>
        </w:rPr>
        <w:t xml:space="preserve"> m</w:t>
      </w:r>
      <w:r w:rsidR="00326912">
        <w:rPr>
          <w:rFonts w:ascii="Times New Roman" w:hAnsi="Times New Roman" w:cs="Times New Roman"/>
          <w:b/>
          <w:bCs/>
          <w:sz w:val="24"/>
          <w:szCs w:val="24"/>
        </w:rPr>
        <w:t>ore nutrition education, including school food gardens which feature</w:t>
      </w:r>
      <w:r>
        <w:rPr>
          <w:rFonts w:ascii="Times New Roman" w:hAnsi="Times New Roman" w:cs="Times New Roman"/>
          <w:b/>
          <w:bCs/>
          <w:sz w:val="24"/>
          <w:szCs w:val="24"/>
        </w:rPr>
        <w:t xml:space="preserve"> the most nutritious vegetables,</w:t>
      </w:r>
      <w:r w:rsidR="00326912">
        <w:rPr>
          <w:rFonts w:ascii="Times New Roman" w:hAnsi="Times New Roman" w:cs="Times New Roman"/>
          <w:b/>
          <w:bCs/>
          <w:sz w:val="24"/>
          <w:szCs w:val="24"/>
        </w:rPr>
        <w:t xml:space="preserve"> and value chain research to improve shelf-life and deliv</w:t>
      </w:r>
      <w:r w:rsidR="00FF25C8">
        <w:rPr>
          <w:rFonts w:ascii="Times New Roman" w:hAnsi="Times New Roman" w:cs="Times New Roman"/>
          <w:b/>
          <w:bCs/>
          <w:sz w:val="24"/>
          <w:szCs w:val="24"/>
        </w:rPr>
        <w:t>ery of nutrients to consumers are</w:t>
      </w:r>
      <w:r w:rsidR="00326912">
        <w:rPr>
          <w:rFonts w:ascii="Times New Roman" w:hAnsi="Times New Roman" w:cs="Times New Roman"/>
          <w:b/>
          <w:bCs/>
          <w:sz w:val="24"/>
          <w:szCs w:val="24"/>
        </w:rPr>
        <w:t xml:space="preserve"> recommended.</w:t>
      </w:r>
    </w:p>
    <w:p w:rsidR="00751B86" w:rsidRDefault="00751B86" w:rsidP="0019300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rsidR="00C03F4C" w:rsidRDefault="00243685" w:rsidP="001930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Since the 1940s the consumption of high-energy, low-nutrient foods, including white flour, sugar, polished rice and turkey tails by Pacific Islanders and indigenous Australians, combined with reduced exercise, has resulted in an epidemic of obes</w:t>
      </w:r>
      <w:r w:rsidR="00FE66D3">
        <w:rPr>
          <w:rFonts w:ascii="Times New Roman" w:hAnsi="Times New Roman" w:cs="Times New Roman"/>
          <w:sz w:val="24"/>
          <w:szCs w:val="24"/>
        </w:rPr>
        <w:t>ity, diabetes and heart disease, so-called non-communicable diseases (NCDs)</w:t>
      </w:r>
      <w:r w:rsidR="001865ED">
        <w:rPr>
          <w:rFonts w:ascii="Times New Roman" w:hAnsi="Times New Roman" w:cs="Times New Roman"/>
          <w:sz w:val="24"/>
          <w:szCs w:val="24"/>
        </w:rPr>
        <w:t>.</w:t>
      </w:r>
      <w:r>
        <w:rPr>
          <w:rFonts w:ascii="Times New Roman" w:hAnsi="Times New Roman" w:cs="Times New Roman"/>
          <w:sz w:val="24"/>
          <w:szCs w:val="24"/>
        </w:rPr>
        <w:t xml:space="preserve"> These are the leading cause of death for 12 Pacific countries with data available, often accounting f</w:t>
      </w:r>
      <w:r w:rsidR="00204F3E">
        <w:rPr>
          <w:rFonts w:ascii="Times New Roman" w:hAnsi="Times New Roman" w:cs="Times New Roman"/>
          <w:sz w:val="24"/>
          <w:szCs w:val="24"/>
        </w:rPr>
        <w:t>or around 70% of all deaths (</w:t>
      </w:r>
      <w:r w:rsidR="00893037">
        <w:rPr>
          <w:rFonts w:ascii="Times New Roman" w:hAnsi="Times New Roman" w:cs="Times New Roman"/>
          <w:sz w:val="24"/>
          <w:szCs w:val="24"/>
        </w:rPr>
        <w:t>SPC, 2010</w:t>
      </w:r>
      <w:r>
        <w:rPr>
          <w:rFonts w:ascii="Times New Roman" w:hAnsi="Times New Roman" w:cs="Times New Roman"/>
          <w:sz w:val="24"/>
          <w:szCs w:val="24"/>
        </w:rPr>
        <w:t>). These diseases were absent when traditional diets and lifestyles predominated</w:t>
      </w:r>
      <w:r w:rsidR="00204F3E">
        <w:rPr>
          <w:rFonts w:ascii="Times New Roman" w:hAnsi="Times New Roman" w:cs="Times New Roman"/>
          <w:sz w:val="24"/>
          <w:szCs w:val="24"/>
        </w:rPr>
        <w:t xml:space="preserve"> (WHO, 2004)</w:t>
      </w:r>
      <w:r>
        <w:rPr>
          <w:rFonts w:ascii="Times New Roman" w:hAnsi="Times New Roman" w:cs="Times New Roman"/>
          <w:sz w:val="24"/>
          <w:szCs w:val="24"/>
        </w:rPr>
        <w:t>.</w:t>
      </w:r>
    </w:p>
    <w:p w:rsidR="00751B86" w:rsidRDefault="00243685" w:rsidP="001930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Many different types of leafy vegetables are grown and eaten in the Pacific region. When available, local vegetables are usually inexpensive; despite this, they can be overlooked and are often regarded as </w:t>
      </w:r>
      <w:r w:rsidR="0023077E">
        <w:rPr>
          <w:rFonts w:ascii="Times New Roman" w:hAnsi="Times New Roman" w:cs="Times New Roman"/>
          <w:sz w:val="24"/>
          <w:szCs w:val="24"/>
        </w:rPr>
        <w:t>foods of low status. However, research has shown that most leafy vegetables are valuable foods, being nutritious and rich in protein, vitamins, minerals, phyto (plant) chemicals and fibre (Dignan et al., 2004; French, 2010; Keatinge et al., 2011; SPC, 2012).</w:t>
      </w:r>
    </w:p>
    <w:p w:rsidR="000226EB" w:rsidRDefault="000226EB" w:rsidP="001930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 addition to the health benefits of traditional diets, local food crop (including “wild food”) biodiversity strengthens the resilience of food systems through increasing the crop species richness and therefore enhances food security (Taylor et al</w:t>
      </w:r>
      <w:r w:rsidR="00F921AA">
        <w:rPr>
          <w:rFonts w:ascii="Times New Roman" w:hAnsi="Times New Roman" w:cs="Times New Roman"/>
          <w:sz w:val="24"/>
          <w:szCs w:val="24"/>
        </w:rPr>
        <w:t>.,</w:t>
      </w:r>
      <w:r>
        <w:rPr>
          <w:rFonts w:ascii="Times New Roman" w:hAnsi="Times New Roman" w:cs="Times New Roman"/>
          <w:sz w:val="24"/>
          <w:szCs w:val="24"/>
        </w:rPr>
        <w:t xml:space="preserve"> 2014). Moreover, it is also economically advantageous: growing foods such as leafy greens, sweet</w:t>
      </w:r>
      <w:r w:rsidR="00526F4E">
        <w:rPr>
          <w:rFonts w:ascii="Times New Roman" w:hAnsi="Times New Roman" w:cs="Times New Roman"/>
          <w:sz w:val="24"/>
          <w:szCs w:val="24"/>
        </w:rPr>
        <w:t xml:space="preserve"> </w:t>
      </w:r>
      <w:r>
        <w:rPr>
          <w:rFonts w:ascii="Times New Roman" w:hAnsi="Times New Roman" w:cs="Times New Roman"/>
          <w:sz w:val="24"/>
          <w:szCs w:val="24"/>
        </w:rPr>
        <w:t>potato, taro and cassava to improve nutrition helps to reduce trade deficits associated with high consumption of imported foods in the Pacific.</w:t>
      </w:r>
    </w:p>
    <w:p w:rsidR="000226EB" w:rsidRDefault="000226EB" w:rsidP="001930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This study surveyed attitudes to leafy vegetables in several Pacific co</w:t>
      </w:r>
      <w:r w:rsidR="00882A73">
        <w:rPr>
          <w:rFonts w:ascii="Times New Roman" w:hAnsi="Times New Roman" w:cs="Times New Roman"/>
          <w:sz w:val="24"/>
          <w:szCs w:val="24"/>
        </w:rPr>
        <w:t>untries and northern Australia. The nutritional composition of a range of leafy vegetables and other edible leaves was also surveyed, in order to recommend an effective strategy to promote production and consumption of local nutritious leafy vegetables.</w:t>
      </w:r>
    </w:p>
    <w:p w:rsidR="0019300A" w:rsidRDefault="0019300A" w:rsidP="0019300A">
      <w:pPr>
        <w:autoSpaceDE w:val="0"/>
        <w:autoSpaceDN w:val="0"/>
        <w:adjustRightInd w:val="0"/>
        <w:spacing w:after="0" w:line="240" w:lineRule="auto"/>
        <w:ind w:firstLine="709"/>
        <w:jc w:val="both"/>
        <w:rPr>
          <w:rFonts w:ascii="Times New Roman" w:hAnsi="Times New Roman" w:cs="Times New Roman"/>
          <w:sz w:val="24"/>
          <w:szCs w:val="24"/>
        </w:rPr>
      </w:pPr>
    </w:p>
    <w:p w:rsidR="00751B86" w:rsidRDefault="00751B86" w:rsidP="0019300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MATERIALS AND METHODS</w:t>
      </w:r>
    </w:p>
    <w:p w:rsidR="00751B86" w:rsidRDefault="003B52D2" w:rsidP="001930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The people surveys were conducted in Solomon Islands, Samoa, Tonga, Torres Strait Islands and Arnh</w:t>
      </w:r>
      <w:r w:rsidR="00955D17">
        <w:rPr>
          <w:rFonts w:ascii="Times New Roman" w:hAnsi="Times New Roman" w:cs="Times New Roman"/>
          <w:sz w:val="24"/>
          <w:szCs w:val="24"/>
        </w:rPr>
        <w:t>em Land using a combination of</w:t>
      </w:r>
      <w:r>
        <w:rPr>
          <w:rFonts w:ascii="Times New Roman" w:hAnsi="Times New Roman" w:cs="Times New Roman"/>
          <w:sz w:val="24"/>
          <w:szCs w:val="24"/>
        </w:rPr>
        <w:t xml:space="preserve"> questionnaire, semi-structured interviews, focus groups and information from key informants. Flexibility was necessary in obtai</w:t>
      </w:r>
      <w:r w:rsidR="00955D17">
        <w:rPr>
          <w:rFonts w:ascii="Times New Roman" w:hAnsi="Times New Roman" w:cs="Times New Roman"/>
          <w:sz w:val="24"/>
          <w:szCs w:val="24"/>
        </w:rPr>
        <w:t xml:space="preserve">ning relevant, valid data. In Solomon Islands </w:t>
      </w:r>
      <w:r>
        <w:rPr>
          <w:rFonts w:ascii="Times New Roman" w:hAnsi="Times New Roman" w:cs="Times New Roman"/>
          <w:sz w:val="24"/>
          <w:szCs w:val="24"/>
        </w:rPr>
        <w:t>workshops were held at the villages/sites where leaf samp</w:t>
      </w:r>
      <w:r w:rsidR="008635EA">
        <w:rPr>
          <w:rFonts w:ascii="Times New Roman" w:hAnsi="Times New Roman" w:cs="Times New Roman"/>
          <w:sz w:val="24"/>
          <w:szCs w:val="24"/>
        </w:rPr>
        <w:t>les were collected (</w:t>
      </w:r>
      <w:r>
        <w:rPr>
          <w:rFonts w:ascii="Times New Roman" w:hAnsi="Times New Roman" w:cs="Times New Roman"/>
          <w:sz w:val="24"/>
          <w:szCs w:val="24"/>
        </w:rPr>
        <w:t>Burns Cr</w:t>
      </w:r>
      <w:r w:rsidR="000A4003">
        <w:rPr>
          <w:rFonts w:ascii="Times New Roman" w:hAnsi="Times New Roman" w:cs="Times New Roman"/>
          <w:sz w:val="24"/>
          <w:szCs w:val="24"/>
        </w:rPr>
        <w:t>eek, Marau Sound and Aruliho); i</w:t>
      </w:r>
      <w:r>
        <w:rPr>
          <w:rFonts w:ascii="Times New Roman" w:hAnsi="Times New Roman" w:cs="Times New Roman"/>
          <w:sz w:val="24"/>
          <w:szCs w:val="24"/>
        </w:rPr>
        <w:t>n Tonga interviews and a market survey were conducted</w:t>
      </w:r>
      <w:r w:rsidR="000A4003">
        <w:rPr>
          <w:rFonts w:ascii="Times New Roman" w:hAnsi="Times New Roman" w:cs="Times New Roman"/>
          <w:sz w:val="24"/>
          <w:szCs w:val="24"/>
        </w:rPr>
        <w:t>; in Samoa interviews were conducted with farmers and agriculture and health officers,</w:t>
      </w:r>
      <w:r w:rsidR="008635EA">
        <w:rPr>
          <w:rFonts w:ascii="Times New Roman" w:hAnsi="Times New Roman" w:cs="Times New Roman"/>
          <w:sz w:val="24"/>
          <w:szCs w:val="24"/>
        </w:rPr>
        <w:t xml:space="preserve"> and focus groups were included in</w:t>
      </w:r>
      <w:r w:rsidR="000A4003">
        <w:rPr>
          <w:rFonts w:ascii="Times New Roman" w:hAnsi="Times New Roman" w:cs="Times New Roman"/>
          <w:sz w:val="24"/>
          <w:szCs w:val="24"/>
        </w:rPr>
        <w:t xml:space="preserve"> a workshop conducted by Women in Business Development</w:t>
      </w:r>
      <w:r w:rsidR="00526F4E">
        <w:rPr>
          <w:rFonts w:ascii="Times New Roman" w:hAnsi="Times New Roman" w:cs="Times New Roman"/>
          <w:sz w:val="24"/>
          <w:szCs w:val="24"/>
        </w:rPr>
        <w:t xml:space="preserve"> Incorporated (WIBDI)</w:t>
      </w:r>
      <w:r w:rsidR="000A4003">
        <w:rPr>
          <w:rFonts w:ascii="Times New Roman" w:hAnsi="Times New Roman" w:cs="Times New Roman"/>
          <w:sz w:val="24"/>
          <w:szCs w:val="24"/>
        </w:rPr>
        <w:t>. In Arnhem Land (Northern Territory) and the southern Torres</w:t>
      </w:r>
      <w:r w:rsidR="00526F4E">
        <w:rPr>
          <w:rFonts w:ascii="Times New Roman" w:hAnsi="Times New Roman" w:cs="Times New Roman"/>
          <w:sz w:val="24"/>
          <w:szCs w:val="24"/>
        </w:rPr>
        <w:t xml:space="preserve"> Strait Islands (Queensland)</w:t>
      </w:r>
      <w:r w:rsidR="000A4003">
        <w:rPr>
          <w:rFonts w:ascii="Times New Roman" w:hAnsi="Times New Roman" w:cs="Times New Roman"/>
          <w:sz w:val="24"/>
          <w:szCs w:val="24"/>
        </w:rPr>
        <w:t xml:space="preserve"> findings were based on information from key informants, colleague interviews and third party sources.</w:t>
      </w:r>
    </w:p>
    <w:p w:rsidR="000A4003" w:rsidRDefault="000A4003" w:rsidP="001930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Representative samples of a range of leafy vegetables and wild edible leaves were collected from sites in Solomon Islands (most</w:t>
      </w:r>
      <w:r w:rsidR="008635EA">
        <w:rPr>
          <w:rFonts w:ascii="Times New Roman" w:hAnsi="Times New Roman" w:cs="Times New Roman"/>
          <w:sz w:val="24"/>
          <w:szCs w:val="24"/>
        </w:rPr>
        <w:t>ly</w:t>
      </w:r>
      <w:r>
        <w:rPr>
          <w:rFonts w:ascii="Times New Roman" w:hAnsi="Times New Roman" w:cs="Times New Roman"/>
          <w:sz w:val="24"/>
          <w:szCs w:val="24"/>
        </w:rPr>
        <w:t xml:space="preserve"> from Guadalcanal), Samoa</w:t>
      </w:r>
      <w:r w:rsidR="001B3C9C">
        <w:rPr>
          <w:rFonts w:ascii="Times New Roman" w:hAnsi="Times New Roman" w:cs="Times New Roman"/>
          <w:sz w:val="24"/>
          <w:szCs w:val="24"/>
        </w:rPr>
        <w:t xml:space="preserve"> (Upolu)</w:t>
      </w:r>
      <w:r>
        <w:rPr>
          <w:rFonts w:ascii="Times New Roman" w:hAnsi="Times New Roman" w:cs="Times New Roman"/>
          <w:sz w:val="24"/>
          <w:szCs w:val="24"/>
        </w:rPr>
        <w:t>, Tonga</w:t>
      </w:r>
      <w:r w:rsidR="001B3C9C">
        <w:rPr>
          <w:rFonts w:ascii="Times New Roman" w:hAnsi="Times New Roman" w:cs="Times New Roman"/>
          <w:sz w:val="24"/>
          <w:szCs w:val="24"/>
        </w:rPr>
        <w:t>, Torres Strait Islands (Thursday and Horn Islands) and Mourilyan, south of C</w:t>
      </w:r>
      <w:r w:rsidR="009233D4">
        <w:rPr>
          <w:rFonts w:ascii="Times New Roman" w:hAnsi="Times New Roman" w:cs="Times New Roman"/>
          <w:sz w:val="24"/>
          <w:szCs w:val="24"/>
        </w:rPr>
        <w:t>airns, Queensland. A</w:t>
      </w:r>
      <w:r w:rsidR="001B3C9C">
        <w:rPr>
          <w:rFonts w:ascii="Times New Roman" w:hAnsi="Times New Roman" w:cs="Times New Roman"/>
          <w:sz w:val="24"/>
          <w:szCs w:val="24"/>
        </w:rPr>
        <w:t>n effort was made to sample different species growing at the same site/on the same soil and common species from</w:t>
      </w:r>
      <w:r w:rsidR="008635EA">
        <w:rPr>
          <w:rFonts w:ascii="Times New Roman" w:hAnsi="Times New Roman" w:cs="Times New Roman"/>
          <w:sz w:val="24"/>
          <w:szCs w:val="24"/>
        </w:rPr>
        <w:t xml:space="preserve"> multiple sites/different soils</w:t>
      </w:r>
      <w:r w:rsidR="001B3C9C">
        <w:rPr>
          <w:rFonts w:ascii="Times New Roman" w:hAnsi="Times New Roman" w:cs="Times New Roman"/>
          <w:sz w:val="24"/>
          <w:szCs w:val="24"/>
        </w:rPr>
        <w:t xml:space="preserve"> in order to assess genotype-en</w:t>
      </w:r>
      <w:r w:rsidR="007432D4">
        <w:rPr>
          <w:rFonts w:ascii="Times New Roman" w:hAnsi="Times New Roman" w:cs="Times New Roman"/>
          <w:sz w:val="24"/>
          <w:szCs w:val="24"/>
        </w:rPr>
        <w:t>vironment interaction. Leaves of different taro cultivars growing at several sites in Samoa were also analysed, along with breadfruit leaves and fruit from Kiribati.</w:t>
      </w:r>
    </w:p>
    <w:p w:rsidR="007C3459" w:rsidRDefault="007C3459" w:rsidP="001930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 limit degradation of the carotenoids analysed, samples were dried rapidly in a microwave oven as soon as practicable after collection, usually the same night. The samples were brought to Australia under permit and irradiated. Samples were analysed </w:t>
      </w:r>
      <w:r>
        <w:rPr>
          <w:rFonts w:ascii="Times New Roman" w:hAnsi="Times New Roman" w:cs="Times New Roman"/>
          <w:sz w:val="24"/>
          <w:szCs w:val="24"/>
        </w:rPr>
        <w:lastRenderedPageBreak/>
        <w:t>for a range of mineral nutrients (</w:t>
      </w:r>
      <w:r w:rsidR="00B46397">
        <w:rPr>
          <w:rFonts w:ascii="Times New Roman" w:hAnsi="Times New Roman" w:cs="Times New Roman"/>
          <w:sz w:val="24"/>
          <w:szCs w:val="24"/>
        </w:rPr>
        <w:t>iron, manganese, boron, copp</w:t>
      </w:r>
      <w:r w:rsidR="007F5165">
        <w:rPr>
          <w:rFonts w:ascii="Times New Roman" w:hAnsi="Times New Roman" w:cs="Times New Roman"/>
          <w:sz w:val="24"/>
          <w:szCs w:val="24"/>
        </w:rPr>
        <w:t>er, molybdenum, nickel, zinc, ca</w:t>
      </w:r>
      <w:r w:rsidR="00B46397">
        <w:rPr>
          <w:rFonts w:ascii="Times New Roman" w:hAnsi="Times New Roman" w:cs="Times New Roman"/>
          <w:sz w:val="24"/>
          <w:szCs w:val="24"/>
        </w:rPr>
        <w:t>lcium, magnesium, sodium, potassium, phosphorus and sulphur</w:t>
      </w:r>
      <w:r>
        <w:rPr>
          <w:rFonts w:ascii="Times New Roman" w:hAnsi="Times New Roman" w:cs="Times New Roman"/>
          <w:sz w:val="24"/>
          <w:szCs w:val="24"/>
        </w:rPr>
        <w:t xml:space="preserve">) and also </w:t>
      </w:r>
      <w:r w:rsidR="00B46397">
        <w:rPr>
          <w:rFonts w:ascii="Times New Roman" w:hAnsi="Times New Roman" w:cs="Times New Roman"/>
          <w:sz w:val="24"/>
          <w:szCs w:val="24"/>
        </w:rPr>
        <w:t>aluminium, titanium and chromium</w:t>
      </w:r>
      <w:r>
        <w:rPr>
          <w:rFonts w:ascii="Times New Roman" w:hAnsi="Times New Roman" w:cs="Times New Roman"/>
          <w:sz w:val="24"/>
          <w:szCs w:val="24"/>
        </w:rPr>
        <w:t xml:space="preserve"> (for quality control purposes to detect soil contamination) </w:t>
      </w:r>
      <w:r w:rsidR="00F85A33">
        <w:rPr>
          <w:rFonts w:ascii="Times New Roman" w:hAnsi="Times New Roman" w:cs="Times New Roman"/>
          <w:sz w:val="24"/>
          <w:szCs w:val="24"/>
        </w:rPr>
        <w:t xml:space="preserve">using inductively coupled plasma (ICP) optical emission spectrometry, and </w:t>
      </w:r>
      <w:r w:rsidR="00B46397">
        <w:rPr>
          <w:rFonts w:ascii="Times New Roman" w:hAnsi="Times New Roman" w:cs="Times New Roman"/>
          <w:sz w:val="24"/>
          <w:szCs w:val="24"/>
        </w:rPr>
        <w:t>a sub-sample was analysed for selenium</w:t>
      </w:r>
      <w:r w:rsidR="00F85A33">
        <w:rPr>
          <w:rFonts w:ascii="Times New Roman" w:hAnsi="Times New Roman" w:cs="Times New Roman"/>
          <w:sz w:val="24"/>
          <w:szCs w:val="24"/>
        </w:rPr>
        <w:t xml:space="preserve"> using ICP mass spectrometry. Nitrogen was analysed using the combustion method and protein </w:t>
      </w:r>
      <w:r w:rsidR="00CE749D">
        <w:rPr>
          <w:rFonts w:ascii="Times New Roman" w:hAnsi="Times New Roman" w:cs="Times New Roman"/>
          <w:sz w:val="24"/>
          <w:szCs w:val="24"/>
        </w:rPr>
        <w:t>%</w:t>
      </w:r>
      <w:r w:rsidR="00F85A33">
        <w:rPr>
          <w:rFonts w:ascii="Times New Roman" w:hAnsi="Times New Roman" w:cs="Times New Roman"/>
          <w:sz w:val="24"/>
          <w:szCs w:val="24"/>
        </w:rPr>
        <w:t xml:space="preserve"> estimated by multiplying</w:t>
      </w:r>
      <w:r w:rsidR="00B46397">
        <w:rPr>
          <w:rFonts w:ascii="Times New Roman" w:hAnsi="Times New Roman" w:cs="Times New Roman"/>
          <w:sz w:val="24"/>
          <w:szCs w:val="24"/>
        </w:rPr>
        <w:t xml:space="preserve"> nitrogen </w:t>
      </w:r>
      <w:r w:rsidR="00CE749D">
        <w:rPr>
          <w:rFonts w:ascii="Times New Roman" w:hAnsi="Times New Roman" w:cs="Times New Roman"/>
          <w:sz w:val="24"/>
          <w:szCs w:val="24"/>
        </w:rPr>
        <w:t>% by 4.4. The carotenoids beta-carotene (the major pro-vitamin A carotenoid), lutein (usually the most abundant carotenoid in leaves) and alpha-carotene were analysed by high pressure liquid chromatography (HPLC). A sub-sample of leaves was analysed for total phenolic content (as gallic acid equivalent)</w:t>
      </w:r>
      <w:r w:rsidR="00A82090">
        <w:rPr>
          <w:rFonts w:ascii="Times New Roman" w:hAnsi="Times New Roman" w:cs="Times New Roman"/>
          <w:sz w:val="24"/>
          <w:szCs w:val="24"/>
        </w:rPr>
        <w:t xml:space="preserve"> and antioxidant activity (</w:t>
      </w:r>
      <w:r w:rsidR="00F921AA">
        <w:rPr>
          <w:rFonts w:ascii="Times New Roman" w:hAnsi="Times New Roman" w:cs="Times New Roman"/>
          <w:sz w:val="24"/>
          <w:szCs w:val="24"/>
        </w:rPr>
        <w:t>using 1,1-diphenyl-2-picrylhydrazyl (DPPH)</w:t>
      </w:r>
      <w:r w:rsidR="00A82090">
        <w:rPr>
          <w:rFonts w:ascii="Times New Roman" w:hAnsi="Times New Roman" w:cs="Times New Roman"/>
          <w:sz w:val="24"/>
          <w:szCs w:val="24"/>
        </w:rPr>
        <w:t xml:space="preserve"> </w:t>
      </w:r>
      <w:r w:rsidR="00A53639">
        <w:rPr>
          <w:rFonts w:ascii="Times New Roman" w:hAnsi="Times New Roman" w:cs="Times New Roman"/>
          <w:sz w:val="24"/>
          <w:szCs w:val="24"/>
        </w:rPr>
        <w:t>as a stable radical</w:t>
      </w:r>
      <w:r w:rsidR="00A82090">
        <w:rPr>
          <w:rFonts w:ascii="Times New Roman" w:hAnsi="Times New Roman" w:cs="Times New Roman"/>
          <w:sz w:val="24"/>
          <w:szCs w:val="24"/>
        </w:rPr>
        <w:t>, reporting half-maximal inhibitory concentration, IC50</w:t>
      </w:r>
      <w:r w:rsidR="00955D17">
        <w:rPr>
          <w:rFonts w:ascii="Times New Roman" w:hAnsi="Times New Roman" w:cs="Times New Roman"/>
          <w:sz w:val="24"/>
          <w:szCs w:val="24"/>
        </w:rPr>
        <w:t>).</w:t>
      </w:r>
    </w:p>
    <w:p w:rsidR="0019300A" w:rsidRDefault="0019300A" w:rsidP="00955D17">
      <w:pPr>
        <w:autoSpaceDE w:val="0"/>
        <w:autoSpaceDN w:val="0"/>
        <w:adjustRightInd w:val="0"/>
        <w:spacing w:after="0" w:line="240" w:lineRule="auto"/>
        <w:jc w:val="both"/>
        <w:rPr>
          <w:rFonts w:ascii="Times New Roman" w:hAnsi="Times New Roman" w:cs="Times New Roman"/>
          <w:sz w:val="24"/>
          <w:szCs w:val="24"/>
        </w:rPr>
      </w:pPr>
    </w:p>
    <w:p w:rsidR="00E84707" w:rsidRDefault="00751B86" w:rsidP="0019300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RESULTS AND DISCUSSION</w:t>
      </w:r>
    </w:p>
    <w:p w:rsidR="000000B9" w:rsidRDefault="000000B9" w:rsidP="0019300A">
      <w:pPr>
        <w:autoSpaceDE w:val="0"/>
        <w:autoSpaceDN w:val="0"/>
        <w:adjustRightInd w:val="0"/>
        <w:spacing w:after="0" w:line="240" w:lineRule="auto"/>
        <w:rPr>
          <w:rFonts w:ascii="Times New Roman" w:hAnsi="Times New Roman" w:cs="Times New Roman"/>
          <w:b/>
          <w:bCs/>
          <w:sz w:val="24"/>
          <w:szCs w:val="24"/>
        </w:rPr>
      </w:pPr>
    </w:p>
    <w:p w:rsidR="00E84707" w:rsidRPr="00E84707" w:rsidRDefault="00E84707" w:rsidP="00E8470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People survey</w:t>
      </w:r>
    </w:p>
    <w:p w:rsidR="003B46D9" w:rsidRPr="00C24CA4" w:rsidRDefault="003B46D9" w:rsidP="001930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 all of the countries/regions involved, there was considerable enthusiasm for the study</w:t>
      </w:r>
      <w:r w:rsidR="0011336D">
        <w:rPr>
          <w:rFonts w:ascii="Times New Roman" w:hAnsi="Times New Roman" w:cs="Times New Roman"/>
          <w:sz w:val="24"/>
          <w:szCs w:val="24"/>
        </w:rPr>
        <w:t xml:space="preserve">. There were large differences in the number of leafy vegetable species grown and eaten, from many in Solomon Islands to </w:t>
      </w:r>
      <w:r w:rsidR="00526F4E">
        <w:rPr>
          <w:rFonts w:ascii="Times New Roman" w:hAnsi="Times New Roman" w:cs="Times New Roman"/>
          <w:sz w:val="24"/>
          <w:szCs w:val="24"/>
        </w:rPr>
        <w:t xml:space="preserve">relatively </w:t>
      </w:r>
      <w:r w:rsidR="0011336D">
        <w:rPr>
          <w:rFonts w:ascii="Times New Roman" w:hAnsi="Times New Roman" w:cs="Times New Roman"/>
          <w:sz w:val="24"/>
          <w:szCs w:val="24"/>
        </w:rPr>
        <w:t xml:space="preserve">few in northern Australia. Leafy vegetables, including </w:t>
      </w:r>
      <w:r w:rsidR="0011336D">
        <w:rPr>
          <w:rFonts w:ascii="Times New Roman" w:hAnsi="Times New Roman" w:cs="Times New Roman"/>
          <w:i/>
          <w:sz w:val="24"/>
          <w:szCs w:val="24"/>
        </w:rPr>
        <w:t>Abelmoschus manihot</w:t>
      </w:r>
      <w:r w:rsidR="0011336D">
        <w:rPr>
          <w:rFonts w:ascii="Times New Roman" w:hAnsi="Times New Roman" w:cs="Times New Roman"/>
          <w:sz w:val="24"/>
          <w:szCs w:val="24"/>
        </w:rPr>
        <w:t xml:space="preserve"> (aibika, sliperi kabis), </w:t>
      </w:r>
      <w:r w:rsidR="00C425E1">
        <w:rPr>
          <w:rFonts w:ascii="Times New Roman" w:hAnsi="Times New Roman" w:cs="Times New Roman"/>
          <w:i/>
          <w:sz w:val="24"/>
          <w:szCs w:val="24"/>
        </w:rPr>
        <w:t>Cyathe</w:t>
      </w:r>
      <w:r w:rsidR="0011336D">
        <w:rPr>
          <w:rFonts w:ascii="Times New Roman" w:hAnsi="Times New Roman" w:cs="Times New Roman"/>
          <w:i/>
          <w:sz w:val="24"/>
          <w:szCs w:val="24"/>
        </w:rPr>
        <w:t>a spp.</w:t>
      </w:r>
      <w:r w:rsidR="00B46397">
        <w:rPr>
          <w:rFonts w:ascii="Times New Roman" w:hAnsi="Times New Roman" w:cs="Times New Roman"/>
          <w:i/>
          <w:sz w:val="24"/>
          <w:szCs w:val="24"/>
        </w:rPr>
        <w:t xml:space="preserve"> </w:t>
      </w:r>
      <w:r w:rsidR="0011336D">
        <w:rPr>
          <w:rFonts w:ascii="Times New Roman" w:hAnsi="Times New Roman" w:cs="Times New Roman"/>
          <w:sz w:val="24"/>
          <w:szCs w:val="24"/>
        </w:rPr>
        <w:t xml:space="preserve">(sweet fern), </w:t>
      </w:r>
      <w:r w:rsidR="0011336D">
        <w:rPr>
          <w:rFonts w:ascii="Times New Roman" w:hAnsi="Times New Roman" w:cs="Times New Roman"/>
          <w:i/>
          <w:sz w:val="24"/>
          <w:szCs w:val="24"/>
        </w:rPr>
        <w:t xml:space="preserve">Sauropus androgynus </w:t>
      </w:r>
      <w:r w:rsidR="00B46397">
        <w:rPr>
          <w:rFonts w:ascii="Times New Roman" w:hAnsi="Times New Roman" w:cs="Times New Roman"/>
          <w:sz w:val="24"/>
          <w:szCs w:val="24"/>
        </w:rPr>
        <w:t>(sweet</w:t>
      </w:r>
      <w:r w:rsidR="0011336D">
        <w:rPr>
          <w:rFonts w:ascii="Times New Roman" w:hAnsi="Times New Roman" w:cs="Times New Roman"/>
          <w:sz w:val="24"/>
          <w:szCs w:val="24"/>
        </w:rPr>
        <w:t xml:space="preserve">leaf) and </w:t>
      </w:r>
      <w:r w:rsidR="0011336D">
        <w:rPr>
          <w:rFonts w:ascii="Times New Roman" w:hAnsi="Times New Roman" w:cs="Times New Roman"/>
          <w:i/>
          <w:sz w:val="24"/>
          <w:szCs w:val="24"/>
        </w:rPr>
        <w:t>Ipomoea aquatic</w:t>
      </w:r>
      <w:r w:rsidR="00350247">
        <w:rPr>
          <w:rFonts w:ascii="Times New Roman" w:hAnsi="Times New Roman" w:cs="Times New Roman"/>
          <w:i/>
          <w:sz w:val="24"/>
          <w:szCs w:val="24"/>
        </w:rPr>
        <w:t>a</w:t>
      </w:r>
      <w:r w:rsidR="0011336D">
        <w:rPr>
          <w:rFonts w:ascii="Times New Roman" w:hAnsi="Times New Roman" w:cs="Times New Roman"/>
          <w:i/>
          <w:sz w:val="24"/>
          <w:szCs w:val="24"/>
        </w:rPr>
        <w:t xml:space="preserve"> </w:t>
      </w:r>
      <w:r w:rsidR="0011336D">
        <w:rPr>
          <w:rFonts w:ascii="Times New Roman" w:hAnsi="Times New Roman" w:cs="Times New Roman"/>
          <w:sz w:val="24"/>
          <w:szCs w:val="24"/>
        </w:rPr>
        <w:t>(kangkong)</w:t>
      </w:r>
      <w:r w:rsidR="00A82090">
        <w:rPr>
          <w:rFonts w:ascii="Times New Roman" w:hAnsi="Times New Roman" w:cs="Times New Roman"/>
          <w:sz w:val="24"/>
          <w:szCs w:val="24"/>
        </w:rPr>
        <w:t xml:space="preserve"> form an important part of the diet of many Solomon Islanders, whether they live in remote or peri-urban settings, and in rural areas wild-collected leaves </w:t>
      </w:r>
      <w:r w:rsidR="00B46397">
        <w:rPr>
          <w:rFonts w:ascii="Times New Roman" w:hAnsi="Times New Roman" w:cs="Times New Roman"/>
          <w:sz w:val="24"/>
          <w:szCs w:val="24"/>
        </w:rPr>
        <w:t xml:space="preserve">also </w:t>
      </w:r>
      <w:r w:rsidR="00A82090">
        <w:rPr>
          <w:rFonts w:ascii="Times New Roman" w:hAnsi="Times New Roman" w:cs="Times New Roman"/>
          <w:sz w:val="24"/>
          <w:szCs w:val="24"/>
        </w:rPr>
        <w:t>are commonly eaten. In addition to food, many leaves were used for medicinal purposes, and several of the commonly eaten leafy vegetables we</w:t>
      </w:r>
      <w:r w:rsidR="00C24CA4">
        <w:rPr>
          <w:rFonts w:ascii="Times New Roman" w:hAnsi="Times New Roman" w:cs="Times New Roman"/>
          <w:sz w:val="24"/>
          <w:szCs w:val="24"/>
        </w:rPr>
        <w:t>re also used</w:t>
      </w:r>
      <w:r w:rsidR="003D2020">
        <w:rPr>
          <w:rFonts w:ascii="Times New Roman" w:hAnsi="Times New Roman" w:cs="Times New Roman"/>
          <w:sz w:val="24"/>
          <w:szCs w:val="24"/>
        </w:rPr>
        <w:t xml:space="preserve"> to increase </w:t>
      </w:r>
      <w:r w:rsidR="00A82090">
        <w:rPr>
          <w:rFonts w:ascii="Times New Roman" w:hAnsi="Times New Roman" w:cs="Times New Roman"/>
          <w:sz w:val="24"/>
          <w:szCs w:val="24"/>
        </w:rPr>
        <w:t>lactation</w:t>
      </w:r>
      <w:r w:rsidR="00B46397">
        <w:rPr>
          <w:rFonts w:ascii="Times New Roman" w:hAnsi="Times New Roman" w:cs="Times New Roman"/>
          <w:sz w:val="24"/>
          <w:szCs w:val="24"/>
        </w:rPr>
        <w:t>, e.g. sliperi kabis, sweet</w:t>
      </w:r>
      <w:r w:rsidR="003D2020">
        <w:rPr>
          <w:rFonts w:ascii="Times New Roman" w:hAnsi="Times New Roman" w:cs="Times New Roman"/>
          <w:sz w:val="24"/>
          <w:szCs w:val="24"/>
        </w:rPr>
        <w:t xml:space="preserve">leaf and </w:t>
      </w:r>
      <w:r w:rsidR="003D2020">
        <w:rPr>
          <w:rFonts w:ascii="Times New Roman" w:hAnsi="Times New Roman" w:cs="Times New Roman"/>
          <w:i/>
          <w:sz w:val="24"/>
          <w:szCs w:val="24"/>
        </w:rPr>
        <w:t xml:space="preserve">Polyscias spp. </w:t>
      </w:r>
      <w:r w:rsidR="003D2020">
        <w:rPr>
          <w:rFonts w:ascii="Times New Roman" w:hAnsi="Times New Roman" w:cs="Times New Roman"/>
          <w:sz w:val="24"/>
          <w:szCs w:val="24"/>
        </w:rPr>
        <w:t xml:space="preserve">(ete, hedge panax). It was evident that </w:t>
      </w:r>
      <w:r w:rsidR="00526F4E">
        <w:rPr>
          <w:rFonts w:ascii="Times New Roman" w:hAnsi="Times New Roman" w:cs="Times New Roman"/>
          <w:sz w:val="24"/>
          <w:szCs w:val="24"/>
        </w:rPr>
        <w:t>the people had greater medicinal knowledge</w:t>
      </w:r>
      <w:r w:rsidR="003D2020">
        <w:rPr>
          <w:rFonts w:ascii="Times New Roman" w:hAnsi="Times New Roman" w:cs="Times New Roman"/>
          <w:sz w:val="24"/>
          <w:szCs w:val="24"/>
        </w:rPr>
        <w:t xml:space="preserve"> than nutritional knowledge of leafy vegetables.</w:t>
      </w:r>
      <w:r w:rsidR="00C24CA4">
        <w:rPr>
          <w:rFonts w:ascii="Times New Roman" w:hAnsi="Times New Roman" w:cs="Times New Roman"/>
          <w:sz w:val="24"/>
          <w:szCs w:val="24"/>
        </w:rPr>
        <w:t xml:space="preserve"> However, the Ministry of Health and Medical Services is striving to increase nutrition education (headed by Ms Rosemary Kafa), through </w:t>
      </w:r>
      <w:r w:rsidR="00C24CA4">
        <w:rPr>
          <w:rFonts w:ascii="Times New Roman" w:hAnsi="Times New Roman" w:cs="Times New Roman"/>
          <w:i/>
          <w:sz w:val="24"/>
          <w:szCs w:val="24"/>
        </w:rPr>
        <w:t xml:space="preserve">inter alia </w:t>
      </w:r>
      <w:r w:rsidR="00C24CA4">
        <w:rPr>
          <w:rFonts w:ascii="Times New Roman" w:hAnsi="Times New Roman" w:cs="Times New Roman"/>
          <w:sz w:val="24"/>
          <w:szCs w:val="24"/>
        </w:rPr>
        <w:t>a village level program which uses posters and postcards featuring the most suitable local foods. Moreover, the Kastom Gaden Association and the Ministry of Agriculture and Livestock are enthusiastic promoters of local food crops.</w:t>
      </w:r>
    </w:p>
    <w:p w:rsidR="00AC0EB3" w:rsidRDefault="00526F4E" w:rsidP="001930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Leafy vegetables are not as popular in Polynesia as in Melanesia and this was evident in the surveys and sample collection in Samoa.</w:t>
      </w:r>
      <w:r w:rsidR="00031F4F">
        <w:rPr>
          <w:rFonts w:ascii="Times New Roman" w:hAnsi="Times New Roman" w:cs="Times New Roman"/>
          <w:sz w:val="24"/>
          <w:szCs w:val="24"/>
        </w:rPr>
        <w:t xml:space="preserve"> </w:t>
      </w:r>
      <w:r>
        <w:rPr>
          <w:rFonts w:ascii="Times New Roman" w:hAnsi="Times New Roman" w:cs="Times New Roman"/>
          <w:sz w:val="24"/>
          <w:szCs w:val="24"/>
        </w:rPr>
        <w:t>T</w:t>
      </w:r>
      <w:r w:rsidR="003D2020">
        <w:rPr>
          <w:rFonts w:ascii="Times New Roman" w:hAnsi="Times New Roman" w:cs="Times New Roman"/>
          <w:sz w:val="24"/>
          <w:szCs w:val="24"/>
        </w:rPr>
        <w:t>aro leaf and pele</w:t>
      </w:r>
      <w:r>
        <w:rPr>
          <w:rFonts w:ascii="Times New Roman" w:hAnsi="Times New Roman" w:cs="Times New Roman"/>
          <w:sz w:val="24"/>
          <w:szCs w:val="24"/>
        </w:rPr>
        <w:t xml:space="preserve"> (aibika)</w:t>
      </w:r>
      <w:r w:rsidR="003D2020">
        <w:rPr>
          <w:rFonts w:ascii="Times New Roman" w:hAnsi="Times New Roman" w:cs="Times New Roman"/>
          <w:sz w:val="24"/>
          <w:szCs w:val="24"/>
        </w:rPr>
        <w:t xml:space="preserve"> </w:t>
      </w:r>
      <w:r>
        <w:rPr>
          <w:rFonts w:ascii="Times New Roman" w:hAnsi="Times New Roman" w:cs="Times New Roman"/>
          <w:sz w:val="24"/>
          <w:szCs w:val="24"/>
        </w:rPr>
        <w:t>are the most common leafy vegetables, with</w:t>
      </w:r>
      <w:r w:rsidR="00031F4F">
        <w:rPr>
          <w:rFonts w:ascii="Times New Roman" w:hAnsi="Times New Roman" w:cs="Times New Roman"/>
          <w:sz w:val="24"/>
          <w:szCs w:val="24"/>
        </w:rPr>
        <w:t xml:space="preserve"> </w:t>
      </w:r>
      <w:r w:rsidR="00031F4F">
        <w:rPr>
          <w:rFonts w:ascii="Times New Roman" w:hAnsi="Times New Roman" w:cs="Times New Roman"/>
          <w:i/>
          <w:sz w:val="24"/>
          <w:szCs w:val="24"/>
        </w:rPr>
        <w:t xml:space="preserve">Cucurbita spp. </w:t>
      </w:r>
      <w:r w:rsidR="00031F4F">
        <w:rPr>
          <w:rFonts w:ascii="Times New Roman" w:hAnsi="Times New Roman" w:cs="Times New Roman"/>
          <w:sz w:val="24"/>
          <w:szCs w:val="24"/>
        </w:rPr>
        <w:t xml:space="preserve">(pumpkin) tips and </w:t>
      </w:r>
      <w:r w:rsidR="00031F4F">
        <w:rPr>
          <w:rFonts w:ascii="Times New Roman" w:hAnsi="Times New Roman" w:cs="Times New Roman"/>
          <w:i/>
          <w:sz w:val="24"/>
          <w:szCs w:val="24"/>
        </w:rPr>
        <w:t xml:space="preserve">Capsicum spp. </w:t>
      </w:r>
      <w:r w:rsidR="00C24CA4">
        <w:rPr>
          <w:rFonts w:ascii="Times New Roman" w:hAnsi="Times New Roman" w:cs="Times New Roman"/>
          <w:sz w:val="24"/>
          <w:szCs w:val="24"/>
        </w:rPr>
        <w:t>(chilli) leaf</w:t>
      </w:r>
      <w:r w:rsidR="003D2020">
        <w:rPr>
          <w:rFonts w:ascii="Times New Roman" w:hAnsi="Times New Roman" w:cs="Times New Roman"/>
          <w:sz w:val="24"/>
          <w:szCs w:val="24"/>
        </w:rPr>
        <w:t xml:space="preserve"> </w:t>
      </w:r>
      <w:r>
        <w:rPr>
          <w:rFonts w:ascii="Times New Roman" w:hAnsi="Times New Roman" w:cs="Times New Roman"/>
          <w:sz w:val="24"/>
          <w:szCs w:val="24"/>
        </w:rPr>
        <w:t>also consumed widely. The survey revealed that more nutritional information and awareness were needed to increase consumption, and also improved availability of planting material of known and currently unknown vegetables. Information about recipes was also important. Cost was also mentioned in the survey as one of the main factors when buying food, especially for a family</w:t>
      </w:r>
      <w:r w:rsidR="00AC0EB3">
        <w:rPr>
          <w:rFonts w:ascii="Times New Roman" w:hAnsi="Times New Roman" w:cs="Times New Roman"/>
          <w:sz w:val="24"/>
          <w:szCs w:val="24"/>
        </w:rPr>
        <w:t>.</w:t>
      </w:r>
    </w:p>
    <w:p w:rsidR="003D2020" w:rsidRDefault="00AC0EB3" w:rsidP="001930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achieve impact</w:t>
      </w:r>
      <w:r w:rsidR="00B46397">
        <w:rPr>
          <w:rFonts w:ascii="Times New Roman" w:hAnsi="Times New Roman" w:cs="Times New Roman"/>
          <w:sz w:val="24"/>
          <w:szCs w:val="24"/>
        </w:rPr>
        <w:t>,</w:t>
      </w:r>
      <w:r>
        <w:rPr>
          <w:rFonts w:ascii="Times New Roman" w:hAnsi="Times New Roman" w:cs="Times New Roman"/>
          <w:sz w:val="24"/>
          <w:szCs w:val="24"/>
        </w:rPr>
        <w:t xml:space="preserve"> promotional campaigns need to be conducted by all sectors, community groups and churches. The WIBDI </w:t>
      </w:r>
      <w:r w:rsidR="009233D4">
        <w:rPr>
          <w:rFonts w:ascii="Times New Roman" w:hAnsi="Times New Roman" w:cs="Times New Roman"/>
          <w:sz w:val="24"/>
          <w:szCs w:val="24"/>
        </w:rPr>
        <w:t xml:space="preserve">group </w:t>
      </w:r>
      <w:r>
        <w:rPr>
          <w:rFonts w:ascii="Times New Roman" w:hAnsi="Times New Roman" w:cs="Times New Roman"/>
          <w:sz w:val="24"/>
          <w:szCs w:val="24"/>
        </w:rPr>
        <w:t>work</w:t>
      </w:r>
      <w:r w:rsidR="009233D4">
        <w:rPr>
          <w:rFonts w:ascii="Times New Roman" w:hAnsi="Times New Roman" w:cs="Times New Roman"/>
          <w:sz w:val="24"/>
          <w:szCs w:val="24"/>
        </w:rPr>
        <w:t>s</w:t>
      </w:r>
      <w:r>
        <w:rPr>
          <w:rFonts w:ascii="Times New Roman" w:hAnsi="Times New Roman" w:cs="Times New Roman"/>
          <w:sz w:val="24"/>
          <w:szCs w:val="24"/>
        </w:rPr>
        <w:t xml:space="preserve"> with organic farmers, an</w:t>
      </w:r>
      <w:r w:rsidR="009233D4">
        <w:rPr>
          <w:rFonts w:ascii="Times New Roman" w:hAnsi="Times New Roman" w:cs="Times New Roman"/>
          <w:sz w:val="24"/>
          <w:szCs w:val="24"/>
        </w:rPr>
        <w:t>d</w:t>
      </w:r>
      <w:r w:rsidR="00B46397">
        <w:rPr>
          <w:rFonts w:ascii="Times New Roman" w:hAnsi="Times New Roman" w:cs="Times New Roman"/>
          <w:sz w:val="24"/>
          <w:szCs w:val="24"/>
        </w:rPr>
        <w:t xml:space="preserve"> was</w:t>
      </w:r>
      <w:r>
        <w:rPr>
          <w:rFonts w:ascii="Times New Roman" w:hAnsi="Times New Roman" w:cs="Times New Roman"/>
          <w:sz w:val="24"/>
          <w:szCs w:val="24"/>
        </w:rPr>
        <w:t xml:space="preserve"> keen to establish nurseries and information centres to help promote leafy vegetables and to encourage their use in tourist outlets. </w:t>
      </w:r>
      <w:r w:rsidR="000A4A83">
        <w:rPr>
          <w:rFonts w:ascii="Times New Roman" w:hAnsi="Times New Roman" w:cs="Times New Roman"/>
          <w:sz w:val="24"/>
          <w:szCs w:val="24"/>
        </w:rPr>
        <w:t>Our findings a</w:t>
      </w:r>
      <w:r w:rsidR="00DD1AFD">
        <w:rPr>
          <w:rFonts w:ascii="Times New Roman" w:hAnsi="Times New Roman" w:cs="Times New Roman"/>
          <w:sz w:val="24"/>
          <w:szCs w:val="24"/>
        </w:rPr>
        <w:t>gree with an FAO study in Samoa</w:t>
      </w:r>
      <w:r w:rsidR="000A4A83">
        <w:rPr>
          <w:rFonts w:ascii="Times New Roman" w:hAnsi="Times New Roman" w:cs="Times New Roman"/>
          <w:sz w:val="24"/>
          <w:szCs w:val="24"/>
        </w:rPr>
        <w:t xml:space="preserve"> which found that the main external factors which influenced people’s decisions about food were availability, accessibility, cultural obligations and family income. For example, fruits and vegetables were ex</w:t>
      </w:r>
      <w:r w:rsidR="00B46397">
        <w:rPr>
          <w:rFonts w:ascii="Times New Roman" w:hAnsi="Times New Roman" w:cs="Times New Roman"/>
          <w:sz w:val="24"/>
          <w:szCs w:val="24"/>
        </w:rPr>
        <w:t>pensive compared to other foods,</w:t>
      </w:r>
      <w:r w:rsidR="000A4A83">
        <w:rPr>
          <w:rFonts w:ascii="Times New Roman" w:hAnsi="Times New Roman" w:cs="Times New Roman"/>
          <w:sz w:val="24"/>
          <w:szCs w:val="24"/>
        </w:rPr>
        <w:t xml:space="preserve"> and traditionally leafy vegetables are not considered as a Samoan foo</w:t>
      </w:r>
      <w:r w:rsidR="00902D67">
        <w:rPr>
          <w:rFonts w:ascii="Times New Roman" w:hAnsi="Times New Roman" w:cs="Times New Roman"/>
          <w:sz w:val="24"/>
          <w:szCs w:val="24"/>
        </w:rPr>
        <w:t xml:space="preserve">d, or are given </w:t>
      </w:r>
      <w:r w:rsidR="00902D67">
        <w:rPr>
          <w:rFonts w:ascii="Times New Roman" w:hAnsi="Times New Roman" w:cs="Times New Roman"/>
          <w:sz w:val="24"/>
          <w:szCs w:val="24"/>
        </w:rPr>
        <w:lastRenderedPageBreak/>
        <w:t>only to children or the sick, to make them strong. Internal factors included taste, with a preference for meat, salt and sugar, and lack of knowledge about cooking methods and health benefits (FAO, 2004).</w:t>
      </w:r>
    </w:p>
    <w:p w:rsidR="003D2020" w:rsidRDefault="006C4C69" w:rsidP="007F516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 Tonga leafy green vegetables are</w:t>
      </w:r>
      <w:r w:rsidR="003D2020">
        <w:rPr>
          <w:rFonts w:ascii="Times New Roman" w:hAnsi="Times New Roman" w:cs="Times New Roman"/>
          <w:sz w:val="24"/>
          <w:szCs w:val="24"/>
        </w:rPr>
        <w:t xml:space="preserve"> rel</w:t>
      </w:r>
      <w:r>
        <w:rPr>
          <w:rFonts w:ascii="Times New Roman" w:hAnsi="Times New Roman" w:cs="Times New Roman"/>
          <w:sz w:val="24"/>
          <w:szCs w:val="24"/>
        </w:rPr>
        <w:t>atively abundant</w:t>
      </w:r>
      <w:r w:rsidR="00B809C2">
        <w:rPr>
          <w:rFonts w:ascii="Times New Roman" w:hAnsi="Times New Roman" w:cs="Times New Roman"/>
          <w:sz w:val="24"/>
          <w:szCs w:val="24"/>
        </w:rPr>
        <w:t>. Chinese cabbage and rocket</w:t>
      </w:r>
      <w:r w:rsidR="00031F4F">
        <w:rPr>
          <w:rFonts w:ascii="Times New Roman" w:hAnsi="Times New Roman" w:cs="Times New Roman"/>
          <w:sz w:val="24"/>
          <w:szCs w:val="24"/>
        </w:rPr>
        <w:t xml:space="preserve"> (</w:t>
      </w:r>
      <w:r w:rsidR="00031F4F" w:rsidRPr="00031F4F">
        <w:rPr>
          <w:rFonts w:ascii="Times New Roman" w:hAnsi="Times New Roman" w:cs="Times New Roman"/>
          <w:i/>
          <w:sz w:val="24"/>
          <w:szCs w:val="24"/>
        </w:rPr>
        <w:t>Brassica spp.</w:t>
      </w:r>
      <w:r w:rsidR="00031F4F">
        <w:rPr>
          <w:rFonts w:ascii="Times New Roman" w:hAnsi="Times New Roman" w:cs="Times New Roman"/>
          <w:sz w:val="24"/>
          <w:szCs w:val="24"/>
        </w:rPr>
        <w:t>) are becoming increasingly common in markets. Ms Luseane Taufa (Ministry of Agriculture, Food, Forests and Fisheries) is an enthusiastic promoter of nutritious local food crops</w:t>
      </w:r>
      <w:r>
        <w:rPr>
          <w:rFonts w:ascii="Times New Roman" w:hAnsi="Times New Roman" w:cs="Times New Roman"/>
          <w:sz w:val="24"/>
          <w:szCs w:val="24"/>
        </w:rPr>
        <w:t xml:space="preserve"> and the factsheets (see below) are now used in her education program</w:t>
      </w:r>
      <w:r w:rsidR="00031F4F">
        <w:rPr>
          <w:rFonts w:ascii="Times New Roman" w:hAnsi="Times New Roman" w:cs="Times New Roman"/>
          <w:sz w:val="24"/>
          <w:szCs w:val="24"/>
        </w:rPr>
        <w:t>.</w:t>
      </w:r>
      <w:r w:rsidR="007F5165">
        <w:rPr>
          <w:rFonts w:ascii="Times New Roman" w:hAnsi="Times New Roman" w:cs="Times New Roman"/>
          <w:sz w:val="24"/>
          <w:szCs w:val="24"/>
        </w:rPr>
        <w:t xml:space="preserve"> The </w:t>
      </w:r>
      <w:r w:rsidR="007F5165" w:rsidRPr="002E0AED">
        <w:rPr>
          <w:rFonts w:ascii="Times New Roman" w:hAnsi="Times New Roman" w:cs="Times New Roman"/>
          <w:i/>
          <w:sz w:val="24"/>
          <w:szCs w:val="24"/>
        </w:rPr>
        <w:t>African Leafy Vegetable</w:t>
      </w:r>
      <w:r w:rsidR="007F5165">
        <w:rPr>
          <w:rFonts w:ascii="Times New Roman" w:hAnsi="Times New Roman" w:cs="Times New Roman"/>
          <w:sz w:val="24"/>
          <w:szCs w:val="24"/>
        </w:rPr>
        <w:t xml:space="preserve"> program (FAO, 2011) and the </w:t>
      </w:r>
      <w:r w:rsidR="007F5165" w:rsidRPr="002E0AED">
        <w:rPr>
          <w:rFonts w:ascii="Times New Roman" w:hAnsi="Times New Roman" w:cs="Times New Roman"/>
          <w:i/>
          <w:sz w:val="24"/>
          <w:szCs w:val="24"/>
        </w:rPr>
        <w:t>Go Local</w:t>
      </w:r>
      <w:r w:rsidR="007F5165">
        <w:rPr>
          <w:rFonts w:ascii="Times New Roman" w:hAnsi="Times New Roman" w:cs="Times New Roman"/>
          <w:sz w:val="24"/>
          <w:szCs w:val="24"/>
        </w:rPr>
        <w:t xml:space="preserve"> program in the Federated States of Micronesia (FSM) (Englberger et al., 2010) show what can be achieved with commitment, effort and funding to promote nutritious local crops.</w:t>
      </w:r>
    </w:p>
    <w:p w:rsidR="003D2020" w:rsidRDefault="00B46397" w:rsidP="001930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 the s</w:t>
      </w:r>
      <w:r w:rsidR="003D2020">
        <w:rPr>
          <w:rFonts w:ascii="Times New Roman" w:hAnsi="Times New Roman" w:cs="Times New Roman"/>
          <w:sz w:val="24"/>
          <w:szCs w:val="24"/>
        </w:rPr>
        <w:t>outhern Torres</w:t>
      </w:r>
      <w:r>
        <w:rPr>
          <w:rFonts w:ascii="Times New Roman" w:hAnsi="Times New Roman" w:cs="Times New Roman"/>
          <w:sz w:val="24"/>
          <w:szCs w:val="24"/>
        </w:rPr>
        <w:t xml:space="preserve"> Strait Islands and Arnhem Land</w:t>
      </w:r>
      <w:r w:rsidR="003D2020">
        <w:rPr>
          <w:rFonts w:ascii="Times New Roman" w:hAnsi="Times New Roman" w:cs="Times New Roman"/>
          <w:sz w:val="24"/>
          <w:szCs w:val="24"/>
        </w:rPr>
        <w:t xml:space="preserve"> the long dry season, inhospitable soils and less need for subsistence food gardens (as a range of foods can be bought in stores)</w:t>
      </w:r>
      <w:r w:rsidR="00B809C2">
        <w:rPr>
          <w:rFonts w:ascii="Times New Roman" w:hAnsi="Times New Roman" w:cs="Times New Roman"/>
          <w:sz w:val="24"/>
          <w:szCs w:val="24"/>
        </w:rPr>
        <w:t xml:space="preserve"> result in few leafy vegetables grown and eaten in these regions. Indigenous vegetation here usually has tough, unpalatable leaves, hence people traditionally obtained nutrients from other food sources. Moreover, people are usually not able to collect bush tucker or hunt on other people’s land; therefore if they live in towns they will have limited access to traditional foods. </w:t>
      </w:r>
      <w:r w:rsidR="00556EEA">
        <w:rPr>
          <w:rFonts w:ascii="Times New Roman" w:hAnsi="Times New Roman" w:cs="Times New Roman"/>
          <w:sz w:val="24"/>
          <w:szCs w:val="24"/>
        </w:rPr>
        <w:t>On Thursday Island, George Ernst of the Torres Shire Council has established a community horticulture program</w:t>
      </w:r>
      <w:r w:rsidR="00854488">
        <w:rPr>
          <w:rFonts w:ascii="Times New Roman" w:hAnsi="Times New Roman" w:cs="Times New Roman"/>
          <w:sz w:val="24"/>
          <w:szCs w:val="24"/>
        </w:rPr>
        <w:t>, similar to one in Todmorden, England (Bioversity, 2014)</w:t>
      </w:r>
      <w:r w:rsidR="00556EEA">
        <w:rPr>
          <w:rFonts w:ascii="Times New Roman" w:hAnsi="Times New Roman" w:cs="Times New Roman"/>
          <w:sz w:val="24"/>
          <w:szCs w:val="24"/>
        </w:rPr>
        <w:t xml:space="preserve"> which features over 60 prominently located plots of fruit trees, </w:t>
      </w:r>
      <w:r w:rsidR="00556EEA">
        <w:rPr>
          <w:rFonts w:ascii="Times New Roman" w:hAnsi="Times New Roman" w:cs="Times New Roman"/>
          <w:i/>
          <w:sz w:val="24"/>
          <w:szCs w:val="24"/>
        </w:rPr>
        <w:t xml:space="preserve">Moringa oleifera </w:t>
      </w:r>
      <w:r w:rsidR="00556EEA">
        <w:rPr>
          <w:rFonts w:ascii="Times New Roman" w:hAnsi="Times New Roman" w:cs="Times New Roman"/>
          <w:sz w:val="24"/>
          <w:szCs w:val="24"/>
        </w:rPr>
        <w:t>(drumstick tree) a</w:t>
      </w:r>
      <w:r w:rsidR="00854488">
        <w:rPr>
          <w:rFonts w:ascii="Times New Roman" w:hAnsi="Times New Roman" w:cs="Times New Roman"/>
          <w:sz w:val="24"/>
          <w:szCs w:val="24"/>
        </w:rPr>
        <w:t xml:space="preserve">nd other nutritious food crops. </w:t>
      </w:r>
      <w:r w:rsidR="00556EEA">
        <w:rPr>
          <w:rFonts w:ascii="Times New Roman" w:hAnsi="Times New Roman" w:cs="Times New Roman"/>
          <w:sz w:val="24"/>
          <w:szCs w:val="24"/>
        </w:rPr>
        <w:t xml:space="preserve">This complements the </w:t>
      </w:r>
      <w:r w:rsidR="002E0AED">
        <w:rPr>
          <w:rFonts w:ascii="Times New Roman" w:hAnsi="Times New Roman" w:cs="Times New Roman"/>
          <w:i/>
          <w:sz w:val="24"/>
          <w:szCs w:val="24"/>
        </w:rPr>
        <w:t>Quality Lifestyle</w:t>
      </w:r>
      <w:r w:rsidR="00556EEA">
        <w:rPr>
          <w:rFonts w:ascii="Times New Roman" w:hAnsi="Times New Roman" w:cs="Times New Roman"/>
          <w:sz w:val="24"/>
          <w:szCs w:val="24"/>
        </w:rPr>
        <w:t xml:space="preserve"> program based on exercise and diet, conducted by Natalie Orero, Queensland Health community nutritionist, aimed at reducing the high rates of diabetes and heart disease in the area.</w:t>
      </w:r>
    </w:p>
    <w:p w:rsidR="00E84707" w:rsidRDefault="00E84707" w:rsidP="00E84707">
      <w:pPr>
        <w:autoSpaceDE w:val="0"/>
        <w:autoSpaceDN w:val="0"/>
        <w:adjustRightInd w:val="0"/>
        <w:spacing w:after="0" w:line="240" w:lineRule="auto"/>
        <w:jc w:val="both"/>
        <w:rPr>
          <w:rFonts w:ascii="Times New Roman" w:hAnsi="Times New Roman" w:cs="Times New Roman"/>
          <w:sz w:val="24"/>
          <w:szCs w:val="24"/>
        </w:rPr>
      </w:pPr>
    </w:p>
    <w:p w:rsidR="006366E4" w:rsidRPr="00CC5F3E" w:rsidRDefault="00E84707" w:rsidP="00FC614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Plant survey</w:t>
      </w:r>
    </w:p>
    <w:p w:rsidR="000A4D3C" w:rsidRDefault="00E84707" w:rsidP="000A4D3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The 250 leaf samples </w:t>
      </w:r>
      <w:r w:rsidR="00B46397">
        <w:rPr>
          <w:rFonts w:ascii="Times New Roman" w:hAnsi="Times New Roman" w:cs="Times New Roman"/>
          <w:sz w:val="24"/>
          <w:szCs w:val="24"/>
        </w:rPr>
        <w:t xml:space="preserve">collected </w:t>
      </w:r>
      <w:r>
        <w:rPr>
          <w:rFonts w:ascii="Times New Roman" w:hAnsi="Times New Roman" w:cs="Times New Roman"/>
          <w:sz w:val="24"/>
          <w:szCs w:val="24"/>
        </w:rPr>
        <w:t xml:space="preserve">were analysed </w:t>
      </w:r>
      <w:r w:rsidR="00DB606A">
        <w:rPr>
          <w:rFonts w:ascii="Times New Roman" w:hAnsi="Times New Roman" w:cs="Times New Roman"/>
          <w:sz w:val="24"/>
          <w:szCs w:val="24"/>
        </w:rPr>
        <w:t>for mineral nutrients, with a subset analysed for three carotenoids</w:t>
      </w:r>
      <w:r>
        <w:rPr>
          <w:rFonts w:ascii="Times New Roman" w:hAnsi="Times New Roman" w:cs="Times New Roman"/>
          <w:sz w:val="24"/>
          <w:szCs w:val="24"/>
        </w:rPr>
        <w:t xml:space="preserve"> (a-carotene, b-carotene, lutein), nitrogen and selenium. A</w:t>
      </w:r>
      <w:r w:rsidR="00DB606A">
        <w:rPr>
          <w:rFonts w:ascii="Times New Roman" w:hAnsi="Times New Roman" w:cs="Times New Roman"/>
          <w:sz w:val="24"/>
          <w:szCs w:val="24"/>
        </w:rPr>
        <w:t>ccount</w:t>
      </w:r>
      <w:r>
        <w:rPr>
          <w:rFonts w:ascii="Times New Roman" w:hAnsi="Times New Roman" w:cs="Times New Roman"/>
          <w:sz w:val="24"/>
          <w:szCs w:val="24"/>
        </w:rPr>
        <w:t>ing for</w:t>
      </w:r>
      <w:r w:rsidR="00DB606A">
        <w:rPr>
          <w:rFonts w:ascii="Times New Roman" w:hAnsi="Times New Roman" w:cs="Times New Roman"/>
          <w:sz w:val="24"/>
          <w:szCs w:val="24"/>
        </w:rPr>
        <w:t xml:space="preserve"> genotype</w:t>
      </w:r>
      <w:r w:rsidR="00B73AB2">
        <w:rPr>
          <w:rFonts w:ascii="Times New Roman" w:hAnsi="Times New Roman" w:cs="Times New Roman"/>
          <w:sz w:val="24"/>
          <w:szCs w:val="24"/>
        </w:rPr>
        <w:t>-environment interaction</w:t>
      </w:r>
      <w:r w:rsidR="00DB606A">
        <w:rPr>
          <w:rFonts w:ascii="Times New Roman" w:hAnsi="Times New Roman" w:cs="Times New Roman"/>
          <w:sz w:val="24"/>
          <w:szCs w:val="24"/>
        </w:rPr>
        <w:t xml:space="preserve"> </w:t>
      </w:r>
      <w:r w:rsidR="00350247">
        <w:rPr>
          <w:rFonts w:ascii="Times New Roman" w:hAnsi="Times New Roman" w:cs="Times New Roman"/>
          <w:sz w:val="24"/>
          <w:szCs w:val="24"/>
        </w:rPr>
        <w:t>(Fig. 1</w:t>
      </w:r>
      <w:r w:rsidR="00B73AB2">
        <w:rPr>
          <w:rFonts w:ascii="Times New Roman" w:hAnsi="Times New Roman" w:cs="Times New Roman"/>
          <w:sz w:val="24"/>
          <w:szCs w:val="24"/>
        </w:rPr>
        <w:t xml:space="preserve"> and Table 1) enabled </w:t>
      </w:r>
      <w:r w:rsidR="00DB606A">
        <w:rPr>
          <w:rFonts w:ascii="Times New Roman" w:hAnsi="Times New Roman" w:cs="Times New Roman"/>
          <w:sz w:val="24"/>
          <w:szCs w:val="24"/>
        </w:rPr>
        <w:t>determination of</w:t>
      </w:r>
      <w:r w:rsidR="001813F6">
        <w:rPr>
          <w:rFonts w:ascii="Times New Roman" w:hAnsi="Times New Roman" w:cs="Times New Roman"/>
          <w:sz w:val="24"/>
          <w:szCs w:val="24"/>
        </w:rPr>
        <w:t xml:space="preserve"> those species</w:t>
      </w:r>
      <w:r w:rsidR="00DB606A">
        <w:rPr>
          <w:rFonts w:ascii="Times New Roman" w:hAnsi="Times New Roman" w:cs="Times New Roman"/>
          <w:sz w:val="24"/>
          <w:szCs w:val="24"/>
        </w:rPr>
        <w:t xml:space="preserve"> which were </w:t>
      </w:r>
      <w:r w:rsidR="001813F6">
        <w:rPr>
          <w:rFonts w:ascii="Times New Roman" w:hAnsi="Times New Roman" w:cs="Times New Roman"/>
          <w:sz w:val="24"/>
          <w:szCs w:val="24"/>
        </w:rPr>
        <w:t>highest in particular minera</w:t>
      </w:r>
      <w:r w:rsidR="00B73AB2">
        <w:rPr>
          <w:rFonts w:ascii="Times New Roman" w:hAnsi="Times New Roman" w:cs="Times New Roman"/>
          <w:sz w:val="24"/>
          <w:szCs w:val="24"/>
        </w:rPr>
        <w:t>ls and</w:t>
      </w:r>
      <w:r>
        <w:rPr>
          <w:rFonts w:ascii="Times New Roman" w:hAnsi="Times New Roman" w:cs="Times New Roman"/>
          <w:sz w:val="24"/>
          <w:szCs w:val="24"/>
        </w:rPr>
        <w:t xml:space="preserve"> </w:t>
      </w:r>
      <w:r w:rsidR="00B73AB2">
        <w:rPr>
          <w:rFonts w:ascii="Times New Roman" w:hAnsi="Times New Roman" w:cs="Times New Roman"/>
          <w:sz w:val="24"/>
          <w:szCs w:val="24"/>
        </w:rPr>
        <w:t xml:space="preserve">protein (Table 2) and </w:t>
      </w:r>
      <w:r>
        <w:rPr>
          <w:rFonts w:ascii="Times New Roman" w:hAnsi="Times New Roman" w:cs="Times New Roman"/>
          <w:sz w:val="24"/>
          <w:szCs w:val="24"/>
        </w:rPr>
        <w:t xml:space="preserve">carotenoids </w:t>
      </w:r>
      <w:r w:rsidR="00B73AB2">
        <w:rPr>
          <w:rFonts w:ascii="Times New Roman" w:hAnsi="Times New Roman" w:cs="Times New Roman"/>
          <w:sz w:val="24"/>
          <w:szCs w:val="24"/>
        </w:rPr>
        <w:t>(Table 3)</w:t>
      </w:r>
      <w:r>
        <w:rPr>
          <w:rFonts w:ascii="Times New Roman" w:hAnsi="Times New Roman" w:cs="Times New Roman"/>
          <w:sz w:val="24"/>
          <w:szCs w:val="24"/>
        </w:rPr>
        <w:t xml:space="preserve"> as well as</w:t>
      </w:r>
      <w:r w:rsidR="00501BB9">
        <w:rPr>
          <w:rFonts w:ascii="Times New Roman" w:hAnsi="Times New Roman" w:cs="Times New Roman"/>
          <w:sz w:val="24"/>
          <w:szCs w:val="24"/>
        </w:rPr>
        <w:t xml:space="preserve"> those with outstanding all-round nutritive value</w:t>
      </w:r>
      <w:r w:rsidR="00B73AB2">
        <w:rPr>
          <w:rFonts w:ascii="Times New Roman" w:hAnsi="Times New Roman" w:cs="Times New Roman"/>
          <w:sz w:val="24"/>
          <w:szCs w:val="24"/>
        </w:rPr>
        <w:t>.</w:t>
      </w:r>
      <w:r w:rsidR="00501BB9">
        <w:rPr>
          <w:rFonts w:ascii="Times New Roman" w:hAnsi="Times New Roman" w:cs="Times New Roman"/>
          <w:sz w:val="24"/>
          <w:szCs w:val="24"/>
        </w:rPr>
        <w:t xml:space="preserve"> </w:t>
      </w:r>
      <w:r w:rsidR="000A4D3C">
        <w:rPr>
          <w:rFonts w:ascii="Times New Roman" w:hAnsi="Times New Roman" w:cs="Times New Roman"/>
          <w:sz w:val="24"/>
          <w:szCs w:val="24"/>
        </w:rPr>
        <w:t>Of particular interest is the finding that the drumstick tree accumulates around 12 times the</w:t>
      </w:r>
      <w:r w:rsidR="00B46397">
        <w:rPr>
          <w:rFonts w:ascii="Times New Roman" w:hAnsi="Times New Roman" w:cs="Times New Roman"/>
          <w:sz w:val="24"/>
          <w:szCs w:val="24"/>
        </w:rPr>
        <w:t xml:space="preserve"> concentration of selenium</w:t>
      </w:r>
      <w:r w:rsidR="000A4D3C">
        <w:rPr>
          <w:rFonts w:ascii="Times New Roman" w:hAnsi="Times New Roman" w:cs="Times New Roman"/>
          <w:sz w:val="24"/>
          <w:szCs w:val="24"/>
        </w:rPr>
        <w:t xml:space="preserve"> and around f</w:t>
      </w:r>
      <w:r w:rsidR="00B46397">
        <w:rPr>
          <w:rFonts w:ascii="Times New Roman" w:hAnsi="Times New Roman" w:cs="Times New Roman"/>
          <w:sz w:val="24"/>
          <w:szCs w:val="24"/>
        </w:rPr>
        <w:t>our times the concentration of sulphur</w:t>
      </w:r>
      <w:r w:rsidR="000A4D3C">
        <w:rPr>
          <w:rFonts w:ascii="Times New Roman" w:hAnsi="Times New Roman" w:cs="Times New Roman"/>
          <w:sz w:val="24"/>
          <w:szCs w:val="24"/>
        </w:rPr>
        <w:t xml:space="preserve"> compared to most other plants grown on the same soil.</w:t>
      </w:r>
      <w:r w:rsidR="000A4D3C" w:rsidRPr="000A4D3C">
        <w:rPr>
          <w:rFonts w:ascii="Times New Roman" w:hAnsi="Times New Roman" w:cs="Times New Roman"/>
          <w:sz w:val="24"/>
          <w:szCs w:val="24"/>
        </w:rPr>
        <w:t xml:space="preserve"> </w:t>
      </w:r>
      <w:r w:rsidR="000A4D3C">
        <w:rPr>
          <w:rFonts w:ascii="Times New Roman" w:hAnsi="Times New Roman" w:cs="Times New Roman"/>
          <w:sz w:val="24"/>
          <w:szCs w:val="24"/>
        </w:rPr>
        <w:t>This trait would be especially valuable in Sub-Saharan Africa, where these minerals are deficient in many soils. Their deficiency is considered by some researchers to increase risk of HIV/AIDS (Lyons et al., 2014).</w:t>
      </w:r>
    </w:p>
    <w:p w:rsidR="003A6123" w:rsidRDefault="000A4D3C" w:rsidP="000A4D3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This study provided some evidence of intraspecific genotypic variation in addition to clear evidence of interspecific variation in mineral concentration in leaves. </w:t>
      </w:r>
      <w:r w:rsidR="00501BB9">
        <w:rPr>
          <w:rFonts w:ascii="Times New Roman" w:hAnsi="Times New Roman" w:cs="Times New Roman"/>
          <w:sz w:val="24"/>
          <w:szCs w:val="24"/>
        </w:rPr>
        <w:t>The survey of leafy vegetables grown in Samoa incl</w:t>
      </w:r>
      <w:r w:rsidR="007F5165">
        <w:rPr>
          <w:rFonts w:ascii="Times New Roman" w:hAnsi="Times New Roman" w:cs="Times New Roman"/>
          <w:sz w:val="24"/>
          <w:szCs w:val="24"/>
        </w:rPr>
        <w:t>uded five taro cultivars</w:t>
      </w:r>
      <w:r w:rsidR="00CC5F3E">
        <w:rPr>
          <w:rFonts w:ascii="Times New Roman" w:hAnsi="Times New Roman" w:cs="Times New Roman"/>
          <w:sz w:val="24"/>
          <w:szCs w:val="24"/>
        </w:rPr>
        <w:t xml:space="preserve"> grown at four</w:t>
      </w:r>
      <w:r w:rsidR="003A6123">
        <w:rPr>
          <w:rFonts w:ascii="Times New Roman" w:hAnsi="Times New Roman" w:cs="Times New Roman"/>
          <w:sz w:val="24"/>
          <w:szCs w:val="24"/>
        </w:rPr>
        <w:t xml:space="preserve"> sites. The concentrations of most minerals in leav</w:t>
      </w:r>
      <w:r w:rsidR="00B46397">
        <w:rPr>
          <w:rFonts w:ascii="Times New Roman" w:hAnsi="Times New Roman" w:cs="Times New Roman"/>
          <w:sz w:val="24"/>
          <w:szCs w:val="24"/>
        </w:rPr>
        <w:t>es varied by between 1.6-fold (sulphur</w:t>
      </w:r>
      <w:r w:rsidR="003A6123">
        <w:rPr>
          <w:rFonts w:ascii="Times New Roman" w:hAnsi="Times New Roman" w:cs="Times New Roman"/>
          <w:sz w:val="24"/>
          <w:szCs w:val="24"/>
        </w:rPr>
        <w:t>: 2500-3900 mg/kg DW) a</w:t>
      </w:r>
      <w:r w:rsidR="00B46397">
        <w:rPr>
          <w:rFonts w:ascii="Times New Roman" w:hAnsi="Times New Roman" w:cs="Times New Roman"/>
          <w:sz w:val="24"/>
          <w:szCs w:val="24"/>
        </w:rPr>
        <w:t>nd 4-fold (manganese</w:t>
      </w:r>
      <w:r w:rsidR="003A6123">
        <w:rPr>
          <w:rFonts w:ascii="Times New Roman" w:hAnsi="Times New Roman" w:cs="Times New Roman"/>
          <w:sz w:val="24"/>
          <w:szCs w:val="24"/>
        </w:rPr>
        <w:t>: 47-186 mg/kg DW) and a significant proportion of this variation appeared to be due to genotype, to the extent that a provisional ranking of the cultivars could be made (in decreasing order of overall mineral levels): cultivars 4, 2, 5, 1, 3</w:t>
      </w:r>
      <w:r w:rsidR="00874DAF">
        <w:rPr>
          <w:rFonts w:ascii="Times New Roman" w:hAnsi="Times New Roman" w:cs="Times New Roman"/>
          <w:sz w:val="24"/>
          <w:szCs w:val="24"/>
        </w:rPr>
        <w:t xml:space="preserve">. </w:t>
      </w:r>
    </w:p>
    <w:p w:rsidR="00E84707" w:rsidRPr="00874DAF" w:rsidRDefault="005B7661" w:rsidP="005B766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literature describes a range of phytocompounds derived from leaves, including those of sweet potato (Islam et al., 2002), with activity against cancer, heart disease, diabetes and infectious diseases. </w:t>
      </w:r>
      <w:r w:rsidR="00501BB9">
        <w:rPr>
          <w:rFonts w:ascii="Times New Roman" w:hAnsi="Times New Roman" w:cs="Times New Roman"/>
          <w:sz w:val="24"/>
          <w:szCs w:val="24"/>
        </w:rPr>
        <w:t xml:space="preserve">Of the subset </w:t>
      </w:r>
      <w:r>
        <w:rPr>
          <w:rFonts w:ascii="Times New Roman" w:hAnsi="Times New Roman" w:cs="Times New Roman"/>
          <w:sz w:val="24"/>
          <w:szCs w:val="24"/>
        </w:rPr>
        <w:t xml:space="preserve">of samples </w:t>
      </w:r>
      <w:r w:rsidR="00501BB9">
        <w:rPr>
          <w:rFonts w:ascii="Times New Roman" w:hAnsi="Times New Roman" w:cs="Times New Roman"/>
          <w:sz w:val="24"/>
          <w:szCs w:val="24"/>
        </w:rPr>
        <w:t xml:space="preserve">analysed for total </w:t>
      </w:r>
      <w:r w:rsidR="00501BB9">
        <w:rPr>
          <w:rFonts w:ascii="Times New Roman" w:hAnsi="Times New Roman" w:cs="Times New Roman"/>
          <w:sz w:val="24"/>
          <w:szCs w:val="24"/>
        </w:rPr>
        <w:lastRenderedPageBreak/>
        <w:t xml:space="preserve">phenolics and antioxidant activity, </w:t>
      </w:r>
      <w:r w:rsidR="00B46397">
        <w:rPr>
          <w:rFonts w:ascii="Times New Roman" w:hAnsi="Times New Roman" w:cs="Times New Roman"/>
          <w:i/>
          <w:sz w:val="24"/>
          <w:szCs w:val="24"/>
        </w:rPr>
        <w:t xml:space="preserve">Basella alba </w:t>
      </w:r>
      <w:r w:rsidR="00B46397">
        <w:rPr>
          <w:rFonts w:ascii="Times New Roman" w:hAnsi="Times New Roman" w:cs="Times New Roman"/>
          <w:sz w:val="24"/>
          <w:szCs w:val="24"/>
        </w:rPr>
        <w:t>(</w:t>
      </w:r>
      <w:r w:rsidR="00501BB9">
        <w:rPr>
          <w:rFonts w:ascii="Times New Roman" w:hAnsi="Times New Roman" w:cs="Times New Roman"/>
          <w:sz w:val="24"/>
          <w:szCs w:val="24"/>
        </w:rPr>
        <w:t>cr</w:t>
      </w:r>
      <w:r w:rsidR="000A4D3C">
        <w:rPr>
          <w:rFonts w:ascii="Times New Roman" w:hAnsi="Times New Roman" w:cs="Times New Roman"/>
          <w:sz w:val="24"/>
          <w:szCs w:val="24"/>
        </w:rPr>
        <w:t>eeping spinach</w:t>
      </w:r>
      <w:r w:rsidR="00B46397">
        <w:rPr>
          <w:rFonts w:ascii="Times New Roman" w:hAnsi="Times New Roman" w:cs="Times New Roman"/>
          <w:sz w:val="24"/>
          <w:szCs w:val="24"/>
        </w:rPr>
        <w:t>)</w:t>
      </w:r>
      <w:r w:rsidR="000A4D3C">
        <w:rPr>
          <w:rFonts w:ascii="Times New Roman" w:hAnsi="Times New Roman" w:cs="Times New Roman"/>
          <w:sz w:val="24"/>
          <w:szCs w:val="24"/>
        </w:rPr>
        <w:t xml:space="preserve"> </w:t>
      </w:r>
      <w:r w:rsidR="008362BC">
        <w:rPr>
          <w:rFonts w:ascii="Times New Roman" w:hAnsi="Times New Roman" w:cs="Times New Roman"/>
          <w:sz w:val="24"/>
          <w:szCs w:val="24"/>
        </w:rPr>
        <w:t xml:space="preserve">and </w:t>
      </w:r>
      <w:r w:rsidR="008362BC">
        <w:rPr>
          <w:rFonts w:ascii="Times New Roman" w:hAnsi="Times New Roman" w:cs="Times New Roman"/>
          <w:i/>
          <w:sz w:val="24"/>
          <w:szCs w:val="24"/>
        </w:rPr>
        <w:t xml:space="preserve">Alternanthera sp. </w:t>
      </w:r>
      <w:r w:rsidR="000A4D3C">
        <w:rPr>
          <w:rFonts w:ascii="Times New Roman" w:hAnsi="Times New Roman" w:cs="Times New Roman"/>
          <w:sz w:val="24"/>
          <w:szCs w:val="24"/>
        </w:rPr>
        <w:t>excelled (Table 4</w:t>
      </w:r>
      <w:r>
        <w:rPr>
          <w:rFonts w:ascii="Times New Roman" w:hAnsi="Times New Roman" w:cs="Times New Roman"/>
          <w:sz w:val="24"/>
          <w:szCs w:val="24"/>
        </w:rPr>
        <w:t xml:space="preserve">). Creeping spinach has long been used in traditional medicine as a remedy for dysentery, anaemia and cancer (Adhikari et al., 2012), and </w:t>
      </w:r>
      <w:r w:rsidR="00874DAF">
        <w:rPr>
          <w:rFonts w:ascii="Times New Roman" w:hAnsi="Times New Roman" w:cs="Times New Roman"/>
          <w:i/>
          <w:sz w:val="24"/>
          <w:szCs w:val="24"/>
        </w:rPr>
        <w:t>Alternanthera</w:t>
      </w:r>
      <w:r w:rsidR="00874DAF">
        <w:rPr>
          <w:rFonts w:ascii="Times New Roman" w:hAnsi="Times New Roman" w:cs="Times New Roman"/>
          <w:sz w:val="24"/>
          <w:szCs w:val="24"/>
        </w:rPr>
        <w:t xml:space="preserve"> is used as a medicinal plant in Solomon Islands. Five major phenolics (kaempferol, ferulic acid, salicylic acid, syringic acid and chlorogenic acid) are found in its leaves (Bhattacherjee et al., 2014).</w:t>
      </w:r>
    </w:p>
    <w:p w:rsidR="00E84707" w:rsidRDefault="00E84707" w:rsidP="00FC6143">
      <w:pPr>
        <w:autoSpaceDE w:val="0"/>
        <w:autoSpaceDN w:val="0"/>
        <w:adjustRightInd w:val="0"/>
        <w:spacing w:after="0" w:line="240" w:lineRule="auto"/>
        <w:jc w:val="both"/>
        <w:rPr>
          <w:rFonts w:ascii="Times New Roman" w:hAnsi="Times New Roman" w:cs="Times New Roman"/>
          <w:sz w:val="24"/>
          <w:szCs w:val="24"/>
        </w:rPr>
      </w:pPr>
    </w:p>
    <w:p w:rsidR="00E84707" w:rsidRDefault="00E84707" w:rsidP="00FC614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Factsheets</w:t>
      </w:r>
    </w:p>
    <w:p w:rsidR="00E84707" w:rsidRPr="00E84707" w:rsidRDefault="00E84707" w:rsidP="00FC614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w:t>
      </w:r>
      <w:r w:rsidR="00FF753D">
        <w:rPr>
          <w:rFonts w:ascii="Times New Roman" w:hAnsi="Times New Roman" w:cs="Times New Roman"/>
          <w:sz w:val="24"/>
          <w:szCs w:val="24"/>
        </w:rPr>
        <w:t xml:space="preserve">nutrient </w:t>
      </w:r>
      <w:r>
        <w:rPr>
          <w:rFonts w:ascii="Times New Roman" w:hAnsi="Times New Roman" w:cs="Times New Roman"/>
          <w:sz w:val="24"/>
          <w:szCs w:val="24"/>
        </w:rPr>
        <w:t xml:space="preserve">data, together with consideration of acceptable flavour and popularity, were used to formulate a “Top 12” list of leafy green vegetables for the Pacific and Northern Australia. A factsheet series was developed, featuring the 12 species: </w:t>
      </w:r>
      <w:r>
        <w:rPr>
          <w:rFonts w:ascii="Times New Roman" w:hAnsi="Times New Roman" w:cs="Times New Roman"/>
          <w:i/>
          <w:sz w:val="24"/>
          <w:szCs w:val="24"/>
        </w:rPr>
        <w:t xml:space="preserve">Colocasia esculenta </w:t>
      </w:r>
      <w:r>
        <w:rPr>
          <w:rFonts w:ascii="Times New Roman" w:hAnsi="Times New Roman" w:cs="Times New Roman"/>
          <w:sz w:val="24"/>
          <w:szCs w:val="24"/>
        </w:rPr>
        <w:t xml:space="preserve">(taro), aibika, ete (and included in the same factsheet because of its similar appearance was </w:t>
      </w:r>
      <w:r>
        <w:rPr>
          <w:rFonts w:ascii="Times New Roman" w:hAnsi="Times New Roman" w:cs="Times New Roman"/>
          <w:i/>
          <w:sz w:val="24"/>
          <w:szCs w:val="24"/>
        </w:rPr>
        <w:t xml:space="preserve">Pseuderanthemum whartonianum </w:t>
      </w:r>
      <w:r>
        <w:rPr>
          <w:rFonts w:ascii="Times New Roman" w:hAnsi="Times New Roman" w:cs="Times New Roman"/>
          <w:sz w:val="24"/>
          <w:szCs w:val="24"/>
        </w:rPr>
        <w:t xml:space="preserve">(ofenga), sweetleaf, kangkong, </w:t>
      </w:r>
      <w:r>
        <w:rPr>
          <w:rFonts w:ascii="Times New Roman" w:hAnsi="Times New Roman" w:cs="Times New Roman"/>
          <w:i/>
          <w:sz w:val="24"/>
          <w:szCs w:val="24"/>
        </w:rPr>
        <w:t xml:space="preserve">Cucurbita spp. </w:t>
      </w:r>
      <w:r>
        <w:rPr>
          <w:rFonts w:ascii="Times New Roman" w:hAnsi="Times New Roman" w:cs="Times New Roman"/>
          <w:sz w:val="24"/>
          <w:szCs w:val="24"/>
        </w:rPr>
        <w:t xml:space="preserve">(pumpkin) (included with </w:t>
      </w:r>
      <w:r>
        <w:rPr>
          <w:rFonts w:ascii="Times New Roman" w:hAnsi="Times New Roman" w:cs="Times New Roman"/>
          <w:i/>
          <w:sz w:val="24"/>
          <w:szCs w:val="24"/>
        </w:rPr>
        <w:t xml:space="preserve">Sechium edule </w:t>
      </w:r>
      <w:r>
        <w:rPr>
          <w:rFonts w:ascii="Times New Roman" w:hAnsi="Times New Roman" w:cs="Times New Roman"/>
          <w:sz w:val="24"/>
          <w:szCs w:val="24"/>
        </w:rPr>
        <w:t xml:space="preserve">(choko)), drumstick, creeping spinach, </w:t>
      </w:r>
      <w:r>
        <w:rPr>
          <w:rFonts w:ascii="Times New Roman" w:hAnsi="Times New Roman" w:cs="Times New Roman"/>
          <w:i/>
          <w:sz w:val="24"/>
          <w:szCs w:val="24"/>
        </w:rPr>
        <w:t xml:space="preserve">Capsicum spp. </w:t>
      </w:r>
      <w:r>
        <w:rPr>
          <w:rFonts w:ascii="Times New Roman" w:hAnsi="Times New Roman" w:cs="Times New Roman"/>
          <w:sz w:val="24"/>
          <w:szCs w:val="24"/>
        </w:rPr>
        <w:t xml:space="preserve">(chilli) and </w:t>
      </w:r>
      <w:r>
        <w:rPr>
          <w:rFonts w:ascii="Times New Roman" w:hAnsi="Times New Roman" w:cs="Times New Roman"/>
          <w:i/>
          <w:sz w:val="24"/>
          <w:szCs w:val="24"/>
        </w:rPr>
        <w:t xml:space="preserve">Amaranthus spp. </w:t>
      </w:r>
      <w:r>
        <w:rPr>
          <w:rFonts w:ascii="Times New Roman" w:hAnsi="Times New Roman" w:cs="Times New Roman"/>
          <w:sz w:val="24"/>
          <w:szCs w:val="24"/>
        </w:rPr>
        <w:t>(amaranth).</w:t>
      </w:r>
      <w:r w:rsidR="00326EB2">
        <w:rPr>
          <w:rFonts w:ascii="Times New Roman" w:hAnsi="Times New Roman" w:cs="Times New Roman"/>
          <w:sz w:val="24"/>
          <w:szCs w:val="24"/>
        </w:rPr>
        <w:t xml:space="preserve"> These species have </w:t>
      </w:r>
      <w:r w:rsidR="00FF753D">
        <w:rPr>
          <w:rFonts w:ascii="Times New Roman" w:hAnsi="Times New Roman" w:cs="Times New Roman"/>
          <w:sz w:val="24"/>
          <w:szCs w:val="24"/>
        </w:rPr>
        <w:t xml:space="preserve">also </w:t>
      </w:r>
      <w:r w:rsidR="00326EB2">
        <w:rPr>
          <w:rFonts w:ascii="Times New Roman" w:hAnsi="Times New Roman" w:cs="Times New Roman"/>
          <w:sz w:val="24"/>
          <w:szCs w:val="24"/>
        </w:rPr>
        <w:t>been recognised for their nutriti</w:t>
      </w:r>
      <w:r w:rsidR="00FF753D">
        <w:rPr>
          <w:rFonts w:ascii="Times New Roman" w:hAnsi="Times New Roman" w:cs="Times New Roman"/>
          <w:sz w:val="24"/>
          <w:szCs w:val="24"/>
        </w:rPr>
        <w:t>onal value in other studies</w:t>
      </w:r>
      <w:r w:rsidR="00326EB2">
        <w:rPr>
          <w:rFonts w:ascii="Times New Roman" w:hAnsi="Times New Roman" w:cs="Times New Roman"/>
          <w:sz w:val="24"/>
          <w:szCs w:val="24"/>
        </w:rPr>
        <w:t xml:space="preserve"> (Bailey, 1992; French, 2010; SPC, 2012).</w:t>
      </w:r>
    </w:p>
    <w:p w:rsidR="00DB606A" w:rsidRDefault="00FB6253" w:rsidP="00FB6253">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For each species, photographs, characteristics, uses, availability, propagation and growing methods, disease and pest threats, harvest/post-harvest/storage recommendations were included. Finally, leaf mineral and carotenoid da</w:t>
      </w:r>
      <w:r w:rsidR="00FF753D">
        <w:rPr>
          <w:rFonts w:ascii="Times New Roman" w:hAnsi="Times New Roman" w:cs="Times New Roman"/>
          <w:sz w:val="24"/>
          <w:szCs w:val="24"/>
        </w:rPr>
        <w:t>ta were presented in</w:t>
      </w:r>
      <w:r>
        <w:rPr>
          <w:rFonts w:ascii="Times New Roman" w:hAnsi="Times New Roman" w:cs="Times New Roman"/>
          <w:sz w:val="24"/>
          <w:szCs w:val="24"/>
        </w:rPr>
        <w:t xml:space="preserve"> a table which included the featured leafy vegetable sampled at a representative site</w:t>
      </w:r>
      <w:r w:rsidR="009F63AE">
        <w:rPr>
          <w:rFonts w:ascii="Times New Roman" w:hAnsi="Times New Roman" w:cs="Times New Roman"/>
          <w:sz w:val="24"/>
          <w:szCs w:val="24"/>
        </w:rPr>
        <w:t>, compared with another leafy vegetable growing at the same site, and also compared</w:t>
      </w:r>
      <w:r w:rsidR="009233D4">
        <w:rPr>
          <w:rFonts w:ascii="Times New Roman" w:hAnsi="Times New Roman" w:cs="Times New Roman"/>
          <w:sz w:val="24"/>
          <w:szCs w:val="24"/>
        </w:rPr>
        <w:t xml:space="preserve"> with English cabbage</w:t>
      </w:r>
      <w:r w:rsidR="00350247">
        <w:rPr>
          <w:rFonts w:ascii="Times New Roman" w:hAnsi="Times New Roman" w:cs="Times New Roman"/>
          <w:sz w:val="24"/>
          <w:szCs w:val="24"/>
        </w:rPr>
        <w:t xml:space="preserve"> (see Table 3</w:t>
      </w:r>
      <w:r w:rsidR="00330D97">
        <w:rPr>
          <w:rFonts w:ascii="Times New Roman" w:hAnsi="Times New Roman" w:cs="Times New Roman"/>
          <w:sz w:val="24"/>
          <w:szCs w:val="24"/>
        </w:rPr>
        <w:t>).</w:t>
      </w:r>
      <w:r w:rsidR="009F63AE">
        <w:rPr>
          <w:rFonts w:ascii="Times New Roman" w:hAnsi="Times New Roman" w:cs="Times New Roman"/>
          <w:sz w:val="24"/>
          <w:szCs w:val="24"/>
        </w:rPr>
        <w:t xml:space="preserve"> </w:t>
      </w:r>
      <w:r w:rsidR="0097395C">
        <w:rPr>
          <w:rFonts w:ascii="Times New Roman" w:hAnsi="Times New Roman" w:cs="Times New Roman"/>
          <w:sz w:val="24"/>
          <w:szCs w:val="24"/>
        </w:rPr>
        <w:t>An introductory factsheet descri</w:t>
      </w:r>
      <w:r w:rsidR="00FF753D">
        <w:rPr>
          <w:rFonts w:ascii="Times New Roman" w:hAnsi="Times New Roman" w:cs="Times New Roman"/>
          <w:sz w:val="24"/>
          <w:szCs w:val="24"/>
        </w:rPr>
        <w:t>bing the project and another</w:t>
      </w:r>
      <w:r w:rsidR="0097395C">
        <w:rPr>
          <w:rFonts w:ascii="Times New Roman" w:hAnsi="Times New Roman" w:cs="Times New Roman"/>
          <w:sz w:val="24"/>
          <w:szCs w:val="24"/>
        </w:rPr>
        <w:t xml:space="preserve"> describing the Thursday Island community horticulture program were also included. The factsheets (500 sets) were </w:t>
      </w:r>
      <w:r>
        <w:rPr>
          <w:rFonts w:ascii="Times New Roman" w:hAnsi="Times New Roman" w:cs="Times New Roman"/>
          <w:sz w:val="24"/>
          <w:szCs w:val="24"/>
        </w:rPr>
        <w:t xml:space="preserve">printed and </w:t>
      </w:r>
      <w:r w:rsidR="0097395C">
        <w:rPr>
          <w:rFonts w:ascii="Times New Roman" w:hAnsi="Times New Roman" w:cs="Times New Roman"/>
          <w:sz w:val="24"/>
          <w:szCs w:val="24"/>
        </w:rPr>
        <w:t xml:space="preserve">laminated </w:t>
      </w:r>
      <w:r w:rsidR="00423C81">
        <w:rPr>
          <w:rFonts w:ascii="Times New Roman" w:hAnsi="Times New Roman" w:cs="Times New Roman"/>
          <w:sz w:val="24"/>
          <w:szCs w:val="24"/>
        </w:rPr>
        <w:t xml:space="preserve">in Fiji </w:t>
      </w:r>
      <w:r w:rsidR="0097395C">
        <w:rPr>
          <w:rFonts w:ascii="Times New Roman" w:hAnsi="Times New Roman" w:cs="Times New Roman"/>
          <w:sz w:val="24"/>
          <w:szCs w:val="24"/>
        </w:rPr>
        <w:t xml:space="preserve">for durability, distributed in the participating countries/regions (where they were enthusiastically received) and published online at </w:t>
      </w:r>
      <w:hyperlink r:id="rId6" w:history="1">
        <w:r w:rsidRPr="00607DE2">
          <w:rPr>
            <w:rStyle w:val="Hyperlink"/>
            <w:rFonts w:ascii="Times New Roman" w:hAnsi="Times New Roman" w:cs="Times New Roman"/>
            <w:b/>
            <w:bCs/>
            <w:sz w:val="24"/>
            <w:szCs w:val="24"/>
          </w:rPr>
          <w:t>www.aciar.gov.au/News2013July</w:t>
        </w:r>
      </w:hyperlink>
      <w:r>
        <w:rPr>
          <w:rFonts w:ascii="Times New Roman" w:hAnsi="Times New Roman" w:cs="Times New Roman"/>
          <w:b/>
          <w:bCs/>
          <w:sz w:val="24"/>
          <w:szCs w:val="24"/>
        </w:rPr>
        <w:t>.</w:t>
      </w:r>
      <w:r w:rsidR="009F63AE">
        <w:rPr>
          <w:rFonts w:ascii="Times New Roman" w:hAnsi="Times New Roman" w:cs="Times New Roman"/>
          <w:b/>
          <w:bCs/>
          <w:sz w:val="24"/>
          <w:szCs w:val="24"/>
        </w:rPr>
        <w:t xml:space="preserve"> </w:t>
      </w:r>
      <w:r w:rsidR="009F63AE">
        <w:rPr>
          <w:rFonts w:ascii="Times New Roman" w:hAnsi="Times New Roman" w:cs="Times New Roman"/>
          <w:bCs/>
          <w:sz w:val="24"/>
          <w:szCs w:val="24"/>
        </w:rPr>
        <w:t xml:space="preserve">Although not featured in the factsheets, other nutritious leafy vegetables included </w:t>
      </w:r>
      <w:r w:rsidR="009F63AE">
        <w:rPr>
          <w:rFonts w:ascii="Times New Roman" w:hAnsi="Times New Roman" w:cs="Times New Roman"/>
          <w:bCs/>
          <w:i/>
          <w:sz w:val="24"/>
          <w:szCs w:val="24"/>
        </w:rPr>
        <w:t xml:space="preserve">Ipomoea batatas </w:t>
      </w:r>
      <w:r w:rsidR="009F63AE">
        <w:rPr>
          <w:rFonts w:ascii="Times New Roman" w:hAnsi="Times New Roman" w:cs="Times New Roman"/>
          <w:bCs/>
          <w:sz w:val="24"/>
          <w:szCs w:val="24"/>
        </w:rPr>
        <w:t>(sweet</w:t>
      </w:r>
      <w:r w:rsidR="00FF753D">
        <w:rPr>
          <w:rFonts w:ascii="Times New Roman" w:hAnsi="Times New Roman" w:cs="Times New Roman"/>
          <w:bCs/>
          <w:sz w:val="24"/>
          <w:szCs w:val="24"/>
        </w:rPr>
        <w:t xml:space="preserve"> </w:t>
      </w:r>
      <w:r w:rsidR="009F63AE">
        <w:rPr>
          <w:rFonts w:ascii="Times New Roman" w:hAnsi="Times New Roman" w:cs="Times New Roman"/>
          <w:bCs/>
          <w:sz w:val="24"/>
          <w:szCs w:val="24"/>
        </w:rPr>
        <w:t xml:space="preserve">potato), </w:t>
      </w:r>
      <w:r w:rsidR="009F63AE">
        <w:rPr>
          <w:rFonts w:ascii="Times New Roman" w:hAnsi="Times New Roman" w:cs="Times New Roman"/>
          <w:bCs/>
          <w:i/>
          <w:sz w:val="24"/>
          <w:szCs w:val="24"/>
        </w:rPr>
        <w:t xml:space="preserve">Manihot esculenta </w:t>
      </w:r>
      <w:r w:rsidR="009F63AE">
        <w:rPr>
          <w:rFonts w:ascii="Times New Roman" w:hAnsi="Times New Roman" w:cs="Times New Roman"/>
          <w:bCs/>
          <w:sz w:val="24"/>
          <w:szCs w:val="24"/>
        </w:rPr>
        <w:t xml:space="preserve">(cassava), sweet fern, </w:t>
      </w:r>
      <w:r w:rsidR="009F63AE">
        <w:rPr>
          <w:rFonts w:ascii="Times New Roman" w:hAnsi="Times New Roman" w:cs="Times New Roman"/>
          <w:bCs/>
          <w:i/>
          <w:sz w:val="24"/>
          <w:szCs w:val="24"/>
        </w:rPr>
        <w:t xml:space="preserve">Brassica spp. </w:t>
      </w:r>
      <w:r w:rsidR="009F63AE">
        <w:rPr>
          <w:rFonts w:ascii="Times New Roman" w:hAnsi="Times New Roman" w:cs="Times New Roman"/>
          <w:bCs/>
          <w:sz w:val="24"/>
          <w:szCs w:val="24"/>
        </w:rPr>
        <w:t xml:space="preserve">(watercress) and </w:t>
      </w:r>
      <w:r w:rsidR="009F63AE">
        <w:rPr>
          <w:rFonts w:ascii="Times New Roman" w:hAnsi="Times New Roman" w:cs="Times New Roman"/>
          <w:bCs/>
          <w:i/>
          <w:sz w:val="24"/>
          <w:szCs w:val="24"/>
        </w:rPr>
        <w:t xml:space="preserve">Ficus spp. </w:t>
      </w:r>
      <w:r w:rsidR="009F63AE">
        <w:rPr>
          <w:rFonts w:ascii="Times New Roman" w:hAnsi="Times New Roman" w:cs="Times New Roman"/>
          <w:bCs/>
          <w:sz w:val="24"/>
          <w:szCs w:val="24"/>
        </w:rPr>
        <w:t>(sandpaper cabbage).</w:t>
      </w:r>
    </w:p>
    <w:p w:rsidR="0019300A" w:rsidRDefault="0019300A" w:rsidP="00DD1AFD">
      <w:pPr>
        <w:autoSpaceDE w:val="0"/>
        <w:autoSpaceDN w:val="0"/>
        <w:adjustRightInd w:val="0"/>
        <w:spacing w:after="0" w:line="240" w:lineRule="auto"/>
        <w:jc w:val="both"/>
        <w:rPr>
          <w:rFonts w:ascii="Times New Roman" w:hAnsi="Times New Roman" w:cs="Times New Roman"/>
          <w:sz w:val="24"/>
          <w:szCs w:val="24"/>
        </w:rPr>
      </w:pPr>
    </w:p>
    <w:p w:rsidR="00EC1675" w:rsidRPr="000000B9" w:rsidRDefault="00751B86" w:rsidP="00751B8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CONCLUSIONS</w:t>
      </w:r>
    </w:p>
    <w:p w:rsidR="00E424CD" w:rsidRDefault="000F4A7A" w:rsidP="002372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The impact of poor nutrition needs to be more clearly defined to support the claims that leafy vegetables actually help to prevent diabetes and heart disease. People need to become more aware of what happens when they get these diseases.</w:t>
      </w:r>
    </w:p>
    <w:p w:rsidR="000F4A7A" w:rsidRDefault="000F4A7A" w:rsidP="002372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Increasing awareness and generating interest, however, must be met with availability of supply, whether planting material for home gardens or on a larger scale for farmers to produce for markets and to</w:t>
      </w:r>
      <w:r w:rsidR="001865ED">
        <w:rPr>
          <w:rFonts w:ascii="Times New Roman" w:hAnsi="Times New Roman" w:cs="Times New Roman"/>
          <w:sz w:val="24"/>
          <w:szCs w:val="24"/>
        </w:rPr>
        <w:t>u</w:t>
      </w:r>
      <w:r>
        <w:rPr>
          <w:rFonts w:ascii="Times New Roman" w:hAnsi="Times New Roman" w:cs="Times New Roman"/>
          <w:sz w:val="24"/>
          <w:szCs w:val="24"/>
        </w:rPr>
        <w:t>rism outlets</w:t>
      </w:r>
      <w:r w:rsidR="00DD1AFD">
        <w:rPr>
          <w:rFonts w:ascii="Times New Roman" w:hAnsi="Times New Roman" w:cs="Times New Roman"/>
          <w:sz w:val="24"/>
          <w:szCs w:val="24"/>
        </w:rPr>
        <w:t xml:space="preserve"> (Taylor et al., 2014)</w:t>
      </w:r>
      <w:r>
        <w:rPr>
          <w:rFonts w:ascii="Times New Roman" w:hAnsi="Times New Roman" w:cs="Times New Roman"/>
          <w:sz w:val="24"/>
          <w:szCs w:val="24"/>
        </w:rPr>
        <w:t>. Value chain research is essential</w:t>
      </w:r>
      <w:r w:rsidR="00FE66D3">
        <w:rPr>
          <w:rFonts w:ascii="Times New Roman" w:hAnsi="Times New Roman" w:cs="Times New Roman"/>
          <w:sz w:val="24"/>
          <w:szCs w:val="24"/>
        </w:rPr>
        <w:t>: the producer needs to be convinced that production of green leafy vegetables is worth the effort. What arrangements are needed to deliver health benefits to consumers and economic benefits to local horticultural produc</w:t>
      </w:r>
      <w:r w:rsidR="00FF753D">
        <w:rPr>
          <w:rFonts w:ascii="Times New Roman" w:hAnsi="Times New Roman" w:cs="Times New Roman"/>
          <w:sz w:val="24"/>
          <w:szCs w:val="24"/>
        </w:rPr>
        <w:t>ers and other value chain participants</w:t>
      </w:r>
      <w:r w:rsidR="00FE66D3">
        <w:rPr>
          <w:rFonts w:ascii="Times New Roman" w:hAnsi="Times New Roman" w:cs="Times New Roman"/>
          <w:sz w:val="24"/>
          <w:szCs w:val="24"/>
        </w:rPr>
        <w:t>?</w:t>
      </w:r>
    </w:p>
    <w:p w:rsidR="00FE66D3" w:rsidRDefault="00FF753D" w:rsidP="002372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Children need to be involved; i</w:t>
      </w:r>
      <w:r w:rsidR="00FE66D3">
        <w:rPr>
          <w:rFonts w:ascii="Times New Roman" w:hAnsi="Times New Roman" w:cs="Times New Roman"/>
          <w:sz w:val="24"/>
          <w:szCs w:val="24"/>
        </w:rPr>
        <w:t>n many countries their importance in influencing lifestyle factors, especially d</w:t>
      </w:r>
      <w:r>
        <w:rPr>
          <w:rFonts w:ascii="Times New Roman" w:hAnsi="Times New Roman" w:cs="Times New Roman"/>
          <w:sz w:val="24"/>
          <w:szCs w:val="24"/>
        </w:rPr>
        <w:t>iet, is becoming</w:t>
      </w:r>
      <w:r w:rsidR="00FE66D3">
        <w:rPr>
          <w:rFonts w:ascii="Times New Roman" w:hAnsi="Times New Roman" w:cs="Times New Roman"/>
          <w:sz w:val="24"/>
          <w:szCs w:val="24"/>
        </w:rPr>
        <w:t xml:space="preserve"> recognised. For example, schools can include food gardens featuring t</w:t>
      </w:r>
      <w:r>
        <w:rPr>
          <w:rFonts w:ascii="Times New Roman" w:hAnsi="Times New Roman" w:cs="Times New Roman"/>
          <w:sz w:val="24"/>
          <w:szCs w:val="24"/>
        </w:rPr>
        <w:t>he most nutritious local plants, and students can transfer knowledge back to their villages.</w:t>
      </w:r>
    </w:p>
    <w:p w:rsidR="00FE66D3" w:rsidRDefault="00FE66D3" w:rsidP="002372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Improving nutrition is usually seen as</w:t>
      </w:r>
      <w:r w:rsidR="00FF753D">
        <w:rPr>
          <w:rFonts w:ascii="Times New Roman" w:hAnsi="Times New Roman" w:cs="Times New Roman"/>
          <w:sz w:val="24"/>
          <w:szCs w:val="24"/>
        </w:rPr>
        <w:t xml:space="preserve"> the task of health agencies, but it is apparent that</w:t>
      </w:r>
      <w:r>
        <w:rPr>
          <w:rFonts w:ascii="Times New Roman" w:hAnsi="Times New Roman" w:cs="Times New Roman"/>
          <w:sz w:val="24"/>
          <w:szCs w:val="24"/>
        </w:rPr>
        <w:t xml:space="preserve"> a cross-sectoral and multi-age</w:t>
      </w:r>
      <w:r w:rsidR="00FF753D">
        <w:rPr>
          <w:rFonts w:ascii="Times New Roman" w:hAnsi="Times New Roman" w:cs="Times New Roman"/>
          <w:sz w:val="24"/>
          <w:szCs w:val="24"/>
        </w:rPr>
        <w:t>ncy approach is needed</w:t>
      </w:r>
      <w:r>
        <w:rPr>
          <w:rFonts w:ascii="Times New Roman" w:hAnsi="Times New Roman" w:cs="Times New Roman"/>
          <w:sz w:val="24"/>
          <w:szCs w:val="24"/>
        </w:rPr>
        <w:t xml:space="preserve">. </w:t>
      </w:r>
      <w:r w:rsidR="001C3214">
        <w:rPr>
          <w:rFonts w:ascii="Times New Roman" w:hAnsi="Times New Roman" w:cs="Times New Roman"/>
          <w:sz w:val="24"/>
          <w:szCs w:val="24"/>
        </w:rPr>
        <w:t xml:space="preserve">The NCD </w:t>
      </w:r>
      <w:r w:rsidR="001865ED">
        <w:rPr>
          <w:rFonts w:ascii="Times New Roman" w:hAnsi="Times New Roman" w:cs="Times New Roman"/>
          <w:sz w:val="24"/>
          <w:szCs w:val="24"/>
        </w:rPr>
        <w:t>pandemic</w:t>
      </w:r>
      <w:r w:rsidR="001C3214">
        <w:rPr>
          <w:rFonts w:ascii="Times New Roman" w:hAnsi="Times New Roman" w:cs="Times New Roman"/>
          <w:sz w:val="24"/>
          <w:szCs w:val="24"/>
        </w:rPr>
        <w:t xml:space="preserve"> </w:t>
      </w:r>
      <w:r w:rsidR="001C3214">
        <w:rPr>
          <w:rFonts w:ascii="Times New Roman" w:hAnsi="Times New Roman" w:cs="Times New Roman"/>
          <w:sz w:val="24"/>
          <w:szCs w:val="24"/>
        </w:rPr>
        <w:lastRenderedPageBreak/>
        <w:t>may be at least as important a challenge to humanity as climate change. Both can be addressed by increasing diversity on the farm and extending this diversity (of which nutritious leafy vegetables form an important part) to the diet.</w:t>
      </w:r>
    </w:p>
    <w:p w:rsidR="002372A7" w:rsidRDefault="002372A7" w:rsidP="002372A7">
      <w:pPr>
        <w:autoSpaceDE w:val="0"/>
        <w:autoSpaceDN w:val="0"/>
        <w:adjustRightInd w:val="0"/>
        <w:spacing w:after="0" w:line="240" w:lineRule="auto"/>
        <w:ind w:firstLine="709"/>
        <w:jc w:val="both"/>
        <w:rPr>
          <w:rFonts w:ascii="Times New Roman" w:hAnsi="Times New Roman" w:cs="Times New Roman"/>
          <w:sz w:val="24"/>
          <w:szCs w:val="24"/>
        </w:rPr>
      </w:pPr>
    </w:p>
    <w:p w:rsidR="00751B86" w:rsidRDefault="00751B86" w:rsidP="00751B8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ACKNOWLEDGEMENTS</w:t>
      </w:r>
    </w:p>
    <w:p w:rsidR="00B35154" w:rsidRDefault="00B7668A" w:rsidP="002372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the Australian Centre for International Agricultural Research (ACIAR) for funding and the World Vegetable Ce</w:t>
      </w:r>
      <w:r w:rsidR="00B35154">
        <w:rPr>
          <w:rFonts w:ascii="Times New Roman" w:hAnsi="Times New Roman" w:cs="Times New Roman"/>
          <w:sz w:val="24"/>
          <w:szCs w:val="24"/>
        </w:rPr>
        <w:t>nter (AVRDC), our</w:t>
      </w:r>
      <w:r>
        <w:rPr>
          <w:rFonts w:ascii="Times New Roman" w:hAnsi="Times New Roman" w:cs="Times New Roman"/>
          <w:sz w:val="24"/>
          <w:szCs w:val="24"/>
        </w:rPr>
        <w:t xml:space="preserve"> main collaborator in Solomon Islands, for conference support. To Waite Analytical Services and the Mares Laboratory (University of Adelaide) and Dr Shahidul Islam and colleagues (University of KwaZulu Natal</w:t>
      </w:r>
      <w:r w:rsidR="00B35154">
        <w:rPr>
          <w:rFonts w:ascii="Times New Roman" w:hAnsi="Times New Roman" w:cs="Times New Roman"/>
          <w:sz w:val="24"/>
          <w:szCs w:val="24"/>
        </w:rPr>
        <w:t>) for technical assistance.</w:t>
      </w:r>
    </w:p>
    <w:p w:rsidR="002372A7" w:rsidRDefault="002372A7" w:rsidP="002372A7">
      <w:pPr>
        <w:autoSpaceDE w:val="0"/>
        <w:autoSpaceDN w:val="0"/>
        <w:adjustRightInd w:val="0"/>
        <w:spacing w:after="0" w:line="240" w:lineRule="auto"/>
        <w:ind w:firstLine="709"/>
        <w:jc w:val="both"/>
        <w:rPr>
          <w:rFonts w:ascii="Times New Roman" w:hAnsi="Times New Roman" w:cs="Times New Roman"/>
          <w:sz w:val="24"/>
          <w:szCs w:val="24"/>
        </w:rPr>
      </w:pPr>
    </w:p>
    <w:p w:rsidR="002549A2" w:rsidRDefault="00751B86" w:rsidP="00751B8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Literature Cited</w:t>
      </w:r>
    </w:p>
    <w:p w:rsidR="00A425E6" w:rsidRPr="00A425E6" w:rsidRDefault="00A425E6" w:rsidP="00A425E6">
      <w:pPr>
        <w:autoSpaceDE w:val="0"/>
        <w:autoSpaceDN w:val="0"/>
        <w:adjustRightInd w:val="0"/>
        <w:spacing w:after="0" w:line="240" w:lineRule="auto"/>
        <w:ind w:left="426" w:hanging="426"/>
        <w:rPr>
          <w:rFonts w:ascii="Times New Roman" w:hAnsi="Times New Roman" w:cs="Times New Roman"/>
          <w:bCs/>
          <w:sz w:val="24"/>
          <w:szCs w:val="24"/>
        </w:rPr>
      </w:pPr>
      <w:r w:rsidRPr="00A425E6">
        <w:rPr>
          <w:rFonts w:ascii="Times New Roman" w:hAnsi="Times New Roman" w:cs="Times New Roman"/>
          <w:bCs/>
          <w:sz w:val="24"/>
          <w:szCs w:val="24"/>
        </w:rPr>
        <w:t>Adhikari</w:t>
      </w:r>
      <w:r>
        <w:rPr>
          <w:rFonts w:ascii="Times New Roman" w:hAnsi="Times New Roman" w:cs="Times New Roman"/>
          <w:bCs/>
          <w:sz w:val="24"/>
          <w:szCs w:val="24"/>
        </w:rPr>
        <w:t xml:space="preserve">, R., Naveen Kumar, H.N. and Shruthi, S.D. 2012. A review on medical importance of </w:t>
      </w:r>
      <w:r>
        <w:rPr>
          <w:rFonts w:ascii="Times New Roman" w:hAnsi="Times New Roman" w:cs="Times New Roman"/>
          <w:bCs/>
          <w:i/>
          <w:sz w:val="24"/>
          <w:szCs w:val="24"/>
        </w:rPr>
        <w:t xml:space="preserve">Basella alba </w:t>
      </w:r>
      <w:r>
        <w:rPr>
          <w:rFonts w:ascii="Times New Roman" w:hAnsi="Times New Roman" w:cs="Times New Roman"/>
          <w:bCs/>
          <w:sz w:val="24"/>
          <w:szCs w:val="24"/>
        </w:rPr>
        <w:t>L. In</w:t>
      </w:r>
      <w:r w:rsidR="00635B7B">
        <w:rPr>
          <w:rFonts w:ascii="Times New Roman" w:hAnsi="Times New Roman" w:cs="Times New Roman"/>
          <w:bCs/>
          <w:sz w:val="24"/>
          <w:szCs w:val="24"/>
        </w:rPr>
        <w:t>tl. J. Pharm. Sci. Drug Res. 4</w:t>
      </w:r>
      <w:r>
        <w:rPr>
          <w:rFonts w:ascii="Times New Roman" w:hAnsi="Times New Roman" w:cs="Times New Roman"/>
          <w:bCs/>
          <w:sz w:val="24"/>
          <w:szCs w:val="24"/>
        </w:rPr>
        <w:t>:110-114.</w:t>
      </w:r>
    </w:p>
    <w:p w:rsidR="00326EB2" w:rsidRDefault="00326EB2" w:rsidP="000500C5">
      <w:pPr>
        <w:tabs>
          <w:tab w:val="num"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Bailey, J.M. 1992. The Leaves We Eat. SPC Handbook No. 31. South Pacific Commission, Noumea, New Caledonia.</w:t>
      </w:r>
    </w:p>
    <w:p w:rsidR="00A425E6" w:rsidRPr="00A425E6" w:rsidRDefault="00A425E6" w:rsidP="000500C5">
      <w:pPr>
        <w:tabs>
          <w:tab w:val="num"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Bhattacherjee, A., Ghosh, T., Sil, R. and Datta A. 2014. Isolation and characterisation of methanol-soluble fraction of </w:t>
      </w:r>
      <w:r>
        <w:rPr>
          <w:rFonts w:ascii="Times New Roman" w:hAnsi="Times New Roman" w:cs="Times New Roman"/>
          <w:i/>
          <w:sz w:val="24"/>
          <w:szCs w:val="24"/>
        </w:rPr>
        <w:t xml:space="preserve">Alternanthera philoxeroides </w:t>
      </w:r>
      <w:r>
        <w:rPr>
          <w:rFonts w:ascii="Times New Roman" w:hAnsi="Times New Roman" w:cs="Times New Roman"/>
          <w:sz w:val="24"/>
          <w:szCs w:val="24"/>
        </w:rPr>
        <w:t>(Mart.) – evaluation of their antioxidant, a-glucosidase inhibitory and antimicrobial activity in in vitro systems. Nat. Prod. Res. June 23:1-4 (epub).</w:t>
      </w:r>
    </w:p>
    <w:p w:rsidR="000500C5" w:rsidRDefault="000500C5" w:rsidP="000500C5">
      <w:pPr>
        <w:tabs>
          <w:tab w:val="num"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Bioversity 2014. Case Study 10: the </w:t>
      </w:r>
      <w:r w:rsidRPr="002E0AED">
        <w:rPr>
          <w:rFonts w:ascii="Times New Roman" w:hAnsi="Times New Roman" w:cs="Times New Roman"/>
          <w:sz w:val="24"/>
          <w:szCs w:val="24"/>
        </w:rPr>
        <w:t>Incredible Edible Todmorden</w:t>
      </w:r>
      <w:r w:rsidRPr="002E0AED">
        <w:rPr>
          <w:rFonts w:ascii="Times New Roman" w:hAnsi="Times New Roman" w:cs="Times New Roman"/>
          <w:i/>
          <w:sz w:val="24"/>
          <w:szCs w:val="24"/>
        </w:rPr>
        <w:t xml:space="preserve"> </w:t>
      </w:r>
      <w:r>
        <w:rPr>
          <w:rFonts w:ascii="Times New Roman" w:hAnsi="Times New Roman" w:cs="Times New Roman"/>
          <w:sz w:val="24"/>
          <w:szCs w:val="24"/>
        </w:rPr>
        <w:t>program. I</w:t>
      </w:r>
      <w:r w:rsidRPr="002E0AED">
        <w:rPr>
          <w:rFonts w:ascii="Times New Roman" w:hAnsi="Times New Roman" w:cs="Times New Roman"/>
          <w:sz w:val="24"/>
          <w:szCs w:val="24"/>
        </w:rPr>
        <w:t>n</w:t>
      </w:r>
      <w:r>
        <w:rPr>
          <w:rFonts w:ascii="Times New Roman" w:hAnsi="Times New Roman" w:cs="Times New Roman"/>
          <w:sz w:val="24"/>
          <w:szCs w:val="24"/>
        </w:rPr>
        <w:t>:</w:t>
      </w:r>
      <w:r w:rsidRPr="002E0AED">
        <w:rPr>
          <w:rFonts w:ascii="Times New Roman" w:hAnsi="Times New Roman" w:cs="Times New Roman"/>
          <w:sz w:val="24"/>
          <w:szCs w:val="24"/>
        </w:rPr>
        <w:t xml:space="preserve"> </w:t>
      </w:r>
      <w:r>
        <w:rPr>
          <w:rFonts w:ascii="Times New Roman" w:hAnsi="Times New Roman" w:cs="Times New Roman"/>
          <w:sz w:val="24"/>
          <w:szCs w:val="24"/>
        </w:rPr>
        <w:t>J. Fanzo</w:t>
      </w:r>
      <w:r w:rsidRPr="002E0AED">
        <w:rPr>
          <w:rFonts w:ascii="Times New Roman" w:hAnsi="Times New Roman" w:cs="Times New Roman"/>
          <w:sz w:val="24"/>
          <w:szCs w:val="24"/>
        </w:rPr>
        <w:t xml:space="preserve">, </w:t>
      </w:r>
      <w:r>
        <w:rPr>
          <w:rFonts w:ascii="Times New Roman" w:hAnsi="Times New Roman" w:cs="Times New Roman"/>
          <w:sz w:val="24"/>
          <w:szCs w:val="24"/>
        </w:rPr>
        <w:t xml:space="preserve">D. Hunter, T. Borelli and F. Mattei (eds.), </w:t>
      </w:r>
      <w:r w:rsidRPr="002E0AED">
        <w:rPr>
          <w:rFonts w:ascii="Times New Roman" w:hAnsi="Times New Roman" w:cs="Times New Roman"/>
          <w:sz w:val="24"/>
          <w:szCs w:val="24"/>
        </w:rPr>
        <w:t>Using Agricultural Biodiversity to Improve</w:t>
      </w:r>
      <w:r>
        <w:rPr>
          <w:rFonts w:ascii="Times New Roman" w:hAnsi="Times New Roman" w:cs="Times New Roman"/>
          <w:sz w:val="24"/>
          <w:szCs w:val="24"/>
        </w:rPr>
        <w:t xml:space="preserve"> Nutrition and Health. Routledge-Earthscan, London and New York.</w:t>
      </w:r>
    </w:p>
    <w:p w:rsidR="000500C5" w:rsidRDefault="000500C5" w:rsidP="000500C5">
      <w:pPr>
        <w:tabs>
          <w:tab w:val="num"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Dignan, C., Burlingame, B., Kumar, S. and Aalbersberg, W. 2004. The Pacific Islands food composition tables. 2</w:t>
      </w:r>
      <w:r w:rsidRPr="00D610B7">
        <w:rPr>
          <w:rFonts w:ascii="Times New Roman" w:hAnsi="Times New Roman" w:cs="Times New Roman"/>
          <w:sz w:val="24"/>
          <w:szCs w:val="24"/>
          <w:vertAlign w:val="superscript"/>
        </w:rPr>
        <w:t>nd</w:t>
      </w:r>
      <w:r>
        <w:rPr>
          <w:rFonts w:ascii="Times New Roman" w:hAnsi="Times New Roman" w:cs="Times New Roman"/>
          <w:sz w:val="24"/>
          <w:szCs w:val="24"/>
        </w:rPr>
        <w:t xml:space="preserve"> edition. Food and Agriculture Organisation of the United Nations (FAO), Rome.</w:t>
      </w:r>
    </w:p>
    <w:p w:rsidR="000500C5" w:rsidRDefault="000500C5" w:rsidP="0062527D">
      <w:pPr>
        <w:tabs>
          <w:tab w:val="num"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Englberger, L., Kuhnlein, H.V., Lorens, A., Pedrus, P., Albert, K., Currie, J., Pretrick, M., Jim, R. and Kaufer, L. 2010. Pohnpei, FSM case study in a global health project documents its local food resources and successfully promotes local food for h</w:t>
      </w:r>
      <w:r w:rsidR="00635B7B">
        <w:rPr>
          <w:rFonts w:ascii="Times New Roman" w:hAnsi="Times New Roman" w:cs="Times New Roman"/>
          <w:sz w:val="24"/>
          <w:szCs w:val="24"/>
        </w:rPr>
        <w:t>ealth. Pac. Health Dial. 16</w:t>
      </w:r>
      <w:r w:rsidR="00F921AA">
        <w:rPr>
          <w:rFonts w:ascii="Times New Roman" w:hAnsi="Times New Roman" w:cs="Times New Roman"/>
          <w:sz w:val="24"/>
          <w:szCs w:val="24"/>
        </w:rPr>
        <w:t>:</w:t>
      </w:r>
      <w:r>
        <w:rPr>
          <w:rFonts w:ascii="Times New Roman" w:hAnsi="Times New Roman" w:cs="Times New Roman"/>
          <w:sz w:val="24"/>
          <w:szCs w:val="24"/>
        </w:rPr>
        <w:t>25-36.</w:t>
      </w:r>
    </w:p>
    <w:p w:rsidR="0062527D" w:rsidRDefault="0062527D" w:rsidP="0062527D">
      <w:pPr>
        <w:autoSpaceDE w:val="0"/>
        <w:autoSpaceDN w:val="0"/>
        <w:adjustRightInd w:val="0"/>
        <w:spacing w:after="0" w:line="240" w:lineRule="auto"/>
        <w:ind w:left="340" w:hanging="340"/>
        <w:jc w:val="both"/>
        <w:rPr>
          <w:rFonts w:ascii="Times New Roman" w:hAnsi="Times New Roman" w:cs="Times New Roman"/>
          <w:sz w:val="24"/>
          <w:szCs w:val="24"/>
        </w:rPr>
      </w:pPr>
      <w:r w:rsidRPr="000500C5">
        <w:rPr>
          <w:rFonts w:ascii="Times New Roman" w:hAnsi="Times New Roman" w:cs="Times New Roman"/>
          <w:sz w:val="24"/>
          <w:szCs w:val="24"/>
        </w:rPr>
        <w:t xml:space="preserve">FAO 2004. Research report: Knowledge, attitudes, beliefs and practices related to the consumption of fruits and vegetables in Samoa. FAO, Samoa, November 2004. </w:t>
      </w:r>
    </w:p>
    <w:p w:rsidR="0062527D" w:rsidRDefault="0062527D" w:rsidP="0062527D">
      <w:pPr>
        <w:autoSpaceDE w:val="0"/>
        <w:autoSpaceDN w:val="0"/>
        <w:adjustRightInd w:val="0"/>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w:t>
      </w:r>
      <w:hyperlink r:id="rId7" w:history="1">
        <w:r w:rsidR="00635B7B" w:rsidRPr="00626F31">
          <w:rPr>
            <w:rStyle w:val="Hyperlink"/>
            <w:rFonts w:ascii="Times New Roman" w:hAnsi="Times New Roman" w:cs="Times New Roman"/>
            <w:sz w:val="24"/>
            <w:szCs w:val="24"/>
          </w:rPr>
          <w:t>www.fao.org/docrep/015/an432e/an432e00.pdf</w:t>
        </w:r>
      </w:hyperlink>
      <w:r>
        <w:rPr>
          <w:rFonts w:ascii="Times New Roman" w:hAnsi="Times New Roman" w:cs="Times New Roman"/>
          <w:sz w:val="24"/>
          <w:szCs w:val="24"/>
        </w:rPr>
        <w:t xml:space="preserve">) </w:t>
      </w:r>
    </w:p>
    <w:p w:rsidR="002549A2" w:rsidRDefault="002549A2" w:rsidP="002372A7">
      <w:pPr>
        <w:autoSpaceDE w:val="0"/>
        <w:autoSpaceDN w:val="0"/>
        <w:adjustRightInd w:val="0"/>
        <w:spacing w:after="0" w:line="240" w:lineRule="auto"/>
        <w:ind w:left="340" w:hanging="340"/>
        <w:jc w:val="both"/>
        <w:rPr>
          <w:rFonts w:ascii="Times New Roman" w:hAnsi="Times New Roman" w:cs="Times New Roman"/>
          <w:sz w:val="24"/>
          <w:szCs w:val="24"/>
        </w:rPr>
      </w:pPr>
      <w:r>
        <w:rPr>
          <w:rFonts w:ascii="Times New Roman" w:hAnsi="Times New Roman" w:cs="Times New Roman"/>
          <w:sz w:val="24"/>
          <w:szCs w:val="24"/>
        </w:rPr>
        <w:t xml:space="preserve">FAO 2011. African Leafy vegetables in Kenya: local biodiversity in production, market and consumption. FAO, Rome. </w:t>
      </w:r>
    </w:p>
    <w:p w:rsidR="002549A2" w:rsidRPr="000500C5" w:rsidRDefault="002549A2" w:rsidP="0062527D">
      <w:pPr>
        <w:autoSpaceDE w:val="0"/>
        <w:autoSpaceDN w:val="0"/>
        <w:adjustRightInd w:val="0"/>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w:t>
      </w:r>
      <w:hyperlink r:id="rId8" w:history="1">
        <w:r w:rsidR="00635B7B" w:rsidRPr="00626F31">
          <w:rPr>
            <w:rStyle w:val="Hyperlink"/>
            <w:rFonts w:ascii="Times New Roman" w:hAnsi="Times New Roman" w:cs="Times New Roman"/>
            <w:sz w:val="24"/>
            <w:szCs w:val="24"/>
          </w:rPr>
          <w:t>www.fao.org/fileadmin/user_upload/wa_workshop/Factsheet/FSNL_Fact_sheet_AfricanLeafyVegetables-12oct2011.pdf</w:t>
        </w:r>
      </w:hyperlink>
      <w:r w:rsidR="000500C5">
        <w:rPr>
          <w:rFonts w:ascii="Times New Roman" w:hAnsi="Times New Roman" w:cs="Times New Roman"/>
        </w:rPr>
        <w:t>)</w:t>
      </w:r>
    </w:p>
    <w:p w:rsidR="000000B9" w:rsidRDefault="000000B9" w:rsidP="00326EB2">
      <w:pPr>
        <w:autoSpaceDE w:val="0"/>
        <w:autoSpaceDN w:val="0"/>
        <w:adjustRightInd w:val="0"/>
        <w:spacing w:after="0" w:line="240" w:lineRule="auto"/>
        <w:ind w:left="340" w:hanging="340"/>
        <w:jc w:val="both"/>
        <w:rPr>
          <w:rFonts w:ascii="Times New Roman" w:hAnsi="Times New Roman" w:cs="Times New Roman"/>
          <w:sz w:val="24"/>
          <w:szCs w:val="24"/>
        </w:rPr>
      </w:pPr>
      <w:r>
        <w:rPr>
          <w:rFonts w:ascii="Times New Roman" w:hAnsi="Times New Roman" w:cs="Times New Roman"/>
          <w:sz w:val="24"/>
          <w:szCs w:val="24"/>
        </w:rPr>
        <w:t>French, B.R. 2010. Leafy greens and vegetables in Solomon Islands. Food Plants International (</w:t>
      </w:r>
      <w:hyperlink r:id="rId9" w:history="1">
        <w:r w:rsidRPr="00355615">
          <w:rPr>
            <w:rStyle w:val="Hyperlink"/>
            <w:rFonts w:ascii="Times New Roman" w:hAnsi="Times New Roman" w:cs="Times New Roman"/>
            <w:sz w:val="24"/>
            <w:szCs w:val="24"/>
          </w:rPr>
          <w:t>www.learngrow.org</w:t>
        </w:r>
      </w:hyperlink>
      <w:r>
        <w:rPr>
          <w:rFonts w:ascii="Times New Roman" w:hAnsi="Times New Roman" w:cs="Times New Roman"/>
          <w:sz w:val="24"/>
          <w:szCs w:val="24"/>
        </w:rPr>
        <w:t>), Devonport, Tasmania.</w:t>
      </w:r>
    </w:p>
    <w:p w:rsidR="00A425E6" w:rsidRPr="00A425E6" w:rsidRDefault="00A425E6" w:rsidP="00326EB2">
      <w:pPr>
        <w:autoSpaceDE w:val="0"/>
        <w:autoSpaceDN w:val="0"/>
        <w:adjustRightInd w:val="0"/>
        <w:spacing w:after="0" w:line="240" w:lineRule="auto"/>
        <w:ind w:left="340" w:hanging="340"/>
        <w:jc w:val="both"/>
        <w:rPr>
          <w:rFonts w:ascii="Times New Roman" w:hAnsi="Times New Roman" w:cs="Times New Roman"/>
          <w:sz w:val="24"/>
          <w:szCs w:val="24"/>
        </w:rPr>
      </w:pPr>
      <w:r>
        <w:rPr>
          <w:rFonts w:ascii="Times New Roman" w:hAnsi="Times New Roman" w:cs="Times New Roman"/>
          <w:sz w:val="24"/>
          <w:szCs w:val="24"/>
        </w:rPr>
        <w:t>Islam, M.S., Yoshimoto, M., Yahara, S., Okuno, S., Ishiguro, K. and Yamakawa, O. 2002. Identification and characterization of foliar polyphenolic composition in sweetpotato (</w:t>
      </w:r>
      <w:r>
        <w:rPr>
          <w:rFonts w:ascii="Times New Roman" w:hAnsi="Times New Roman" w:cs="Times New Roman"/>
          <w:i/>
          <w:sz w:val="24"/>
          <w:szCs w:val="24"/>
        </w:rPr>
        <w:t xml:space="preserve">Ipomoea batatas </w:t>
      </w:r>
      <w:r>
        <w:rPr>
          <w:rFonts w:ascii="Times New Roman" w:hAnsi="Times New Roman" w:cs="Times New Roman"/>
          <w:sz w:val="24"/>
          <w:szCs w:val="24"/>
        </w:rPr>
        <w:t>L.) genotypes.</w:t>
      </w:r>
      <w:r w:rsidR="00635B7B">
        <w:rPr>
          <w:rFonts w:ascii="Times New Roman" w:hAnsi="Times New Roman" w:cs="Times New Roman"/>
          <w:sz w:val="24"/>
          <w:szCs w:val="24"/>
        </w:rPr>
        <w:t xml:space="preserve"> J. Agric. Food Chem. 50: 3718-3722.</w:t>
      </w:r>
    </w:p>
    <w:p w:rsidR="000000B9" w:rsidRPr="000000B9" w:rsidRDefault="000000B9" w:rsidP="00272427">
      <w:pPr>
        <w:autoSpaceDE w:val="0"/>
        <w:autoSpaceDN w:val="0"/>
        <w:adjustRightInd w:val="0"/>
        <w:spacing w:after="0" w:line="240" w:lineRule="auto"/>
        <w:ind w:left="340" w:hanging="340"/>
        <w:jc w:val="both"/>
        <w:rPr>
          <w:rFonts w:ascii="Times New Roman" w:hAnsi="Times New Roman" w:cs="Times New Roman"/>
          <w:sz w:val="24"/>
          <w:szCs w:val="24"/>
        </w:rPr>
      </w:pPr>
      <w:r>
        <w:rPr>
          <w:rFonts w:ascii="Times New Roman" w:hAnsi="Times New Roman" w:cs="Times New Roman"/>
          <w:sz w:val="24"/>
          <w:szCs w:val="24"/>
        </w:rPr>
        <w:t>Keatinge, J.D.H., Yang, R-Y., Hughes, J.d’A., Easdown, W.J.and Holmer, R. 2011. The importance of vegetables in ensuring both food and nutritional security in attainment of the Millennium Deve</w:t>
      </w:r>
      <w:r w:rsidR="00F921AA">
        <w:rPr>
          <w:rFonts w:ascii="Times New Roman" w:hAnsi="Times New Roman" w:cs="Times New Roman"/>
          <w:sz w:val="24"/>
          <w:szCs w:val="24"/>
        </w:rPr>
        <w:t>lopment Goals. Food Security 3:</w:t>
      </w:r>
      <w:r>
        <w:rPr>
          <w:rFonts w:ascii="Times New Roman" w:hAnsi="Times New Roman" w:cs="Times New Roman"/>
          <w:sz w:val="24"/>
          <w:szCs w:val="24"/>
        </w:rPr>
        <w:t>491-501.</w:t>
      </w:r>
    </w:p>
    <w:p w:rsidR="00600B4C" w:rsidRDefault="00600B4C" w:rsidP="00292D43">
      <w:pPr>
        <w:tabs>
          <w:tab w:val="num" w:pos="426"/>
        </w:tabs>
        <w:spacing w:after="0" w:line="240" w:lineRule="auto"/>
        <w:ind w:left="426" w:hanging="426"/>
        <w:rPr>
          <w:rFonts w:ascii="Times New Roman" w:hAnsi="Times New Roman" w:cs="Times New Roman"/>
          <w:sz w:val="24"/>
          <w:szCs w:val="24"/>
        </w:rPr>
      </w:pPr>
      <w:r w:rsidRPr="00292D43">
        <w:rPr>
          <w:rFonts w:ascii="Times New Roman" w:hAnsi="Times New Roman" w:cs="Times New Roman"/>
          <w:sz w:val="24"/>
          <w:szCs w:val="24"/>
        </w:rPr>
        <w:t>Lyons</w:t>
      </w:r>
      <w:r w:rsidR="00292D43">
        <w:rPr>
          <w:rFonts w:ascii="Times New Roman" w:hAnsi="Times New Roman" w:cs="Times New Roman"/>
          <w:sz w:val="24"/>
          <w:szCs w:val="24"/>
        </w:rPr>
        <w:t>,</w:t>
      </w:r>
      <w:r w:rsidRPr="00292D43">
        <w:rPr>
          <w:rFonts w:ascii="Times New Roman" w:hAnsi="Times New Roman" w:cs="Times New Roman"/>
          <w:sz w:val="24"/>
          <w:szCs w:val="24"/>
        </w:rPr>
        <w:t xml:space="preserve"> G</w:t>
      </w:r>
      <w:r w:rsidR="00292D43">
        <w:rPr>
          <w:rFonts w:ascii="Times New Roman" w:hAnsi="Times New Roman" w:cs="Times New Roman"/>
          <w:sz w:val="24"/>
          <w:szCs w:val="24"/>
        </w:rPr>
        <w:t>.</w:t>
      </w:r>
      <w:r w:rsidRPr="00600B4C">
        <w:rPr>
          <w:rFonts w:ascii="Times New Roman" w:hAnsi="Times New Roman" w:cs="Times New Roman"/>
          <w:sz w:val="24"/>
          <w:szCs w:val="24"/>
        </w:rPr>
        <w:t>, Gondwe</w:t>
      </w:r>
      <w:r w:rsidR="00292D43">
        <w:rPr>
          <w:rFonts w:ascii="Times New Roman" w:hAnsi="Times New Roman" w:cs="Times New Roman"/>
          <w:sz w:val="24"/>
          <w:szCs w:val="24"/>
        </w:rPr>
        <w:t>,</w:t>
      </w:r>
      <w:r w:rsidRPr="00600B4C">
        <w:rPr>
          <w:rFonts w:ascii="Times New Roman" w:hAnsi="Times New Roman" w:cs="Times New Roman"/>
          <w:sz w:val="24"/>
          <w:szCs w:val="24"/>
        </w:rPr>
        <w:t xml:space="preserve"> C</w:t>
      </w:r>
      <w:r w:rsidR="00292D43">
        <w:rPr>
          <w:rFonts w:ascii="Times New Roman" w:hAnsi="Times New Roman" w:cs="Times New Roman"/>
          <w:sz w:val="24"/>
          <w:szCs w:val="24"/>
        </w:rPr>
        <w:t>.</w:t>
      </w:r>
      <w:r w:rsidRPr="00600B4C">
        <w:rPr>
          <w:rFonts w:ascii="Times New Roman" w:hAnsi="Times New Roman" w:cs="Times New Roman"/>
          <w:sz w:val="24"/>
          <w:szCs w:val="24"/>
        </w:rPr>
        <w:t>, Banuelos</w:t>
      </w:r>
      <w:r w:rsidR="00292D43">
        <w:rPr>
          <w:rFonts w:ascii="Times New Roman" w:hAnsi="Times New Roman" w:cs="Times New Roman"/>
          <w:sz w:val="24"/>
          <w:szCs w:val="24"/>
        </w:rPr>
        <w:t>,</w:t>
      </w:r>
      <w:r w:rsidRPr="00600B4C">
        <w:rPr>
          <w:rFonts w:ascii="Times New Roman" w:hAnsi="Times New Roman" w:cs="Times New Roman"/>
          <w:sz w:val="24"/>
          <w:szCs w:val="24"/>
        </w:rPr>
        <w:t xml:space="preserve"> G</w:t>
      </w:r>
      <w:r w:rsidR="00292D43">
        <w:rPr>
          <w:rFonts w:ascii="Times New Roman" w:hAnsi="Times New Roman" w:cs="Times New Roman"/>
          <w:sz w:val="24"/>
          <w:szCs w:val="24"/>
        </w:rPr>
        <w:t>.</w:t>
      </w:r>
      <w:r w:rsidRPr="00600B4C">
        <w:rPr>
          <w:rFonts w:ascii="Times New Roman" w:hAnsi="Times New Roman" w:cs="Times New Roman"/>
          <w:sz w:val="24"/>
          <w:szCs w:val="24"/>
        </w:rPr>
        <w:t>S</w:t>
      </w:r>
      <w:r w:rsidR="00292D43">
        <w:rPr>
          <w:rFonts w:ascii="Times New Roman" w:hAnsi="Times New Roman" w:cs="Times New Roman"/>
          <w:sz w:val="24"/>
          <w:szCs w:val="24"/>
        </w:rPr>
        <w:t>.</w:t>
      </w:r>
      <w:r w:rsidRPr="00600B4C">
        <w:rPr>
          <w:rFonts w:ascii="Times New Roman" w:hAnsi="Times New Roman" w:cs="Times New Roman"/>
          <w:sz w:val="24"/>
          <w:szCs w:val="24"/>
        </w:rPr>
        <w:t>, Zambrano</w:t>
      </w:r>
      <w:r w:rsidR="00292D43">
        <w:rPr>
          <w:rFonts w:ascii="Times New Roman" w:hAnsi="Times New Roman" w:cs="Times New Roman"/>
          <w:sz w:val="24"/>
          <w:szCs w:val="24"/>
        </w:rPr>
        <w:t>,</w:t>
      </w:r>
      <w:r w:rsidRPr="00600B4C">
        <w:rPr>
          <w:rFonts w:ascii="Times New Roman" w:hAnsi="Times New Roman" w:cs="Times New Roman"/>
          <w:sz w:val="24"/>
          <w:szCs w:val="24"/>
        </w:rPr>
        <w:t xml:space="preserve"> M</w:t>
      </w:r>
      <w:r w:rsidR="00292D43">
        <w:rPr>
          <w:rFonts w:ascii="Times New Roman" w:hAnsi="Times New Roman" w:cs="Times New Roman"/>
          <w:sz w:val="24"/>
          <w:szCs w:val="24"/>
        </w:rPr>
        <w:t>.</w:t>
      </w:r>
      <w:r w:rsidRPr="00600B4C">
        <w:rPr>
          <w:rFonts w:ascii="Times New Roman" w:hAnsi="Times New Roman" w:cs="Times New Roman"/>
          <w:sz w:val="24"/>
          <w:szCs w:val="24"/>
        </w:rPr>
        <w:t>C</w:t>
      </w:r>
      <w:r w:rsidR="00292D43">
        <w:rPr>
          <w:rFonts w:ascii="Times New Roman" w:hAnsi="Times New Roman" w:cs="Times New Roman"/>
          <w:sz w:val="24"/>
          <w:szCs w:val="24"/>
        </w:rPr>
        <w:t>.</w:t>
      </w:r>
      <w:r w:rsidRPr="00600B4C">
        <w:rPr>
          <w:rFonts w:ascii="Times New Roman" w:hAnsi="Times New Roman" w:cs="Times New Roman"/>
          <w:sz w:val="24"/>
          <w:szCs w:val="24"/>
        </w:rPr>
        <w:t>, Haug</w:t>
      </w:r>
      <w:r w:rsidR="00292D43">
        <w:rPr>
          <w:rFonts w:ascii="Times New Roman" w:hAnsi="Times New Roman" w:cs="Times New Roman"/>
          <w:sz w:val="24"/>
          <w:szCs w:val="24"/>
        </w:rPr>
        <w:t>,</w:t>
      </w:r>
      <w:r w:rsidRPr="00600B4C">
        <w:rPr>
          <w:rFonts w:ascii="Times New Roman" w:hAnsi="Times New Roman" w:cs="Times New Roman"/>
          <w:sz w:val="24"/>
          <w:szCs w:val="24"/>
        </w:rPr>
        <w:t xml:space="preserve"> A</w:t>
      </w:r>
      <w:r w:rsidR="00292D43">
        <w:rPr>
          <w:rFonts w:ascii="Times New Roman" w:hAnsi="Times New Roman" w:cs="Times New Roman"/>
          <w:sz w:val="24"/>
          <w:szCs w:val="24"/>
        </w:rPr>
        <w:t>. and</w:t>
      </w:r>
      <w:r w:rsidRPr="00600B4C">
        <w:rPr>
          <w:rFonts w:ascii="Times New Roman" w:hAnsi="Times New Roman" w:cs="Times New Roman"/>
          <w:sz w:val="24"/>
          <w:szCs w:val="24"/>
        </w:rPr>
        <w:t xml:space="preserve"> Christophersen</w:t>
      </w:r>
      <w:r w:rsidR="00292D43">
        <w:rPr>
          <w:rFonts w:ascii="Times New Roman" w:hAnsi="Times New Roman" w:cs="Times New Roman"/>
          <w:sz w:val="24"/>
          <w:szCs w:val="24"/>
        </w:rPr>
        <w:t>,</w:t>
      </w:r>
      <w:r w:rsidRPr="00600B4C">
        <w:rPr>
          <w:rFonts w:ascii="Times New Roman" w:hAnsi="Times New Roman" w:cs="Times New Roman"/>
          <w:sz w:val="24"/>
          <w:szCs w:val="24"/>
        </w:rPr>
        <w:t xml:space="preserve"> O</w:t>
      </w:r>
      <w:r w:rsidR="00292D43">
        <w:rPr>
          <w:rFonts w:ascii="Times New Roman" w:hAnsi="Times New Roman" w:cs="Times New Roman"/>
          <w:sz w:val="24"/>
          <w:szCs w:val="24"/>
        </w:rPr>
        <w:t>.</w:t>
      </w:r>
      <w:r w:rsidRPr="00600B4C">
        <w:rPr>
          <w:rFonts w:ascii="Times New Roman" w:hAnsi="Times New Roman" w:cs="Times New Roman"/>
          <w:sz w:val="24"/>
          <w:szCs w:val="24"/>
        </w:rPr>
        <w:t>A</w:t>
      </w:r>
      <w:r w:rsidR="00292D43">
        <w:rPr>
          <w:rFonts w:ascii="Times New Roman" w:hAnsi="Times New Roman" w:cs="Times New Roman"/>
          <w:sz w:val="24"/>
          <w:szCs w:val="24"/>
        </w:rPr>
        <w:t>. 2014. Drumming up Selenium and S</w:t>
      </w:r>
      <w:r w:rsidRPr="00600B4C">
        <w:rPr>
          <w:rFonts w:ascii="Times New Roman" w:hAnsi="Times New Roman" w:cs="Times New Roman"/>
          <w:sz w:val="24"/>
          <w:szCs w:val="24"/>
        </w:rPr>
        <w:t>ulphur in Africa. In</w:t>
      </w:r>
      <w:r w:rsidR="00292D43">
        <w:rPr>
          <w:rFonts w:ascii="Times New Roman" w:hAnsi="Times New Roman" w:cs="Times New Roman"/>
          <w:sz w:val="24"/>
          <w:szCs w:val="24"/>
        </w:rPr>
        <w:t>:</w:t>
      </w:r>
      <w:r w:rsidRPr="00600B4C">
        <w:rPr>
          <w:rFonts w:ascii="Times New Roman" w:hAnsi="Times New Roman" w:cs="Times New Roman"/>
          <w:sz w:val="24"/>
          <w:szCs w:val="24"/>
        </w:rPr>
        <w:t xml:space="preserve"> </w:t>
      </w:r>
      <w:r w:rsidR="00292D43">
        <w:rPr>
          <w:rFonts w:ascii="Times New Roman" w:hAnsi="Times New Roman" w:cs="Times New Roman"/>
          <w:sz w:val="24"/>
          <w:szCs w:val="24"/>
        </w:rPr>
        <w:t xml:space="preserve">G. </w:t>
      </w:r>
      <w:r w:rsidRPr="00600B4C">
        <w:rPr>
          <w:rFonts w:ascii="Times New Roman" w:hAnsi="Times New Roman" w:cs="Times New Roman"/>
          <w:sz w:val="24"/>
          <w:szCs w:val="24"/>
        </w:rPr>
        <w:lastRenderedPageBreak/>
        <w:t xml:space="preserve">Banuelos, </w:t>
      </w:r>
      <w:r w:rsidR="00292D43">
        <w:rPr>
          <w:rFonts w:ascii="Times New Roman" w:hAnsi="Times New Roman" w:cs="Times New Roman"/>
          <w:sz w:val="24"/>
          <w:szCs w:val="24"/>
        </w:rPr>
        <w:t>Z-Q. Lin and</w:t>
      </w:r>
      <w:r w:rsidRPr="00600B4C">
        <w:rPr>
          <w:rFonts w:ascii="Times New Roman" w:hAnsi="Times New Roman" w:cs="Times New Roman"/>
          <w:sz w:val="24"/>
          <w:szCs w:val="24"/>
        </w:rPr>
        <w:t xml:space="preserve"> </w:t>
      </w:r>
      <w:r w:rsidR="00292D43">
        <w:rPr>
          <w:rFonts w:ascii="Times New Roman" w:hAnsi="Times New Roman" w:cs="Times New Roman"/>
          <w:sz w:val="24"/>
          <w:szCs w:val="24"/>
        </w:rPr>
        <w:t>Z. Yin (e</w:t>
      </w:r>
      <w:r w:rsidRPr="00600B4C">
        <w:rPr>
          <w:rFonts w:ascii="Times New Roman" w:hAnsi="Times New Roman" w:cs="Times New Roman"/>
          <w:sz w:val="24"/>
          <w:szCs w:val="24"/>
        </w:rPr>
        <w:t>ds</w:t>
      </w:r>
      <w:r w:rsidR="00292D43">
        <w:rPr>
          <w:rFonts w:ascii="Times New Roman" w:hAnsi="Times New Roman" w:cs="Times New Roman"/>
          <w:sz w:val="24"/>
          <w:szCs w:val="24"/>
        </w:rPr>
        <w:t>.</w:t>
      </w:r>
      <w:r w:rsidRPr="00600B4C">
        <w:rPr>
          <w:rFonts w:ascii="Times New Roman" w:hAnsi="Times New Roman" w:cs="Times New Roman"/>
          <w:sz w:val="24"/>
          <w:szCs w:val="24"/>
        </w:rPr>
        <w:t>)</w:t>
      </w:r>
      <w:r w:rsidR="00292D43">
        <w:rPr>
          <w:rFonts w:ascii="Times New Roman" w:hAnsi="Times New Roman" w:cs="Times New Roman"/>
          <w:sz w:val="24"/>
          <w:szCs w:val="24"/>
        </w:rPr>
        <w:t>,</w:t>
      </w:r>
      <w:r w:rsidRPr="00600B4C">
        <w:rPr>
          <w:rFonts w:ascii="Times New Roman" w:hAnsi="Times New Roman" w:cs="Times New Roman"/>
          <w:sz w:val="24"/>
          <w:szCs w:val="24"/>
        </w:rPr>
        <w:t xml:space="preserve"> </w:t>
      </w:r>
      <w:r w:rsidRPr="00292D43">
        <w:rPr>
          <w:rFonts w:ascii="Times New Roman" w:hAnsi="Times New Roman" w:cs="Times New Roman"/>
          <w:sz w:val="24"/>
          <w:szCs w:val="24"/>
        </w:rPr>
        <w:t>Selenium in the Environment and Human Health.</w:t>
      </w:r>
      <w:r w:rsidR="00272427">
        <w:rPr>
          <w:rFonts w:ascii="Times New Roman" w:hAnsi="Times New Roman" w:cs="Times New Roman"/>
          <w:sz w:val="24"/>
          <w:szCs w:val="24"/>
        </w:rPr>
        <w:t xml:space="preserve"> London: Taylor and</w:t>
      </w:r>
      <w:r w:rsidR="00292D43">
        <w:rPr>
          <w:rFonts w:ascii="Times New Roman" w:hAnsi="Times New Roman" w:cs="Times New Roman"/>
          <w:sz w:val="24"/>
          <w:szCs w:val="24"/>
        </w:rPr>
        <w:t xml:space="preserve"> Francis Group,</w:t>
      </w:r>
      <w:r w:rsidRPr="00600B4C">
        <w:rPr>
          <w:rFonts w:ascii="Times New Roman" w:hAnsi="Times New Roman" w:cs="Times New Roman"/>
          <w:sz w:val="24"/>
          <w:szCs w:val="24"/>
        </w:rPr>
        <w:t xml:space="preserve"> </w:t>
      </w:r>
      <w:r w:rsidR="000000B9">
        <w:rPr>
          <w:rFonts w:ascii="Times New Roman" w:hAnsi="Times New Roman" w:cs="Times New Roman"/>
          <w:sz w:val="24"/>
          <w:szCs w:val="24"/>
        </w:rPr>
        <w:t>London, pp 91-92.</w:t>
      </w:r>
    </w:p>
    <w:p w:rsidR="00893037" w:rsidRDefault="00893037" w:rsidP="00292D43">
      <w:pPr>
        <w:tabs>
          <w:tab w:val="num"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SPC 2010. NCD statistics for the Pacific Islands Countries and Territories. Secretariat of the Pacific Community, Noumea, New Caledonia.</w:t>
      </w:r>
    </w:p>
    <w:p w:rsidR="000000B9" w:rsidRDefault="000000B9" w:rsidP="00272427">
      <w:pPr>
        <w:autoSpaceDE w:val="0"/>
        <w:autoSpaceDN w:val="0"/>
        <w:adjustRightInd w:val="0"/>
        <w:spacing w:after="0" w:line="240" w:lineRule="auto"/>
        <w:ind w:left="340" w:hanging="340"/>
        <w:jc w:val="both"/>
        <w:rPr>
          <w:rFonts w:ascii="Times New Roman" w:hAnsi="Times New Roman" w:cs="Times New Roman"/>
          <w:sz w:val="24"/>
          <w:szCs w:val="24"/>
        </w:rPr>
      </w:pPr>
      <w:r>
        <w:rPr>
          <w:rFonts w:ascii="Times New Roman" w:hAnsi="Times New Roman" w:cs="Times New Roman"/>
          <w:sz w:val="24"/>
          <w:szCs w:val="24"/>
        </w:rPr>
        <w:t>SPC 2012. Green leaves leaflet No. 8. Secretariat of the Pacific Community, Noumea, New Caledonia.</w:t>
      </w:r>
    </w:p>
    <w:p w:rsidR="006F644C" w:rsidRDefault="006F644C" w:rsidP="00292D43">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Taylor, M., Kambuou, R., Lyons, G., Hunter, D., Morgan, E., Quartermai</w:t>
      </w:r>
      <w:r w:rsidR="008B0ECF">
        <w:rPr>
          <w:rFonts w:ascii="Times New Roman" w:hAnsi="Times New Roman" w:cs="Times New Roman"/>
          <w:sz w:val="24"/>
          <w:szCs w:val="24"/>
        </w:rPr>
        <w:t>n, A., Lorens, A., Hadosaia, C.</w:t>
      </w:r>
      <w:r w:rsidR="00DD1AFD">
        <w:rPr>
          <w:rFonts w:ascii="Times New Roman" w:hAnsi="Times New Roman" w:cs="Times New Roman"/>
          <w:sz w:val="24"/>
          <w:szCs w:val="24"/>
        </w:rPr>
        <w:t xml:space="preserve"> </w:t>
      </w:r>
      <w:r w:rsidR="008B0ECF">
        <w:rPr>
          <w:rFonts w:ascii="Times New Roman" w:hAnsi="Times New Roman" w:cs="Times New Roman"/>
          <w:sz w:val="24"/>
          <w:szCs w:val="24"/>
        </w:rPr>
        <w:t>and</w:t>
      </w:r>
      <w:r>
        <w:rPr>
          <w:rFonts w:ascii="Times New Roman" w:hAnsi="Times New Roman" w:cs="Times New Roman"/>
          <w:sz w:val="24"/>
          <w:szCs w:val="24"/>
        </w:rPr>
        <w:t xml:space="preserve"> Robert, N. 2014. Realizing the potential of indigenous vegetables through improved germplasm information and seed systems.</w:t>
      </w:r>
      <w:r w:rsidR="00272427">
        <w:rPr>
          <w:rFonts w:ascii="Times New Roman" w:hAnsi="Times New Roman" w:cs="Times New Roman"/>
          <w:sz w:val="24"/>
          <w:szCs w:val="24"/>
        </w:rPr>
        <w:t xml:space="preserve"> Acta Hort. (in p</w:t>
      </w:r>
      <w:r w:rsidR="00955D17">
        <w:rPr>
          <w:rFonts w:ascii="Times New Roman" w:hAnsi="Times New Roman" w:cs="Times New Roman"/>
          <w:sz w:val="24"/>
          <w:szCs w:val="24"/>
        </w:rPr>
        <w:t>ress</w:t>
      </w:r>
      <w:r w:rsidR="00272427">
        <w:rPr>
          <w:rFonts w:ascii="Times New Roman" w:hAnsi="Times New Roman" w:cs="Times New Roman"/>
          <w:sz w:val="24"/>
          <w:szCs w:val="24"/>
        </w:rPr>
        <w:t>)</w:t>
      </w:r>
      <w:r w:rsidR="00955D17">
        <w:rPr>
          <w:rFonts w:ascii="Times New Roman" w:hAnsi="Times New Roman" w:cs="Times New Roman"/>
          <w:sz w:val="24"/>
          <w:szCs w:val="24"/>
        </w:rPr>
        <w:t>.</w:t>
      </w:r>
    </w:p>
    <w:p w:rsidR="00204F3E" w:rsidRDefault="00204F3E" w:rsidP="00292D43">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WHO 2004. Pacific Islanders pay heavy price for abandoning trad</w:t>
      </w:r>
      <w:r w:rsidR="00635B7B">
        <w:rPr>
          <w:rFonts w:ascii="Times New Roman" w:hAnsi="Times New Roman" w:cs="Times New Roman"/>
          <w:sz w:val="24"/>
          <w:szCs w:val="24"/>
        </w:rPr>
        <w:t>itional diet. WHO Bulletin 88</w:t>
      </w:r>
      <w:r>
        <w:rPr>
          <w:rFonts w:ascii="Times New Roman" w:hAnsi="Times New Roman" w:cs="Times New Roman"/>
          <w:sz w:val="24"/>
          <w:szCs w:val="24"/>
        </w:rPr>
        <w:t>:484-485.</w:t>
      </w:r>
    </w:p>
    <w:p w:rsidR="00667976" w:rsidRPr="00272427" w:rsidRDefault="00667976" w:rsidP="00751B86">
      <w:pPr>
        <w:autoSpaceDE w:val="0"/>
        <w:autoSpaceDN w:val="0"/>
        <w:adjustRightInd w:val="0"/>
        <w:spacing w:after="0" w:line="240" w:lineRule="auto"/>
        <w:rPr>
          <w:rFonts w:ascii="Times New Roman" w:hAnsi="Times New Roman" w:cs="Times New Roman"/>
          <w:bCs/>
          <w:sz w:val="24"/>
          <w:szCs w:val="24"/>
        </w:rPr>
      </w:pPr>
    </w:p>
    <w:p w:rsidR="00751B86" w:rsidRPr="001C2067" w:rsidRDefault="00751B86" w:rsidP="00751B86">
      <w:pPr>
        <w:autoSpaceDE w:val="0"/>
        <w:autoSpaceDN w:val="0"/>
        <w:adjustRightInd w:val="0"/>
        <w:spacing w:after="0" w:line="240" w:lineRule="auto"/>
        <w:rPr>
          <w:rFonts w:ascii="Times New Roman" w:hAnsi="Times New Roman" w:cs="Times New Roman"/>
          <w:b/>
          <w:bCs/>
          <w:sz w:val="24"/>
          <w:szCs w:val="24"/>
          <w:u w:val="single"/>
        </w:rPr>
      </w:pPr>
      <w:r w:rsidRPr="001C2067">
        <w:rPr>
          <w:rFonts w:ascii="Times New Roman" w:hAnsi="Times New Roman" w:cs="Times New Roman"/>
          <w:b/>
          <w:bCs/>
          <w:sz w:val="24"/>
          <w:szCs w:val="24"/>
          <w:u w:val="single"/>
        </w:rPr>
        <w:t>Tables</w:t>
      </w:r>
    </w:p>
    <w:p w:rsidR="001C2067" w:rsidRDefault="001C2067" w:rsidP="00751B86">
      <w:pPr>
        <w:autoSpaceDE w:val="0"/>
        <w:autoSpaceDN w:val="0"/>
        <w:adjustRightInd w:val="0"/>
        <w:spacing w:after="0" w:line="240" w:lineRule="auto"/>
        <w:rPr>
          <w:rFonts w:ascii="Times New Roman" w:hAnsi="Times New Roman" w:cs="Times New Roman"/>
          <w:b/>
          <w:bCs/>
          <w:sz w:val="24"/>
          <w:szCs w:val="24"/>
        </w:rPr>
      </w:pPr>
    </w:p>
    <w:p w:rsidR="001C2067" w:rsidRDefault="001C2067" w:rsidP="00635B7B">
      <w:pPr>
        <w:autoSpaceDE w:val="0"/>
        <w:autoSpaceDN w:val="0"/>
        <w:adjustRightInd w:val="0"/>
        <w:spacing w:after="0" w:line="240" w:lineRule="auto"/>
        <w:ind w:left="426" w:hanging="426"/>
        <w:jc w:val="both"/>
        <w:rPr>
          <w:rFonts w:ascii="Times New Roman" w:hAnsi="Times New Roman" w:cs="Times New Roman"/>
          <w:bCs/>
          <w:sz w:val="24"/>
          <w:szCs w:val="24"/>
        </w:rPr>
      </w:pPr>
      <w:r w:rsidRPr="001C2067">
        <w:rPr>
          <w:rFonts w:ascii="Times New Roman" w:hAnsi="Times New Roman" w:cs="Times New Roman"/>
          <w:bCs/>
          <w:sz w:val="24"/>
          <w:szCs w:val="24"/>
        </w:rPr>
        <w:t xml:space="preserve">Table 1. </w:t>
      </w:r>
      <w:r w:rsidR="000E1AE8">
        <w:rPr>
          <w:rFonts w:ascii="Times New Roman" w:hAnsi="Times New Roman" w:cs="Times New Roman"/>
          <w:bCs/>
          <w:sz w:val="24"/>
          <w:szCs w:val="24"/>
        </w:rPr>
        <w:t>Effect of species on conc</w:t>
      </w:r>
      <w:r w:rsidR="005276CD">
        <w:rPr>
          <w:rFonts w:ascii="Times New Roman" w:hAnsi="Times New Roman" w:cs="Times New Roman"/>
          <w:bCs/>
          <w:sz w:val="24"/>
          <w:szCs w:val="24"/>
        </w:rPr>
        <w:t>entration of a micronutrient (zinc) and a macronutrient (magnesium</w:t>
      </w:r>
      <w:r w:rsidR="000E1AE8">
        <w:rPr>
          <w:rFonts w:ascii="Times New Roman" w:hAnsi="Times New Roman" w:cs="Times New Roman"/>
          <w:bCs/>
          <w:sz w:val="24"/>
          <w:szCs w:val="24"/>
        </w:rPr>
        <w:t>) in leaves of leafy vegetables grown together at Burns Creek, Guadalcanal, Solomon Islands</w:t>
      </w:r>
      <w:r w:rsidR="00FD7465">
        <w:rPr>
          <w:rFonts w:ascii="Times New Roman" w:hAnsi="Times New Roman" w:cs="Times New Roman"/>
          <w:bCs/>
          <w:sz w:val="24"/>
          <w:szCs w:val="24"/>
        </w:rPr>
        <w:t xml:space="preserve"> in 2012.</w:t>
      </w:r>
    </w:p>
    <w:p w:rsidR="002228B4" w:rsidRDefault="002228B4" w:rsidP="005276CD">
      <w:pPr>
        <w:autoSpaceDE w:val="0"/>
        <w:autoSpaceDN w:val="0"/>
        <w:adjustRightInd w:val="0"/>
        <w:spacing w:after="0" w:line="240" w:lineRule="auto"/>
        <w:jc w:val="both"/>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984"/>
        <w:gridCol w:w="1276"/>
        <w:gridCol w:w="284"/>
      </w:tblGrid>
      <w:tr w:rsidR="0076543C" w:rsidTr="002228B4">
        <w:tc>
          <w:tcPr>
            <w:tcW w:w="4361" w:type="dxa"/>
            <w:tcBorders>
              <w:top w:val="single" w:sz="4" w:space="0" w:color="auto"/>
            </w:tcBorders>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Species</w:t>
            </w:r>
          </w:p>
        </w:tc>
        <w:tc>
          <w:tcPr>
            <w:tcW w:w="3260" w:type="dxa"/>
            <w:gridSpan w:val="2"/>
            <w:tcBorders>
              <w:top w:val="single" w:sz="4" w:space="0" w:color="auto"/>
            </w:tcBorders>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Mineral nutrient (mg/kg DW)</w:t>
            </w:r>
          </w:p>
        </w:tc>
        <w:tc>
          <w:tcPr>
            <w:tcW w:w="284" w:type="dxa"/>
            <w:tcBorders>
              <w:top w:val="single" w:sz="4" w:space="0" w:color="auto"/>
            </w:tcBorders>
          </w:tcPr>
          <w:p w:rsidR="0076543C" w:rsidRDefault="0076543C" w:rsidP="00751B86">
            <w:pPr>
              <w:autoSpaceDE w:val="0"/>
              <w:autoSpaceDN w:val="0"/>
              <w:adjustRightInd w:val="0"/>
              <w:rPr>
                <w:rFonts w:ascii="Times New Roman" w:hAnsi="Times New Roman" w:cs="Times New Roman"/>
                <w:bCs/>
                <w:sz w:val="24"/>
                <w:szCs w:val="24"/>
              </w:rPr>
            </w:pPr>
          </w:p>
        </w:tc>
      </w:tr>
      <w:tr w:rsidR="0076543C" w:rsidTr="002228B4">
        <w:tc>
          <w:tcPr>
            <w:tcW w:w="4361" w:type="dxa"/>
            <w:tcBorders>
              <w:bottom w:val="single" w:sz="4" w:space="0" w:color="auto"/>
            </w:tcBorders>
          </w:tcPr>
          <w:p w:rsidR="0076543C" w:rsidRDefault="0076543C" w:rsidP="00751B86">
            <w:pPr>
              <w:autoSpaceDE w:val="0"/>
              <w:autoSpaceDN w:val="0"/>
              <w:adjustRightInd w:val="0"/>
              <w:rPr>
                <w:rFonts w:ascii="Times New Roman" w:hAnsi="Times New Roman" w:cs="Times New Roman"/>
                <w:bCs/>
                <w:sz w:val="24"/>
                <w:szCs w:val="24"/>
              </w:rPr>
            </w:pPr>
          </w:p>
        </w:tc>
        <w:tc>
          <w:tcPr>
            <w:tcW w:w="1984" w:type="dxa"/>
            <w:tcBorders>
              <w:bottom w:val="single" w:sz="4" w:space="0" w:color="auto"/>
            </w:tcBorders>
          </w:tcPr>
          <w:p w:rsidR="0076543C" w:rsidRPr="000A11BB" w:rsidRDefault="0036711C" w:rsidP="00751B86">
            <w:pPr>
              <w:autoSpaceDE w:val="0"/>
              <w:autoSpaceDN w:val="0"/>
              <w:adjustRightInd w:val="0"/>
              <w:rPr>
                <w:rFonts w:ascii="Times New Roman" w:hAnsi="Times New Roman" w:cs="Times New Roman"/>
                <w:bCs/>
                <w:sz w:val="24"/>
                <w:szCs w:val="24"/>
                <w:u w:val="single"/>
              </w:rPr>
            </w:pPr>
            <w:r>
              <w:rPr>
                <w:rFonts w:ascii="Times New Roman" w:hAnsi="Times New Roman" w:cs="Times New Roman"/>
                <w:bCs/>
                <w:sz w:val="24"/>
                <w:szCs w:val="24"/>
                <w:u w:val="single"/>
              </w:rPr>
              <w:t>Zinc</w:t>
            </w:r>
          </w:p>
        </w:tc>
        <w:tc>
          <w:tcPr>
            <w:tcW w:w="1560" w:type="dxa"/>
            <w:gridSpan w:val="2"/>
            <w:tcBorders>
              <w:bottom w:val="single" w:sz="4" w:space="0" w:color="auto"/>
            </w:tcBorders>
          </w:tcPr>
          <w:p w:rsidR="0076543C" w:rsidRPr="000A11BB" w:rsidRDefault="0036711C" w:rsidP="00751B86">
            <w:pPr>
              <w:autoSpaceDE w:val="0"/>
              <w:autoSpaceDN w:val="0"/>
              <w:adjustRightInd w:val="0"/>
              <w:rPr>
                <w:rFonts w:ascii="Times New Roman" w:hAnsi="Times New Roman" w:cs="Times New Roman"/>
                <w:bCs/>
                <w:sz w:val="24"/>
                <w:szCs w:val="24"/>
                <w:u w:val="single"/>
              </w:rPr>
            </w:pPr>
            <w:r>
              <w:rPr>
                <w:rFonts w:ascii="Times New Roman" w:hAnsi="Times New Roman" w:cs="Times New Roman"/>
                <w:bCs/>
                <w:sz w:val="24"/>
                <w:szCs w:val="24"/>
                <w:u w:val="single"/>
              </w:rPr>
              <w:t>Magnesium</w:t>
            </w:r>
          </w:p>
        </w:tc>
      </w:tr>
      <w:tr w:rsidR="0076543C" w:rsidTr="002228B4">
        <w:tc>
          <w:tcPr>
            <w:tcW w:w="4361" w:type="dxa"/>
            <w:tcBorders>
              <w:top w:val="single" w:sz="4" w:space="0" w:color="auto"/>
            </w:tcBorders>
          </w:tcPr>
          <w:p w:rsidR="0076543C" w:rsidRDefault="004F4A10"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i/>
                <w:sz w:val="24"/>
                <w:szCs w:val="24"/>
              </w:rPr>
              <w:t xml:space="preserve">Lactuca sp. </w:t>
            </w:r>
            <w:r>
              <w:rPr>
                <w:rFonts w:ascii="Times New Roman" w:hAnsi="Times New Roman" w:cs="Times New Roman"/>
                <w:bCs/>
                <w:sz w:val="24"/>
                <w:szCs w:val="24"/>
              </w:rPr>
              <w:t>(l</w:t>
            </w:r>
            <w:r w:rsidR="0076543C">
              <w:rPr>
                <w:rFonts w:ascii="Times New Roman" w:hAnsi="Times New Roman" w:cs="Times New Roman"/>
                <w:bCs/>
                <w:sz w:val="24"/>
                <w:szCs w:val="24"/>
              </w:rPr>
              <w:t>ettuce</w:t>
            </w:r>
            <w:r>
              <w:rPr>
                <w:rFonts w:ascii="Times New Roman" w:hAnsi="Times New Roman" w:cs="Times New Roman"/>
                <w:bCs/>
                <w:sz w:val="24"/>
                <w:szCs w:val="24"/>
              </w:rPr>
              <w:t>)</w:t>
            </w:r>
          </w:p>
        </w:tc>
        <w:tc>
          <w:tcPr>
            <w:tcW w:w="1984" w:type="dxa"/>
            <w:tcBorders>
              <w:top w:val="single" w:sz="4" w:space="0" w:color="auto"/>
            </w:tcBorders>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20</w:t>
            </w:r>
          </w:p>
        </w:tc>
        <w:tc>
          <w:tcPr>
            <w:tcW w:w="1560" w:type="dxa"/>
            <w:gridSpan w:val="2"/>
            <w:tcBorders>
              <w:top w:val="single" w:sz="4" w:space="0" w:color="auto"/>
            </w:tcBorders>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3300</w:t>
            </w:r>
          </w:p>
        </w:tc>
      </w:tr>
      <w:tr w:rsidR="0076543C" w:rsidTr="002228B4">
        <w:tc>
          <w:tcPr>
            <w:tcW w:w="4361" w:type="dxa"/>
          </w:tcPr>
          <w:p w:rsidR="0076543C" w:rsidRDefault="005276CD"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w:t>
            </w:r>
            <w:r w:rsidR="0076543C">
              <w:rPr>
                <w:rFonts w:ascii="Times New Roman" w:hAnsi="Times New Roman" w:cs="Times New Roman"/>
                <w:bCs/>
                <w:sz w:val="24"/>
                <w:szCs w:val="24"/>
              </w:rPr>
              <w:t>weet potato</w:t>
            </w:r>
          </w:p>
        </w:tc>
        <w:tc>
          <w:tcPr>
            <w:tcW w:w="1984" w:type="dxa"/>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29</w:t>
            </w:r>
          </w:p>
        </w:tc>
        <w:tc>
          <w:tcPr>
            <w:tcW w:w="1560" w:type="dxa"/>
            <w:gridSpan w:val="2"/>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2400</w:t>
            </w:r>
          </w:p>
        </w:tc>
      </w:tr>
      <w:tr w:rsidR="0076543C" w:rsidTr="002228B4">
        <w:tc>
          <w:tcPr>
            <w:tcW w:w="4361" w:type="dxa"/>
          </w:tcPr>
          <w:p w:rsidR="0076543C" w:rsidRDefault="005276CD"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w:t>
            </w:r>
            <w:r w:rsidR="0076543C">
              <w:rPr>
                <w:rFonts w:ascii="Times New Roman" w:hAnsi="Times New Roman" w:cs="Times New Roman"/>
                <w:bCs/>
                <w:sz w:val="24"/>
                <w:szCs w:val="24"/>
              </w:rPr>
              <w:t>ibika</w:t>
            </w:r>
          </w:p>
        </w:tc>
        <w:tc>
          <w:tcPr>
            <w:tcW w:w="1984" w:type="dxa"/>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32</w:t>
            </w:r>
          </w:p>
        </w:tc>
        <w:tc>
          <w:tcPr>
            <w:tcW w:w="1560" w:type="dxa"/>
            <w:gridSpan w:val="2"/>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4700</w:t>
            </w:r>
          </w:p>
        </w:tc>
      </w:tr>
      <w:tr w:rsidR="0076543C" w:rsidTr="002228B4">
        <w:tc>
          <w:tcPr>
            <w:tcW w:w="4361" w:type="dxa"/>
          </w:tcPr>
          <w:p w:rsidR="0076543C" w:rsidRDefault="005276CD"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C</w:t>
            </w:r>
            <w:r w:rsidR="0076543C">
              <w:rPr>
                <w:rFonts w:ascii="Times New Roman" w:hAnsi="Times New Roman" w:cs="Times New Roman"/>
                <w:bCs/>
                <w:sz w:val="24"/>
                <w:szCs w:val="24"/>
              </w:rPr>
              <w:t>assava</w:t>
            </w:r>
          </w:p>
        </w:tc>
        <w:tc>
          <w:tcPr>
            <w:tcW w:w="1984" w:type="dxa"/>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40</w:t>
            </w:r>
          </w:p>
        </w:tc>
        <w:tc>
          <w:tcPr>
            <w:tcW w:w="1560" w:type="dxa"/>
            <w:gridSpan w:val="2"/>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2300</w:t>
            </w:r>
          </w:p>
        </w:tc>
      </w:tr>
      <w:tr w:rsidR="0076543C" w:rsidTr="002228B4">
        <w:tc>
          <w:tcPr>
            <w:tcW w:w="4361" w:type="dxa"/>
          </w:tcPr>
          <w:p w:rsidR="0076543C" w:rsidRDefault="005276CD"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O</w:t>
            </w:r>
            <w:r w:rsidR="0076543C">
              <w:rPr>
                <w:rFonts w:ascii="Times New Roman" w:hAnsi="Times New Roman" w:cs="Times New Roman"/>
                <w:bCs/>
                <w:sz w:val="24"/>
                <w:szCs w:val="24"/>
              </w:rPr>
              <w:t>fenga</w:t>
            </w:r>
          </w:p>
        </w:tc>
        <w:tc>
          <w:tcPr>
            <w:tcW w:w="1984" w:type="dxa"/>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46</w:t>
            </w:r>
          </w:p>
        </w:tc>
        <w:tc>
          <w:tcPr>
            <w:tcW w:w="1560" w:type="dxa"/>
            <w:gridSpan w:val="2"/>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16000</w:t>
            </w:r>
          </w:p>
        </w:tc>
      </w:tr>
      <w:tr w:rsidR="0076543C" w:rsidTr="002228B4">
        <w:tc>
          <w:tcPr>
            <w:tcW w:w="4361" w:type="dxa"/>
          </w:tcPr>
          <w:p w:rsidR="0076543C" w:rsidRDefault="005276CD"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w:t>
            </w:r>
            <w:r w:rsidR="0076543C">
              <w:rPr>
                <w:rFonts w:ascii="Times New Roman" w:hAnsi="Times New Roman" w:cs="Times New Roman"/>
                <w:bCs/>
                <w:sz w:val="24"/>
                <w:szCs w:val="24"/>
              </w:rPr>
              <w:t>weetleaf</w:t>
            </w:r>
          </w:p>
        </w:tc>
        <w:tc>
          <w:tcPr>
            <w:tcW w:w="1984" w:type="dxa"/>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61</w:t>
            </w:r>
          </w:p>
        </w:tc>
        <w:tc>
          <w:tcPr>
            <w:tcW w:w="1560" w:type="dxa"/>
            <w:gridSpan w:val="2"/>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6500</w:t>
            </w:r>
          </w:p>
        </w:tc>
      </w:tr>
      <w:tr w:rsidR="004F4A10" w:rsidTr="002228B4">
        <w:tc>
          <w:tcPr>
            <w:tcW w:w="4361" w:type="dxa"/>
          </w:tcPr>
          <w:p w:rsidR="004F4A10" w:rsidRDefault="004F4A10" w:rsidP="00751B86">
            <w:pPr>
              <w:autoSpaceDE w:val="0"/>
              <w:autoSpaceDN w:val="0"/>
              <w:adjustRightInd w:val="0"/>
              <w:rPr>
                <w:rFonts w:ascii="Times New Roman" w:hAnsi="Times New Roman" w:cs="Times New Roman"/>
                <w:bCs/>
                <w:i/>
                <w:sz w:val="24"/>
                <w:szCs w:val="24"/>
              </w:rPr>
            </w:pPr>
          </w:p>
        </w:tc>
        <w:tc>
          <w:tcPr>
            <w:tcW w:w="1984" w:type="dxa"/>
          </w:tcPr>
          <w:p w:rsidR="004F4A10" w:rsidRDefault="004F4A10" w:rsidP="00751B86">
            <w:pPr>
              <w:autoSpaceDE w:val="0"/>
              <w:autoSpaceDN w:val="0"/>
              <w:adjustRightInd w:val="0"/>
              <w:rPr>
                <w:rFonts w:ascii="Times New Roman" w:hAnsi="Times New Roman" w:cs="Times New Roman"/>
                <w:bCs/>
                <w:sz w:val="24"/>
                <w:szCs w:val="24"/>
              </w:rPr>
            </w:pPr>
          </w:p>
        </w:tc>
        <w:tc>
          <w:tcPr>
            <w:tcW w:w="1560" w:type="dxa"/>
            <w:gridSpan w:val="2"/>
          </w:tcPr>
          <w:p w:rsidR="004F4A10" w:rsidRDefault="004F4A10" w:rsidP="00751B86">
            <w:pPr>
              <w:autoSpaceDE w:val="0"/>
              <w:autoSpaceDN w:val="0"/>
              <w:adjustRightInd w:val="0"/>
              <w:rPr>
                <w:rFonts w:ascii="Times New Roman" w:hAnsi="Times New Roman" w:cs="Times New Roman"/>
                <w:bCs/>
                <w:sz w:val="24"/>
                <w:szCs w:val="24"/>
              </w:rPr>
            </w:pPr>
          </w:p>
        </w:tc>
      </w:tr>
      <w:tr w:rsidR="0076543C" w:rsidTr="002228B4">
        <w:tc>
          <w:tcPr>
            <w:tcW w:w="4361" w:type="dxa"/>
            <w:tcBorders>
              <w:bottom w:val="single" w:sz="4" w:space="0" w:color="auto"/>
            </w:tcBorders>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Variation</w:t>
            </w:r>
          </w:p>
        </w:tc>
        <w:tc>
          <w:tcPr>
            <w:tcW w:w="1984" w:type="dxa"/>
            <w:tcBorders>
              <w:bottom w:val="single" w:sz="4" w:space="0" w:color="auto"/>
            </w:tcBorders>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3-fold</w:t>
            </w:r>
          </w:p>
        </w:tc>
        <w:tc>
          <w:tcPr>
            <w:tcW w:w="1560" w:type="dxa"/>
            <w:gridSpan w:val="2"/>
            <w:tcBorders>
              <w:bottom w:val="single" w:sz="4" w:space="0" w:color="auto"/>
            </w:tcBorders>
          </w:tcPr>
          <w:p w:rsidR="0076543C" w:rsidRDefault="0076543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7-fold</w:t>
            </w:r>
          </w:p>
        </w:tc>
      </w:tr>
    </w:tbl>
    <w:p w:rsidR="00667976" w:rsidRDefault="00667976" w:rsidP="00751B86">
      <w:pPr>
        <w:autoSpaceDE w:val="0"/>
        <w:autoSpaceDN w:val="0"/>
        <w:adjustRightInd w:val="0"/>
        <w:spacing w:after="0" w:line="240" w:lineRule="auto"/>
        <w:rPr>
          <w:rFonts w:ascii="Times New Roman" w:hAnsi="Times New Roman" w:cs="Times New Roman"/>
          <w:bCs/>
          <w:sz w:val="24"/>
          <w:szCs w:val="24"/>
        </w:rPr>
      </w:pPr>
    </w:p>
    <w:p w:rsidR="00667976" w:rsidRDefault="00667976" w:rsidP="00751B86">
      <w:pPr>
        <w:autoSpaceDE w:val="0"/>
        <w:autoSpaceDN w:val="0"/>
        <w:adjustRightInd w:val="0"/>
        <w:spacing w:after="0" w:line="240" w:lineRule="auto"/>
        <w:rPr>
          <w:rFonts w:ascii="Times New Roman" w:hAnsi="Times New Roman" w:cs="Times New Roman"/>
          <w:bCs/>
          <w:sz w:val="24"/>
          <w:szCs w:val="24"/>
        </w:rPr>
      </w:pPr>
    </w:p>
    <w:p w:rsidR="0076543C" w:rsidRDefault="000A11BB" w:rsidP="009C0D82">
      <w:pPr>
        <w:autoSpaceDE w:val="0"/>
        <w:autoSpaceDN w:val="0"/>
        <w:adjustRightInd w:val="0"/>
        <w:spacing w:after="0" w:line="240" w:lineRule="auto"/>
        <w:ind w:left="426" w:hanging="426"/>
        <w:rPr>
          <w:rFonts w:ascii="Times New Roman" w:hAnsi="Times New Roman" w:cs="Times New Roman"/>
          <w:bCs/>
          <w:sz w:val="24"/>
          <w:szCs w:val="24"/>
        </w:rPr>
      </w:pPr>
      <w:r>
        <w:rPr>
          <w:rFonts w:ascii="Times New Roman" w:hAnsi="Times New Roman" w:cs="Times New Roman"/>
          <w:bCs/>
          <w:sz w:val="24"/>
          <w:szCs w:val="24"/>
        </w:rPr>
        <w:t xml:space="preserve">Table 2. </w:t>
      </w:r>
      <w:r w:rsidR="004F4A10">
        <w:rPr>
          <w:rFonts w:ascii="Times New Roman" w:hAnsi="Times New Roman" w:cs="Times New Roman"/>
          <w:bCs/>
          <w:sz w:val="24"/>
          <w:szCs w:val="24"/>
        </w:rPr>
        <w:t>Selected mineral nutrients</w:t>
      </w:r>
      <w:r w:rsidR="0036711C">
        <w:rPr>
          <w:rFonts w:ascii="Times New Roman" w:hAnsi="Times New Roman" w:cs="Times New Roman"/>
          <w:bCs/>
          <w:sz w:val="24"/>
          <w:szCs w:val="24"/>
        </w:rPr>
        <w:t xml:space="preserve"> and th</w:t>
      </w:r>
      <w:r w:rsidR="00FD7465">
        <w:rPr>
          <w:rFonts w:ascii="Times New Roman" w:hAnsi="Times New Roman" w:cs="Times New Roman"/>
          <w:bCs/>
          <w:sz w:val="24"/>
          <w:szCs w:val="24"/>
        </w:rPr>
        <w:t>e leafy vegetable species found</w:t>
      </w:r>
      <w:r w:rsidR="0036711C">
        <w:rPr>
          <w:rFonts w:ascii="Times New Roman" w:hAnsi="Times New Roman" w:cs="Times New Roman"/>
          <w:bCs/>
          <w:sz w:val="24"/>
          <w:szCs w:val="24"/>
        </w:rPr>
        <w:t xml:space="preserve"> </w:t>
      </w:r>
      <w:r w:rsidR="00FD7465">
        <w:rPr>
          <w:rFonts w:ascii="Times New Roman" w:hAnsi="Times New Roman" w:cs="Times New Roman"/>
          <w:bCs/>
          <w:sz w:val="24"/>
          <w:szCs w:val="24"/>
        </w:rPr>
        <w:t>(</w:t>
      </w:r>
      <w:r w:rsidR="0036711C">
        <w:rPr>
          <w:rFonts w:ascii="Times New Roman" w:hAnsi="Times New Roman" w:cs="Times New Roman"/>
          <w:bCs/>
          <w:sz w:val="24"/>
          <w:szCs w:val="24"/>
        </w:rPr>
        <w:t>u</w:t>
      </w:r>
      <w:r w:rsidR="00FD7465">
        <w:rPr>
          <w:rFonts w:ascii="Times New Roman" w:hAnsi="Times New Roman" w:cs="Times New Roman"/>
          <w:bCs/>
          <w:sz w:val="24"/>
          <w:szCs w:val="24"/>
        </w:rPr>
        <w:t>sing opportunistic GxE analysis)</w:t>
      </w:r>
      <w:r w:rsidR="00667976">
        <w:rPr>
          <w:rFonts w:ascii="Times New Roman" w:hAnsi="Times New Roman" w:cs="Times New Roman"/>
          <w:bCs/>
          <w:sz w:val="24"/>
          <w:szCs w:val="24"/>
        </w:rPr>
        <w:t xml:space="preserve"> in this study to be the most efficient</w:t>
      </w:r>
      <w:r w:rsidR="0036711C">
        <w:rPr>
          <w:rFonts w:ascii="Times New Roman" w:hAnsi="Times New Roman" w:cs="Times New Roman"/>
          <w:bCs/>
          <w:sz w:val="24"/>
          <w:szCs w:val="24"/>
        </w:rPr>
        <w:t xml:space="preserve"> accumulators of the</w:t>
      </w:r>
      <w:r w:rsidR="00FD7465">
        <w:rPr>
          <w:rFonts w:ascii="Times New Roman" w:hAnsi="Times New Roman" w:cs="Times New Roman"/>
          <w:bCs/>
          <w:sz w:val="24"/>
          <w:szCs w:val="24"/>
        </w:rPr>
        <w:t>se</w:t>
      </w:r>
      <w:r w:rsidR="0036711C">
        <w:rPr>
          <w:rFonts w:ascii="Times New Roman" w:hAnsi="Times New Roman" w:cs="Times New Roman"/>
          <w:bCs/>
          <w:sz w:val="24"/>
          <w:szCs w:val="24"/>
        </w:rPr>
        <w:t xml:space="preserve"> miner</w:t>
      </w:r>
      <w:r w:rsidR="005276CD">
        <w:rPr>
          <w:rFonts w:ascii="Times New Roman" w:hAnsi="Times New Roman" w:cs="Times New Roman"/>
          <w:bCs/>
          <w:sz w:val="24"/>
          <w:szCs w:val="24"/>
        </w:rPr>
        <w:t>als in leaves. S</w:t>
      </w:r>
      <w:r w:rsidR="0036711C">
        <w:rPr>
          <w:rFonts w:ascii="Times New Roman" w:hAnsi="Times New Roman" w:cs="Times New Roman"/>
          <w:bCs/>
          <w:sz w:val="24"/>
          <w:szCs w:val="24"/>
        </w:rPr>
        <w:t>elenium is a micronutrient for humans, animals and algae but not for higher plants.</w:t>
      </w:r>
      <w:r w:rsidR="00FD7465">
        <w:rPr>
          <w:rFonts w:ascii="Times New Roman" w:hAnsi="Times New Roman" w:cs="Times New Roman"/>
          <w:bCs/>
          <w:sz w:val="24"/>
          <w:szCs w:val="24"/>
        </w:rPr>
        <w:t xml:space="preserve"> Samples collected from v</w:t>
      </w:r>
      <w:r w:rsidR="001F3204">
        <w:rPr>
          <w:rFonts w:ascii="Times New Roman" w:hAnsi="Times New Roman" w:cs="Times New Roman"/>
          <w:bCs/>
          <w:sz w:val="24"/>
          <w:szCs w:val="24"/>
        </w:rPr>
        <w:t>arious locations in</w:t>
      </w:r>
      <w:r w:rsidR="00FD7465">
        <w:rPr>
          <w:rFonts w:ascii="Times New Roman" w:hAnsi="Times New Roman" w:cs="Times New Roman"/>
          <w:bCs/>
          <w:sz w:val="24"/>
          <w:szCs w:val="24"/>
        </w:rPr>
        <w:t xml:space="preserve"> Solomon Islands</w:t>
      </w:r>
      <w:r w:rsidR="001F3204">
        <w:rPr>
          <w:rFonts w:ascii="Times New Roman" w:hAnsi="Times New Roman" w:cs="Times New Roman"/>
          <w:bCs/>
          <w:sz w:val="24"/>
          <w:szCs w:val="24"/>
        </w:rPr>
        <w:t>, Samoa, Tonga, North Queensland and Torres Strait Islands in 2012.</w:t>
      </w:r>
    </w:p>
    <w:p w:rsidR="0076543C" w:rsidRDefault="0076543C" w:rsidP="00751B86">
      <w:pPr>
        <w:autoSpaceDE w:val="0"/>
        <w:autoSpaceDN w:val="0"/>
        <w:adjustRightInd w:val="0"/>
        <w:spacing w:after="0" w:line="240" w:lineRule="auto"/>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4252"/>
      </w:tblGrid>
      <w:tr w:rsidR="004F4A10" w:rsidTr="002228B4">
        <w:tc>
          <w:tcPr>
            <w:tcW w:w="2093" w:type="dxa"/>
            <w:tcBorders>
              <w:top w:val="single" w:sz="4" w:space="0" w:color="auto"/>
              <w:bottom w:val="single" w:sz="4" w:space="0" w:color="auto"/>
            </w:tcBorders>
          </w:tcPr>
          <w:p w:rsidR="004F4A10" w:rsidRPr="002228B4" w:rsidRDefault="004F4A10" w:rsidP="00751B86">
            <w:pPr>
              <w:autoSpaceDE w:val="0"/>
              <w:autoSpaceDN w:val="0"/>
              <w:adjustRightInd w:val="0"/>
              <w:rPr>
                <w:rFonts w:ascii="Times New Roman" w:hAnsi="Times New Roman" w:cs="Times New Roman"/>
                <w:bCs/>
                <w:sz w:val="24"/>
                <w:szCs w:val="24"/>
              </w:rPr>
            </w:pPr>
            <w:r w:rsidRPr="002228B4">
              <w:rPr>
                <w:rFonts w:ascii="Times New Roman" w:hAnsi="Times New Roman" w:cs="Times New Roman"/>
                <w:bCs/>
                <w:sz w:val="24"/>
                <w:szCs w:val="24"/>
              </w:rPr>
              <w:t>Nutrient</w:t>
            </w:r>
          </w:p>
        </w:tc>
        <w:tc>
          <w:tcPr>
            <w:tcW w:w="4252" w:type="dxa"/>
            <w:tcBorders>
              <w:top w:val="single" w:sz="4" w:space="0" w:color="auto"/>
              <w:bottom w:val="single" w:sz="4" w:space="0" w:color="auto"/>
            </w:tcBorders>
          </w:tcPr>
          <w:p w:rsidR="004F4A10" w:rsidRPr="002228B4" w:rsidRDefault="00667976"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Most efficient accumulators</w:t>
            </w:r>
          </w:p>
        </w:tc>
      </w:tr>
      <w:tr w:rsidR="004F4A10" w:rsidTr="002228B4">
        <w:tc>
          <w:tcPr>
            <w:tcW w:w="2093" w:type="dxa"/>
            <w:tcBorders>
              <w:top w:val="single" w:sz="4" w:space="0" w:color="auto"/>
            </w:tcBorders>
          </w:tcPr>
          <w:p w:rsidR="004F4A10" w:rsidRDefault="0036711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Iron</w:t>
            </w:r>
          </w:p>
        </w:tc>
        <w:tc>
          <w:tcPr>
            <w:tcW w:w="4252" w:type="dxa"/>
            <w:tcBorders>
              <w:top w:val="single" w:sz="4" w:space="0" w:color="auto"/>
            </w:tcBorders>
          </w:tcPr>
          <w:p w:rsidR="004F4A10" w:rsidRPr="0036711C" w:rsidRDefault="0036711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Sweetleaf, kangkong</w:t>
            </w:r>
            <w:r w:rsidR="005276CD">
              <w:rPr>
                <w:rFonts w:ascii="Times New Roman" w:hAnsi="Times New Roman" w:cs="Times New Roman"/>
                <w:bCs/>
                <w:sz w:val="24"/>
                <w:szCs w:val="24"/>
              </w:rPr>
              <w:t>, taro</w:t>
            </w:r>
            <w:r>
              <w:rPr>
                <w:rFonts w:ascii="Times New Roman" w:hAnsi="Times New Roman" w:cs="Times New Roman"/>
                <w:bCs/>
                <w:sz w:val="24"/>
                <w:szCs w:val="24"/>
              </w:rPr>
              <w:t>, aibika</w:t>
            </w:r>
          </w:p>
        </w:tc>
      </w:tr>
      <w:tr w:rsidR="004F4A10" w:rsidTr="002228B4">
        <w:tc>
          <w:tcPr>
            <w:tcW w:w="2093" w:type="dxa"/>
          </w:tcPr>
          <w:p w:rsidR="004F4A10" w:rsidRDefault="0036711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Zinc</w:t>
            </w:r>
          </w:p>
        </w:tc>
        <w:tc>
          <w:tcPr>
            <w:tcW w:w="4252" w:type="dxa"/>
          </w:tcPr>
          <w:p w:rsidR="004F4A10" w:rsidRPr="0036711C" w:rsidRDefault="005276CD"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Ete</w:t>
            </w:r>
            <w:r w:rsidR="0036711C">
              <w:rPr>
                <w:rFonts w:ascii="Times New Roman" w:hAnsi="Times New Roman" w:cs="Times New Roman"/>
                <w:bCs/>
                <w:sz w:val="24"/>
                <w:szCs w:val="24"/>
              </w:rPr>
              <w:t>, sweetleaf, cassava</w:t>
            </w:r>
          </w:p>
        </w:tc>
      </w:tr>
      <w:tr w:rsidR="004F4A10" w:rsidTr="002228B4">
        <w:tc>
          <w:tcPr>
            <w:tcW w:w="2093" w:type="dxa"/>
          </w:tcPr>
          <w:p w:rsidR="004F4A10" w:rsidRDefault="0036711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Magnesium</w:t>
            </w:r>
          </w:p>
        </w:tc>
        <w:tc>
          <w:tcPr>
            <w:tcW w:w="4252" w:type="dxa"/>
          </w:tcPr>
          <w:p w:rsidR="004F4A10" w:rsidRDefault="0036711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Ofenga, aibika</w:t>
            </w:r>
          </w:p>
        </w:tc>
      </w:tr>
      <w:tr w:rsidR="004F4A10" w:rsidTr="002228B4">
        <w:tc>
          <w:tcPr>
            <w:tcW w:w="2093" w:type="dxa"/>
          </w:tcPr>
          <w:p w:rsidR="004F4A10" w:rsidRDefault="0036711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Calcium</w:t>
            </w:r>
          </w:p>
        </w:tc>
        <w:tc>
          <w:tcPr>
            <w:tcW w:w="4252" w:type="dxa"/>
          </w:tcPr>
          <w:p w:rsidR="004F4A10" w:rsidRPr="00FD7465" w:rsidRDefault="0036711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i/>
                <w:sz w:val="24"/>
                <w:szCs w:val="24"/>
              </w:rPr>
              <w:t xml:space="preserve">Coccinia </w:t>
            </w:r>
            <w:r w:rsidR="00FD7465">
              <w:rPr>
                <w:rFonts w:ascii="Times New Roman" w:hAnsi="Times New Roman" w:cs="Times New Roman"/>
                <w:bCs/>
                <w:i/>
                <w:sz w:val="24"/>
                <w:szCs w:val="24"/>
              </w:rPr>
              <w:t xml:space="preserve">grandis </w:t>
            </w:r>
            <w:r w:rsidR="00FD7465">
              <w:rPr>
                <w:rFonts w:ascii="Times New Roman" w:hAnsi="Times New Roman" w:cs="Times New Roman"/>
                <w:bCs/>
                <w:sz w:val="24"/>
                <w:szCs w:val="24"/>
              </w:rPr>
              <w:t>(ivy gourd), ofenga</w:t>
            </w:r>
          </w:p>
        </w:tc>
      </w:tr>
      <w:tr w:rsidR="004F4A10" w:rsidTr="002228B4">
        <w:tc>
          <w:tcPr>
            <w:tcW w:w="2093" w:type="dxa"/>
          </w:tcPr>
          <w:p w:rsidR="004F4A10" w:rsidRDefault="0036711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Selenium</w:t>
            </w:r>
          </w:p>
        </w:tc>
        <w:tc>
          <w:tcPr>
            <w:tcW w:w="4252" w:type="dxa"/>
          </w:tcPr>
          <w:p w:rsidR="004F4A10" w:rsidRPr="00FD7465" w:rsidRDefault="005276CD"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D</w:t>
            </w:r>
            <w:r w:rsidR="00FD7465">
              <w:rPr>
                <w:rFonts w:ascii="Times New Roman" w:hAnsi="Times New Roman" w:cs="Times New Roman"/>
                <w:bCs/>
                <w:sz w:val="24"/>
                <w:szCs w:val="24"/>
              </w:rPr>
              <w:t>rumstick</w:t>
            </w:r>
          </w:p>
        </w:tc>
      </w:tr>
      <w:tr w:rsidR="00FD7465" w:rsidTr="002228B4">
        <w:tc>
          <w:tcPr>
            <w:tcW w:w="2093" w:type="dxa"/>
          </w:tcPr>
          <w:p w:rsidR="00FD7465" w:rsidRDefault="00FD7465"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Sulphur</w:t>
            </w:r>
          </w:p>
        </w:tc>
        <w:tc>
          <w:tcPr>
            <w:tcW w:w="4252" w:type="dxa"/>
          </w:tcPr>
          <w:p w:rsidR="00FD7465" w:rsidRPr="00FD7465" w:rsidRDefault="00FD7465"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Drumstick, watercress, cabbage</w:t>
            </w:r>
          </w:p>
        </w:tc>
      </w:tr>
      <w:tr w:rsidR="004F4A10" w:rsidTr="00667976">
        <w:tc>
          <w:tcPr>
            <w:tcW w:w="2093" w:type="dxa"/>
          </w:tcPr>
          <w:p w:rsidR="004F4A10" w:rsidRDefault="0036711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Nitrogen/protein</w:t>
            </w:r>
          </w:p>
        </w:tc>
        <w:tc>
          <w:tcPr>
            <w:tcW w:w="4252" w:type="dxa"/>
          </w:tcPr>
          <w:p w:rsidR="004F4A10" w:rsidRDefault="00FD7465"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Sweetleaf, drumstick, cassava</w:t>
            </w:r>
          </w:p>
        </w:tc>
      </w:tr>
      <w:tr w:rsidR="004F4A10" w:rsidTr="00667976">
        <w:tc>
          <w:tcPr>
            <w:tcW w:w="2093" w:type="dxa"/>
            <w:tcBorders>
              <w:bottom w:val="single" w:sz="4" w:space="0" w:color="auto"/>
            </w:tcBorders>
          </w:tcPr>
          <w:p w:rsidR="004F4A10" w:rsidRDefault="0036711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Multiple nutrients</w:t>
            </w:r>
          </w:p>
        </w:tc>
        <w:tc>
          <w:tcPr>
            <w:tcW w:w="4252" w:type="dxa"/>
            <w:tcBorders>
              <w:bottom w:val="single" w:sz="4" w:space="0" w:color="auto"/>
            </w:tcBorders>
          </w:tcPr>
          <w:p w:rsidR="004F4A10" w:rsidRDefault="00FD7465"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Sweetleaf, aibika, ete, drumstick </w:t>
            </w:r>
          </w:p>
        </w:tc>
      </w:tr>
    </w:tbl>
    <w:p w:rsidR="008569DA" w:rsidRDefault="008569DA" w:rsidP="00751B86">
      <w:pPr>
        <w:autoSpaceDE w:val="0"/>
        <w:autoSpaceDN w:val="0"/>
        <w:adjustRightInd w:val="0"/>
        <w:spacing w:after="0" w:line="240" w:lineRule="auto"/>
        <w:rPr>
          <w:rFonts w:ascii="Times New Roman" w:hAnsi="Times New Roman" w:cs="Times New Roman"/>
          <w:bCs/>
          <w:sz w:val="24"/>
          <w:szCs w:val="24"/>
        </w:rPr>
      </w:pPr>
    </w:p>
    <w:p w:rsidR="004F4A10" w:rsidRDefault="00FD7465" w:rsidP="009C0D82">
      <w:pPr>
        <w:autoSpaceDE w:val="0"/>
        <w:autoSpaceDN w:val="0"/>
        <w:adjustRightInd w:val="0"/>
        <w:spacing w:after="0" w:line="240" w:lineRule="auto"/>
        <w:ind w:left="426" w:hanging="426"/>
        <w:rPr>
          <w:rFonts w:ascii="Times New Roman" w:hAnsi="Times New Roman" w:cs="Times New Roman"/>
          <w:bCs/>
          <w:sz w:val="24"/>
          <w:szCs w:val="24"/>
        </w:rPr>
      </w:pPr>
      <w:r>
        <w:rPr>
          <w:rFonts w:ascii="Times New Roman" w:hAnsi="Times New Roman" w:cs="Times New Roman"/>
          <w:bCs/>
          <w:sz w:val="24"/>
          <w:szCs w:val="24"/>
        </w:rPr>
        <w:lastRenderedPageBreak/>
        <w:t xml:space="preserve">Table 3. </w:t>
      </w:r>
      <w:r w:rsidR="001F3204">
        <w:rPr>
          <w:rFonts w:ascii="Times New Roman" w:hAnsi="Times New Roman" w:cs="Times New Roman"/>
          <w:bCs/>
          <w:sz w:val="24"/>
          <w:szCs w:val="24"/>
        </w:rPr>
        <w:t xml:space="preserve">Concentrations of selected carotenoids in leaves. The </w:t>
      </w:r>
      <w:r w:rsidR="005276CD">
        <w:rPr>
          <w:rFonts w:ascii="Times New Roman" w:hAnsi="Times New Roman" w:cs="Times New Roman"/>
          <w:bCs/>
          <w:sz w:val="24"/>
          <w:szCs w:val="24"/>
        </w:rPr>
        <w:t>three highest</w:t>
      </w:r>
      <w:r w:rsidR="001F3204">
        <w:rPr>
          <w:rFonts w:ascii="Times New Roman" w:hAnsi="Times New Roman" w:cs="Times New Roman"/>
          <w:bCs/>
          <w:sz w:val="24"/>
          <w:szCs w:val="24"/>
        </w:rPr>
        <w:t xml:space="preserve"> species (mean levels of samples collected at various sites on Guadalcanal) compared with the lowest (mean levels of English cabbage samples obtained from Honiara markets).</w:t>
      </w:r>
    </w:p>
    <w:p w:rsidR="004F4A10" w:rsidRDefault="004F4A10" w:rsidP="00751B86">
      <w:pPr>
        <w:autoSpaceDE w:val="0"/>
        <w:autoSpaceDN w:val="0"/>
        <w:adjustRightInd w:val="0"/>
        <w:spacing w:after="0" w:line="240" w:lineRule="auto"/>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2"/>
        <w:gridCol w:w="2222"/>
        <w:gridCol w:w="1760"/>
        <w:gridCol w:w="463"/>
        <w:gridCol w:w="1521"/>
      </w:tblGrid>
      <w:tr w:rsidR="00FD7465" w:rsidTr="00667976">
        <w:tc>
          <w:tcPr>
            <w:tcW w:w="2222" w:type="dxa"/>
            <w:tcBorders>
              <w:top w:val="single" w:sz="4" w:space="0" w:color="auto"/>
            </w:tcBorders>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Species</w:t>
            </w:r>
          </w:p>
        </w:tc>
        <w:tc>
          <w:tcPr>
            <w:tcW w:w="3982" w:type="dxa"/>
            <w:gridSpan w:val="2"/>
            <w:tcBorders>
              <w:top w:val="single" w:sz="4" w:space="0" w:color="auto"/>
            </w:tcBorders>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Carotenoid (mg/kg DW)</w:t>
            </w:r>
          </w:p>
        </w:tc>
        <w:tc>
          <w:tcPr>
            <w:tcW w:w="463" w:type="dxa"/>
            <w:tcBorders>
              <w:top w:val="single" w:sz="4" w:space="0" w:color="auto"/>
            </w:tcBorders>
          </w:tcPr>
          <w:p w:rsidR="00FD7465" w:rsidRDefault="00FD7465" w:rsidP="00751B86">
            <w:pPr>
              <w:autoSpaceDE w:val="0"/>
              <w:autoSpaceDN w:val="0"/>
              <w:adjustRightInd w:val="0"/>
              <w:rPr>
                <w:rFonts w:ascii="Times New Roman" w:hAnsi="Times New Roman" w:cs="Times New Roman"/>
                <w:bCs/>
                <w:sz w:val="24"/>
                <w:szCs w:val="24"/>
              </w:rPr>
            </w:pPr>
          </w:p>
        </w:tc>
        <w:tc>
          <w:tcPr>
            <w:tcW w:w="1521" w:type="dxa"/>
            <w:tcBorders>
              <w:top w:val="single" w:sz="4" w:space="0" w:color="auto"/>
            </w:tcBorders>
          </w:tcPr>
          <w:p w:rsidR="00FD7465" w:rsidRDefault="00FD7465" w:rsidP="00751B86">
            <w:pPr>
              <w:autoSpaceDE w:val="0"/>
              <w:autoSpaceDN w:val="0"/>
              <w:adjustRightInd w:val="0"/>
              <w:rPr>
                <w:rFonts w:ascii="Times New Roman" w:hAnsi="Times New Roman" w:cs="Times New Roman"/>
                <w:bCs/>
                <w:sz w:val="24"/>
                <w:szCs w:val="24"/>
              </w:rPr>
            </w:pPr>
          </w:p>
        </w:tc>
      </w:tr>
      <w:tr w:rsidR="00FD7465" w:rsidTr="00667976">
        <w:tc>
          <w:tcPr>
            <w:tcW w:w="2222" w:type="dxa"/>
            <w:tcBorders>
              <w:bottom w:val="single" w:sz="4" w:space="0" w:color="auto"/>
            </w:tcBorders>
          </w:tcPr>
          <w:p w:rsidR="00FD7465" w:rsidRDefault="00FD7465" w:rsidP="00751B86">
            <w:pPr>
              <w:autoSpaceDE w:val="0"/>
              <w:autoSpaceDN w:val="0"/>
              <w:adjustRightInd w:val="0"/>
              <w:rPr>
                <w:rFonts w:ascii="Times New Roman" w:hAnsi="Times New Roman" w:cs="Times New Roman"/>
                <w:bCs/>
                <w:sz w:val="24"/>
                <w:szCs w:val="24"/>
              </w:rPr>
            </w:pPr>
          </w:p>
        </w:tc>
        <w:tc>
          <w:tcPr>
            <w:tcW w:w="2222" w:type="dxa"/>
            <w:tcBorders>
              <w:bottom w:val="single" w:sz="4" w:space="0" w:color="auto"/>
            </w:tcBorders>
          </w:tcPr>
          <w:p w:rsidR="00FD7465" w:rsidRPr="001F3204" w:rsidRDefault="001F3204" w:rsidP="00751B86">
            <w:pPr>
              <w:autoSpaceDE w:val="0"/>
              <w:autoSpaceDN w:val="0"/>
              <w:adjustRightInd w:val="0"/>
              <w:rPr>
                <w:rFonts w:ascii="Times New Roman" w:hAnsi="Times New Roman" w:cs="Times New Roman"/>
                <w:bCs/>
                <w:sz w:val="24"/>
                <w:szCs w:val="24"/>
                <w:u w:val="single"/>
              </w:rPr>
            </w:pPr>
            <w:r w:rsidRPr="001F3204">
              <w:rPr>
                <w:rFonts w:ascii="Times New Roman" w:hAnsi="Times New Roman" w:cs="Times New Roman"/>
                <w:bCs/>
                <w:sz w:val="24"/>
                <w:szCs w:val="24"/>
                <w:u w:val="single"/>
              </w:rPr>
              <w:t>beta-carotene</w:t>
            </w:r>
          </w:p>
        </w:tc>
        <w:tc>
          <w:tcPr>
            <w:tcW w:w="2223" w:type="dxa"/>
            <w:gridSpan w:val="2"/>
            <w:tcBorders>
              <w:bottom w:val="single" w:sz="4" w:space="0" w:color="auto"/>
            </w:tcBorders>
          </w:tcPr>
          <w:p w:rsidR="00FD7465" w:rsidRPr="001F3204" w:rsidRDefault="001F3204" w:rsidP="00751B86">
            <w:pPr>
              <w:autoSpaceDE w:val="0"/>
              <w:autoSpaceDN w:val="0"/>
              <w:adjustRightInd w:val="0"/>
              <w:rPr>
                <w:rFonts w:ascii="Times New Roman" w:hAnsi="Times New Roman" w:cs="Times New Roman"/>
                <w:bCs/>
                <w:sz w:val="24"/>
                <w:szCs w:val="24"/>
                <w:u w:val="single"/>
              </w:rPr>
            </w:pPr>
            <w:r w:rsidRPr="001F3204">
              <w:rPr>
                <w:rFonts w:ascii="Times New Roman" w:hAnsi="Times New Roman" w:cs="Times New Roman"/>
                <w:bCs/>
                <w:sz w:val="24"/>
                <w:szCs w:val="24"/>
                <w:u w:val="single"/>
              </w:rPr>
              <w:t>alpha-carotene</w:t>
            </w:r>
          </w:p>
        </w:tc>
        <w:tc>
          <w:tcPr>
            <w:tcW w:w="1521" w:type="dxa"/>
            <w:tcBorders>
              <w:bottom w:val="single" w:sz="4" w:space="0" w:color="auto"/>
            </w:tcBorders>
          </w:tcPr>
          <w:p w:rsidR="00FD7465" w:rsidRPr="001F3204" w:rsidRDefault="001F3204" w:rsidP="00751B86">
            <w:pPr>
              <w:autoSpaceDE w:val="0"/>
              <w:autoSpaceDN w:val="0"/>
              <w:adjustRightInd w:val="0"/>
              <w:rPr>
                <w:rFonts w:ascii="Times New Roman" w:hAnsi="Times New Roman" w:cs="Times New Roman"/>
                <w:bCs/>
                <w:sz w:val="24"/>
                <w:szCs w:val="24"/>
                <w:u w:val="single"/>
              </w:rPr>
            </w:pPr>
            <w:r w:rsidRPr="001F3204">
              <w:rPr>
                <w:rFonts w:ascii="Times New Roman" w:hAnsi="Times New Roman" w:cs="Times New Roman"/>
                <w:bCs/>
                <w:sz w:val="24"/>
                <w:szCs w:val="24"/>
                <w:u w:val="single"/>
              </w:rPr>
              <w:t>lutein</w:t>
            </w:r>
          </w:p>
        </w:tc>
      </w:tr>
      <w:tr w:rsidR="00FD7465" w:rsidTr="00667976">
        <w:tc>
          <w:tcPr>
            <w:tcW w:w="2222" w:type="dxa"/>
            <w:tcBorders>
              <w:top w:val="single" w:sz="4" w:space="0" w:color="auto"/>
            </w:tcBorders>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Drumstick</w:t>
            </w:r>
          </w:p>
        </w:tc>
        <w:tc>
          <w:tcPr>
            <w:tcW w:w="2222" w:type="dxa"/>
            <w:tcBorders>
              <w:top w:val="single" w:sz="4" w:space="0" w:color="auto"/>
            </w:tcBorders>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427</w:t>
            </w:r>
          </w:p>
        </w:tc>
        <w:tc>
          <w:tcPr>
            <w:tcW w:w="2223" w:type="dxa"/>
            <w:gridSpan w:val="2"/>
            <w:tcBorders>
              <w:top w:val="single" w:sz="4" w:space="0" w:color="auto"/>
            </w:tcBorders>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0</w:t>
            </w:r>
          </w:p>
        </w:tc>
        <w:tc>
          <w:tcPr>
            <w:tcW w:w="1521" w:type="dxa"/>
            <w:tcBorders>
              <w:top w:val="single" w:sz="4" w:space="0" w:color="auto"/>
            </w:tcBorders>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773</w:t>
            </w:r>
          </w:p>
        </w:tc>
      </w:tr>
      <w:tr w:rsidR="00FD7465" w:rsidTr="00667976">
        <w:tc>
          <w:tcPr>
            <w:tcW w:w="2222" w:type="dxa"/>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Aibika</w:t>
            </w:r>
          </w:p>
        </w:tc>
        <w:tc>
          <w:tcPr>
            <w:tcW w:w="2222" w:type="dxa"/>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356</w:t>
            </w:r>
          </w:p>
        </w:tc>
        <w:tc>
          <w:tcPr>
            <w:tcW w:w="2223" w:type="dxa"/>
            <w:gridSpan w:val="2"/>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38</w:t>
            </w:r>
          </w:p>
        </w:tc>
        <w:tc>
          <w:tcPr>
            <w:tcW w:w="1521" w:type="dxa"/>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1024</w:t>
            </w:r>
          </w:p>
        </w:tc>
      </w:tr>
      <w:tr w:rsidR="00FD7465" w:rsidTr="00667976">
        <w:tc>
          <w:tcPr>
            <w:tcW w:w="2222" w:type="dxa"/>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Sweetleaf</w:t>
            </w:r>
          </w:p>
        </w:tc>
        <w:tc>
          <w:tcPr>
            <w:tcW w:w="2222" w:type="dxa"/>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289</w:t>
            </w:r>
          </w:p>
        </w:tc>
        <w:tc>
          <w:tcPr>
            <w:tcW w:w="2223" w:type="dxa"/>
            <w:gridSpan w:val="2"/>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32</w:t>
            </w:r>
          </w:p>
        </w:tc>
        <w:tc>
          <w:tcPr>
            <w:tcW w:w="1521" w:type="dxa"/>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773</w:t>
            </w:r>
          </w:p>
        </w:tc>
      </w:tr>
      <w:tr w:rsidR="00FD7465" w:rsidTr="00667976">
        <w:tc>
          <w:tcPr>
            <w:tcW w:w="2222" w:type="dxa"/>
            <w:tcBorders>
              <w:bottom w:val="single" w:sz="4" w:space="0" w:color="auto"/>
            </w:tcBorders>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English cabbage</w:t>
            </w:r>
          </w:p>
        </w:tc>
        <w:tc>
          <w:tcPr>
            <w:tcW w:w="2222" w:type="dxa"/>
            <w:tcBorders>
              <w:bottom w:val="single" w:sz="4" w:space="0" w:color="auto"/>
            </w:tcBorders>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0</w:t>
            </w:r>
          </w:p>
        </w:tc>
        <w:tc>
          <w:tcPr>
            <w:tcW w:w="2223" w:type="dxa"/>
            <w:gridSpan w:val="2"/>
            <w:tcBorders>
              <w:bottom w:val="single" w:sz="4" w:space="0" w:color="auto"/>
            </w:tcBorders>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w:t>
            </w:r>
          </w:p>
        </w:tc>
        <w:tc>
          <w:tcPr>
            <w:tcW w:w="1521" w:type="dxa"/>
            <w:tcBorders>
              <w:bottom w:val="single" w:sz="4" w:space="0" w:color="auto"/>
            </w:tcBorders>
          </w:tcPr>
          <w:p w:rsidR="00FD7465" w:rsidRDefault="001F3204"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5</w:t>
            </w:r>
          </w:p>
        </w:tc>
      </w:tr>
    </w:tbl>
    <w:p w:rsidR="007F5165" w:rsidRDefault="007F5165" w:rsidP="009C0D82">
      <w:pPr>
        <w:autoSpaceDE w:val="0"/>
        <w:autoSpaceDN w:val="0"/>
        <w:adjustRightInd w:val="0"/>
        <w:spacing w:after="0" w:line="240" w:lineRule="auto"/>
        <w:ind w:left="426" w:hanging="426"/>
        <w:rPr>
          <w:rFonts w:ascii="Times New Roman" w:hAnsi="Times New Roman" w:cs="Times New Roman"/>
          <w:bCs/>
          <w:sz w:val="24"/>
          <w:szCs w:val="24"/>
        </w:rPr>
      </w:pPr>
    </w:p>
    <w:p w:rsidR="004F4A10" w:rsidRPr="00FF78CA" w:rsidRDefault="00FF78CA" w:rsidP="009C0D82">
      <w:pPr>
        <w:autoSpaceDE w:val="0"/>
        <w:autoSpaceDN w:val="0"/>
        <w:adjustRightInd w:val="0"/>
        <w:spacing w:after="0" w:line="240" w:lineRule="auto"/>
        <w:ind w:left="426" w:hanging="426"/>
        <w:rPr>
          <w:rFonts w:ascii="Times New Roman" w:hAnsi="Times New Roman" w:cs="Times New Roman"/>
          <w:bCs/>
          <w:sz w:val="24"/>
          <w:szCs w:val="24"/>
        </w:rPr>
      </w:pPr>
      <w:r>
        <w:rPr>
          <w:rFonts w:ascii="Times New Roman" w:hAnsi="Times New Roman" w:cs="Times New Roman"/>
          <w:bCs/>
          <w:sz w:val="24"/>
          <w:szCs w:val="24"/>
        </w:rPr>
        <w:t>Table 4. Total phenolics and antioxidant activity in leaf samples collected at various sites on Guadalcanal, Solomon Islands in June 2012. The two “best” species (</w:t>
      </w:r>
      <w:r w:rsidR="005276CD">
        <w:rPr>
          <w:rFonts w:ascii="Times New Roman" w:hAnsi="Times New Roman" w:cs="Times New Roman"/>
          <w:bCs/>
          <w:sz w:val="24"/>
          <w:szCs w:val="24"/>
        </w:rPr>
        <w:t>creeping spinach</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and </w:t>
      </w:r>
      <w:r>
        <w:rPr>
          <w:rFonts w:ascii="Times New Roman" w:hAnsi="Times New Roman" w:cs="Times New Roman"/>
          <w:bCs/>
          <w:i/>
          <w:sz w:val="24"/>
          <w:szCs w:val="24"/>
        </w:rPr>
        <w:t>Alternanthera sp.</w:t>
      </w:r>
      <w:r>
        <w:rPr>
          <w:rFonts w:ascii="Times New Roman" w:hAnsi="Times New Roman" w:cs="Times New Roman"/>
          <w:bCs/>
          <w:sz w:val="24"/>
          <w:szCs w:val="24"/>
        </w:rPr>
        <w:t>) compared with selected other species.</w:t>
      </w:r>
    </w:p>
    <w:p w:rsidR="004F4A10" w:rsidRDefault="004F4A10" w:rsidP="00751B86">
      <w:pPr>
        <w:autoSpaceDE w:val="0"/>
        <w:autoSpaceDN w:val="0"/>
        <w:adjustRightInd w:val="0"/>
        <w:spacing w:after="0" w:line="240" w:lineRule="auto"/>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7"/>
        <w:gridCol w:w="2629"/>
        <w:gridCol w:w="2497"/>
      </w:tblGrid>
      <w:tr w:rsidR="00FF78CA" w:rsidTr="00667976">
        <w:tc>
          <w:tcPr>
            <w:tcW w:w="3652" w:type="dxa"/>
            <w:tcBorders>
              <w:top w:val="single" w:sz="4" w:space="0" w:color="auto"/>
            </w:tcBorders>
          </w:tcPr>
          <w:p w:rsidR="00FF78CA" w:rsidRPr="00FF78CA" w:rsidRDefault="00FF78CA"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Species</w:t>
            </w:r>
          </w:p>
        </w:tc>
        <w:tc>
          <w:tcPr>
            <w:tcW w:w="2693" w:type="dxa"/>
            <w:tcBorders>
              <w:top w:val="single" w:sz="4" w:space="0" w:color="auto"/>
            </w:tcBorders>
          </w:tcPr>
          <w:p w:rsidR="00FF78CA" w:rsidRDefault="00FF78CA"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Total phenolics</w:t>
            </w:r>
          </w:p>
        </w:tc>
        <w:tc>
          <w:tcPr>
            <w:tcW w:w="2545" w:type="dxa"/>
            <w:tcBorders>
              <w:top w:val="single" w:sz="4" w:space="0" w:color="auto"/>
            </w:tcBorders>
          </w:tcPr>
          <w:p w:rsidR="00FF78CA" w:rsidRDefault="00FF78CA"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Antioxidant activity</w:t>
            </w:r>
          </w:p>
        </w:tc>
      </w:tr>
      <w:tr w:rsidR="00FF78CA" w:rsidTr="00667976">
        <w:tc>
          <w:tcPr>
            <w:tcW w:w="3652" w:type="dxa"/>
            <w:tcBorders>
              <w:bottom w:val="single" w:sz="4" w:space="0" w:color="auto"/>
            </w:tcBorders>
          </w:tcPr>
          <w:p w:rsidR="00FF78CA" w:rsidRDefault="00FF78CA" w:rsidP="00751B86">
            <w:pPr>
              <w:autoSpaceDE w:val="0"/>
              <w:autoSpaceDN w:val="0"/>
              <w:adjustRightInd w:val="0"/>
              <w:rPr>
                <w:rFonts w:ascii="Times New Roman" w:hAnsi="Times New Roman" w:cs="Times New Roman"/>
                <w:bCs/>
                <w:sz w:val="24"/>
                <w:szCs w:val="24"/>
              </w:rPr>
            </w:pPr>
          </w:p>
        </w:tc>
        <w:tc>
          <w:tcPr>
            <w:tcW w:w="2693" w:type="dxa"/>
            <w:tcBorders>
              <w:bottom w:val="single" w:sz="4" w:space="0" w:color="auto"/>
            </w:tcBorders>
          </w:tcPr>
          <w:p w:rsidR="00FF78CA" w:rsidRPr="00FF78CA" w:rsidRDefault="00FF78CA" w:rsidP="00751B86">
            <w:pPr>
              <w:autoSpaceDE w:val="0"/>
              <w:autoSpaceDN w:val="0"/>
              <w:adjustRightInd w:val="0"/>
              <w:rPr>
                <w:rFonts w:ascii="Times New Roman" w:hAnsi="Times New Roman" w:cs="Times New Roman"/>
                <w:bCs/>
                <w:sz w:val="24"/>
                <w:szCs w:val="24"/>
                <w:u w:val="single"/>
              </w:rPr>
            </w:pPr>
            <w:r w:rsidRPr="00FF78CA">
              <w:rPr>
                <w:rFonts w:ascii="Times New Roman" w:hAnsi="Times New Roman" w:cs="Times New Roman"/>
                <w:bCs/>
                <w:sz w:val="24"/>
                <w:szCs w:val="24"/>
                <w:u w:val="single"/>
              </w:rPr>
              <w:t>mg</w:t>
            </w:r>
            <w:r w:rsidR="009E050B">
              <w:rPr>
                <w:rFonts w:ascii="Times New Roman" w:hAnsi="Times New Roman" w:cs="Times New Roman"/>
                <w:bCs/>
                <w:sz w:val="24"/>
                <w:szCs w:val="24"/>
                <w:u w:val="single"/>
              </w:rPr>
              <w:t>/g gallic acid</w:t>
            </w:r>
            <w:r w:rsidRPr="00FF78CA">
              <w:rPr>
                <w:rFonts w:ascii="Times New Roman" w:hAnsi="Times New Roman" w:cs="Times New Roman"/>
                <w:bCs/>
                <w:sz w:val="24"/>
                <w:szCs w:val="24"/>
                <w:u w:val="single"/>
              </w:rPr>
              <w:t xml:space="preserve"> equiv</w:t>
            </w:r>
            <w:r w:rsidR="009E050B">
              <w:rPr>
                <w:rFonts w:ascii="Times New Roman" w:hAnsi="Times New Roman" w:cs="Times New Roman"/>
                <w:bCs/>
                <w:sz w:val="24"/>
                <w:szCs w:val="24"/>
                <w:u w:val="single"/>
              </w:rPr>
              <w:t>.</w:t>
            </w:r>
          </w:p>
        </w:tc>
        <w:tc>
          <w:tcPr>
            <w:tcW w:w="2545" w:type="dxa"/>
            <w:tcBorders>
              <w:bottom w:val="single" w:sz="4" w:space="0" w:color="auto"/>
            </w:tcBorders>
          </w:tcPr>
          <w:p w:rsidR="00FF78CA" w:rsidRPr="00FF78CA" w:rsidRDefault="00FF78CA" w:rsidP="00751B86">
            <w:pPr>
              <w:autoSpaceDE w:val="0"/>
              <w:autoSpaceDN w:val="0"/>
              <w:adjustRightInd w:val="0"/>
              <w:rPr>
                <w:rFonts w:ascii="Times New Roman" w:hAnsi="Times New Roman" w:cs="Times New Roman"/>
                <w:bCs/>
                <w:sz w:val="24"/>
                <w:szCs w:val="24"/>
                <w:u w:val="single"/>
              </w:rPr>
            </w:pPr>
            <w:r w:rsidRPr="00FF78CA">
              <w:rPr>
                <w:rFonts w:ascii="Times New Roman" w:hAnsi="Times New Roman" w:cs="Times New Roman"/>
                <w:bCs/>
                <w:sz w:val="24"/>
                <w:szCs w:val="24"/>
                <w:u w:val="single"/>
              </w:rPr>
              <w:t>DPPH IC50</w:t>
            </w:r>
          </w:p>
        </w:tc>
      </w:tr>
      <w:tr w:rsidR="00FF78CA" w:rsidTr="00667976">
        <w:tc>
          <w:tcPr>
            <w:tcW w:w="3652" w:type="dxa"/>
            <w:tcBorders>
              <w:top w:val="single" w:sz="4" w:space="0" w:color="auto"/>
            </w:tcBorders>
          </w:tcPr>
          <w:p w:rsidR="00FF78CA" w:rsidRPr="00FF78CA" w:rsidRDefault="005276CD" w:rsidP="00751B86">
            <w:pPr>
              <w:autoSpaceDE w:val="0"/>
              <w:autoSpaceDN w:val="0"/>
              <w:adjustRightInd w:val="0"/>
              <w:rPr>
                <w:rFonts w:ascii="Times New Roman" w:hAnsi="Times New Roman" w:cs="Times New Roman"/>
                <w:bCs/>
                <w:sz w:val="24"/>
                <w:szCs w:val="24"/>
              </w:rPr>
            </w:pPr>
            <w:r w:rsidRPr="005276CD">
              <w:rPr>
                <w:rFonts w:ascii="Times New Roman" w:hAnsi="Times New Roman" w:cs="Times New Roman"/>
                <w:bCs/>
                <w:sz w:val="24"/>
                <w:szCs w:val="24"/>
              </w:rPr>
              <w:t>C</w:t>
            </w:r>
            <w:r w:rsidR="00FF78CA" w:rsidRPr="005276CD">
              <w:rPr>
                <w:rFonts w:ascii="Times New Roman" w:hAnsi="Times New Roman" w:cs="Times New Roman"/>
                <w:bCs/>
                <w:sz w:val="24"/>
                <w:szCs w:val="24"/>
              </w:rPr>
              <w:t>reeping</w:t>
            </w:r>
            <w:r w:rsidR="00FF78CA">
              <w:rPr>
                <w:rFonts w:ascii="Times New Roman" w:hAnsi="Times New Roman" w:cs="Times New Roman"/>
                <w:bCs/>
                <w:sz w:val="24"/>
                <w:szCs w:val="24"/>
              </w:rPr>
              <w:t xml:space="preserve"> spinach</w:t>
            </w:r>
          </w:p>
        </w:tc>
        <w:tc>
          <w:tcPr>
            <w:tcW w:w="2693" w:type="dxa"/>
            <w:tcBorders>
              <w:top w:val="single" w:sz="4" w:space="0" w:color="auto"/>
            </w:tcBorders>
          </w:tcPr>
          <w:p w:rsidR="00FF78CA" w:rsidRDefault="00FF78CA"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76</w:t>
            </w:r>
          </w:p>
        </w:tc>
        <w:tc>
          <w:tcPr>
            <w:tcW w:w="2545" w:type="dxa"/>
            <w:tcBorders>
              <w:top w:val="single" w:sz="4" w:space="0" w:color="auto"/>
            </w:tcBorders>
          </w:tcPr>
          <w:p w:rsidR="00FF78CA" w:rsidRDefault="00FF78CA"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42</w:t>
            </w:r>
          </w:p>
        </w:tc>
      </w:tr>
      <w:tr w:rsidR="00FF78CA" w:rsidTr="00667976">
        <w:tc>
          <w:tcPr>
            <w:tcW w:w="3652" w:type="dxa"/>
          </w:tcPr>
          <w:p w:rsidR="00FF78CA" w:rsidRPr="00FF78CA" w:rsidRDefault="00FF78CA"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i/>
                <w:sz w:val="24"/>
                <w:szCs w:val="24"/>
              </w:rPr>
              <w:t>Alternanthera sp.</w:t>
            </w:r>
          </w:p>
        </w:tc>
        <w:tc>
          <w:tcPr>
            <w:tcW w:w="2693" w:type="dxa"/>
          </w:tcPr>
          <w:p w:rsidR="00FF78CA" w:rsidRDefault="00FF78CA"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25</w:t>
            </w:r>
          </w:p>
        </w:tc>
        <w:tc>
          <w:tcPr>
            <w:tcW w:w="2545" w:type="dxa"/>
          </w:tcPr>
          <w:p w:rsidR="00FF78CA" w:rsidRDefault="00FF78CA"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12</w:t>
            </w:r>
          </w:p>
        </w:tc>
      </w:tr>
      <w:tr w:rsidR="00FF78CA" w:rsidTr="00667976">
        <w:tc>
          <w:tcPr>
            <w:tcW w:w="3652" w:type="dxa"/>
          </w:tcPr>
          <w:p w:rsidR="00FF78CA" w:rsidRDefault="00FF78CA"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Ofenga</w:t>
            </w:r>
          </w:p>
        </w:tc>
        <w:tc>
          <w:tcPr>
            <w:tcW w:w="2693" w:type="dxa"/>
          </w:tcPr>
          <w:p w:rsidR="00FF78CA" w:rsidRDefault="00FF78CA"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26</w:t>
            </w:r>
          </w:p>
        </w:tc>
        <w:tc>
          <w:tcPr>
            <w:tcW w:w="2545" w:type="dxa"/>
          </w:tcPr>
          <w:p w:rsidR="00FF78CA" w:rsidRDefault="00FF78CA"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688</w:t>
            </w:r>
          </w:p>
        </w:tc>
      </w:tr>
      <w:tr w:rsidR="00FF78CA" w:rsidTr="00667976">
        <w:tc>
          <w:tcPr>
            <w:tcW w:w="3652" w:type="dxa"/>
          </w:tcPr>
          <w:p w:rsidR="00FF78CA" w:rsidRPr="008362BC" w:rsidRDefault="005276CD"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w:t>
            </w:r>
            <w:r w:rsidR="008362BC">
              <w:rPr>
                <w:rFonts w:ascii="Times New Roman" w:hAnsi="Times New Roman" w:cs="Times New Roman"/>
                <w:bCs/>
                <w:sz w:val="24"/>
                <w:szCs w:val="24"/>
              </w:rPr>
              <w:t>weet fern</w:t>
            </w:r>
          </w:p>
        </w:tc>
        <w:tc>
          <w:tcPr>
            <w:tcW w:w="2693" w:type="dxa"/>
          </w:tcPr>
          <w:p w:rsidR="00FF78CA" w:rsidRDefault="008362B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w:t>
            </w:r>
          </w:p>
        </w:tc>
        <w:tc>
          <w:tcPr>
            <w:tcW w:w="2545" w:type="dxa"/>
          </w:tcPr>
          <w:p w:rsidR="00FF78CA" w:rsidRDefault="008362B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227</w:t>
            </w:r>
          </w:p>
        </w:tc>
      </w:tr>
      <w:tr w:rsidR="00FF78CA" w:rsidTr="00667976">
        <w:tc>
          <w:tcPr>
            <w:tcW w:w="3652" w:type="dxa"/>
            <w:tcBorders>
              <w:bottom w:val="single" w:sz="4" w:space="0" w:color="auto"/>
            </w:tcBorders>
          </w:tcPr>
          <w:p w:rsidR="00FF78CA" w:rsidRPr="008362BC" w:rsidRDefault="008362B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i/>
                <w:sz w:val="24"/>
                <w:szCs w:val="24"/>
              </w:rPr>
              <w:t xml:space="preserve">Melicope elleryana </w:t>
            </w:r>
            <w:r>
              <w:rPr>
                <w:rFonts w:ascii="Times New Roman" w:hAnsi="Times New Roman" w:cs="Times New Roman"/>
                <w:bCs/>
                <w:sz w:val="24"/>
                <w:szCs w:val="24"/>
              </w:rPr>
              <w:t>(butterfly tree)</w:t>
            </w:r>
          </w:p>
        </w:tc>
        <w:tc>
          <w:tcPr>
            <w:tcW w:w="2693" w:type="dxa"/>
            <w:tcBorders>
              <w:bottom w:val="single" w:sz="4" w:space="0" w:color="auto"/>
            </w:tcBorders>
          </w:tcPr>
          <w:p w:rsidR="00FF78CA" w:rsidRDefault="008362B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w:t>
            </w:r>
          </w:p>
        </w:tc>
        <w:tc>
          <w:tcPr>
            <w:tcW w:w="2545" w:type="dxa"/>
            <w:tcBorders>
              <w:bottom w:val="single" w:sz="4" w:space="0" w:color="auto"/>
            </w:tcBorders>
          </w:tcPr>
          <w:p w:rsidR="00FF78CA" w:rsidRDefault="008362BC" w:rsidP="00751B8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820</w:t>
            </w:r>
          </w:p>
        </w:tc>
      </w:tr>
    </w:tbl>
    <w:p w:rsidR="004F4A10" w:rsidRPr="00667976" w:rsidRDefault="008362BC" w:rsidP="00751B86">
      <w:pPr>
        <w:autoSpaceDE w:val="0"/>
        <w:autoSpaceDN w:val="0"/>
        <w:adjustRightInd w:val="0"/>
        <w:spacing w:after="0" w:line="240" w:lineRule="auto"/>
        <w:rPr>
          <w:rFonts w:ascii="Times New Roman" w:hAnsi="Times New Roman" w:cs="Times New Roman"/>
          <w:bCs/>
        </w:rPr>
      </w:pPr>
      <w:r w:rsidRPr="00667976">
        <w:rPr>
          <w:rFonts w:ascii="Times New Roman" w:hAnsi="Times New Roman" w:cs="Times New Roman"/>
          <w:bCs/>
        </w:rPr>
        <w:t>Note: Phenolics: ethanol extract used. In general, the higher the level, the better.</w:t>
      </w:r>
    </w:p>
    <w:p w:rsidR="008362BC" w:rsidRPr="00667976" w:rsidRDefault="008362BC" w:rsidP="00667976">
      <w:pPr>
        <w:autoSpaceDE w:val="0"/>
        <w:autoSpaceDN w:val="0"/>
        <w:adjustRightInd w:val="0"/>
        <w:spacing w:after="0" w:line="240" w:lineRule="auto"/>
        <w:ind w:left="525"/>
        <w:rPr>
          <w:rFonts w:ascii="Times New Roman" w:hAnsi="Times New Roman" w:cs="Times New Roman"/>
          <w:bCs/>
        </w:rPr>
      </w:pPr>
      <w:r w:rsidRPr="00667976">
        <w:rPr>
          <w:rFonts w:ascii="Times New Roman" w:hAnsi="Times New Roman" w:cs="Times New Roman"/>
          <w:bCs/>
        </w:rPr>
        <w:t>Antioxidant activity: ethanol extract used. Units: DPPH radical scavenging activity, using half-maximal inhibitory concentration, IC50: the lower the value</w:t>
      </w:r>
      <w:r w:rsidR="005276CD" w:rsidRPr="00667976">
        <w:rPr>
          <w:rFonts w:ascii="Times New Roman" w:hAnsi="Times New Roman" w:cs="Times New Roman"/>
          <w:bCs/>
        </w:rPr>
        <w:t>, the more effective.</w:t>
      </w:r>
    </w:p>
    <w:p w:rsidR="008362BC" w:rsidRDefault="008362BC" w:rsidP="00751B86">
      <w:pPr>
        <w:autoSpaceDE w:val="0"/>
        <w:autoSpaceDN w:val="0"/>
        <w:adjustRightInd w:val="0"/>
        <w:spacing w:after="0" w:line="240" w:lineRule="auto"/>
        <w:rPr>
          <w:rFonts w:ascii="Times New Roman" w:hAnsi="Times New Roman" w:cs="Times New Roman"/>
          <w:bCs/>
          <w:sz w:val="24"/>
          <w:szCs w:val="24"/>
        </w:rPr>
      </w:pPr>
    </w:p>
    <w:p w:rsidR="005276CD" w:rsidRPr="00667976" w:rsidRDefault="00667976" w:rsidP="00751B86">
      <w:pPr>
        <w:autoSpaceDE w:val="0"/>
        <w:autoSpaceDN w:val="0"/>
        <w:adjustRightInd w:val="0"/>
        <w:spacing w:after="0" w:line="240" w:lineRule="auto"/>
        <w:rPr>
          <w:rFonts w:ascii="Times New Roman" w:hAnsi="Times New Roman" w:cs="Times New Roman"/>
          <w:b/>
          <w:bCs/>
          <w:sz w:val="24"/>
          <w:szCs w:val="24"/>
          <w:u w:val="single"/>
        </w:rPr>
      </w:pPr>
      <w:r w:rsidRPr="00667976">
        <w:rPr>
          <w:rFonts w:ascii="Times New Roman" w:hAnsi="Times New Roman" w:cs="Times New Roman"/>
          <w:b/>
          <w:bCs/>
          <w:sz w:val="24"/>
          <w:szCs w:val="24"/>
          <w:u w:val="single"/>
        </w:rPr>
        <w:t>Figures</w:t>
      </w: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noProof/>
          <w:sz w:val="24"/>
          <w:szCs w:val="24"/>
          <w:lang w:val="en-AU" w:eastAsia="en-AU"/>
        </w:rPr>
        <w:drawing>
          <wp:anchor distT="0" distB="0" distL="114300" distR="114300" simplePos="0" relativeHeight="251661312" behindDoc="0" locked="0" layoutInCell="1" allowOverlap="1">
            <wp:simplePos x="0" y="0"/>
            <wp:positionH relativeFrom="column">
              <wp:posOffset>115570</wp:posOffset>
            </wp:positionH>
            <wp:positionV relativeFrom="paragraph">
              <wp:posOffset>64770</wp:posOffset>
            </wp:positionV>
            <wp:extent cx="3962400" cy="2374900"/>
            <wp:effectExtent l="19050" t="0" r="19050" b="6350"/>
            <wp:wrapNone/>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51B86">
      <w:pPr>
        <w:autoSpaceDE w:val="0"/>
        <w:autoSpaceDN w:val="0"/>
        <w:adjustRightInd w:val="0"/>
        <w:spacing w:after="0" w:line="240" w:lineRule="auto"/>
        <w:rPr>
          <w:rFonts w:ascii="Times New Roman" w:hAnsi="Times New Roman" w:cs="Times New Roman"/>
          <w:bCs/>
          <w:sz w:val="24"/>
          <w:szCs w:val="24"/>
        </w:rPr>
      </w:pPr>
    </w:p>
    <w:p w:rsidR="007402B5" w:rsidRDefault="007402B5" w:rsidP="007F5165">
      <w:pPr>
        <w:autoSpaceDE w:val="0"/>
        <w:autoSpaceDN w:val="0"/>
        <w:adjustRightInd w:val="0"/>
        <w:spacing w:after="0"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Fig. 1. Variation in</w:t>
      </w:r>
      <w:r w:rsidR="007F5165">
        <w:rPr>
          <w:rFonts w:ascii="Times New Roman" w:hAnsi="Times New Roman" w:cs="Times New Roman"/>
          <w:bCs/>
          <w:sz w:val="24"/>
          <w:szCs w:val="24"/>
        </w:rPr>
        <w:t xml:space="preserve"> </w:t>
      </w:r>
      <w:r>
        <w:rPr>
          <w:rFonts w:ascii="Times New Roman" w:hAnsi="Times New Roman" w:cs="Times New Roman"/>
          <w:bCs/>
          <w:sz w:val="24"/>
          <w:szCs w:val="24"/>
        </w:rPr>
        <w:t>manganese and zinc concentrations in leaves of aibika growing at eight locations on Guadalcan</w:t>
      </w:r>
      <w:r w:rsidR="009C0D82">
        <w:rPr>
          <w:rFonts w:ascii="Times New Roman" w:hAnsi="Times New Roman" w:cs="Times New Roman"/>
          <w:bCs/>
          <w:sz w:val="24"/>
          <w:szCs w:val="24"/>
        </w:rPr>
        <w:t xml:space="preserve">al, Solomon Islands in 2012. </w:t>
      </w:r>
      <w:r>
        <w:rPr>
          <w:rFonts w:ascii="Times New Roman" w:hAnsi="Times New Roman" w:cs="Times New Roman"/>
          <w:bCs/>
          <w:sz w:val="24"/>
          <w:szCs w:val="24"/>
        </w:rPr>
        <w:t>This study illustrates variation due mostly to differences in plant-available levels of these nutrients in the soil.</w:t>
      </w:r>
    </w:p>
    <w:sectPr w:rsidR="007402B5" w:rsidSect="00667976">
      <w:pgSz w:w="11906" w:h="16838"/>
      <w:pgMar w:top="1531" w:right="1841" w:bottom="1985"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06C7E"/>
    <w:multiLevelType w:val="hybridMultilevel"/>
    <w:tmpl w:val="618821F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751B86"/>
    <w:rsid w:val="000000B9"/>
    <w:rsid w:val="00000D90"/>
    <w:rsid w:val="00011CDA"/>
    <w:rsid w:val="000226EB"/>
    <w:rsid w:val="00031F4F"/>
    <w:rsid w:val="000500C5"/>
    <w:rsid w:val="00077EB9"/>
    <w:rsid w:val="000A11BB"/>
    <w:rsid w:val="000A4003"/>
    <w:rsid w:val="000A4A83"/>
    <w:rsid w:val="000A4D3C"/>
    <w:rsid w:val="000C46A9"/>
    <w:rsid w:val="000D70B4"/>
    <w:rsid w:val="000E1AE8"/>
    <w:rsid w:val="000F4A7A"/>
    <w:rsid w:val="0011336D"/>
    <w:rsid w:val="001415C1"/>
    <w:rsid w:val="001813F6"/>
    <w:rsid w:val="001826AE"/>
    <w:rsid w:val="001865ED"/>
    <w:rsid w:val="0019300A"/>
    <w:rsid w:val="001B1AD6"/>
    <w:rsid w:val="001B3C9C"/>
    <w:rsid w:val="001C2067"/>
    <w:rsid w:val="001C3214"/>
    <w:rsid w:val="001D182C"/>
    <w:rsid w:val="001E448E"/>
    <w:rsid w:val="001F3204"/>
    <w:rsid w:val="00204F3E"/>
    <w:rsid w:val="002124C0"/>
    <w:rsid w:val="002228B4"/>
    <w:rsid w:val="0023077E"/>
    <w:rsid w:val="002372A7"/>
    <w:rsid w:val="00243685"/>
    <w:rsid w:val="002549A2"/>
    <w:rsid w:val="00272427"/>
    <w:rsid w:val="00287A33"/>
    <w:rsid w:val="00292D43"/>
    <w:rsid w:val="002E0AED"/>
    <w:rsid w:val="00326912"/>
    <w:rsid w:val="00326EB2"/>
    <w:rsid w:val="00330D97"/>
    <w:rsid w:val="00350247"/>
    <w:rsid w:val="0036711C"/>
    <w:rsid w:val="003A46B9"/>
    <w:rsid w:val="003A6123"/>
    <w:rsid w:val="003B46D9"/>
    <w:rsid w:val="003B52D2"/>
    <w:rsid w:val="003D2020"/>
    <w:rsid w:val="00423C81"/>
    <w:rsid w:val="004F4A10"/>
    <w:rsid w:val="00501BB9"/>
    <w:rsid w:val="00522DD7"/>
    <w:rsid w:val="00526E05"/>
    <w:rsid w:val="00526F4E"/>
    <w:rsid w:val="005276CD"/>
    <w:rsid w:val="00533780"/>
    <w:rsid w:val="005459B1"/>
    <w:rsid w:val="005500D0"/>
    <w:rsid w:val="00556EEA"/>
    <w:rsid w:val="00557675"/>
    <w:rsid w:val="0056328B"/>
    <w:rsid w:val="005B7661"/>
    <w:rsid w:val="005C2827"/>
    <w:rsid w:val="005F1618"/>
    <w:rsid w:val="00600B4C"/>
    <w:rsid w:val="0062527D"/>
    <w:rsid w:val="006269CE"/>
    <w:rsid w:val="00635B7B"/>
    <w:rsid w:val="006366E4"/>
    <w:rsid w:val="00667976"/>
    <w:rsid w:val="006C4C69"/>
    <w:rsid w:val="006C59BB"/>
    <w:rsid w:val="006F2CE1"/>
    <w:rsid w:val="006F5CD8"/>
    <w:rsid w:val="006F644C"/>
    <w:rsid w:val="007252CA"/>
    <w:rsid w:val="007402B5"/>
    <w:rsid w:val="007432D4"/>
    <w:rsid w:val="00751B86"/>
    <w:rsid w:val="00761579"/>
    <w:rsid w:val="0076543C"/>
    <w:rsid w:val="007B3C59"/>
    <w:rsid w:val="007C103F"/>
    <w:rsid w:val="007C3459"/>
    <w:rsid w:val="007F43E5"/>
    <w:rsid w:val="007F5165"/>
    <w:rsid w:val="007F5DAF"/>
    <w:rsid w:val="0080135B"/>
    <w:rsid w:val="00816DFC"/>
    <w:rsid w:val="00822A2C"/>
    <w:rsid w:val="008362BC"/>
    <w:rsid w:val="00854488"/>
    <w:rsid w:val="008569DA"/>
    <w:rsid w:val="008635EA"/>
    <w:rsid w:val="00874DAF"/>
    <w:rsid w:val="00882A73"/>
    <w:rsid w:val="00893037"/>
    <w:rsid w:val="008B0ECF"/>
    <w:rsid w:val="008F63EC"/>
    <w:rsid w:val="00902D67"/>
    <w:rsid w:val="009068B0"/>
    <w:rsid w:val="00913151"/>
    <w:rsid w:val="00922833"/>
    <w:rsid w:val="009233D4"/>
    <w:rsid w:val="00930472"/>
    <w:rsid w:val="00955D17"/>
    <w:rsid w:val="0097395C"/>
    <w:rsid w:val="009C0D82"/>
    <w:rsid w:val="009E050B"/>
    <w:rsid w:val="009F63AE"/>
    <w:rsid w:val="00A023BA"/>
    <w:rsid w:val="00A2309D"/>
    <w:rsid w:val="00A425E6"/>
    <w:rsid w:val="00A53639"/>
    <w:rsid w:val="00A82090"/>
    <w:rsid w:val="00A94D4B"/>
    <w:rsid w:val="00AC0EB3"/>
    <w:rsid w:val="00B35154"/>
    <w:rsid w:val="00B46397"/>
    <w:rsid w:val="00B73AB2"/>
    <w:rsid w:val="00B7668A"/>
    <w:rsid w:val="00B809C2"/>
    <w:rsid w:val="00C03F4C"/>
    <w:rsid w:val="00C24CA4"/>
    <w:rsid w:val="00C26E1C"/>
    <w:rsid w:val="00C425E1"/>
    <w:rsid w:val="00C969EE"/>
    <w:rsid w:val="00CB716A"/>
    <w:rsid w:val="00CC4BBB"/>
    <w:rsid w:val="00CC5F3E"/>
    <w:rsid w:val="00CE749D"/>
    <w:rsid w:val="00D527B5"/>
    <w:rsid w:val="00D53C9D"/>
    <w:rsid w:val="00D610B7"/>
    <w:rsid w:val="00DB606A"/>
    <w:rsid w:val="00DB709E"/>
    <w:rsid w:val="00DD1AFD"/>
    <w:rsid w:val="00DF61F2"/>
    <w:rsid w:val="00E424CD"/>
    <w:rsid w:val="00E84707"/>
    <w:rsid w:val="00EB4818"/>
    <w:rsid w:val="00EB78E3"/>
    <w:rsid w:val="00EC1675"/>
    <w:rsid w:val="00EE2D4F"/>
    <w:rsid w:val="00F80D2D"/>
    <w:rsid w:val="00F85A33"/>
    <w:rsid w:val="00F921AA"/>
    <w:rsid w:val="00FB06D6"/>
    <w:rsid w:val="00FB6253"/>
    <w:rsid w:val="00FC6143"/>
    <w:rsid w:val="00FD4E32"/>
    <w:rsid w:val="00FD7465"/>
    <w:rsid w:val="00FE66D3"/>
    <w:rsid w:val="00FF25C8"/>
    <w:rsid w:val="00FF753D"/>
    <w:rsid w:val="00FF78CA"/>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D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2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2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3BA"/>
    <w:rPr>
      <w:rFonts w:ascii="Tahoma" w:hAnsi="Tahoma" w:cs="Tahoma"/>
      <w:sz w:val="16"/>
      <w:szCs w:val="16"/>
    </w:rPr>
  </w:style>
  <w:style w:type="character" w:styleId="Hyperlink">
    <w:name w:val="Hyperlink"/>
    <w:basedOn w:val="DefaultParagraphFont"/>
    <w:uiPriority w:val="99"/>
    <w:unhideWhenUsed/>
    <w:rsid w:val="00DF61F2"/>
    <w:rPr>
      <w:color w:val="0000FF" w:themeColor="hyperlink"/>
      <w:u w:val="single"/>
    </w:rPr>
  </w:style>
  <w:style w:type="table" w:styleId="LightShading">
    <w:name w:val="Light Shading"/>
    <w:basedOn w:val="TableNormal"/>
    <w:uiPriority w:val="60"/>
    <w:rsid w:val="000A11B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A11B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0A11B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2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2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3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o.org/fileadmin/user_upload/wa_workshop/Factsheet/FSNL_Fact_sheet_AfricanLeafyVegetables-12oct2011.pdf" TargetMode="External"/><Relationship Id="rId3" Type="http://schemas.openxmlformats.org/officeDocument/2006/relationships/settings" Target="settings.xml"/><Relationship Id="rId7" Type="http://schemas.openxmlformats.org/officeDocument/2006/relationships/hyperlink" Target="http://www.fao.org/docrep/015/an432e/an432e0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iar.gov.au/News2013July" TargetMode="External"/><Relationship Id="rId11" Type="http://schemas.openxmlformats.org/officeDocument/2006/relationships/fontTable" Target="fontTable.xml"/><Relationship Id="rId5" Type="http://schemas.openxmlformats.org/officeDocument/2006/relationships/hyperlink" Target="http://www.aciar.gov.au/News2013July"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ww.learngrow.org" TargetMode="Externa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chart>
    <c:title>
      <c:tx>
        <c:rich>
          <a:bodyPr/>
          <a:lstStyle/>
          <a:p>
            <a:pPr>
              <a:defRPr/>
            </a:pPr>
            <a:r>
              <a:rPr lang="en-AU" sz="1200" i="1"/>
              <a:t>Abelmoschus manihot</a:t>
            </a:r>
            <a:r>
              <a:rPr lang="en-AU" sz="1200"/>
              <a:t> (aibika)</a:t>
            </a:r>
            <a:r>
              <a:rPr lang="en-AU" sz="1200" baseline="0"/>
              <a:t> Mn &amp; Zn</a:t>
            </a:r>
            <a:endParaRPr lang="en-AU" sz="1200"/>
          </a:p>
        </c:rich>
      </c:tx>
      <c:layout>
        <c:manualLayout>
          <c:xMode val="edge"/>
          <c:yMode val="edge"/>
          <c:x val="0.20221737489536076"/>
          <c:y val="3.4379912926779596E-2"/>
        </c:manualLayout>
      </c:layout>
    </c:title>
    <c:view3D>
      <c:rAngAx val="1"/>
    </c:view3D>
    <c:plotArea>
      <c:layout/>
      <c:bar3DChart>
        <c:barDir val="col"/>
        <c:grouping val="clustered"/>
        <c:ser>
          <c:idx val="0"/>
          <c:order val="0"/>
          <c:tx>
            <c:strRef>
              <c:f>Sheet2!$B$2</c:f>
              <c:strCache>
                <c:ptCount val="1"/>
                <c:pt idx="0">
                  <c:v>Mn</c:v>
                </c:pt>
              </c:strCache>
            </c:strRef>
          </c:tx>
          <c:spPr>
            <a:solidFill>
              <a:schemeClr val="tx1"/>
            </a:solidFill>
          </c:spPr>
          <c:cat>
            <c:strRef>
              <c:f>Sheet2!$A$3:$A$10</c:f>
              <c:strCache>
                <c:ptCount val="8"/>
                <c:pt idx="0">
                  <c:v>Site 1</c:v>
                </c:pt>
                <c:pt idx="1">
                  <c:v>Site 2</c:v>
                </c:pt>
                <c:pt idx="2">
                  <c:v>Site 3</c:v>
                </c:pt>
                <c:pt idx="3">
                  <c:v>Site 4</c:v>
                </c:pt>
                <c:pt idx="4">
                  <c:v>Site 5</c:v>
                </c:pt>
                <c:pt idx="5">
                  <c:v>Site 6</c:v>
                </c:pt>
                <c:pt idx="6">
                  <c:v>Site 7</c:v>
                </c:pt>
                <c:pt idx="7">
                  <c:v>Site 8</c:v>
                </c:pt>
              </c:strCache>
            </c:strRef>
          </c:cat>
          <c:val>
            <c:numRef>
              <c:f>Sheet2!$B$3:$B$10</c:f>
              <c:numCache>
                <c:formatCode>General</c:formatCode>
                <c:ptCount val="8"/>
                <c:pt idx="0">
                  <c:v>31</c:v>
                </c:pt>
                <c:pt idx="1">
                  <c:v>46</c:v>
                </c:pt>
                <c:pt idx="2">
                  <c:v>126</c:v>
                </c:pt>
                <c:pt idx="3">
                  <c:v>58</c:v>
                </c:pt>
                <c:pt idx="4">
                  <c:v>71</c:v>
                </c:pt>
                <c:pt idx="5">
                  <c:v>30</c:v>
                </c:pt>
                <c:pt idx="6">
                  <c:v>98</c:v>
                </c:pt>
                <c:pt idx="7">
                  <c:v>67</c:v>
                </c:pt>
              </c:numCache>
            </c:numRef>
          </c:val>
        </c:ser>
        <c:ser>
          <c:idx val="1"/>
          <c:order val="1"/>
          <c:tx>
            <c:strRef>
              <c:f>Sheet2!$C$2</c:f>
              <c:strCache>
                <c:ptCount val="1"/>
                <c:pt idx="0">
                  <c:v>Zn</c:v>
                </c:pt>
              </c:strCache>
            </c:strRef>
          </c:tx>
          <c:spPr>
            <a:solidFill>
              <a:schemeClr val="bg1"/>
            </a:solidFill>
          </c:spPr>
          <c:cat>
            <c:strRef>
              <c:f>Sheet2!$A$3:$A$10</c:f>
              <c:strCache>
                <c:ptCount val="8"/>
                <c:pt idx="0">
                  <c:v>Site 1</c:v>
                </c:pt>
                <c:pt idx="1">
                  <c:v>Site 2</c:v>
                </c:pt>
                <c:pt idx="2">
                  <c:v>Site 3</c:v>
                </c:pt>
                <c:pt idx="3">
                  <c:v>Site 4</c:v>
                </c:pt>
                <c:pt idx="4">
                  <c:v>Site 5</c:v>
                </c:pt>
                <c:pt idx="5">
                  <c:v>Site 6</c:v>
                </c:pt>
                <c:pt idx="6">
                  <c:v>Site 7</c:v>
                </c:pt>
                <c:pt idx="7">
                  <c:v>Site 8</c:v>
                </c:pt>
              </c:strCache>
            </c:strRef>
          </c:cat>
          <c:val>
            <c:numRef>
              <c:f>Sheet2!$C$3:$C$10</c:f>
              <c:numCache>
                <c:formatCode>General</c:formatCode>
                <c:ptCount val="8"/>
                <c:pt idx="0">
                  <c:v>32</c:v>
                </c:pt>
                <c:pt idx="1">
                  <c:v>35</c:v>
                </c:pt>
                <c:pt idx="2">
                  <c:v>43</c:v>
                </c:pt>
                <c:pt idx="3">
                  <c:v>55</c:v>
                </c:pt>
                <c:pt idx="4">
                  <c:v>101</c:v>
                </c:pt>
                <c:pt idx="5">
                  <c:v>76</c:v>
                </c:pt>
                <c:pt idx="6">
                  <c:v>20</c:v>
                </c:pt>
                <c:pt idx="7">
                  <c:v>69</c:v>
                </c:pt>
              </c:numCache>
            </c:numRef>
          </c:val>
        </c:ser>
        <c:shape val="box"/>
        <c:axId val="77151232"/>
        <c:axId val="77190656"/>
        <c:axId val="0"/>
      </c:bar3DChart>
      <c:catAx>
        <c:axId val="77151232"/>
        <c:scaling>
          <c:orientation val="minMax"/>
        </c:scaling>
        <c:axPos val="b"/>
        <c:title>
          <c:tx>
            <c:rich>
              <a:bodyPr/>
              <a:lstStyle/>
              <a:p>
                <a:pPr>
                  <a:defRPr/>
                </a:pPr>
                <a:r>
                  <a:rPr lang="en-AU"/>
                  <a:t>Sample Site</a:t>
                </a:r>
              </a:p>
            </c:rich>
          </c:tx>
        </c:title>
        <c:tickLblPos val="nextTo"/>
        <c:crossAx val="77190656"/>
        <c:crosses val="autoZero"/>
        <c:auto val="1"/>
        <c:lblAlgn val="ctr"/>
        <c:lblOffset val="100"/>
      </c:catAx>
      <c:valAx>
        <c:axId val="77190656"/>
        <c:scaling>
          <c:orientation val="minMax"/>
        </c:scaling>
        <c:axPos val="l"/>
        <c:majorGridlines/>
        <c:title>
          <c:tx>
            <c:rich>
              <a:bodyPr rot="-5400000" vert="horz"/>
              <a:lstStyle/>
              <a:p>
                <a:pPr>
                  <a:defRPr/>
                </a:pPr>
                <a:r>
                  <a:rPr lang="en-AU"/>
                  <a:t>mg/kg</a:t>
                </a:r>
                <a:r>
                  <a:rPr lang="en-AU" baseline="0"/>
                  <a:t> DW</a:t>
                </a:r>
                <a:endParaRPr lang="en-AU"/>
              </a:p>
            </c:rich>
          </c:tx>
        </c:title>
        <c:numFmt formatCode="General" sourceLinked="1"/>
        <c:tickLblPos val="nextTo"/>
        <c:crossAx val="7715123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1336</TotalTime>
  <Pages>8</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Plant &amp; Food Research</Company>
  <LinksUpToDate>false</LinksUpToDate>
  <CharactersWithSpaces>23449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a1066999</cp:lastModifiedBy>
  <cp:revision>44</cp:revision>
  <cp:lastPrinted>2014-08-13T05:33:00Z</cp:lastPrinted>
  <dcterms:created xsi:type="dcterms:W3CDTF">2014-06-23T04:31:00Z</dcterms:created>
  <dcterms:modified xsi:type="dcterms:W3CDTF">2014-10-16T05:47:00Z</dcterms:modified>
</cp:coreProperties>
</file>