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imes New Roman"/>
          <w:sz w:val="22"/>
          <w:szCs w:val="3276"/>
          <w:lang w:val="en-US"/>
        </w:rPr>
        <w:alias w:val="Meeting Header"/>
        <w:tag w:val="Meeting Header"/>
        <w:id w:val="8308209"/>
        <w:lock w:val="sdtContentLocked"/>
      </w:sdtPr>
      <w:sdtEndPr>
        <w:rPr>
          <w:rFonts w:ascii="Times New Roman" w:eastAsiaTheme="minorHAnsi" w:hAnsi="Times New Roman" w:cs="Akhbar MT"/>
          <w:szCs w:val="30"/>
          <w:lang w:val="en-GB"/>
        </w:rPr>
      </w:sdtEndPr>
      <w:sdtContent>
        <w:p w:rsidR="005F59A8" w:rsidRPr="0073685B" w:rsidRDefault="005F59A8" w:rsidP="009500B3">
          <w:pPr>
            <w:pStyle w:val="Hidden"/>
          </w:pPr>
        </w:p>
        <w:p w:rsidR="005F59A8" w:rsidRPr="005F59A8" w:rsidRDefault="005F59A8" w:rsidP="009B6EB4">
          <w:pPr>
            <w:pStyle w:val="DocTitle"/>
          </w:pPr>
          <w:bookmarkStart w:id="0" w:name="CoverBookmark"/>
          <w:bookmarkStart w:id="1" w:name="CoverTitleBookmark"/>
          <w:r w:rsidRPr="005F59A8">
            <w:t xml:space="preserve"> </w:t>
          </w:r>
          <w:r>
            <w:rPr>
              <w:smallCaps/>
            </w:rPr>
            <w:t>Committee on Commodity Problems</w:t>
          </w:r>
        </w:p>
        <w:bookmarkEnd w:id="1" w:displacedByCustomXml="next"/>
        <w:sdt>
          <w:sdtPr>
            <w:alias w:val="Meeting Information"/>
            <w:tag w:val="Meeting Information"/>
            <w:id w:val="8308208"/>
            <w:lock w:val="sdtLocked"/>
          </w:sdtPr>
          <w:sdtContent>
            <w:p w:rsidR="00A675D6" w:rsidRDefault="00A675D6" w:rsidP="00871C72">
              <w:pPr>
                <w:pStyle w:val="MeetingInfo"/>
              </w:pPr>
              <w:r w:rsidRPr="0010595A">
                <w:rPr>
                  <w:rFonts w:eastAsia="Calibri"/>
                </w:rPr>
                <w:t>JOINT MEETING OF THE THIRTY-</w:t>
              </w:r>
              <w:r>
                <w:rPr>
                  <w:rFonts w:eastAsia="Calibri"/>
                </w:rPr>
                <w:t>SEVENTH</w:t>
              </w:r>
              <w:r w:rsidRPr="0010595A">
                <w:rPr>
                  <w:rFonts w:eastAsia="Calibri"/>
                </w:rPr>
                <w:t xml:space="preserve"> SESSION OF THE INTERGOVERNMENTAL GROUP ON HARD FIBRES</w:t>
              </w:r>
              <w:r>
                <w:rPr>
                  <w:rFonts w:eastAsia="Calibri"/>
                </w:rPr>
                <w:t xml:space="preserve">; </w:t>
              </w:r>
              <w:r w:rsidRPr="0010595A">
                <w:rPr>
                  <w:rFonts w:eastAsia="Calibri"/>
                </w:rPr>
                <w:t xml:space="preserve">THE </w:t>
              </w:r>
              <w:r>
                <w:rPr>
                  <w:rFonts w:eastAsia="Calibri"/>
                </w:rPr>
                <w:br/>
              </w:r>
              <w:r w:rsidRPr="0010595A">
                <w:rPr>
                  <w:rFonts w:eastAsia="Calibri"/>
                </w:rPr>
                <w:t>THIRTY-</w:t>
              </w:r>
              <w:r>
                <w:rPr>
                  <w:rFonts w:eastAsia="Calibri"/>
                </w:rPr>
                <w:t xml:space="preserve">NINTH </w:t>
              </w:r>
              <w:r w:rsidRPr="0010595A">
                <w:rPr>
                  <w:rFonts w:eastAsia="Calibri"/>
                </w:rPr>
                <w:t xml:space="preserve">SESSION OF THE INTERGOVERNMENTAL GROUP ON JUTE, KENAF </w:t>
              </w:r>
              <w:smartTag w:uri="urn:schemas-microsoft-com:office:smarttags" w:element="stockticker">
                <w:r w:rsidRPr="0010595A">
                  <w:rPr>
                    <w:rFonts w:eastAsia="Calibri"/>
                  </w:rPr>
                  <w:t>AND</w:t>
                </w:r>
              </w:smartTag>
              <w:r w:rsidRPr="0010595A">
                <w:rPr>
                  <w:rFonts w:eastAsia="Calibri"/>
                </w:rPr>
                <w:t xml:space="preserve"> ALLIED FIBR</w:t>
              </w:r>
              <w:r>
                <w:rPr>
                  <w:rFonts w:eastAsia="Calibri"/>
                </w:rPr>
                <w:t>ES; AND THE EIGHTEENTH SESSION OF THE SUB-GROUP OF SISAL AND HENEQUEN PRODUCING COUNTRIE</w:t>
              </w:r>
              <w:r>
                <w:t>S</w:t>
              </w:r>
            </w:p>
            <w:p w:rsidR="00A675D6" w:rsidRDefault="00A675D6" w:rsidP="00871C72">
              <w:pPr>
                <w:pStyle w:val="MeetingInfo"/>
              </w:pPr>
              <w:proofErr w:type="spellStart"/>
              <w:r>
                <w:rPr>
                  <w:rFonts w:eastAsia="Calibri"/>
                </w:rPr>
                <w:t>Negombo</w:t>
              </w:r>
              <w:proofErr w:type="spellEnd"/>
              <w:r>
                <w:rPr>
                  <w:rFonts w:eastAsia="Calibri"/>
                </w:rPr>
                <w:t>, Sri Lanka, 5 - 7 November 2013</w:t>
              </w:r>
            </w:p>
            <w:p w:rsidR="005F59A8" w:rsidRPr="005F59A8" w:rsidRDefault="00A675D6" w:rsidP="00871C72">
              <w:pPr>
                <w:pStyle w:val="MeetingInfo"/>
              </w:pPr>
              <w:r>
                <w:t>FIBRES POLICY REVIEW</w:t>
              </w:r>
            </w:p>
          </w:sdtContent>
        </w:sdt>
        <w:p w:rsidR="005F59A8" w:rsidRPr="005F59A8" w:rsidRDefault="005F59A8" w:rsidP="008B62C5">
          <w:r w:rsidRPr="0073685B">
            <w:t xml:space="preserve"> </w:t>
          </w:r>
          <w:bookmarkEnd w:id="0"/>
          <w:r w:rsidRPr="0073685B">
            <w:t xml:space="preserve"> </w:t>
          </w:r>
          <w:bookmarkStart w:id="2" w:name="TableOfContentsRangeBookmark"/>
          <w:r w:rsidRPr="0073685B">
            <w:t xml:space="preserve"> </w:t>
          </w:r>
          <w:bookmarkEnd w:id="2"/>
          <w:r w:rsidRPr="0073685B">
            <w:t xml:space="preserve"> </w:t>
          </w:r>
          <w:bookmarkStart w:id="3" w:name="SummaryBoxBookmark"/>
          <w:r w:rsidRPr="0073685B">
            <w:t xml:space="preserve"> </w:t>
          </w:r>
        </w:p>
        <w:bookmarkEnd w:id="3" w:displacedByCustomXml="next"/>
      </w:sdtContent>
    </w:sdt>
    <w:p w:rsidR="00A675D6" w:rsidRDefault="00A675D6" w:rsidP="005F59A8">
      <w:pPr>
        <w:pStyle w:val="Heading1"/>
      </w:pPr>
      <w:r>
        <w:t>INTRODUCTION</w:t>
      </w:r>
    </w:p>
    <w:p w:rsidR="007F313F" w:rsidRDefault="00A675D6" w:rsidP="00A675D6">
      <w:pPr>
        <w:pStyle w:val="NewPara"/>
      </w:pPr>
      <w:r w:rsidRPr="002166A7">
        <w:rPr>
          <w:sz w:val="24"/>
          <w:szCs w:val="24"/>
        </w:rPr>
        <w:t xml:space="preserve">At the last Joint Meeting (JM) of the Intergovernmental Groups on Hard Fibres and on Jute, Kenaf and Allied Fibres (IGG/HFJU), delegates recommended that the Secretariat actively engage in monitoring policy developments in trade and markets, including their impact on countries and regions. However, recognizing the </w:t>
      </w:r>
      <w:r>
        <w:rPr>
          <w:sz w:val="24"/>
          <w:szCs w:val="24"/>
        </w:rPr>
        <w:t xml:space="preserve">limited </w:t>
      </w:r>
      <w:r w:rsidRPr="002166A7">
        <w:rPr>
          <w:sz w:val="24"/>
          <w:szCs w:val="24"/>
        </w:rPr>
        <w:t>resource</w:t>
      </w:r>
      <w:r>
        <w:rPr>
          <w:sz w:val="24"/>
          <w:szCs w:val="24"/>
        </w:rPr>
        <w:t>s</w:t>
      </w:r>
      <w:r w:rsidRPr="002166A7">
        <w:rPr>
          <w:sz w:val="24"/>
          <w:szCs w:val="24"/>
        </w:rPr>
        <w:t xml:space="preserve"> </w:t>
      </w:r>
      <w:r>
        <w:rPr>
          <w:sz w:val="24"/>
          <w:szCs w:val="24"/>
        </w:rPr>
        <w:t xml:space="preserve">of </w:t>
      </w:r>
      <w:r w:rsidRPr="002166A7">
        <w:rPr>
          <w:sz w:val="24"/>
          <w:szCs w:val="24"/>
        </w:rPr>
        <w:t>the Secretariat, the Joint Meeting agreed that the work had to be done in phases and that IGG members had to buy into the process and collaborate fully with the designated Champions and the Secretariat. Contrary to popular belief, no coherent work on policy has been done by the IGG/HFJU,</w:t>
      </w:r>
      <w:r>
        <w:rPr>
          <w:sz w:val="24"/>
          <w:szCs w:val="24"/>
        </w:rPr>
        <w:t xml:space="preserve"> since the</w:t>
      </w:r>
      <w:r w:rsidRPr="002166A7">
        <w:rPr>
          <w:sz w:val="24"/>
          <w:szCs w:val="24"/>
        </w:rPr>
        <w:t xml:space="preserve"> Uruguay Round.</w:t>
      </w:r>
    </w:p>
    <w:p w:rsidR="00A675D6" w:rsidRDefault="00A675D6" w:rsidP="00A675D6">
      <w:pPr>
        <w:pStyle w:val="NewPara"/>
      </w:pPr>
      <w:r w:rsidRPr="002166A7">
        <w:rPr>
          <w:sz w:val="24"/>
          <w:szCs w:val="24"/>
        </w:rPr>
        <w:t xml:space="preserve">Firstly, the existing policy framework impacting production and trade of these fibres had to be accurately benchmarked.  </w:t>
      </w:r>
      <w:r>
        <w:rPr>
          <w:sz w:val="24"/>
          <w:szCs w:val="24"/>
        </w:rPr>
        <w:t>T</w:t>
      </w:r>
      <w:r w:rsidRPr="002166A7">
        <w:rPr>
          <w:sz w:val="24"/>
          <w:szCs w:val="24"/>
        </w:rPr>
        <w:t>he IGGs can then identify policy options that would enhance production, trade and producer welfare, and prioritize analyses to be carried out, particularly on the costs and benefits of implementing these.</w:t>
      </w:r>
    </w:p>
    <w:p w:rsidR="00A675D6" w:rsidRDefault="00A675D6" w:rsidP="00A675D6">
      <w:pPr>
        <w:pStyle w:val="NewPara"/>
      </w:pPr>
      <w:r w:rsidRPr="002166A7">
        <w:rPr>
          <w:sz w:val="24"/>
          <w:szCs w:val="24"/>
        </w:rPr>
        <w:t xml:space="preserve">Policy discussion in this document is heavily biased towards producing countries, most of which are Least Developed Countries (LDC), because of the importance of these fibres to the economy of these countries and the attempt by these countries to articulate effective policies to accelerate the development of the respective fibre sub-sectors in a coherent manner.  For importing consuming countries, there is virtually no specific policy for </w:t>
      </w:r>
      <w:r w:rsidRPr="002166A7">
        <w:rPr>
          <w:sz w:val="24"/>
          <w:szCs w:val="24"/>
        </w:rPr>
        <w:lastRenderedPageBreak/>
        <w:t>the JACKS</w:t>
      </w:r>
      <w:r w:rsidRPr="006E1322">
        <w:rPr>
          <w:rStyle w:val="FootnoteReference"/>
          <w:sz w:val="24"/>
          <w:szCs w:val="24"/>
        </w:rPr>
        <w:footnoteReference w:id="1"/>
      </w:r>
      <w:r w:rsidRPr="002166A7">
        <w:rPr>
          <w:sz w:val="24"/>
          <w:szCs w:val="24"/>
        </w:rPr>
        <w:t xml:space="preserve"> </w:t>
      </w:r>
      <w:r w:rsidRPr="002166A7">
        <w:rPr>
          <w:i/>
          <w:sz w:val="24"/>
          <w:szCs w:val="24"/>
        </w:rPr>
        <w:t>per se</w:t>
      </w:r>
      <w:r w:rsidRPr="002166A7">
        <w:rPr>
          <w:sz w:val="24"/>
          <w:szCs w:val="24"/>
        </w:rPr>
        <w:t>, rather they are covered under many areas</w:t>
      </w:r>
      <w:r>
        <w:rPr>
          <w:sz w:val="24"/>
          <w:szCs w:val="24"/>
        </w:rPr>
        <w:t xml:space="preserve"> including tariffs</w:t>
      </w:r>
      <w:r w:rsidRPr="002166A7">
        <w:rPr>
          <w:sz w:val="24"/>
          <w:szCs w:val="24"/>
        </w:rPr>
        <w:t xml:space="preserve"> and regulations</w:t>
      </w:r>
      <w:r>
        <w:rPr>
          <w:sz w:val="24"/>
          <w:szCs w:val="24"/>
        </w:rPr>
        <w:t>,</w:t>
      </w:r>
      <w:r w:rsidRPr="002166A7">
        <w:rPr>
          <w:sz w:val="24"/>
          <w:szCs w:val="24"/>
        </w:rPr>
        <w:t xml:space="preserve"> sanitary and phytosanitary measures</w:t>
      </w:r>
      <w:r>
        <w:rPr>
          <w:sz w:val="24"/>
          <w:szCs w:val="24"/>
        </w:rPr>
        <w:t xml:space="preserve"> and</w:t>
      </w:r>
      <w:r w:rsidRPr="002166A7">
        <w:rPr>
          <w:sz w:val="24"/>
          <w:szCs w:val="24"/>
        </w:rPr>
        <w:t xml:space="preserve"> consumer and environment protection</w:t>
      </w:r>
      <w:r>
        <w:rPr>
          <w:sz w:val="24"/>
          <w:szCs w:val="24"/>
        </w:rPr>
        <w:t>.</w:t>
      </w:r>
    </w:p>
    <w:p w:rsidR="00A675D6" w:rsidRDefault="00A675D6" w:rsidP="00A675D6">
      <w:pPr>
        <w:pStyle w:val="NewPara"/>
      </w:pPr>
      <w:r>
        <w:rPr>
          <w:sz w:val="24"/>
          <w:szCs w:val="24"/>
        </w:rPr>
        <w:t>A</w:t>
      </w:r>
      <w:r w:rsidRPr="002166A7">
        <w:rPr>
          <w:sz w:val="24"/>
          <w:szCs w:val="24"/>
        </w:rPr>
        <w:t>lthough research into the use of JACKS in producing composites has gathered momentum and available scientific evidence validates the use of JACKS in geo-textiles and building material composites, the</w:t>
      </w:r>
      <w:r>
        <w:rPr>
          <w:sz w:val="24"/>
          <w:szCs w:val="24"/>
        </w:rPr>
        <w:t>ir</w:t>
      </w:r>
      <w:r w:rsidRPr="002166A7">
        <w:rPr>
          <w:sz w:val="24"/>
          <w:szCs w:val="24"/>
        </w:rPr>
        <w:t xml:space="preserve"> financial and economic viability are still questionable as no country is yet producing these composites on a commercial scale. Commercial trials are still on-going and governments are beginning to consider enabling policies, including establishment of economic exclusion zones, and tax holidays for companies that are willing to invest in the production of composite building materials,  to facilitate development of this sub-sector. This should not be confused with the commercialization of composites in developed countries, mainly those made from wood chips (in Scandinavian countries and the United States) and flax and hemp (in Europe).</w:t>
      </w:r>
    </w:p>
    <w:p w:rsidR="00A675D6" w:rsidRPr="00A675D6" w:rsidRDefault="00A675D6" w:rsidP="00A675D6">
      <w:pPr>
        <w:pStyle w:val="NewPara"/>
      </w:pPr>
      <w:r w:rsidRPr="002166A7">
        <w:rPr>
          <w:sz w:val="24"/>
          <w:szCs w:val="24"/>
        </w:rPr>
        <w:t xml:space="preserve">In an attempt to accurately benchmark the policy framework, this document provides an update of the information tabled at the JM in 2011, </w:t>
      </w:r>
      <w:r>
        <w:rPr>
          <w:sz w:val="24"/>
          <w:szCs w:val="24"/>
        </w:rPr>
        <w:t>and</w:t>
      </w:r>
      <w:r w:rsidRPr="002166A7">
        <w:rPr>
          <w:sz w:val="24"/>
          <w:szCs w:val="24"/>
        </w:rPr>
        <w:t xml:space="preserve"> brings together information that has been gleaned from the numerous studies undertaken by the Secretariat under the </w:t>
      </w:r>
      <w:r w:rsidRPr="002166A7">
        <w:rPr>
          <w:i/>
          <w:sz w:val="24"/>
          <w:szCs w:val="24"/>
        </w:rPr>
        <w:t>Future Fibres Initiative</w:t>
      </w:r>
      <w:r w:rsidRPr="002166A7">
        <w:rPr>
          <w:sz w:val="24"/>
          <w:szCs w:val="24"/>
        </w:rPr>
        <w:t xml:space="preserve"> project and the feature publication prepared by the Secretariat on </w:t>
      </w:r>
      <w:r w:rsidRPr="002166A7">
        <w:rPr>
          <w:i/>
          <w:sz w:val="24"/>
          <w:szCs w:val="24"/>
        </w:rPr>
        <w:t>Unlocking Future Fibre Potential</w:t>
      </w:r>
      <w:r w:rsidRPr="002166A7">
        <w:rPr>
          <w:sz w:val="24"/>
          <w:szCs w:val="24"/>
        </w:rPr>
        <w:t>.</w:t>
      </w:r>
    </w:p>
    <w:p w:rsidR="00A675D6" w:rsidRDefault="00A675D6" w:rsidP="00A675D6">
      <w:pPr>
        <w:pStyle w:val="Heading1"/>
        <w:rPr>
          <w:sz w:val="24"/>
          <w:szCs w:val="24"/>
        </w:rPr>
      </w:pPr>
      <w:r w:rsidRPr="006E1322">
        <w:rPr>
          <w:sz w:val="24"/>
          <w:szCs w:val="24"/>
        </w:rPr>
        <w:t>TRENDS AND STRUCTURE OF JACKS TRADE</w:t>
      </w:r>
    </w:p>
    <w:p w:rsidR="00A675D6" w:rsidRDefault="00A675D6" w:rsidP="00A675D6">
      <w:pPr>
        <w:pStyle w:val="NewPara"/>
      </w:pPr>
      <w:r w:rsidRPr="006E1322">
        <w:rPr>
          <w:sz w:val="24"/>
          <w:szCs w:val="24"/>
        </w:rPr>
        <w:t xml:space="preserve">Increasingly, the world is realizing that better use must be made of precious natural resources. </w:t>
      </w:r>
      <w:r w:rsidRPr="006E1322">
        <w:rPr>
          <w:rFonts w:cs="Times New Roman"/>
          <w:sz w:val="24"/>
          <w:szCs w:val="24"/>
        </w:rPr>
        <w:t>Changes in the regulations are playing an increasingly important role in encouraging industry to follow more environmentally sound practices. Of direct relevance to the natural fibres economy are a number of legislative provisions ranging from the banning of non-biodegradable plastic bags to the establishment of end-of-life recycling requi</w:t>
      </w:r>
      <w:r>
        <w:rPr>
          <w:rFonts w:cs="Times New Roman"/>
          <w:sz w:val="24"/>
          <w:szCs w:val="24"/>
        </w:rPr>
        <w:t>rements</w:t>
      </w:r>
      <w:r w:rsidRPr="006E1322">
        <w:rPr>
          <w:rFonts w:cs="Times New Roman"/>
          <w:sz w:val="24"/>
          <w:szCs w:val="24"/>
        </w:rPr>
        <w:t xml:space="preserve"> for the automobile industry. These regulatory provisions are indicative of the pronounced trend in many high-income countries towards enacting legislation aimed at reducing environmental damage and the associated costs to society.</w:t>
      </w:r>
    </w:p>
    <w:p w:rsidR="00A675D6" w:rsidRDefault="00A675D6" w:rsidP="00A675D6">
      <w:pPr>
        <w:pStyle w:val="NewPara"/>
      </w:pPr>
      <w:r w:rsidRPr="002166A7">
        <w:rPr>
          <w:rFonts w:cs="Times New Roman"/>
          <w:sz w:val="24"/>
          <w:szCs w:val="24"/>
        </w:rPr>
        <w:t xml:space="preserve">There is considerable scope for further developing commercial opportunities for JACKS which are exclusively supplied from developing countries. These natural fibre crops are of vital importance to the livelihood and food security of farmers in some of the poorest regions of the world. </w:t>
      </w:r>
      <w:r>
        <w:rPr>
          <w:rFonts w:cs="Times New Roman"/>
          <w:sz w:val="24"/>
          <w:szCs w:val="24"/>
        </w:rPr>
        <w:t>T</w:t>
      </w:r>
      <w:r w:rsidRPr="002166A7">
        <w:rPr>
          <w:rFonts w:cs="Times New Roman"/>
          <w:sz w:val="24"/>
          <w:szCs w:val="24"/>
        </w:rPr>
        <w:t>hey provide employment for low-income populations in rural areas while contributing to food security in times of drought. For example, sisal plants tend to accumulate moisture around them which nourishes the food crop</w:t>
      </w:r>
      <w:r>
        <w:rPr>
          <w:rFonts w:cs="Times New Roman"/>
          <w:sz w:val="24"/>
          <w:szCs w:val="24"/>
        </w:rPr>
        <w:t>s</w:t>
      </w:r>
      <w:r w:rsidRPr="002166A7">
        <w:rPr>
          <w:rFonts w:cs="Times New Roman"/>
          <w:sz w:val="24"/>
          <w:szCs w:val="24"/>
        </w:rPr>
        <w:t xml:space="preserve"> that are intercropped with them.</w:t>
      </w:r>
    </w:p>
    <w:p w:rsidR="00A675D6" w:rsidRDefault="00A675D6" w:rsidP="00A675D6">
      <w:pPr>
        <w:pStyle w:val="NewPara"/>
      </w:pPr>
      <w:r w:rsidRPr="002166A7">
        <w:rPr>
          <w:rFonts w:cs="Times New Roman"/>
          <w:sz w:val="24"/>
          <w:szCs w:val="24"/>
        </w:rPr>
        <w:t xml:space="preserve">Although the traditional markets for JACKS have shrunk, mainly owing to the deep inroads made by synthetics, these fibres possess the technical and economic characteristics suitable for use in higher value innovative applications, such as composites, building materials, furniture and packaging material. Moreover, the potential for using biomass and waste to generate biogas, animal feed and fertilizer continues to grow. However, as mentioned in the introduction, the financial and economic viability of the production and trade of these products on a commercial scale are still being evaluated, particularly in terms of their competitiveness against existing products. </w:t>
      </w:r>
      <w:r>
        <w:rPr>
          <w:rFonts w:cs="Times New Roman"/>
          <w:sz w:val="24"/>
          <w:szCs w:val="24"/>
        </w:rPr>
        <w:t>So</w:t>
      </w:r>
      <w:r w:rsidRPr="002166A7">
        <w:rPr>
          <w:rFonts w:cs="Times New Roman"/>
          <w:sz w:val="24"/>
          <w:szCs w:val="24"/>
        </w:rPr>
        <w:t xml:space="preserve"> the use of JACKS in innovative industrial applications should take place alongside the traditional uses of these fibres.</w:t>
      </w:r>
    </w:p>
    <w:p w:rsidR="00A675D6" w:rsidRDefault="00A675D6" w:rsidP="00A675D6">
      <w:pPr>
        <w:pStyle w:val="PageBreak"/>
      </w:pPr>
      <w:r>
        <w:br w:type="page"/>
      </w:r>
    </w:p>
    <w:p w:rsidR="00A675D6" w:rsidRPr="00A675D6" w:rsidRDefault="00A675D6" w:rsidP="00A675D6">
      <w:pPr>
        <w:pStyle w:val="NewPara"/>
      </w:pPr>
      <w:r w:rsidRPr="002166A7">
        <w:rPr>
          <w:sz w:val="24"/>
          <w:szCs w:val="24"/>
        </w:rPr>
        <w:lastRenderedPageBreak/>
        <w:t>In terms of world trade, jute and its manufactured products are the largest items traded, accounting for 60 percent of the total value of JACKS exported in 2011</w:t>
      </w:r>
      <w:r w:rsidRPr="006E1322">
        <w:rPr>
          <w:rStyle w:val="FootnoteReference"/>
          <w:sz w:val="24"/>
          <w:szCs w:val="24"/>
        </w:rPr>
        <w:footnoteReference w:id="2"/>
      </w:r>
      <w:r w:rsidRPr="002166A7">
        <w:rPr>
          <w:sz w:val="24"/>
          <w:szCs w:val="24"/>
        </w:rPr>
        <w:t>. The value of world exports of jute and manufactured products increased from USD 0.74 billion in 2000  to USD 1.71 billion at its peak in 2007. After falling to a low of USD 1.05 billion in 2009,  values eventually recovered to USD 1.44 billion in 2011 (Figure 1). For hard fibres, the value of exports peaked at USD 0.63 billion in 2006, dipped to USD 0.46 billion in 2007 before recovering in 2008 and reaching USD 0.98 billion in 2011 (Figure 2).</w:t>
      </w:r>
      <w:r>
        <w:br/>
      </w:r>
      <w:r>
        <w:br/>
      </w:r>
      <w:r w:rsidRPr="00A675D6">
        <w:rPr>
          <w:noProof/>
          <w:lang w:val="en-US"/>
        </w:rPr>
        <w:drawing>
          <wp:inline distT="0" distB="0" distL="0" distR="0">
            <wp:extent cx="5248275" cy="3224214"/>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br/>
      </w:r>
      <w:r>
        <w:br/>
      </w:r>
      <w:r>
        <w:br/>
      </w:r>
      <w:r w:rsidRPr="00A675D6">
        <w:rPr>
          <w:noProof/>
          <w:lang w:val="en-US"/>
        </w:rPr>
        <w:drawing>
          <wp:inline distT="0" distB="0" distL="0" distR="0">
            <wp:extent cx="5495925" cy="3248025"/>
            <wp:effectExtent l="0" t="0" r="9525" b="9525"/>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5D6" w:rsidRPr="00A675D6" w:rsidRDefault="00A675D6" w:rsidP="00A675D6">
      <w:pPr>
        <w:pStyle w:val="NewPara"/>
      </w:pPr>
      <w:r w:rsidRPr="002166A7">
        <w:rPr>
          <w:sz w:val="24"/>
          <w:szCs w:val="24"/>
        </w:rPr>
        <w:lastRenderedPageBreak/>
        <w:t>The export growth experienced from 2000 to 2007 can be attributed in part to increased global demand for processed JACKS, driven by rising demand for natural fibre due to environmental concerns over the cost and impact of increasing use of petroleum derivatives and unsustainable deforestation practices, exacerbated by rising public perception of the negative effects of climate change.</w:t>
      </w:r>
    </w:p>
    <w:p w:rsidR="00A675D6" w:rsidRDefault="00A675D6" w:rsidP="00A675D6">
      <w:pPr>
        <w:pStyle w:val="Heading1"/>
        <w:rPr>
          <w:sz w:val="24"/>
          <w:szCs w:val="24"/>
        </w:rPr>
      </w:pPr>
      <w:r w:rsidRPr="006E1322">
        <w:rPr>
          <w:sz w:val="24"/>
          <w:szCs w:val="24"/>
        </w:rPr>
        <w:t>COMPETITIVENESS AND KEY DRIVERS</w:t>
      </w:r>
    </w:p>
    <w:p w:rsidR="00A675D6" w:rsidRDefault="00A675D6" w:rsidP="00A675D6">
      <w:pPr>
        <w:pStyle w:val="NewPara"/>
      </w:pPr>
      <w:r w:rsidRPr="002166A7">
        <w:rPr>
          <w:sz w:val="24"/>
          <w:szCs w:val="24"/>
        </w:rPr>
        <w:t>The key factors having an impact on competitiveness and export availabilities of the JACKS are, on the production side, price stability and reliability of supplies. These, in turn, are affected by climatic conditions, relative prices of competing crops and returns to farmers in the previous season. Production policies, such as those favouring food crops, also influence farmer planting decisions. This is a factor driving intercropping practices in some producing countries such as in Tanzania, where intercropping sisal with food crops is a common occurrence.</w:t>
      </w:r>
    </w:p>
    <w:p w:rsidR="00A675D6" w:rsidRDefault="00A675D6" w:rsidP="00A675D6">
      <w:pPr>
        <w:pStyle w:val="NewPara"/>
      </w:pPr>
      <w:r w:rsidRPr="002166A7">
        <w:rPr>
          <w:sz w:val="24"/>
          <w:szCs w:val="24"/>
        </w:rPr>
        <w:t xml:space="preserve">On the demand side, competitiveness is influenced by prices of JACKS </w:t>
      </w:r>
      <w:r w:rsidRPr="002166A7">
        <w:rPr>
          <w:i/>
          <w:sz w:val="24"/>
          <w:szCs w:val="24"/>
        </w:rPr>
        <w:t>vis-à-vis</w:t>
      </w:r>
      <w:r w:rsidRPr="002166A7">
        <w:rPr>
          <w:sz w:val="24"/>
          <w:szCs w:val="24"/>
        </w:rPr>
        <w:t xml:space="preserve"> those of competing fibres, particularly synthetics, in various end-use markets where substitution is a technically acceptable option. Aggressive price competition from synthetic products, particularly polypropylene, in many major end uses was the single most important factor responsible for the drop in demand for jute and hard fibres, until oil prices (and consequently polypropylene prices) increased more than threefold in 2010.</w:t>
      </w:r>
    </w:p>
    <w:p w:rsidR="00A675D6" w:rsidRDefault="00A675D6" w:rsidP="00A675D6">
      <w:pPr>
        <w:pStyle w:val="NewPara"/>
      </w:pPr>
      <w:r w:rsidRPr="002166A7">
        <w:rPr>
          <w:sz w:val="24"/>
          <w:szCs w:val="24"/>
        </w:rPr>
        <w:t>Underlying structural conditions such as the increasing share of smallholders in the supply chain and increasing domestic demand in many producing countries have had an impact on the size and distribution of markets. Although also confronted by competition from synthetics, domestic demand for JACKS has held up better in some of the large producing countries, such as China and India, than in some of the smaller producing countries relying on export markets. However, potential for developing composite building materials and other industrial products targeting import substitution is seen as a means to dramatically increase demand of JACKS in the smaller producing countries, such as Tanzania.</w:t>
      </w:r>
    </w:p>
    <w:p w:rsidR="00A675D6" w:rsidRDefault="00A675D6" w:rsidP="00A675D6">
      <w:pPr>
        <w:pStyle w:val="NewPara"/>
      </w:pPr>
      <w:r w:rsidRPr="002166A7">
        <w:rPr>
          <w:sz w:val="24"/>
          <w:szCs w:val="24"/>
        </w:rPr>
        <w:t>At the international level, competitiveness is affected by the policy environment under which trade occurs. Increasing trade of agricultural commodities, such as coffee, continued to be a major source of growth in demand for jute. Although bulk handling of commodities has made significant inroads in international trade, bagging is still extensively used for domestic transportation, distribution and storage in rural areas. Until the hike in oil prices from 2005/06, jute bags had been losing market share to bags made from synthetics. However, demand has recovered largely through competitive prices, with assistance from deliberate policy choices by commodity traders, for example  to use jute rather than synthetic bags for packing sugar to supply the domestic marke</w:t>
      </w:r>
      <w:r>
        <w:rPr>
          <w:sz w:val="24"/>
          <w:szCs w:val="24"/>
        </w:rPr>
        <w:t>t</w:t>
      </w:r>
      <w:r w:rsidRPr="002166A7">
        <w:rPr>
          <w:sz w:val="24"/>
          <w:szCs w:val="24"/>
        </w:rPr>
        <w:t xml:space="preserve">, many of which are </w:t>
      </w:r>
      <w:proofErr w:type="spellStart"/>
      <w:r w:rsidRPr="002166A7">
        <w:rPr>
          <w:sz w:val="24"/>
          <w:szCs w:val="24"/>
        </w:rPr>
        <w:t>parastatals</w:t>
      </w:r>
      <w:proofErr w:type="spellEnd"/>
      <w:r w:rsidRPr="002166A7">
        <w:rPr>
          <w:sz w:val="24"/>
          <w:szCs w:val="24"/>
        </w:rPr>
        <w:t>.</w:t>
      </w:r>
    </w:p>
    <w:p w:rsidR="00A675D6" w:rsidRPr="00A675D6" w:rsidRDefault="00A675D6" w:rsidP="00A675D6">
      <w:pPr>
        <w:pStyle w:val="NewPara"/>
      </w:pPr>
      <w:r w:rsidRPr="006E1322">
        <w:rPr>
          <w:sz w:val="24"/>
          <w:szCs w:val="24"/>
        </w:rPr>
        <w:t xml:space="preserve">In the case of sisal, demand also fell with competition from synthetic baler twines prior to 2006. The decline became more pronounced as new harvesting techniques increased the size of hay and straw bales aimed at reducing unit cost of handling and better utilization of storage space. </w:t>
      </w:r>
      <w:r>
        <w:rPr>
          <w:sz w:val="24"/>
          <w:szCs w:val="24"/>
        </w:rPr>
        <w:t>As in the case of jute, t</w:t>
      </w:r>
      <w:r w:rsidRPr="006E1322">
        <w:rPr>
          <w:sz w:val="24"/>
          <w:szCs w:val="24"/>
        </w:rPr>
        <w:t>his trend was reversed as oil prices dramatically increased</w:t>
      </w:r>
      <w:r>
        <w:rPr>
          <w:sz w:val="24"/>
          <w:szCs w:val="24"/>
        </w:rPr>
        <w:t>,</w:t>
      </w:r>
      <w:r w:rsidRPr="006E1322">
        <w:rPr>
          <w:sz w:val="24"/>
          <w:szCs w:val="24"/>
        </w:rPr>
        <w:t xml:space="preserve"> and with environmental concerns in recent years, demand has accelerated even more.  Among the JACKS, the only fibre that resisted competition from synthetics was and continues to be abaca, due to the superior properties of its fibre relative to synthetics in its chief end-use – specialty papers.</w:t>
      </w:r>
    </w:p>
    <w:p w:rsidR="00A675D6" w:rsidRDefault="00A675D6" w:rsidP="00A675D6">
      <w:pPr>
        <w:pStyle w:val="Heading1"/>
        <w:rPr>
          <w:sz w:val="24"/>
          <w:szCs w:val="24"/>
        </w:rPr>
      </w:pPr>
      <w:r w:rsidRPr="006E1322">
        <w:rPr>
          <w:sz w:val="24"/>
          <w:szCs w:val="24"/>
        </w:rPr>
        <w:lastRenderedPageBreak/>
        <w:t>TRADE POLICIES AFFECTING FIBRES AND THEIR PRODUCTION</w:t>
      </w:r>
    </w:p>
    <w:p w:rsidR="00A675D6" w:rsidRDefault="00A675D6" w:rsidP="00A675D6">
      <w:pPr>
        <w:pStyle w:val="NewPara"/>
      </w:pPr>
      <w:r w:rsidRPr="00894005">
        <w:rPr>
          <w:sz w:val="24"/>
          <w:szCs w:val="24"/>
        </w:rPr>
        <w:t>The Agreement on Agriculture under the Uruguay Round contained significant reductions in trade barriers and trade distorting support measures in many countries. JACKS are exclusively produced and exported by developing countries which, apart from Brazil, China and India, typically do not have the resources to provide trade distorting support. It is the support provided by countries producing and exporting competing products, such as hemp and flax, that are important for the competitiveness of the JACKS market. Although tariffs on JACKS have been generally brought down under both multilateral and bilateral trade liberalization, their market access is still plagued with some remaining levels of tariff escalation (tariff increases as the stage of processing rises) and the use of non-tariff barriers (NTBs) for non LDC countries. Some countries maintain these tariff escalation and NTBs to protect their domestic industries</w:t>
      </w:r>
      <w:r>
        <w:rPr>
          <w:sz w:val="24"/>
          <w:szCs w:val="24"/>
        </w:rPr>
        <w:t>: for example,</w:t>
      </w:r>
      <w:r w:rsidRPr="00894005">
        <w:rPr>
          <w:sz w:val="24"/>
          <w:szCs w:val="24"/>
        </w:rPr>
        <w:t xml:space="preserve"> Iran imposes a tariff of 30-65 percent on jute manufactured products reportedly to protect its domestically produced wool (carpets) </w:t>
      </w:r>
      <w:r>
        <w:rPr>
          <w:sz w:val="24"/>
          <w:szCs w:val="24"/>
        </w:rPr>
        <w:t>and polypropylene (bags) fibres</w:t>
      </w:r>
      <w:r w:rsidRPr="00894005">
        <w:rPr>
          <w:sz w:val="24"/>
          <w:szCs w:val="24"/>
        </w:rPr>
        <w:t>. Pakistan imposes zero tariffs on jute fibre imports, while China and India apply MFN tariffs of 5 and 10 percent respectively (Table 1)</w:t>
      </w:r>
      <w:r w:rsidRPr="008C4437">
        <w:rPr>
          <w:rStyle w:val="FootnoteReference"/>
          <w:sz w:val="24"/>
          <w:szCs w:val="24"/>
        </w:rPr>
        <w:footnoteReference w:id="3"/>
      </w:r>
      <w:r w:rsidRPr="00894005">
        <w:rPr>
          <w:sz w:val="24"/>
          <w:szCs w:val="24"/>
        </w:rPr>
        <w:t>. Bangladesh, a key producer, imposes 25 percent MFN duties on all jute and jute products except jute twine and cordage for which the duty is zero for all countries. China imposes a tariff of 10-14 percent, India uniform at 10 percent and Pakistan 10-25 percent.</w:t>
      </w:r>
    </w:p>
    <w:p w:rsidR="00A675D6" w:rsidRDefault="00A675D6" w:rsidP="00A675D6">
      <w:pPr>
        <w:pStyle w:val="NewPara"/>
      </w:pPr>
      <w:r w:rsidRPr="00A675D6">
        <w:rPr>
          <w:sz w:val="24"/>
          <w:szCs w:val="24"/>
        </w:rPr>
        <w:t xml:space="preserve"> </w:t>
      </w:r>
      <w:r w:rsidRPr="006E1322">
        <w:rPr>
          <w:sz w:val="24"/>
          <w:szCs w:val="24"/>
        </w:rPr>
        <w:t>Although the multilateral trade agreements under the WTO</w:t>
      </w:r>
      <w:r w:rsidRPr="006E1322">
        <w:rPr>
          <w:rStyle w:val="FootnoteReference"/>
          <w:sz w:val="24"/>
          <w:szCs w:val="24"/>
        </w:rPr>
        <w:footnoteReference w:id="4"/>
      </w:r>
      <w:r w:rsidRPr="006E1322">
        <w:rPr>
          <w:sz w:val="24"/>
          <w:szCs w:val="24"/>
        </w:rPr>
        <w:t xml:space="preserve"> have reduced import tariffs and imposed disciplines on other trade distorting measures</w:t>
      </w:r>
      <w:r>
        <w:rPr>
          <w:sz w:val="24"/>
          <w:szCs w:val="24"/>
        </w:rPr>
        <w:t>,</w:t>
      </w:r>
      <w:r w:rsidRPr="006E1322">
        <w:rPr>
          <w:sz w:val="24"/>
          <w:szCs w:val="24"/>
        </w:rPr>
        <w:t xml:space="preserve"> such as domestic support and export subsidy measures, the tariff structure of JACKS and competing products exhibit the same pattern that existed prior to the WTO agreements</w:t>
      </w:r>
      <w:r w:rsidRPr="006E1322">
        <w:rPr>
          <w:rStyle w:val="FootnoteReference"/>
          <w:sz w:val="24"/>
          <w:szCs w:val="24"/>
        </w:rPr>
        <w:footnoteReference w:id="5"/>
      </w:r>
      <w:r w:rsidRPr="006E1322">
        <w:rPr>
          <w:sz w:val="24"/>
          <w:szCs w:val="24"/>
        </w:rPr>
        <w:t>. MFN tariffs on raw and some semi-processed products are low to zero</w:t>
      </w:r>
      <w:r w:rsidRPr="006E1322">
        <w:rPr>
          <w:rStyle w:val="FootnoteReference"/>
          <w:sz w:val="24"/>
          <w:szCs w:val="24"/>
        </w:rPr>
        <w:footnoteReference w:id="6"/>
      </w:r>
      <w:r w:rsidRPr="006E1322">
        <w:rPr>
          <w:sz w:val="24"/>
          <w:szCs w:val="24"/>
        </w:rPr>
        <w:t xml:space="preserve"> in many countries with higher tariffs for processed products (tariff escalation). However, it should be pointed out that two of the largest exporters, Bangladesh for jute and Tanzania for sisal, are LDCs and enjoy tariff and quota free market access to the E</w:t>
      </w:r>
      <w:r>
        <w:rPr>
          <w:sz w:val="24"/>
          <w:szCs w:val="24"/>
        </w:rPr>
        <w:t xml:space="preserve">uropean </w:t>
      </w:r>
      <w:r w:rsidRPr="006E1322">
        <w:rPr>
          <w:sz w:val="24"/>
          <w:szCs w:val="24"/>
        </w:rPr>
        <w:t>U</w:t>
      </w:r>
      <w:r>
        <w:rPr>
          <w:sz w:val="24"/>
          <w:szCs w:val="24"/>
        </w:rPr>
        <w:t>nion (EU)</w:t>
      </w:r>
      <w:r w:rsidRPr="006E1322">
        <w:rPr>
          <w:sz w:val="24"/>
          <w:szCs w:val="24"/>
        </w:rPr>
        <w:t xml:space="preserve"> for all their products under the Everything But Arms (EBA)</w:t>
      </w:r>
      <w:r w:rsidRPr="006E1322">
        <w:rPr>
          <w:rStyle w:val="FootnoteReference"/>
          <w:sz w:val="24"/>
          <w:szCs w:val="24"/>
        </w:rPr>
        <w:footnoteReference w:id="7"/>
      </w:r>
      <w:r w:rsidRPr="006E1322">
        <w:rPr>
          <w:sz w:val="24"/>
          <w:szCs w:val="24"/>
        </w:rPr>
        <w:t xml:space="preserve"> Agreement with the EU.</w:t>
      </w:r>
    </w:p>
    <w:p w:rsidR="00A675D6" w:rsidRDefault="00A675D6" w:rsidP="00A675D6">
      <w:pPr>
        <w:pStyle w:val="NewPara"/>
        <w:rPr>
          <w:sz w:val="24"/>
          <w:szCs w:val="24"/>
        </w:rPr>
      </w:pPr>
      <w:r w:rsidRPr="00A675D6">
        <w:rPr>
          <w:sz w:val="24"/>
          <w:szCs w:val="24"/>
        </w:rPr>
        <w:t xml:space="preserve"> </w:t>
      </w:r>
      <w:r w:rsidRPr="006E1322">
        <w:rPr>
          <w:sz w:val="24"/>
          <w:szCs w:val="24"/>
        </w:rPr>
        <w:t>For the main competing products</w:t>
      </w:r>
      <w:r>
        <w:rPr>
          <w:sz w:val="24"/>
          <w:szCs w:val="24"/>
        </w:rPr>
        <w:t>,</w:t>
      </w:r>
      <w:r w:rsidRPr="006E1322">
        <w:rPr>
          <w:sz w:val="24"/>
          <w:szCs w:val="24"/>
        </w:rPr>
        <w:t xml:space="preserve"> such as polypropylene, imports are still widely taxed and often at higher rates in developing countries. Importantly, also, as tariff barriers are being dismantled in many countries, the use of non-tariff</w:t>
      </w:r>
      <w:r>
        <w:rPr>
          <w:sz w:val="24"/>
          <w:szCs w:val="24"/>
        </w:rPr>
        <w:t xml:space="preserve"> </w:t>
      </w:r>
      <w:r w:rsidRPr="006E1322">
        <w:rPr>
          <w:sz w:val="24"/>
          <w:szCs w:val="24"/>
        </w:rPr>
        <w:t xml:space="preserve">barriers (NTBs) </w:t>
      </w:r>
      <w:r>
        <w:rPr>
          <w:sz w:val="24"/>
          <w:szCs w:val="24"/>
        </w:rPr>
        <w:t>still exists</w:t>
      </w:r>
      <w:r w:rsidRPr="006E1322">
        <w:rPr>
          <w:sz w:val="24"/>
          <w:szCs w:val="24"/>
        </w:rPr>
        <w:t>.</w:t>
      </w:r>
      <w:r>
        <w:rPr>
          <w:sz w:val="24"/>
          <w:szCs w:val="24"/>
        </w:rPr>
        <w:t xml:space="preserve"> R</w:t>
      </w:r>
      <w:r w:rsidRPr="006E1322">
        <w:rPr>
          <w:sz w:val="24"/>
          <w:szCs w:val="24"/>
        </w:rPr>
        <w:t xml:space="preserve">emoval or gradual elimination of NTBs are likely to bring significant benefits for developing country exporters provided robust strategies are in place to capture gains along the value chain, especially </w:t>
      </w:r>
      <w:r>
        <w:rPr>
          <w:sz w:val="24"/>
          <w:szCs w:val="24"/>
        </w:rPr>
        <w:t xml:space="preserve">if the </w:t>
      </w:r>
      <w:r w:rsidRPr="006E1322">
        <w:rPr>
          <w:sz w:val="24"/>
          <w:szCs w:val="24"/>
        </w:rPr>
        <w:t>emerging composite fibre market</w:t>
      </w:r>
      <w:r>
        <w:rPr>
          <w:sz w:val="24"/>
          <w:szCs w:val="24"/>
        </w:rPr>
        <w:t xml:space="preserve"> proves viable for JACKS</w:t>
      </w:r>
      <w:r w:rsidRPr="006E1322">
        <w:rPr>
          <w:sz w:val="24"/>
          <w:szCs w:val="24"/>
        </w:rPr>
        <w:t>.</w:t>
      </w:r>
    </w:p>
    <w:p w:rsidR="00A675D6" w:rsidRDefault="00A675D6" w:rsidP="00A675D6">
      <w:pPr>
        <w:pStyle w:val="PageBreak"/>
      </w:pPr>
      <w:r>
        <w:br w:type="page"/>
      </w:r>
    </w:p>
    <w:p w:rsidR="00A675D6" w:rsidRPr="000341E0" w:rsidRDefault="00A675D6" w:rsidP="00A675D6">
      <w:pPr>
        <w:rPr>
          <w:b/>
        </w:rPr>
      </w:pPr>
      <w:r w:rsidRPr="000341E0">
        <w:rPr>
          <w:b/>
        </w:rPr>
        <w:lastRenderedPageBreak/>
        <w:t>MFN Applied Tariffs</w:t>
      </w:r>
      <w:r w:rsidRPr="000341E0">
        <w:rPr>
          <w:b/>
        </w:rPr>
        <w:tab/>
      </w:r>
      <w:r w:rsidRPr="000341E0">
        <w:rPr>
          <w:b/>
        </w:rPr>
        <w:tab/>
      </w:r>
      <w:r w:rsidRPr="000341E0">
        <w:rPr>
          <w:b/>
        </w:rPr>
        <w:tab/>
      </w:r>
      <w:r w:rsidRPr="000341E0">
        <w:rPr>
          <w:b/>
        </w:rPr>
        <w:tab/>
      </w:r>
    </w:p>
    <w:p w:rsidR="00A675D6" w:rsidRDefault="00A675D6" w:rsidP="00A675D6">
      <w:r w:rsidRPr="000341E0">
        <w:rPr>
          <w:b/>
        </w:rPr>
        <w:t>Table 1 - Tariffs on Jute and Jute Products for selected major importers</w:t>
      </w:r>
      <w:r w:rsidRPr="000341E0">
        <w:rPr>
          <w:b/>
        </w:rPr>
        <w:tab/>
      </w:r>
      <w:r>
        <w:tab/>
      </w:r>
      <w:r>
        <w:tab/>
      </w:r>
      <w:r>
        <w:tab/>
      </w:r>
    </w:p>
    <w:tbl>
      <w:tblPr>
        <w:tblStyle w:val="TableGrid"/>
        <w:tblW w:w="0" w:type="auto"/>
        <w:tblLook w:val="04A0"/>
      </w:tblPr>
      <w:tblGrid>
        <w:gridCol w:w="1071"/>
        <w:gridCol w:w="800"/>
        <w:gridCol w:w="800"/>
        <w:gridCol w:w="736"/>
        <w:gridCol w:w="891"/>
        <w:gridCol w:w="989"/>
        <w:gridCol w:w="800"/>
        <w:gridCol w:w="800"/>
        <w:gridCol w:w="800"/>
        <w:gridCol w:w="800"/>
        <w:gridCol w:w="800"/>
      </w:tblGrid>
      <w:tr w:rsidR="00A675D6" w:rsidRPr="00472FFC" w:rsidTr="00150C2E">
        <w:trPr>
          <w:trHeight w:val="1020"/>
        </w:trPr>
        <w:tc>
          <w:tcPr>
            <w:tcW w:w="1071" w:type="dxa"/>
            <w:noWrap/>
            <w:hideMark/>
          </w:tcPr>
          <w:p w:rsidR="00A675D6" w:rsidRPr="00367D7D" w:rsidRDefault="00A675D6" w:rsidP="00150C2E">
            <w:pPr>
              <w:rPr>
                <w:sz w:val="18"/>
                <w:szCs w:val="18"/>
              </w:rPr>
            </w:pPr>
            <w:r w:rsidRPr="00367D7D">
              <w:rPr>
                <w:sz w:val="18"/>
                <w:szCs w:val="18"/>
              </w:rPr>
              <w:t>Product name</w:t>
            </w:r>
          </w:p>
        </w:tc>
        <w:tc>
          <w:tcPr>
            <w:tcW w:w="800" w:type="dxa"/>
            <w:hideMark/>
          </w:tcPr>
          <w:p w:rsidR="00A675D6" w:rsidRPr="00367D7D" w:rsidRDefault="00A675D6" w:rsidP="00150C2E">
            <w:pPr>
              <w:rPr>
                <w:sz w:val="18"/>
                <w:szCs w:val="18"/>
              </w:rPr>
            </w:pPr>
            <w:r w:rsidRPr="00367D7D">
              <w:rPr>
                <w:sz w:val="18"/>
                <w:szCs w:val="18"/>
              </w:rPr>
              <w:t xml:space="preserve">Jute fibres, </w:t>
            </w:r>
            <w:r w:rsidRPr="00367D7D">
              <w:rPr>
                <w:sz w:val="18"/>
                <w:szCs w:val="18"/>
              </w:rPr>
              <w:br/>
              <w:t>raw or retted</w:t>
            </w:r>
          </w:p>
        </w:tc>
        <w:tc>
          <w:tcPr>
            <w:tcW w:w="800" w:type="dxa"/>
            <w:hideMark/>
          </w:tcPr>
          <w:p w:rsidR="00A675D6" w:rsidRPr="00367D7D" w:rsidRDefault="00A675D6" w:rsidP="00150C2E">
            <w:pPr>
              <w:rPr>
                <w:sz w:val="18"/>
                <w:szCs w:val="18"/>
              </w:rPr>
            </w:pPr>
            <w:r w:rsidRPr="00367D7D">
              <w:rPr>
                <w:sz w:val="18"/>
                <w:szCs w:val="18"/>
              </w:rPr>
              <w:t xml:space="preserve">Other raw fibre </w:t>
            </w:r>
            <w:r w:rsidRPr="00367D7D">
              <w:rPr>
                <w:sz w:val="18"/>
                <w:szCs w:val="18"/>
              </w:rPr>
              <w:br/>
              <w:t>of Jute</w:t>
            </w:r>
          </w:p>
        </w:tc>
        <w:tc>
          <w:tcPr>
            <w:tcW w:w="736" w:type="dxa"/>
            <w:hideMark/>
          </w:tcPr>
          <w:p w:rsidR="00A675D6" w:rsidRPr="00367D7D" w:rsidRDefault="00A675D6" w:rsidP="00150C2E">
            <w:pPr>
              <w:rPr>
                <w:sz w:val="18"/>
                <w:szCs w:val="18"/>
              </w:rPr>
            </w:pPr>
            <w:r w:rsidRPr="00367D7D">
              <w:rPr>
                <w:sz w:val="18"/>
                <w:szCs w:val="18"/>
              </w:rPr>
              <w:t xml:space="preserve">Single Yarn </w:t>
            </w:r>
            <w:r w:rsidRPr="00367D7D">
              <w:rPr>
                <w:sz w:val="18"/>
                <w:szCs w:val="18"/>
              </w:rPr>
              <w:br/>
              <w:t>of Jute</w:t>
            </w:r>
          </w:p>
        </w:tc>
        <w:tc>
          <w:tcPr>
            <w:tcW w:w="891" w:type="dxa"/>
            <w:hideMark/>
          </w:tcPr>
          <w:p w:rsidR="00A675D6" w:rsidRPr="00367D7D" w:rsidRDefault="00A675D6" w:rsidP="00150C2E">
            <w:pPr>
              <w:rPr>
                <w:sz w:val="18"/>
                <w:szCs w:val="18"/>
              </w:rPr>
            </w:pPr>
            <w:r w:rsidRPr="00367D7D">
              <w:rPr>
                <w:sz w:val="18"/>
                <w:szCs w:val="18"/>
              </w:rPr>
              <w:t>Multiple Yarn of Jute</w:t>
            </w:r>
          </w:p>
        </w:tc>
        <w:tc>
          <w:tcPr>
            <w:tcW w:w="989" w:type="dxa"/>
            <w:hideMark/>
          </w:tcPr>
          <w:p w:rsidR="00A675D6" w:rsidRPr="00367D7D" w:rsidRDefault="00A675D6" w:rsidP="00150C2E">
            <w:pPr>
              <w:rPr>
                <w:sz w:val="18"/>
                <w:szCs w:val="18"/>
              </w:rPr>
            </w:pPr>
            <w:r w:rsidRPr="00367D7D">
              <w:rPr>
                <w:sz w:val="18"/>
                <w:szCs w:val="18"/>
              </w:rPr>
              <w:t xml:space="preserve">Fabrics of jute : </w:t>
            </w:r>
            <w:r>
              <w:rPr>
                <w:sz w:val="18"/>
                <w:szCs w:val="18"/>
              </w:rPr>
              <w:t>Un-</w:t>
            </w:r>
            <w:r w:rsidRPr="00367D7D">
              <w:rPr>
                <w:sz w:val="18"/>
                <w:szCs w:val="18"/>
              </w:rPr>
              <w:t>bleached</w:t>
            </w:r>
          </w:p>
        </w:tc>
        <w:tc>
          <w:tcPr>
            <w:tcW w:w="800" w:type="dxa"/>
            <w:hideMark/>
          </w:tcPr>
          <w:p w:rsidR="00A675D6" w:rsidRPr="00367D7D" w:rsidRDefault="00A675D6" w:rsidP="00150C2E">
            <w:pPr>
              <w:rPr>
                <w:sz w:val="18"/>
                <w:szCs w:val="18"/>
              </w:rPr>
            </w:pPr>
            <w:r w:rsidRPr="00367D7D">
              <w:rPr>
                <w:sz w:val="18"/>
                <w:szCs w:val="18"/>
              </w:rPr>
              <w:t>Fabrics of jute : Other</w:t>
            </w:r>
          </w:p>
        </w:tc>
        <w:tc>
          <w:tcPr>
            <w:tcW w:w="800" w:type="dxa"/>
            <w:hideMark/>
          </w:tcPr>
          <w:p w:rsidR="00A675D6" w:rsidRPr="00367D7D" w:rsidRDefault="00A675D6" w:rsidP="00150C2E">
            <w:pPr>
              <w:rPr>
                <w:sz w:val="18"/>
                <w:szCs w:val="18"/>
              </w:rPr>
            </w:pPr>
            <w:r w:rsidRPr="00367D7D">
              <w:rPr>
                <w:sz w:val="18"/>
                <w:szCs w:val="18"/>
              </w:rPr>
              <w:t xml:space="preserve">Felt and stitch-bonded of Jute </w:t>
            </w:r>
          </w:p>
        </w:tc>
        <w:tc>
          <w:tcPr>
            <w:tcW w:w="800" w:type="dxa"/>
            <w:hideMark/>
          </w:tcPr>
          <w:p w:rsidR="00A675D6" w:rsidRPr="00367D7D" w:rsidRDefault="00A675D6" w:rsidP="00150C2E">
            <w:pPr>
              <w:rPr>
                <w:sz w:val="18"/>
                <w:szCs w:val="18"/>
              </w:rPr>
            </w:pPr>
            <w:r w:rsidRPr="00367D7D">
              <w:rPr>
                <w:sz w:val="18"/>
                <w:szCs w:val="18"/>
              </w:rPr>
              <w:t xml:space="preserve">Other felt  of jute </w:t>
            </w:r>
          </w:p>
        </w:tc>
        <w:tc>
          <w:tcPr>
            <w:tcW w:w="800" w:type="dxa"/>
            <w:hideMark/>
          </w:tcPr>
          <w:p w:rsidR="00A675D6" w:rsidRPr="00367D7D" w:rsidRDefault="00A675D6" w:rsidP="00150C2E">
            <w:pPr>
              <w:rPr>
                <w:sz w:val="18"/>
                <w:szCs w:val="18"/>
              </w:rPr>
            </w:pPr>
            <w:r w:rsidRPr="00367D7D">
              <w:rPr>
                <w:sz w:val="18"/>
                <w:szCs w:val="18"/>
              </w:rPr>
              <w:t xml:space="preserve">Carpets </w:t>
            </w:r>
            <w:r w:rsidRPr="00367D7D">
              <w:rPr>
                <w:sz w:val="18"/>
                <w:szCs w:val="18"/>
              </w:rPr>
              <w:br/>
              <w:t>of Jute</w:t>
            </w:r>
          </w:p>
        </w:tc>
        <w:tc>
          <w:tcPr>
            <w:tcW w:w="800" w:type="dxa"/>
            <w:hideMark/>
          </w:tcPr>
          <w:p w:rsidR="00A675D6" w:rsidRPr="00367D7D" w:rsidRDefault="00A675D6" w:rsidP="00150C2E">
            <w:pPr>
              <w:rPr>
                <w:sz w:val="18"/>
                <w:szCs w:val="18"/>
              </w:rPr>
            </w:pPr>
            <w:r w:rsidRPr="00367D7D">
              <w:rPr>
                <w:sz w:val="18"/>
                <w:szCs w:val="18"/>
              </w:rPr>
              <w:t xml:space="preserve">Sack and bags </w:t>
            </w:r>
            <w:r w:rsidRPr="00367D7D">
              <w:rPr>
                <w:sz w:val="18"/>
                <w:szCs w:val="18"/>
              </w:rPr>
              <w:br/>
              <w:t xml:space="preserve">of Jute </w:t>
            </w:r>
          </w:p>
        </w:tc>
      </w:tr>
      <w:tr w:rsidR="00A675D6" w:rsidRPr="00472FFC" w:rsidTr="00150C2E">
        <w:trPr>
          <w:trHeight w:val="315"/>
        </w:trPr>
        <w:tc>
          <w:tcPr>
            <w:tcW w:w="1071" w:type="dxa"/>
            <w:noWrap/>
            <w:hideMark/>
          </w:tcPr>
          <w:p w:rsidR="00A675D6" w:rsidRPr="00787BD7" w:rsidRDefault="00A675D6" w:rsidP="00150C2E">
            <w:pPr>
              <w:rPr>
                <w:b/>
                <w:bCs/>
                <w:sz w:val="16"/>
                <w:szCs w:val="16"/>
              </w:rPr>
            </w:pPr>
            <w:r w:rsidRPr="00787BD7">
              <w:rPr>
                <w:b/>
                <w:bCs/>
                <w:sz w:val="16"/>
                <w:szCs w:val="16"/>
              </w:rPr>
              <w:t>HS  Code</w:t>
            </w:r>
          </w:p>
        </w:tc>
        <w:tc>
          <w:tcPr>
            <w:tcW w:w="800" w:type="dxa"/>
            <w:noWrap/>
            <w:hideMark/>
          </w:tcPr>
          <w:p w:rsidR="00A675D6" w:rsidRPr="00787BD7" w:rsidRDefault="00A675D6" w:rsidP="00150C2E">
            <w:pPr>
              <w:rPr>
                <w:b/>
                <w:bCs/>
                <w:sz w:val="16"/>
                <w:szCs w:val="16"/>
              </w:rPr>
            </w:pPr>
            <w:r w:rsidRPr="00787BD7">
              <w:rPr>
                <w:b/>
                <w:bCs/>
                <w:sz w:val="16"/>
                <w:szCs w:val="16"/>
              </w:rPr>
              <w:t>5303.10</w:t>
            </w:r>
          </w:p>
        </w:tc>
        <w:tc>
          <w:tcPr>
            <w:tcW w:w="800" w:type="dxa"/>
            <w:noWrap/>
            <w:hideMark/>
          </w:tcPr>
          <w:p w:rsidR="00A675D6" w:rsidRPr="00787BD7" w:rsidRDefault="00A675D6" w:rsidP="00150C2E">
            <w:pPr>
              <w:rPr>
                <w:b/>
                <w:bCs/>
                <w:sz w:val="16"/>
                <w:szCs w:val="16"/>
              </w:rPr>
            </w:pPr>
            <w:r w:rsidRPr="00787BD7">
              <w:rPr>
                <w:b/>
                <w:bCs/>
                <w:sz w:val="16"/>
                <w:szCs w:val="16"/>
              </w:rPr>
              <w:t>5303.90</w:t>
            </w:r>
          </w:p>
        </w:tc>
        <w:tc>
          <w:tcPr>
            <w:tcW w:w="736" w:type="dxa"/>
            <w:noWrap/>
            <w:hideMark/>
          </w:tcPr>
          <w:p w:rsidR="00A675D6" w:rsidRPr="00787BD7" w:rsidRDefault="00A675D6" w:rsidP="00150C2E">
            <w:pPr>
              <w:rPr>
                <w:b/>
                <w:bCs/>
                <w:sz w:val="16"/>
                <w:szCs w:val="16"/>
              </w:rPr>
            </w:pPr>
            <w:r w:rsidRPr="00787BD7">
              <w:rPr>
                <w:b/>
                <w:bCs/>
                <w:sz w:val="16"/>
                <w:szCs w:val="16"/>
              </w:rPr>
              <w:t>5307.1</w:t>
            </w:r>
            <w:r>
              <w:rPr>
                <w:b/>
                <w:bCs/>
                <w:sz w:val="16"/>
                <w:szCs w:val="16"/>
              </w:rPr>
              <w:t>0</w:t>
            </w:r>
          </w:p>
        </w:tc>
        <w:tc>
          <w:tcPr>
            <w:tcW w:w="891" w:type="dxa"/>
            <w:noWrap/>
            <w:hideMark/>
          </w:tcPr>
          <w:p w:rsidR="00A675D6" w:rsidRPr="00787BD7" w:rsidRDefault="00A675D6" w:rsidP="00150C2E">
            <w:pPr>
              <w:rPr>
                <w:b/>
                <w:bCs/>
                <w:sz w:val="16"/>
                <w:szCs w:val="16"/>
              </w:rPr>
            </w:pPr>
            <w:r w:rsidRPr="00787BD7">
              <w:rPr>
                <w:b/>
                <w:bCs/>
                <w:sz w:val="16"/>
                <w:szCs w:val="16"/>
              </w:rPr>
              <w:t>5307.20</w:t>
            </w:r>
          </w:p>
        </w:tc>
        <w:tc>
          <w:tcPr>
            <w:tcW w:w="989" w:type="dxa"/>
            <w:noWrap/>
            <w:hideMark/>
          </w:tcPr>
          <w:p w:rsidR="00A675D6" w:rsidRPr="00787BD7" w:rsidRDefault="00A675D6" w:rsidP="00150C2E">
            <w:pPr>
              <w:rPr>
                <w:b/>
                <w:bCs/>
                <w:sz w:val="16"/>
                <w:szCs w:val="16"/>
              </w:rPr>
            </w:pPr>
            <w:r w:rsidRPr="00787BD7">
              <w:rPr>
                <w:b/>
                <w:bCs/>
                <w:sz w:val="16"/>
                <w:szCs w:val="16"/>
              </w:rPr>
              <w:t>5310.10</w:t>
            </w:r>
          </w:p>
        </w:tc>
        <w:tc>
          <w:tcPr>
            <w:tcW w:w="800" w:type="dxa"/>
            <w:noWrap/>
            <w:hideMark/>
          </w:tcPr>
          <w:p w:rsidR="00A675D6" w:rsidRPr="00787BD7" w:rsidRDefault="00A675D6" w:rsidP="00150C2E">
            <w:pPr>
              <w:rPr>
                <w:b/>
                <w:bCs/>
                <w:sz w:val="16"/>
                <w:szCs w:val="16"/>
              </w:rPr>
            </w:pPr>
            <w:r w:rsidRPr="00787BD7">
              <w:rPr>
                <w:b/>
                <w:bCs/>
                <w:sz w:val="16"/>
                <w:szCs w:val="16"/>
              </w:rPr>
              <w:t>5310.90</w:t>
            </w:r>
          </w:p>
        </w:tc>
        <w:tc>
          <w:tcPr>
            <w:tcW w:w="800" w:type="dxa"/>
            <w:noWrap/>
            <w:hideMark/>
          </w:tcPr>
          <w:p w:rsidR="00A675D6" w:rsidRPr="00787BD7" w:rsidRDefault="00A675D6" w:rsidP="00150C2E">
            <w:pPr>
              <w:rPr>
                <w:b/>
                <w:bCs/>
                <w:sz w:val="16"/>
                <w:szCs w:val="16"/>
              </w:rPr>
            </w:pPr>
            <w:r w:rsidRPr="00787BD7">
              <w:rPr>
                <w:b/>
                <w:bCs/>
                <w:sz w:val="16"/>
                <w:szCs w:val="16"/>
              </w:rPr>
              <w:t>5602.10</w:t>
            </w:r>
          </w:p>
        </w:tc>
        <w:tc>
          <w:tcPr>
            <w:tcW w:w="800" w:type="dxa"/>
            <w:noWrap/>
            <w:hideMark/>
          </w:tcPr>
          <w:p w:rsidR="00A675D6" w:rsidRPr="00787BD7" w:rsidRDefault="00A675D6" w:rsidP="00150C2E">
            <w:pPr>
              <w:rPr>
                <w:b/>
                <w:bCs/>
                <w:sz w:val="16"/>
                <w:szCs w:val="16"/>
              </w:rPr>
            </w:pPr>
            <w:r w:rsidRPr="00787BD7">
              <w:rPr>
                <w:b/>
                <w:bCs/>
                <w:sz w:val="16"/>
                <w:szCs w:val="16"/>
              </w:rPr>
              <w:t>5602.29</w:t>
            </w:r>
          </w:p>
        </w:tc>
        <w:tc>
          <w:tcPr>
            <w:tcW w:w="800" w:type="dxa"/>
            <w:noWrap/>
            <w:hideMark/>
          </w:tcPr>
          <w:p w:rsidR="00A675D6" w:rsidRPr="00787BD7" w:rsidRDefault="00A675D6" w:rsidP="00150C2E">
            <w:pPr>
              <w:rPr>
                <w:b/>
                <w:bCs/>
                <w:sz w:val="16"/>
                <w:szCs w:val="16"/>
              </w:rPr>
            </w:pPr>
            <w:r w:rsidRPr="00787BD7">
              <w:rPr>
                <w:b/>
                <w:bCs/>
                <w:sz w:val="16"/>
                <w:szCs w:val="16"/>
              </w:rPr>
              <w:t>5702.39</w:t>
            </w:r>
          </w:p>
        </w:tc>
        <w:tc>
          <w:tcPr>
            <w:tcW w:w="800" w:type="dxa"/>
            <w:noWrap/>
            <w:hideMark/>
          </w:tcPr>
          <w:p w:rsidR="00A675D6" w:rsidRPr="00787BD7" w:rsidRDefault="00A675D6" w:rsidP="00150C2E">
            <w:pPr>
              <w:rPr>
                <w:b/>
                <w:bCs/>
                <w:sz w:val="16"/>
                <w:szCs w:val="16"/>
              </w:rPr>
            </w:pPr>
            <w:r w:rsidRPr="00787BD7">
              <w:rPr>
                <w:b/>
                <w:bCs/>
                <w:sz w:val="16"/>
                <w:szCs w:val="16"/>
              </w:rPr>
              <w:t>6305.10</w:t>
            </w:r>
          </w:p>
        </w:tc>
      </w:tr>
      <w:tr w:rsidR="00A675D6" w:rsidRPr="00472FFC" w:rsidTr="00150C2E">
        <w:trPr>
          <w:trHeight w:val="300"/>
        </w:trPr>
        <w:tc>
          <w:tcPr>
            <w:tcW w:w="1071" w:type="dxa"/>
            <w:noWrap/>
            <w:hideMark/>
          </w:tcPr>
          <w:p w:rsidR="00A675D6" w:rsidRPr="00472FFC" w:rsidRDefault="00A675D6" w:rsidP="00150C2E">
            <w:r w:rsidRPr="00472FFC">
              <w:t> </w:t>
            </w:r>
          </w:p>
        </w:tc>
        <w:tc>
          <w:tcPr>
            <w:tcW w:w="800" w:type="dxa"/>
            <w:noWrap/>
            <w:hideMark/>
          </w:tcPr>
          <w:p w:rsidR="00A675D6" w:rsidRPr="00472FFC" w:rsidRDefault="00A675D6" w:rsidP="00150C2E">
            <w:r w:rsidRPr="00472FFC">
              <w:t> </w:t>
            </w:r>
          </w:p>
        </w:tc>
        <w:tc>
          <w:tcPr>
            <w:tcW w:w="800" w:type="dxa"/>
            <w:noWrap/>
            <w:hideMark/>
          </w:tcPr>
          <w:p w:rsidR="00A675D6" w:rsidRPr="00472FFC" w:rsidRDefault="00A675D6" w:rsidP="00150C2E">
            <w:r w:rsidRPr="00472FFC">
              <w:t> </w:t>
            </w:r>
          </w:p>
        </w:tc>
        <w:tc>
          <w:tcPr>
            <w:tcW w:w="736" w:type="dxa"/>
            <w:noWrap/>
            <w:hideMark/>
          </w:tcPr>
          <w:p w:rsidR="00A675D6" w:rsidRPr="00472FFC" w:rsidRDefault="00A675D6" w:rsidP="00150C2E">
            <w:r w:rsidRPr="00472FFC">
              <w:t> </w:t>
            </w:r>
          </w:p>
        </w:tc>
        <w:tc>
          <w:tcPr>
            <w:tcW w:w="891" w:type="dxa"/>
            <w:noWrap/>
            <w:hideMark/>
          </w:tcPr>
          <w:p w:rsidR="00A675D6" w:rsidRPr="00472FFC" w:rsidRDefault="00A675D6" w:rsidP="00150C2E">
            <w:r w:rsidRPr="00472FFC">
              <w:t> </w:t>
            </w:r>
          </w:p>
        </w:tc>
        <w:tc>
          <w:tcPr>
            <w:tcW w:w="989" w:type="dxa"/>
            <w:noWrap/>
            <w:hideMark/>
          </w:tcPr>
          <w:p w:rsidR="00A675D6" w:rsidRPr="00472FFC" w:rsidRDefault="00A675D6" w:rsidP="00150C2E">
            <w:r w:rsidRPr="00472FFC">
              <w:t> </w:t>
            </w:r>
          </w:p>
        </w:tc>
        <w:tc>
          <w:tcPr>
            <w:tcW w:w="800" w:type="dxa"/>
            <w:noWrap/>
            <w:hideMark/>
          </w:tcPr>
          <w:p w:rsidR="00A675D6" w:rsidRPr="00472FFC" w:rsidRDefault="00A675D6" w:rsidP="00150C2E">
            <w:r w:rsidRPr="00472FFC">
              <w:t> </w:t>
            </w:r>
          </w:p>
        </w:tc>
        <w:tc>
          <w:tcPr>
            <w:tcW w:w="800" w:type="dxa"/>
            <w:noWrap/>
            <w:hideMark/>
          </w:tcPr>
          <w:p w:rsidR="00A675D6" w:rsidRPr="00472FFC" w:rsidRDefault="00A675D6" w:rsidP="00150C2E">
            <w:r w:rsidRPr="00472FFC">
              <w:t> </w:t>
            </w:r>
          </w:p>
        </w:tc>
        <w:tc>
          <w:tcPr>
            <w:tcW w:w="800" w:type="dxa"/>
            <w:noWrap/>
            <w:hideMark/>
          </w:tcPr>
          <w:p w:rsidR="00A675D6" w:rsidRPr="00472FFC" w:rsidRDefault="00A675D6" w:rsidP="00150C2E">
            <w:r w:rsidRPr="00472FFC">
              <w:t> </w:t>
            </w:r>
          </w:p>
        </w:tc>
        <w:tc>
          <w:tcPr>
            <w:tcW w:w="800" w:type="dxa"/>
            <w:noWrap/>
            <w:hideMark/>
          </w:tcPr>
          <w:p w:rsidR="00A675D6" w:rsidRPr="00472FFC" w:rsidRDefault="00A675D6" w:rsidP="00150C2E">
            <w:r w:rsidRPr="00472FFC">
              <w:t> </w:t>
            </w:r>
          </w:p>
        </w:tc>
        <w:tc>
          <w:tcPr>
            <w:tcW w:w="800" w:type="dxa"/>
            <w:noWrap/>
            <w:hideMark/>
          </w:tcPr>
          <w:p w:rsidR="00A675D6" w:rsidRPr="00472FFC" w:rsidRDefault="00A675D6" w:rsidP="00150C2E">
            <w:r w:rsidRPr="00472FFC">
              <w:t> </w:t>
            </w:r>
          </w:p>
        </w:tc>
      </w:tr>
      <w:tr w:rsidR="00A675D6" w:rsidRPr="00472FFC" w:rsidTr="00150C2E">
        <w:trPr>
          <w:trHeight w:val="315"/>
        </w:trPr>
        <w:tc>
          <w:tcPr>
            <w:tcW w:w="1071" w:type="dxa"/>
            <w:noWrap/>
            <w:hideMark/>
          </w:tcPr>
          <w:p w:rsidR="00A675D6" w:rsidRPr="00472FFC" w:rsidRDefault="00A675D6" w:rsidP="00150C2E">
            <w:pPr>
              <w:jc w:val="center"/>
            </w:pPr>
            <w:r w:rsidRPr="00472FFC">
              <w:t>Australia</w:t>
            </w:r>
          </w:p>
        </w:tc>
        <w:tc>
          <w:tcPr>
            <w:tcW w:w="800" w:type="dxa"/>
            <w:noWrap/>
            <w:hideMark/>
          </w:tcPr>
          <w:p w:rsidR="00A675D6" w:rsidRPr="00472FFC" w:rsidRDefault="00A675D6" w:rsidP="00150C2E">
            <w:pPr>
              <w:jc w:val="center"/>
            </w:pPr>
            <w:r w:rsidRPr="00472FFC">
              <w:t>0</w:t>
            </w:r>
          </w:p>
        </w:tc>
        <w:tc>
          <w:tcPr>
            <w:tcW w:w="800" w:type="dxa"/>
            <w:noWrap/>
            <w:hideMark/>
          </w:tcPr>
          <w:p w:rsidR="00A675D6" w:rsidRPr="00472FFC" w:rsidRDefault="00A675D6" w:rsidP="00150C2E">
            <w:pPr>
              <w:jc w:val="center"/>
            </w:pPr>
            <w:r w:rsidRPr="00472FFC">
              <w:t>0</w:t>
            </w:r>
          </w:p>
        </w:tc>
        <w:tc>
          <w:tcPr>
            <w:tcW w:w="736" w:type="dxa"/>
            <w:noWrap/>
            <w:hideMark/>
          </w:tcPr>
          <w:p w:rsidR="00A675D6" w:rsidRPr="00472FFC" w:rsidRDefault="00A675D6" w:rsidP="00150C2E">
            <w:pPr>
              <w:jc w:val="center"/>
            </w:pPr>
            <w:r w:rsidRPr="00472FFC">
              <w:t>5</w:t>
            </w:r>
          </w:p>
        </w:tc>
        <w:tc>
          <w:tcPr>
            <w:tcW w:w="891" w:type="dxa"/>
            <w:noWrap/>
            <w:hideMark/>
          </w:tcPr>
          <w:p w:rsidR="00A675D6" w:rsidRPr="00472FFC" w:rsidRDefault="00A675D6" w:rsidP="00150C2E">
            <w:pPr>
              <w:jc w:val="center"/>
            </w:pPr>
            <w:r w:rsidRPr="00472FFC">
              <w:t>5</w:t>
            </w:r>
          </w:p>
        </w:tc>
        <w:tc>
          <w:tcPr>
            <w:tcW w:w="989" w:type="dxa"/>
            <w:noWrap/>
            <w:hideMark/>
          </w:tcPr>
          <w:p w:rsidR="00A675D6" w:rsidRPr="00472FFC" w:rsidRDefault="00A675D6" w:rsidP="00150C2E">
            <w:pPr>
              <w:jc w:val="center"/>
            </w:pPr>
            <w:r w:rsidRPr="00472FFC">
              <w:t>0</w:t>
            </w:r>
          </w:p>
        </w:tc>
        <w:tc>
          <w:tcPr>
            <w:tcW w:w="800" w:type="dxa"/>
            <w:noWrap/>
            <w:hideMark/>
          </w:tcPr>
          <w:p w:rsidR="00A675D6" w:rsidRPr="00472FFC" w:rsidRDefault="00A675D6" w:rsidP="00150C2E">
            <w:pPr>
              <w:jc w:val="center"/>
            </w:pPr>
            <w:r w:rsidRPr="00472FFC">
              <w:t>0</w:t>
            </w:r>
          </w:p>
        </w:tc>
        <w:tc>
          <w:tcPr>
            <w:tcW w:w="800" w:type="dxa"/>
            <w:noWrap/>
            <w:hideMark/>
          </w:tcPr>
          <w:p w:rsidR="00A675D6" w:rsidRPr="00472FFC" w:rsidRDefault="00A675D6" w:rsidP="00150C2E">
            <w:pPr>
              <w:jc w:val="center"/>
            </w:pPr>
            <w:r w:rsidRPr="00472FFC">
              <w:t>5</w:t>
            </w:r>
          </w:p>
        </w:tc>
        <w:tc>
          <w:tcPr>
            <w:tcW w:w="800" w:type="dxa"/>
            <w:noWrap/>
            <w:hideMark/>
          </w:tcPr>
          <w:p w:rsidR="00A675D6" w:rsidRPr="00472FFC" w:rsidRDefault="00A675D6" w:rsidP="00150C2E">
            <w:pPr>
              <w:jc w:val="center"/>
            </w:pPr>
            <w:r w:rsidRPr="00472FFC">
              <w:t>5</w:t>
            </w:r>
          </w:p>
        </w:tc>
        <w:tc>
          <w:tcPr>
            <w:tcW w:w="800" w:type="dxa"/>
            <w:noWrap/>
            <w:hideMark/>
          </w:tcPr>
          <w:p w:rsidR="00A675D6" w:rsidRPr="00472FFC" w:rsidRDefault="00A675D6" w:rsidP="00150C2E">
            <w:pPr>
              <w:jc w:val="center"/>
            </w:pPr>
            <w:r w:rsidRPr="00472FFC">
              <w:t>3.33</w:t>
            </w:r>
          </w:p>
        </w:tc>
        <w:tc>
          <w:tcPr>
            <w:tcW w:w="800" w:type="dxa"/>
            <w:noWrap/>
            <w:hideMark/>
          </w:tcPr>
          <w:p w:rsidR="00A675D6" w:rsidRPr="00472FFC" w:rsidRDefault="00A675D6" w:rsidP="00150C2E">
            <w:pPr>
              <w:jc w:val="center"/>
            </w:pPr>
            <w:r w:rsidRPr="00472FFC">
              <w:t>0</w:t>
            </w:r>
          </w:p>
        </w:tc>
      </w:tr>
      <w:tr w:rsidR="00A675D6" w:rsidRPr="00472FFC" w:rsidTr="00150C2E">
        <w:trPr>
          <w:trHeight w:val="315"/>
        </w:trPr>
        <w:tc>
          <w:tcPr>
            <w:tcW w:w="1071" w:type="dxa"/>
            <w:noWrap/>
            <w:hideMark/>
          </w:tcPr>
          <w:p w:rsidR="00A675D6" w:rsidRPr="00472FFC" w:rsidRDefault="00A675D6" w:rsidP="00150C2E">
            <w:pPr>
              <w:jc w:val="center"/>
            </w:pPr>
            <w:r w:rsidRPr="00472FFC">
              <w:t>China</w:t>
            </w:r>
          </w:p>
        </w:tc>
        <w:tc>
          <w:tcPr>
            <w:tcW w:w="800" w:type="dxa"/>
            <w:noWrap/>
            <w:hideMark/>
          </w:tcPr>
          <w:p w:rsidR="00A675D6" w:rsidRPr="00472FFC" w:rsidRDefault="00A675D6" w:rsidP="00150C2E">
            <w:pPr>
              <w:jc w:val="center"/>
            </w:pPr>
            <w:r w:rsidRPr="00472FFC">
              <w:t>5</w:t>
            </w:r>
          </w:p>
        </w:tc>
        <w:tc>
          <w:tcPr>
            <w:tcW w:w="800" w:type="dxa"/>
            <w:noWrap/>
            <w:hideMark/>
          </w:tcPr>
          <w:p w:rsidR="00A675D6" w:rsidRPr="00472FFC" w:rsidRDefault="00A675D6" w:rsidP="00150C2E">
            <w:pPr>
              <w:jc w:val="center"/>
            </w:pPr>
            <w:r w:rsidRPr="00472FFC">
              <w:t>5</w:t>
            </w:r>
          </w:p>
        </w:tc>
        <w:tc>
          <w:tcPr>
            <w:tcW w:w="736" w:type="dxa"/>
            <w:noWrap/>
            <w:hideMark/>
          </w:tcPr>
          <w:p w:rsidR="00A675D6" w:rsidRPr="00472FFC" w:rsidRDefault="00A675D6" w:rsidP="00150C2E">
            <w:pPr>
              <w:jc w:val="center"/>
            </w:pPr>
            <w:r w:rsidRPr="00472FFC">
              <w:t>6</w:t>
            </w:r>
          </w:p>
        </w:tc>
        <w:tc>
          <w:tcPr>
            <w:tcW w:w="891" w:type="dxa"/>
            <w:noWrap/>
            <w:hideMark/>
          </w:tcPr>
          <w:p w:rsidR="00A675D6" w:rsidRPr="00472FFC" w:rsidRDefault="00A675D6" w:rsidP="00150C2E">
            <w:pPr>
              <w:jc w:val="center"/>
            </w:pPr>
            <w:r w:rsidRPr="00472FFC">
              <w:t>6</w:t>
            </w:r>
          </w:p>
        </w:tc>
        <w:tc>
          <w:tcPr>
            <w:tcW w:w="989" w:type="dxa"/>
            <w:noWrap/>
            <w:hideMark/>
          </w:tcPr>
          <w:p w:rsidR="00A675D6" w:rsidRPr="00472FFC" w:rsidRDefault="00A675D6" w:rsidP="00150C2E">
            <w:pPr>
              <w:jc w:val="center"/>
            </w:pPr>
            <w:r w:rsidRPr="00472FFC">
              <w:t>10</w:t>
            </w:r>
          </w:p>
        </w:tc>
        <w:tc>
          <w:tcPr>
            <w:tcW w:w="800" w:type="dxa"/>
            <w:noWrap/>
            <w:hideMark/>
          </w:tcPr>
          <w:p w:rsidR="00A675D6" w:rsidRPr="00472FFC" w:rsidRDefault="00A675D6" w:rsidP="00150C2E">
            <w:pPr>
              <w:jc w:val="center"/>
            </w:pPr>
            <w:r w:rsidRPr="00472FFC">
              <w:t>10</w:t>
            </w:r>
          </w:p>
        </w:tc>
        <w:tc>
          <w:tcPr>
            <w:tcW w:w="800" w:type="dxa"/>
            <w:noWrap/>
            <w:hideMark/>
          </w:tcPr>
          <w:p w:rsidR="00A675D6" w:rsidRPr="00472FFC" w:rsidRDefault="00A675D6" w:rsidP="00150C2E">
            <w:pPr>
              <w:jc w:val="center"/>
            </w:pPr>
            <w:r w:rsidRPr="00472FFC">
              <w:t>10</w:t>
            </w:r>
          </w:p>
        </w:tc>
        <w:tc>
          <w:tcPr>
            <w:tcW w:w="800" w:type="dxa"/>
            <w:noWrap/>
            <w:hideMark/>
          </w:tcPr>
          <w:p w:rsidR="00A675D6" w:rsidRPr="00472FFC" w:rsidRDefault="00A675D6" w:rsidP="00150C2E">
            <w:pPr>
              <w:jc w:val="center"/>
            </w:pPr>
            <w:r w:rsidRPr="00472FFC">
              <w:t>10</w:t>
            </w:r>
          </w:p>
        </w:tc>
        <w:tc>
          <w:tcPr>
            <w:tcW w:w="800" w:type="dxa"/>
            <w:noWrap/>
            <w:hideMark/>
          </w:tcPr>
          <w:p w:rsidR="00A675D6" w:rsidRPr="00472FFC" w:rsidRDefault="00A675D6" w:rsidP="00150C2E">
            <w:pPr>
              <w:jc w:val="center"/>
            </w:pPr>
            <w:r w:rsidRPr="00472FFC">
              <w:t>14</w:t>
            </w:r>
          </w:p>
        </w:tc>
        <w:tc>
          <w:tcPr>
            <w:tcW w:w="800" w:type="dxa"/>
            <w:noWrap/>
            <w:hideMark/>
          </w:tcPr>
          <w:p w:rsidR="00A675D6" w:rsidRPr="00472FFC" w:rsidRDefault="00A675D6" w:rsidP="00150C2E">
            <w:pPr>
              <w:jc w:val="center"/>
            </w:pPr>
            <w:r w:rsidRPr="00472FFC">
              <w:t>10</w:t>
            </w:r>
          </w:p>
        </w:tc>
      </w:tr>
      <w:tr w:rsidR="00A675D6" w:rsidRPr="00472FFC" w:rsidTr="00150C2E">
        <w:trPr>
          <w:trHeight w:val="315"/>
        </w:trPr>
        <w:tc>
          <w:tcPr>
            <w:tcW w:w="1071" w:type="dxa"/>
            <w:noWrap/>
            <w:hideMark/>
          </w:tcPr>
          <w:p w:rsidR="00A675D6" w:rsidRPr="00472FFC" w:rsidRDefault="00A675D6" w:rsidP="00150C2E">
            <w:pPr>
              <w:jc w:val="center"/>
            </w:pPr>
            <w:r w:rsidRPr="00472FFC">
              <w:t>EU</w:t>
            </w:r>
          </w:p>
        </w:tc>
        <w:tc>
          <w:tcPr>
            <w:tcW w:w="800" w:type="dxa"/>
            <w:noWrap/>
            <w:hideMark/>
          </w:tcPr>
          <w:p w:rsidR="00A675D6" w:rsidRPr="00472FFC" w:rsidRDefault="00A675D6" w:rsidP="00150C2E">
            <w:pPr>
              <w:jc w:val="center"/>
            </w:pPr>
            <w:r w:rsidRPr="00472FFC">
              <w:t>0</w:t>
            </w:r>
          </w:p>
        </w:tc>
        <w:tc>
          <w:tcPr>
            <w:tcW w:w="800" w:type="dxa"/>
            <w:noWrap/>
            <w:hideMark/>
          </w:tcPr>
          <w:p w:rsidR="00A675D6" w:rsidRPr="00472FFC" w:rsidRDefault="00A675D6" w:rsidP="00150C2E">
            <w:pPr>
              <w:jc w:val="center"/>
            </w:pPr>
            <w:r w:rsidRPr="00472FFC">
              <w:t>0</w:t>
            </w:r>
          </w:p>
        </w:tc>
        <w:tc>
          <w:tcPr>
            <w:tcW w:w="736" w:type="dxa"/>
            <w:noWrap/>
            <w:hideMark/>
          </w:tcPr>
          <w:p w:rsidR="00A675D6" w:rsidRPr="00472FFC" w:rsidRDefault="00A675D6" w:rsidP="00150C2E">
            <w:pPr>
              <w:jc w:val="center"/>
            </w:pPr>
            <w:r w:rsidRPr="00472FFC">
              <w:t>0</w:t>
            </w:r>
          </w:p>
        </w:tc>
        <w:tc>
          <w:tcPr>
            <w:tcW w:w="891" w:type="dxa"/>
            <w:noWrap/>
            <w:hideMark/>
          </w:tcPr>
          <w:p w:rsidR="00A675D6" w:rsidRPr="00472FFC" w:rsidRDefault="00A675D6" w:rsidP="00150C2E">
            <w:pPr>
              <w:jc w:val="center"/>
            </w:pPr>
            <w:r w:rsidRPr="00472FFC">
              <w:t>0</w:t>
            </w:r>
          </w:p>
        </w:tc>
        <w:tc>
          <w:tcPr>
            <w:tcW w:w="989" w:type="dxa"/>
            <w:noWrap/>
            <w:hideMark/>
          </w:tcPr>
          <w:p w:rsidR="00A675D6" w:rsidRPr="00472FFC" w:rsidRDefault="00A675D6" w:rsidP="00150C2E">
            <w:pPr>
              <w:jc w:val="center"/>
            </w:pPr>
            <w:r w:rsidRPr="00472FFC">
              <w:t>4</w:t>
            </w:r>
          </w:p>
        </w:tc>
        <w:tc>
          <w:tcPr>
            <w:tcW w:w="800" w:type="dxa"/>
            <w:noWrap/>
            <w:hideMark/>
          </w:tcPr>
          <w:p w:rsidR="00A675D6" w:rsidRPr="00472FFC" w:rsidRDefault="00A675D6" w:rsidP="00150C2E">
            <w:pPr>
              <w:jc w:val="center"/>
            </w:pPr>
            <w:r w:rsidRPr="00472FFC">
              <w:t>4</w:t>
            </w:r>
          </w:p>
        </w:tc>
        <w:tc>
          <w:tcPr>
            <w:tcW w:w="800" w:type="dxa"/>
            <w:noWrap/>
            <w:hideMark/>
          </w:tcPr>
          <w:p w:rsidR="00A675D6" w:rsidRPr="00472FFC" w:rsidRDefault="00A675D6" w:rsidP="00150C2E">
            <w:pPr>
              <w:jc w:val="center"/>
            </w:pPr>
            <w:r w:rsidRPr="00472FFC">
              <w:t>6.7</w:t>
            </w:r>
          </w:p>
        </w:tc>
        <w:tc>
          <w:tcPr>
            <w:tcW w:w="800" w:type="dxa"/>
            <w:noWrap/>
            <w:hideMark/>
          </w:tcPr>
          <w:p w:rsidR="00A675D6" w:rsidRPr="00472FFC" w:rsidRDefault="00A675D6" w:rsidP="00150C2E">
            <w:pPr>
              <w:jc w:val="center"/>
            </w:pPr>
            <w:r w:rsidRPr="00472FFC">
              <w:t>6.7</w:t>
            </w:r>
          </w:p>
        </w:tc>
        <w:tc>
          <w:tcPr>
            <w:tcW w:w="800" w:type="dxa"/>
            <w:noWrap/>
            <w:hideMark/>
          </w:tcPr>
          <w:p w:rsidR="00A675D6" w:rsidRPr="00472FFC" w:rsidRDefault="00A675D6" w:rsidP="00150C2E">
            <w:pPr>
              <w:jc w:val="center"/>
            </w:pPr>
            <w:r w:rsidRPr="00472FFC">
              <w:t>8</w:t>
            </w:r>
          </w:p>
        </w:tc>
        <w:tc>
          <w:tcPr>
            <w:tcW w:w="800" w:type="dxa"/>
            <w:noWrap/>
            <w:hideMark/>
          </w:tcPr>
          <w:p w:rsidR="00A675D6" w:rsidRPr="00472FFC" w:rsidRDefault="00A675D6" w:rsidP="00150C2E">
            <w:pPr>
              <w:jc w:val="center"/>
            </w:pPr>
            <w:r w:rsidRPr="00472FFC">
              <w:t>3</w:t>
            </w:r>
          </w:p>
        </w:tc>
      </w:tr>
      <w:tr w:rsidR="00A675D6" w:rsidRPr="00472FFC" w:rsidTr="00150C2E">
        <w:trPr>
          <w:trHeight w:val="315"/>
        </w:trPr>
        <w:tc>
          <w:tcPr>
            <w:tcW w:w="1071" w:type="dxa"/>
            <w:noWrap/>
            <w:hideMark/>
          </w:tcPr>
          <w:p w:rsidR="00A675D6" w:rsidRPr="00472FFC" w:rsidRDefault="00A675D6" w:rsidP="00150C2E">
            <w:pPr>
              <w:jc w:val="center"/>
            </w:pPr>
            <w:r w:rsidRPr="00472FFC">
              <w:t>Ghana</w:t>
            </w:r>
          </w:p>
        </w:tc>
        <w:tc>
          <w:tcPr>
            <w:tcW w:w="800" w:type="dxa"/>
            <w:noWrap/>
            <w:hideMark/>
          </w:tcPr>
          <w:p w:rsidR="00A675D6" w:rsidRPr="00472FFC" w:rsidRDefault="00A675D6" w:rsidP="00150C2E">
            <w:pPr>
              <w:jc w:val="center"/>
            </w:pPr>
            <w:r w:rsidRPr="00472FFC">
              <w:t>10</w:t>
            </w:r>
          </w:p>
        </w:tc>
        <w:tc>
          <w:tcPr>
            <w:tcW w:w="800" w:type="dxa"/>
            <w:noWrap/>
            <w:hideMark/>
          </w:tcPr>
          <w:p w:rsidR="00A675D6" w:rsidRPr="00472FFC" w:rsidRDefault="00A675D6" w:rsidP="00150C2E">
            <w:pPr>
              <w:jc w:val="center"/>
            </w:pPr>
            <w:r w:rsidRPr="00472FFC">
              <w:t>10</w:t>
            </w:r>
          </w:p>
        </w:tc>
        <w:tc>
          <w:tcPr>
            <w:tcW w:w="736" w:type="dxa"/>
            <w:noWrap/>
            <w:hideMark/>
          </w:tcPr>
          <w:p w:rsidR="00A675D6" w:rsidRPr="00472FFC" w:rsidRDefault="00A675D6" w:rsidP="00150C2E">
            <w:pPr>
              <w:jc w:val="center"/>
            </w:pPr>
            <w:r w:rsidRPr="00472FFC">
              <w:t>10</w:t>
            </w:r>
          </w:p>
        </w:tc>
        <w:tc>
          <w:tcPr>
            <w:tcW w:w="891" w:type="dxa"/>
            <w:noWrap/>
            <w:hideMark/>
          </w:tcPr>
          <w:p w:rsidR="00A675D6" w:rsidRPr="00472FFC" w:rsidRDefault="00A675D6" w:rsidP="00150C2E">
            <w:pPr>
              <w:jc w:val="center"/>
            </w:pPr>
            <w:r w:rsidRPr="00472FFC">
              <w:t>10</w:t>
            </w:r>
          </w:p>
        </w:tc>
        <w:tc>
          <w:tcPr>
            <w:tcW w:w="989" w:type="dxa"/>
            <w:noWrap/>
            <w:hideMark/>
          </w:tcPr>
          <w:p w:rsidR="00A675D6" w:rsidRPr="00472FFC" w:rsidRDefault="00A675D6" w:rsidP="00150C2E">
            <w:pPr>
              <w:jc w:val="center"/>
            </w:pPr>
            <w:r w:rsidRPr="00472FFC">
              <w:t>20</w:t>
            </w:r>
          </w:p>
        </w:tc>
        <w:tc>
          <w:tcPr>
            <w:tcW w:w="800" w:type="dxa"/>
            <w:noWrap/>
            <w:hideMark/>
          </w:tcPr>
          <w:p w:rsidR="00A675D6" w:rsidRPr="00472FFC" w:rsidRDefault="00A675D6" w:rsidP="00150C2E">
            <w:pPr>
              <w:jc w:val="center"/>
            </w:pPr>
            <w:r w:rsidRPr="00472FFC">
              <w:t>20</w:t>
            </w:r>
          </w:p>
        </w:tc>
        <w:tc>
          <w:tcPr>
            <w:tcW w:w="800" w:type="dxa"/>
            <w:noWrap/>
            <w:hideMark/>
          </w:tcPr>
          <w:p w:rsidR="00A675D6" w:rsidRPr="00472FFC" w:rsidRDefault="00A675D6" w:rsidP="00150C2E">
            <w:pPr>
              <w:jc w:val="center"/>
            </w:pPr>
            <w:r w:rsidRPr="00472FFC">
              <w:t>20</w:t>
            </w:r>
          </w:p>
        </w:tc>
        <w:tc>
          <w:tcPr>
            <w:tcW w:w="800" w:type="dxa"/>
            <w:noWrap/>
            <w:hideMark/>
          </w:tcPr>
          <w:p w:rsidR="00A675D6" w:rsidRPr="00472FFC" w:rsidRDefault="00A675D6" w:rsidP="00150C2E">
            <w:pPr>
              <w:jc w:val="center"/>
            </w:pPr>
            <w:r w:rsidRPr="00472FFC">
              <w:t>20</w:t>
            </w:r>
          </w:p>
        </w:tc>
        <w:tc>
          <w:tcPr>
            <w:tcW w:w="800" w:type="dxa"/>
            <w:noWrap/>
            <w:hideMark/>
          </w:tcPr>
          <w:p w:rsidR="00A675D6" w:rsidRPr="00472FFC" w:rsidRDefault="00A675D6" w:rsidP="00150C2E">
            <w:pPr>
              <w:jc w:val="center"/>
            </w:pPr>
            <w:r w:rsidRPr="00472FFC">
              <w:t>20</w:t>
            </w:r>
          </w:p>
        </w:tc>
        <w:tc>
          <w:tcPr>
            <w:tcW w:w="800" w:type="dxa"/>
            <w:noWrap/>
            <w:hideMark/>
          </w:tcPr>
          <w:p w:rsidR="00A675D6" w:rsidRPr="00472FFC" w:rsidRDefault="00A675D6" w:rsidP="00150C2E">
            <w:pPr>
              <w:jc w:val="center"/>
            </w:pPr>
            <w:r w:rsidRPr="00472FFC">
              <w:t>20</w:t>
            </w:r>
          </w:p>
        </w:tc>
      </w:tr>
      <w:tr w:rsidR="00A675D6" w:rsidRPr="00472FFC" w:rsidTr="00150C2E">
        <w:trPr>
          <w:trHeight w:val="315"/>
        </w:trPr>
        <w:tc>
          <w:tcPr>
            <w:tcW w:w="1071" w:type="dxa"/>
            <w:noWrap/>
            <w:hideMark/>
          </w:tcPr>
          <w:p w:rsidR="00A675D6" w:rsidRPr="00472FFC" w:rsidRDefault="00A675D6" w:rsidP="00150C2E">
            <w:pPr>
              <w:jc w:val="center"/>
            </w:pPr>
            <w:r w:rsidRPr="00472FFC">
              <w:t>Indonesia</w:t>
            </w:r>
          </w:p>
        </w:tc>
        <w:tc>
          <w:tcPr>
            <w:tcW w:w="800" w:type="dxa"/>
            <w:noWrap/>
            <w:hideMark/>
          </w:tcPr>
          <w:p w:rsidR="00A675D6" w:rsidRPr="00472FFC" w:rsidRDefault="00A675D6" w:rsidP="00150C2E">
            <w:pPr>
              <w:jc w:val="center"/>
            </w:pPr>
            <w:r w:rsidRPr="00472FFC">
              <w:t>0</w:t>
            </w:r>
          </w:p>
        </w:tc>
        <w:tc>
          <w:tcPr>
            <w:tcW w:w="800" w:type="dxa"/>
            <w:noWrap/>
            <w:hideMark/>
          </w:tcPr>
          <w:p w:rsidR="00A675D6" w:rsidRPr="00472FFC" w:rsidRDefault="00A675D6" w:rsidP="00150C2E">
            <w:pPr>
              <w:jc w:val="center"/>
            </w:pPr>
            <w:r w:rsidRPr="00472FFC">
              <w:t>5</w:t>
            </w:r>
          </w:p>
        </w:tc>
        <w:tc>
          <w:tcPr>
            <w:tcW w:w="736" w:type="dxa"/>
            <w:noWrap/>
            <w:hideMark/>
          </w:tcPr>
          <w:p w:rsidR="00A675D6" w:rsidRPr="00472FFC" w:rsidRDefault="00A675D6" w:rsidP="00150C2E">
            <w:pPr>
              <w:jc w:val="center"/>
            </w:pPr>
            <w:r w:rsidRPr="00472FFC">
              <w:t>5</w:t>
            </w:r>
          </w:p>
        </w:tc>
        <w:tc>
          <w:tcPr>
            <w:tcW w:w="891" w:type="dxa"/>
            <w:noWrap/>
            <w:hideMark/>
          </w:tcPr>
          <w:p w:rsidR="00A675D6" w:rsidRPr="00472FFC" w:rsidRDefault="00A675D6" w:rsidP="00150C2E">
            <w:pPr>
              <w:jc w:val="center"/>
            </w:pPr>
            <w:r w:rsidRPr="00472FFC">
              <w:t>5</w:t>
            </w:r>
          </w:p>
        </w:tc>
        <w:tc>
          <w:tcPr>
            <w:tcW w:w="989" w:type="dxa"/>
            <w:noWrap/>
            <w:hideMark/>
          </w:tcPr>
          <w:p w:rsidR="00A675D6" w:rsidRPr="00472FFC" w:rsidRDefault="00A675D6" w:rsidP="00150C2E">
            <w:pPr>
              <w:jc w:val="center"/>
            </w:pPr>
            <w:r w:rsidRPr="00472FFC">
              <w:t>7.5</w:t>
            </w:r>
          </w:p>
        </w:tc>
        <w:tc>
          <w:tcPr>
            <w:tcW w:w="800" w:type="dxa"/>
            <w:noWrap/>
            <w:hideMark/>
          </w:tcPr>
          <w:p w:rsidR="00A675D6" w:rsidRPr="00472FFC" w:rsidRDefault="00A675D6" w:rsidP="00150C2E">
            <w:pPr>
              <w:jc w:val="center"/>
            </w:pPr>
            <w:r w:rsidRPr="00472FFC">
              <w:t>10</w:t>
            </w:r>
          </w:p>
        </w:tc>
        <w:tc>
          <w:tcPr>
            <w:tcW w:w="800" w:type="dxa"/>
            <w:noWrap/>
            <w:hideMark/>
          </w:tcPr>
          <w:p w:rsidR="00A675D6" w:rsidRPr="00472FFC" w:rsidRDefault="00A675D6" w:rsidP="00150C2E">
            <w:pPr>
              <w:jc w:val="center"/>
            </w:pPr>
            <w:r w:rsidRPr="00472FFC">
              <w:t>10</w:t>
            </w:r>
          </w:p>
        </w:tc>
        <w:tc>
          <w:tcPr>
            <w:tcW w:w="800" w:type="dxa"/>
            <w:noWrap/>
            <w:hideMark/>
          </w:tcPr>
          <w:p w:rsidR="00A675D6" w:rsidRPr="00472FFC" w:rsidRDefault="00A675D6" w:rsidP="00150C2E">
            <w:pPr>
              <w:jc w:val="center"/>
            </w:pPr>
            <w:r w:rsidRPr="00472FFC">
              <w:t>5</w:t>
            </w:r>
          </w:p>
        </w:tc>
        <w:tc>
          <w:tcPr>
            <w:tcW w:w="800" w:type="dxa"/>
            <w:noWrap/>
            <w:hideMark/>
          </w:tcPr>
          <w:p w:rsidR="00A675D6" w:rsidRPr="00472FFC" w:rsidRDefault="00A675D6" w:rsidP="00150C2E">
            <w:pPr>
              <w:jc w:val="center"/>
            </w:pPr>
            <w:r w:rsidRPr="00472FFC">
              <w:t>15</w:t>
            </w:r>
          </w:p>
        </w:tc>
        <w:tc>
          <w:tcPr>
            <w:tcW w:w="800" w:type="dxa"/>
            <w:noWrap/>
            <w:hideMark/>
          </w:tcPr>
          <w:p w:rsidR="00A675D6" w:rsidRPr="00472FFC" w:rsidRDefault="00A675D6" w:rsidP="00150C2E">
            <w:pPr>
              <w:jc w:val="center"/>
            </w:pPr>
            <w:r w:rsidRPr="00472FFC">
              <w:t>5</w:t>
            </w:r>
          </w:p>
        </w:tc>
      </w:tr>
      <w:tr w:rsidR="00A675D6" w:rsidRPr="00472FFC" w:rsidTr="00150C2E">
        <w:trPr>
          <w:trHeight w:val="315"/>
        </w:trPr>
        <w:tc>
          <w:tcPr>
            <w:tcW w:w="1071" w:type="dxa"/>
            <w:noWrap/>
            <w:hideMark/>
          </w:tcPr>
          <w:p w:rsidR="00A675D6" w:rsidRPr="00472FFC" w:rsidRDefault="00A675D6" w:rsidP="00150C2E">
            <w:pPr>
              <w:jc w:val="center"/>
            </w:pPr>
            <w:r w:rsidRPr="00472FFC">
              <w:t>Iran</w:t>
            </w:r>
          </w:p>
        </w:tc>
        <w:tc>
          <w:tcPr>
            <w:tcW w:w="800" w:type="dxa"/>
            <w:noWrap/>
            <w:hideMark/>
          </w:tcPr>
          <w:p w:rsidR="00A675D6" w:rsidRPr="00472FFC" w:rsidRDefault="00A675D6" w:rsidP="00150C2E">
            <w:pPr>
              <w:jc w:val="center"/>
            </w:pPr>
            <w:r w:rsidRPr="00472FFC">
              <w:t>22</w:t>
            </w:r>
          </w:p>
        </w:tc>
        <w:tc>
          <w:tcPr>
            <w:tcW w:w="800" w:type="dxa"/>
            <w:noWrap/>
            <w:hideMark/>
          </w:tcPr>
          <w:p w:rsidR="00A675D6" w:rsidRPr="00472FFC" w:rsidRDefault="00A675D6" w:rsidP="00150C2E">
            <w:pPr>
              <w:jc w:val="center"/>
            </w:pPr>
            <w:r w:rsidRPr="00472FFC">
              <w:t>4</w:t>
            </w:r>
          </w:p>
        </w:tc>
        <w:tc>
          <w:tcPr>
            <w:tcW w:w="736" w:type="dxa"/>
            <w:noWrap/>
            <w:hideMark/>
          </w:tcPr>
          <w:p w:rsidR="00A675D6" w:rsidRPr="00472FFC" w:rsidRDefault="00A675D6" w:rsidP="00150C2E">
            <w:pPr>
              <w:jc w:val="center"/>
            </w:pPr>
            <w:r w:rsidRPr="00472FFC">
              <w:t>10</w:t>
            </w:r>
          </w:p>
        </w:tc>
        <w:tc>
          <w:tcPr>
            <w:tcW w:w="891" w:type="dxa"/>
            <w:noWrap/>
            <w:hideMark/>
          </w:tcPr>
          <w:p w:rsidR="00A675D6" w:rsidRPr="00472FFC" w:rsidRDefault="00A675D6" w:rsidP="00150C2E">
            <w:pPr>
              <w:jc w:val="center"/>
            </w:pPr>
            <w:r w:rsidRPr="00472FFC">
              <w:t>10</w:t>
            </w:r>
          </w:p>
        </w:tc>
        <w:tc>
          <w:tcPr>
            <w:tcW w:w="989" w:type="dxa"/>
            <w:noWrap/>
            <w:hideMark/>
          </w:tcPr>
          <w:p w:rsidR="00A675D6" w:rsidRPr="00472FFC" w:rsidRDefault="00A675D6" w:rsidP="00150C2E">
            <w:pPr>
              <w:jc w:val="center"/>
            </w:pPr>
            <w:r w:rsidRPr="00472FFC">
              <w:t>50</w:t>
            </w:r>
          </w:p>
        </w:tc>
        <w:tc>
          <w:tcPr>
            <w:tcW w:w="800" w:type="dxa"/>
            <w:noWrap/>
            <w:hideMark/>
          </w:tcPr>
          <w:p w:rsidR="00A675D6" w:rsidRPr="00472FFC" w:rsidRDefault="00A675D6" w:rsidP="00150C2E">
            <w:pPr>
              <w:jc w:val="center"/>
            </w:pPr>
            <w:r w:rsidRPr="00472FFC">
              <w:t>50</w:t>
            </w:r>
          </w:p>
        </w:tc>
        <w:tc>
          <w:tcPr>
            <w:tcW w:w="800" w:type="dxa"/>
            <w:noWrap/>
            <w:hideMark/>
          </w:tcPr>
          <w:p w:rsidR="00A675D6" w:rsidRPr="00472FFC" w:rsidRDefault="00A675D6" w:rsidP="00150C2E">
            <w:pPr>
              <w:jc w:val="center"/>
            </w:pPr>
            <w:r w:rsidRPr="00472FFC">
              <w:t>30</w:t>
            </w:r>
          </w:p>
        </w:tc>
        <w:tc>
          <w:tcPr>
            <w:tcW w:w="800" w:type="dxa"/>
            <w:noWrap/>
            <w:hideMark/>
          </w:tcPr>
          <w:p w:rsidR="00A675D6" w:rsidRPr="00472FFC" w:rsidRDefault="00A675D6" w:rsidP="00150C2E">
            <w:pPr>
              <w:jc w:val="center"/>
            </w:pPr>
            <w:r w:rsidRPr="00472FFC">
              <w:t>30</w:t>
            </w:r>
          </w:p>
        </w:tc>
        <w:tc>
          <w:tcPr>
            <w:tcW w:w="800" w:type="dxa"/>
            <w:noWrap/>
            <w:hideMark/>
          </w:tcPr>
          <w:p w:rsidR="00A675D6" w:rsidRPr="00472FFC" w:rsidRDefault="00A675D6" w:rsidP="00150C2E">
            <w:pPr>
              <w:jc w:val="center"/>
            </w:pPr>
            <w:r w:rsidRPr="00472FFC">
              <w:t>50</w:t>
            </w:r>
          </w:p>
        </w:tc>
        <w:tc>
          <w:tcPr>
            <w:tcW w:w="800" w:type="dxa"/>
            <w:noWrap/>
            <w:hideMark/>
          </w:tcPr>
          <w:p w:rsidR="00A675D6" w:rsidRPr="00472FFC" w:rsidRDefault="00A675D6" w:rsidP="00150C2E">
            <w:pPr>
              <w:jc w:val="center"/>
            </w:pPr>
            <w:r w:rsidRPr="00472FFC">
              <w:t>65</w:t>
            </w:r>
          </w:p>
        </w:tc>
      </w:tr>
      <w:tr w:rsidR="00A675D6" w:rsidRPr="00472FFC" w:rsidTr="00150C2E">
        <w:trPr>
          <w:trHeight w:val="315"/>
        </w:trPr>
        <w:tc>
          <w:tcPr>
            <w:tcW w:w="1071" w:type="dxa"/>
            <w:noWrap/>
            <w:hideMark/>
          </w:tcPr>
          <w:p w:rsidR="00A675D6" w:rsidRPr="00472FFC" w:rsidRDefault="00A675D6" w:rsidP="00150C2E">
            <w:pPr>
              <w:jc w:val="center"/>
            </w:pPr>
            <w:r w:rsidRPr="00472FFC">
              <w:t>Japan</w:t>
            </w:r>
          </w:p>
        </w:tc>
        <w:tc>
          <w:tcPr>
            <w:tcW w:w="800" w:type="dxa"/>
            <w:noWrap/>
            <w:hideMark/>
          </w:tcPr>
          <w:p w:rsidR="00A675D6" w:rsidRPr="00472FFC" w:rsidRDefault="00A675D6" w:rsidP="00150C2E">
            <w:pPr>
              <w:jc w:val="center"/>
            </w:pPr>
            <w:r w:rsidRPr="00472FFC">
              <w:t>0</w:t>
            </w:r>
          </w:p>
        </w:tc>
        <w:tc>
          <w:tcPr>
            <w:tcW w:w="800" w:type="dxa"/>
            <w:noWrap/>
            <w:hideMark/>
          </w:tcPr>
          <w:p w:rsidR="00A675D6" w:rsidRPr="00472FFC" w:rsidRDefault="00A675D6" w:rsidP="00150C2E">
            <w:pPr>
              <w:jc w:val="center"/>
            </w:pPr>
            <w:r w:rsidRPr="00472FFC">
              <w:t>0</w:t>
            </w:r>
          </w:p>
        </w:tc>
        <w:tc>
          <w:tcPr>
            <w:tcW w:w="736" w:type="dxa"/>
            <w:noWrap/>
            <w:hideMark/>
          </w:tcPr>
          <w:p w:rsidR="00A675D6" w:rsidRPr="00472FFC" w:rsidRDefault="00A675D6" w:rsidP="00150C2E">
            <w:pPr>
              <w:jc w:val="center"/>
            </w:pPr>
            <w:r w:rsidRPr="00472FFC">
              <w:t>0</w:t>
            </w:r>
          </w:p>
        </w:tc>
        <w:tc>
          <w:tcPr>
            <w:tcW w:w="891" w:type="dxa"/>
            <w:noWrap/>
            <w:hideMark/>
          </w:tcPr>
          <w:p w:rsidR="00A675D6" w:rsidRPr="00472FFC" w:rsidRDefault="00A675D6" w:rsidP="00150C2E">
            <w:pPr>
              <w:jc w:val="center"/>
            </w:pPr>
            <w:r w:rsidRPr="00472FFC">
              <w:t>0</w:t>
            </w:r>
          </w:p>
        </w:tc>
        <w:tc>
          <w:tcPr>
            <w:tcW w:w="989" w:type="dxa"/>
            <w:noWrap/>
            <w:hideMark/>
          </w:tcPr>
          <w:p w:rsidR="00A675D6" w:rsidRPr="00472FFC" w:rsidRDefault="00A675D6" w:rsidP="00150C2E">
            <w:pPr>
              <w:jc w:val="center"/>
            </w:pPr>
            <w:r w:rsidRPr="00472FFC">
              <w:t>10</w:t>
            </w:r>
          </w:p>
        </w:tc>
        <w:tc>
          <w:tcPr>
            <w:tcW w:w="800" w:type="dxa"/>
            <w:noWrap/>
            <w:hideMark/>
          </w:tcPr>
          <w:p w:rsidR="00A675D6" w:rsidRPr="00472FFC" w:rsidRDefault="00A675D6" w:rsidP="00150C2E">
            <w:pPr>
              <w:jc w:val="center"/>
            </w:pPr>
            <w:r w:rsidRPr="00472FFC">
              <w:t>10</w:t>
            </w:r>
          </w:p>
        </w:tc>
        <w:tc>
          <w:tcPr>
            <w:tcW w:w="800" w:type="dxa"/>
            <w:noWrap/>
            <w:hideMark/>
          </w:tcPr>
          <w:p w:rsidR="00A675D6" w:rsidRPr="00472FFC" w:rsidRDefault="00A675D6" w:rsidP="00150C2E">
            <w:pPr>
              <w:jc w:val="center"/>
            </w:pPr>
            <w:r w:rsidRPr="00472FFC">
              <w:t>5.6</w:t>
            </w:r>
          </w:p>
        </w:tc>
        <w:tc>
          <w:tcPr>
            <w:tcW w:w="800" w:type="dxa"/>
            <w:noWrap/>
            <w:hideMark/>
          </w:tcPr>
          <w:p w:rsidR="00A675D6" w:rsidRPr="00472FFC" w:rsidRDefault="00A675D6" w:rsidP="00150C2E">
            <w:pPr>
              <w:jc w:val="center"/>
            </w:pPr>
            <w:r w:rsidRPr="00472FFC">
              <w:t>5.6</w:t>
            </w:r>
          </w:p>
        </w:tc>
        <w:tc>
          <w:tcPr>
            <w:tcW w:w="800" w:type="dxa"/>
            <w:noWrap/>
            <w:hideMark/>
          </w:tcPr>
          <w:p w:rsidR="00A675D6" w:rsidRPr="00472FFC" w:rsidRDefault="00A675D6" w:rsidP="00150C2E">
            <w:pPr>
              <w:jc w:val="center"/>
            </w:pPr>
            <w:r w:rsidRPr="00472FFC">
              <w:t>8.2</w:t>
            </w:r>
          </w:p>
        </w:tc>
        <w:tc>
          <w:tcPr>
            <w:tcW w:w="800" w:type="dxa"/>
            <w:noWrap/>
            <w:hideMark/>
          </w:tcPr>
          <w:p w:rsidR="00A675D6" w:rsidRPr="00472FFC" w:rsidRDefault="00A675D6" w:rsidP="00150C2E">
            <w:pPr>
              <w:jc w:val="center"/>
            </w:pPr>
            <w:r w:rsidRPr="00472FFC">
              <w:t>0</w:t>
            </w:r>
          </w:p>
        </w:tc>
      </w:tr>
      <w:tr w:rsidR="00A675D6" w:rsidRPr="00472FFC" w:rsidTr="00150C2E">
        <w:trPr>
          <w:trHeight w:val="315"/>
        </w:trPr>
        <w:tc>
          <w:tcPr>
            <w:tcW w:w="1071" w:type="dxa"/>
            <w:noWrap/>
            <w:hideMark/>
          </w:tcPr>
          <w:p w:rsidR="00A675D6" w:rsidRPr="00472FFC" w:rsidRDefault="00A675D6" w:rsidP="00150C2E">
            <w:pPr>
              <w:jc w:val="center"/>
            </w:pPr>
            <w:r w:rsidRPr="00472FFC">
              <w:t>Nepal</w:t>
            </w:r>
          </w:p>
        </w:tc>
        <w:tc>
          <w:tcPr>
            <w:tcW w:w="800" w:type="dxa"/>
            <w:noWrap/>
            <w:hideMark/>
          </w:tcPr>
          <w:p w:rsidR="00A675D6" w:rsidRPr="00472FFC" w:rsidRDefault="00A675D6" w:rsidP="00150C2E">
            <w:pPr>
              <w:jc w:val="center"/>
            </w:pPr>
            <w:r w:rsidRPr="00472FFC">
              <w:t>5</w:t>
            </w:r>
          </w:p>
        </w:tc>
        <w:tc>
          <w:tcPr>
            <w:tcW w:w="800" w:type="dxa"/>
            <w:noWrap/>
            <w:hideMark/>
          </w:tcPr>
          <w:p w:rsidR="00A675D6" w:rsidRPr="00472FFC" w:rsidRDefault="00A675D6" w:rsidP="00150C2E">
            <w:pPr>
              <w:jc w:val="center"/>
            </w:pPr>
            <w:r w:rsidRPr="00472FFC">
              <w:t>5</w:t>
            </w:r>
          </w:p>
        </w:tc>
        <w:tc>
          <w:tcPr>
            <w:tcW w:w="736" w:type="dxa"/>
            <w:noWrap/>
            <w:hideMark/>
          </w:tcPr>
          <w:p w:rsidR="00A675D6" w:rsidRPr="00472FFC" w:rsidRDefault="00A675D6" w:rsidP="00150C2E">
            <w:pPr>
              <w:jc w:val="center"/>
            </w:pPr>
            <w:r w:rsidRPr="00472FFC">
              <w:t>10</w:t>
            </w:r>
          </w:p>
        </w:tc>
        <w:tc>
          <w:tcPr>
            <w:tcW w:w="891" w:type="dxa"/>
            <w:noWrap/>
            <w:hideMark/>
          </w:tcPr>
          <w:p w:rsidR="00A675D6" w:rsidRPr="00472FFC" w:rsidRDefault="00A675D6" w:rsidP="00150C2E">
            <w:pPr>
              <w:jc w:val="center"/>
            </w:pPr>
            <w:r w:rsidRPr="00472FFC">
              <w:t>10</w:t>
            </w:r>
          </w:p>
        </w:tc>
        <w:tc>
          <w:tcPr>
            <w:tcW w:w="989" w:type="dxa"/>
            <w:noWrap/>
            <w:hideMark/>
          </w:tcPr>
          <w:p w:rsidR="00A675D6" w:rsidRPr="00472FFC" w:rsidRDefault="00A675D6" w:rsidP="00150C2E">
            <w:pPr>
              <w:jc w:val="center"/>
            </w:pPr>
            <w:r w:rsidRPr="00472FFC">
              <w:t>15</w:t>
            </w:r>
          </w:p>
        </w:tc>
        <w:tc>
          <w:tcPr>
            <w:tcW w:w="800" w:type="dxa"/>
            <w:noWrap/>
            <w:hideMark/>
          </w:tcPr>
          <w:p w:rsidR="00A675D6" w:rsidRPr="00472FFC" w:rsidRDefault="00A675D6" w:rsidP="00150C2E">
            <w:pPr>
              <w:jc w:val="center"/>
            </w:pPr>
            <w:r w:rsidRPr="00472FFC">
              <w:t>15</w:t>
            </w:r>
          </w:p>
        </w:tc>
        <w:tc>
          <w:tcPr>
            <w:tcW w:w="800" w:type="dxa"/>
            <w:noWrap/>
            <w:hideMark/>
          </w:tcPr>
          <w:p w:rsidR="00A675D6" w:rsidRPr="00472FFC" w:rsidRDefault="00A675D6" w:rsidP="00150C2E">
            <w:pPr>
              <w:jc w:val="center"/>
            </w:pPr>
            <w:r w:rsidRPr="00472FFC">
              <w:t>15</w:t>
            </w:r>
          </w:p>
        </w:tc>
        <w:tc>
          <w:tcPr>
            <w:tcW w:w="800" w:type="dxa"/>
            <w:noWrap/>
            <w:hideMark/>
          </w:tcPr>
          <w:p w:rsidR="00A675D6" w:rsidRPr="00472FFC" w:rsidRDefault="00A675D6" w:rsidP="00150C2E">
            <w:pPr>
              <w:jc w:val="center"/>
            </w:pPr>
            <w:r w:rsidRPr="00472FFC">
              <w:t>15</w:t>
            </w:r>
          </w:p>
        </w:tc>
        <w:tc>
          <w:tcPr>
            <w:tcW w:w="800" w:type="dxa"/>
            <w:noWrap/>
            <w:hideMark/>
          </w:tcPr>
          <w:p w:rsidR="00A675D6" w:rsidRPr="00472FFC" w:rsidRDefault="00A675D6" w:rsidP="00150C2E">
            <w:pPr>
              <w:jc w:val="center"/>
            </w:pPr>
            <w:r w:rsidRPr="00472FFC">
              <w:t>30</w:t>
            </w:r>
          </w:p>
        </w:tc>
        <w:tc>
          <w:tcPr>
            <w:tcW w:w="800" w:type="dxa"/>
            <w:noWrap/>
            <w:hideMark/>
          </w:tcPr>
          <w:p w:rsidR="00A675D6" w:rsidRPr="00472FFC" w:rsidRDefault="00A675D6" w:rsidP="00150C2E">
            <w:pPr>
              <w:jc w:val="center"/>
            </w:pPr>
            <w:r w:rsidRPr="00472FFC">
              <w:t>15</w:t>
            </w:r>
          </w:p>
        </w:tc>
      </w:tr>
      <w:tr w:rsidR="00A675D6" w:rsidRPr="00472FFC" w:rsidTr="00150C2E">
        <w:trPr>
          <w:trHeight w:val="315"/>
        </w:trPr>
        <w:tc>
          <w:tcPr>
            <w:tcW w:w="1071" w:type="dxa"/>
            <w:noWrap/>
            <w:hideMark/>
          </w:tcPr>
          <w:p w:rsidR="00A675D6" w:rsidRPr="00472FFC" w:rsidRDefault="00A675D6" w:rsidP="00150C2E">
            <w:pPr>
              <w:jc w:val="center"/>
            </w:pPr>
            <w:r w:rsidRPr="00472FFC">
              <w:t>Pakistan</w:t>
            </w:r>
          </w:p>
        </w:tc>
        <w:tc>
          <w:tcPr>
            <w:tcW w:w="800" w:type="dxa"/>
            <w:noWrap/>
            <w:hideMark/>
          </w:tcPr>
          <w:p w:rsidR="00A675D6" w:rsidRPr="00472FFC" w:rsidRDefault="00A675D6" w:rsidP="00150C2E">
            <w:pPr>
              <w:jc w:val="center"/>
            </w:pPr>
            <w:r w:rsidRPr="00472FFC">
              <w:t>0</w:t>
            </w:r>
          </w:p>
        </w:tc>
        <w:tc>
          <w:tcPr>
            <w:tcW w:w="800" w:type="dxa"/>
            <w:noWrap/>
            <w:hideMark/>
          </w:tcPr>
          <w:p w:rsidR="00A675D6" w:rsidRPr="00472FFC" w:rsidRDefault="00A675D6" w:rsidP="00150C2E">
            <w:pPr>
              <w:jc w:val="center"/>
            </w:pPr>
            <w:r w:rsidRPr="00472FFC">
              <w:t>0</w:t>
            </w:r>
          </w:p>
        </w:tc>
        <w:tc>
          <w:tcPr>
            <w:tcW w:w="736" w:type="dxa"/>
            <w:noWrap/>
            <w:hideMark/>
          </w:tcPr>
          <w:p w:rsidR="00A675D6" w:rsidRPr="00472FFC" w:rsidRDefault="00A675D6" w:rsidP="00150C2E">
            <w:pPr>
              <w:jc w:val="center"/>
            </w:pPr>
            <w:r w:rsidRPr="00472FFC">
              <w:t>10</w:t>
            </w:r>
          </w:p>
        </w:tc>
        <w:tc>
          <w:tcPr>
            <w:tcW w:w="891" w:type="dxa"/>
            <w:noWrap/>
            <w:hideMark/>
          </w:tcPr>
          <w:p w:rsidR="00A675D6" w:rsidRPr="00472FFC" w:rsidRDefault="00A675D6" w:rsidP="00150C2E">
            <w:pPr>
              <w:jc w:val="center"/>
            </w:pPr>
            <w:r w:rsidRPr="00472FFC">
              <w:t>10</w:t>
            </w:r>
          </w:p>
        </w:tc>
        <w:tc>
          <w:tcPr>
            <w:tcW w:w="989" w:type="dxa"/>
            <w:noWrap/>
            <w:hideMark/>
          </w:tcPr>
          <w:p w:rsidR="00A675D6" w:rsidRPr="00472FFC" w:rsidRDefault="00A675D6" w:rsidP="00150C2E">
            <w:pPr>
              <w:jc w:val="center"/>
            </w:pPr>
            <w:r w:rsidRPr="00472FFC">
              <w:t>25</w:t>
            </w:r>
          </w:p>
        </w:tc>
        <w:tc>
          <w:tcPr>
            <w:tcW w:w="800" w:type="dxa"/>
            <w:noWrap/>
            <w:hideMark/>
          </w:tcPr>
          <w:p w:rsidR="00A675D6" w:rsidRPr="00472FFC" w:rsidRDefault="00A675D6" w:rsidP="00150C2E">
            <w:pPr>
              <w:jc w:val="center"/>
            </w:pPr>
            <w:r w:rsidRPr="00472FFC">
              <w:t>25</w:t>
            </w:r>
          </w:p>
        </w:tc>
        <w:tc>
          <w:tcPr>
            <w:tcW w:w="800" w:type="dxa"/>
            <w:noWrap/>
            <w:hideMark/>
          </w:tcPr>
          <w:p w:rsidR="00A675D6" w:rsidRPr="00472FFC" w:rsidRDefault="00A675D6" w:rsidP="00150C2E">
            <w:pPr>
              <w:jc w:val="center"/>
            </w:pPr>
            <w:r w:rsidRPr="00472FFC">
              <w:t>15</w:t>
            </w:r>
          </w:p>
        </w:tc>
        <w:tc>
          <w:tcPr>
            <w:tcW w:w="800" w:type="dxa"/>
            <w:noWrap/>
            <w:hideMark/>
          </w:tcPr>
          <w:p w:rsidR="00A675D6" w:rsidRPr="00472FFC" w:rsidRDefault="00A675D6" w:rsidP="00150C2E">
            <w:pPr>
              <w:jc w:val="center"/>
            </w:pPr>
            <w:r w:rsidRPr="00472FFC">
              <w:t>15</w:t>
            </w:r>
          </w:p>
        </w:tc>
        <w:tc>
          <w:tcPr>
            <w:tcW w:w="800" w:type="dxa"/>
            <w:noWrap/>
            <w:hideMark/>
          </w:tcPr>
          <w:p w:rsidR="00A675D6" w:rsidRPr="00472FFC" w:rsidRDefault="00A675D6" w:rsidP="00150C2E">
            <w:pPr>
              <w:jc w:val="center"/>
            </w:pPr>
            <w:r w:rsidRPr="00472FFC">
              <w:t>25</w:t>
            </w:r>
          </w:p>
        </w:tc>
        <w:tc>
          <w:tcPr>
            <w:tcW w:w="800" w:type="dxa"/>
            <w:noWrap/>
            <w:hideMark/>
          </w:tcPr>
          <w:p w:rsidR="00A675D6" w:rsidRPr="00472FFC" w:rsidRDefault="00A675D6" w:rsidP="00150C2E">
            <w:pPr>
              <w:jc w:val="center"/>
            </w:pPr>
            <w:r w:rsidRPr="00472FFC">
              <w:t>25</w:t>
            </w:r>
          </w:p>
        </w:tc>
      </w:tr>
      <w:tr w:rsidR="00A675D6" w:rsidRPr="00472FFC" w:rsidTr="00150C2E">
        <w:trPr>
          <w:trHeight w:val="315"/>
        </w:trPr>
        <w:tc>
          <w:tcPr>
            <w:tcW w:w="1071" w:type="dxa"/>
            <w:noWrap/>
            <w:hideMark/>
          </w:tcPr>
          <w:p w:rsidR="00A675D6" w:rsidRPr="00472FFC" w:rsidRDefault="00A675D6" w:rsidP="00150C2E">
            <w:pPr>
              <w:jc w:val="center"/>
            </w:pPr>
            <w:r>
              <w:t>Russian Fed.</w:t>
            </w:r>
          </w:p>
        </w:tc>
        <w:tc>
          <w:tcPr>
            <w:tcW w:w="800" w:type="dxa"/>
            <w:noWrap/>
            <w:hideMark/>
          </w:tcPr>
          <w:p w:rsidR="00A675D6" w:rsidRPr="00472FFC" w:rsidRDefault="00A675D6" w:rsidP="00150C2E">
            <w:pPr>
              <w:jc w:val="center"/>
            </w:pPr>
            <w:r w:rsidRPr="00472FFC">
              <w:t>5</w:t>
            </w:r>
          </w:p>
        </w:tc>
        <w:tc>
          <w:tcPr>
            <w:tcW w:w="800" w:type="dxa"/>
            <w:noWrap/>
            <w:hideMark/>
          </w:tcPr>
          <w:p w:rsidR="00A675D6" w:rsidRPr="00472FFC" w:rsidRDefault="00A675D6" w:rsidP="00150C2E">
            <w:pPr>
              <w:jc w:val="center"/>
            </w:pPr>
            <w:r w:rsidRPr="00472FFC">
              <w:t>5</w:t>
            </w:r>
          </w:p>
        </w:tc>
        <w:tc>
          <w:tcPr>
            <w:tcW w:w="736" w:type="dxa"/>
            <w:noWrap/>
            <w:hideMark/>
          </w:tcPr>
          <w:p w:rsidR="00A675D6" w:rsidRPr="00472FFC" w:rsidRDefault="00A675D6" w:rsidP="00150C2E">
            <w:pPr>
              <w:jc w:val="center"/>
            </w:pPr>
            <w:r w:rsidRPr="00472FFC">
              <w:t>5</w:t>
            </w:r>
          </w:p>
        </w:tc>
        <w:tc>
          <w:tcPr>
            <w:tcW w:w="891" w:type="dxa"/>
            <w:noWrap/>
            <w:hideMark/>
          </w:tcPr>
          <w:p w:rsidR="00A675D6" w:rsidRPr="00472FFC" w:rsidRDefault="00A675D6" w:rsidP="00150C2E">
            <w:pPr>
              <w:jc w:val="center"/>
            </w:pPr>
            <w:r w:rsidRPr="00472FFC">
              <w:t>5</w:t>
            </w:r>
          </w:p>
        </w:tc>
        <w:tc>
          <w:tcPr>
            <w:tcW w:w="989" w:type="dxa"/>
            <w:noWrap/>
            <w:hideMark/>
          </w:tcPr>
          <w:p w:rsidR="00A675D6" w:rsidRPr="00472FFC" w:rsidRDefault="00A675D6" w:rsidP="00150C2E">
            <w:pPr>
              <w:jc w:val="center"/>
            </w:pPr>
            <w:r w:rsidRPr="00472FFC">
              <w:t>10</w:t>
            </w:r>
          </w:p>
        </w:tc>
        <w:tc>
          <w:tcPr>
            <w:tcW w:w="800" w:type="dxa"/>
            <w:noWrap/>
            <w:hideMark/>
          </w:tcPr>
          <w:p w:rsidR="00A675D6" w:rsidRPr="00472FFC" w:rsidRDefault="00A675D6" w:rsidP="00150C2E">
            <w:pPr>
              <w:jc w:val="center"/>
            </w:pPr>
            <w:r w:rsidRPr="00472FFC">
              <w:t>10</w:t>
            </w:r>
          </w:p>
        </w:tc>
        <w:tc>
          <w:tcPr>
            <w:tcW w:w="800" w:type="dxa"/>
            <w:noWrap/>
            <w:hideMark/>
          </w:tcPr>
          <w:p w:rsidR="00A675D6" w:rsidRPr="00472FFC" w:rsidRDefault="00A675D6" w:rsidP="00150C2E">
            <w:pPr>
              <w:jc w:val="center"/>
            </w:pPr>
            <w:r w:rsidRPr="00472FFC">
              <w:t>15</w:t>
            </w:r>
          </w:p>
        </w:tc>
        <w:tc>
          <w:tcPr>
            <w:tcW w:w="800" w:type="dxa"/>
            <w:noWrap/>
            <w:hideMark/>
          </w:tcPr>
          <w:p w:rsidR="00A675D6" w:rsidRPr="00472FFC" w:rsidRDefault="00A675D6" w:rsidP="00150C2E">
            <w:pPr>
              <w:jc w:val="center"/>
            </w:pPr>
            <w:r w:rsidRPr="00472FFC">
              <w:t>15</w:t>
            </w:r>
          </w:p>
        </w:tc>
        <w:tc>
          <w:tcPr>
            <w:tcW w:w="800" w:type="dxa"/>
            <w:noWrap/>
            <w:hideMark/>
          </w:tcPr>
          <w:p w:rsidR="00A675D6" w:rsidRPr="00472FFC" w:rsidRDefault="00A675D6" w:rsidP="00150C2E">
            <w:pPr>
              <w:jc w:val="center"/>
            </w:pPr>
          </w:p>
        </w:tc>
        <w:tc>
          <w:tcPr>
            <w:tcW w:w="800" w:type="dxa"/>
            <w:noWrap/>
            <w:hideMark/>
          </w:tcPr>
          <w:p w:rsidR="00A675D6" w:rsidRPr="00472FFC" w:rsidRDefault="00A675D6" w:rsidP="00150C2E">
            <w:pPr>
              <w:jc w:val="center"/>
            </w:pPr>
            <w:r w:rsidRPr="00472FFC">
              <w:t>15</w:t>
            </w:r>
          </w:p>
        </w:tc>
      </w:tr>
      <w:tr w:rsidR="00A675D6" w:rsidRPr="00472FFC" w:rsidTr="00150C2E">
        <w:trPr>
          <w:trHeight w:val="315"/>
        </w:trPr>
        <w:tc>
          <w:tcPr>
            <w:tcW w:w="1071" w:type="dxa"/>
            <w:noWrap/>
            <w:hideMark/>
          </w:tcPr>
          <w:p w:rsidR="00A675D6" w:rsidRPr="00472FFC" w:rsidRDefault="00A675D6" w:rsidP="00150C2E">
            <w:pPr>
              <w:jc w:val="center"/>
            </w:pPr>
            <w:r w:rsidRPr="00472FFC">
              <w:t>Saudi Arabia</w:t>
            </w:r>
          </w:p>
        </w:tc>
        <w:tc>
          <w:tcPr>
            <w:tcW w:w="800" w:type="dxa"/>
            <w:noWrap/>
            <w:hideMark/>
          </w:tcPr>
          <w:p w:rsidR="00A675D6" w:rsidRPr="00472FFC" w:rsidRDefault="00A675D6" w:rsidP="00150C2E">
            <w:pPr>
              <w:jc w:val="center"/>
            </w:pPr>
            <w:r w:rsidRPr="00472FFC">
              <w:t>5</w:t>
            </w:r>
          </w:p>
        </w:tc>
        <w:tc>
          <w:tcPr>
            <w:tcW w:w="800" w:type="dxa"/>
            <w:noWrap/>
            <w:hideMark/>
          </w:tcPr>
          <w:p w:rsidR="00A675D6" w:rsidRPr="00472FFC" w:rsidRDefault="00A675D6" w:rsidP="00150C2E">
            <w:pPr>
              <w:jc w:val="center"/>
            </w:pPr>
            <w:r w:rsidRPr="00472FFC">
              <w:t>5</w:t>
            </w:r>
          </w:p>
        </w:tc>
        <w:tc>
          <w:tcPr>
            <w:tcW w:w="736" w:type="dxa"/>
            <w:noWrap/>
            <w:hideMark/>
          </w:tcPr>
          <w:p w:rsidR="00A675D6" w:rsidRPr="00472FFC" w:rsidRDefault="00A675D6" w:rsidP="00150C2E">
            <w:pPr>
              <w:jc w:val="center"/>
            </w:pPr>
            <w:r w:rsidRPr="00472FFC">
              <w:t>5</w:t>
            </w:r>
          </w:p>
        </w:tc>
        <w:tc>
          <w:tcPr>
            <w:tcW w:w="891" w:type="dxa"/>
            <w:noWrap/>
            <w:hideMark/>
          </w:tcPr>
          <w:p w:rsidR="00A675D6" w:rsidRPr="00472FFC" w:rsidRDefault="00A675D6" w:rsidP="00150C2E">
            <w:pPr>
              <w:jc w:val="center"/>
            </w:pPr>
            <w:r w:rsidRPr="00472FFC">
              <w:t>5</w:t>
            </w:r>
          </w:p>
        </w:tc>
        <w:tc>
          <w:tcPr>
            <w:tcW w:w="989" w:type="dxa"/>
            <w:noWrap/>
            <w:hideMark/>
          </w:tcPr>
          <w:p w:rsidR="00A675D6" w:rsidRPr="00472FFC" w:rsidRDefault="00A675D6" w:rsidP="00150C2E">
            <w:pPr>
              <w:jc w:val="center"/>
            </w:pPr>
            <w:r w:rsidRPr="00472FFC">
              <w:t>5</w:t>
            </w:r>
          </w:p>
        </w:tc>
        <w:tc>
          <w:tcPr>
            <w:tcW w:w="800" w:type="dxa"/>
            <w:noWrap/>
            <w:hideMark/>
          </w:tcPr>
          <w:p w:rsidR="00A675D6" w:rsidRPr="00472FFC" w:rsidRDefault="00A675D6" w:rsidP="00150C2E">
            <w:pPr>
              <w:jc w:val="center"/>
            </w:pPr>
            <w:r w:rsidRPr="00472FFC">
              <w:t>5</w:t>
            </w:r>
          </w:p>
        </w:tc>
        <w:tc>
          <w:tcPr>
            <w:tcW w:w="800" w:type="dxa"/>
            <w:noWrap/>
            <w:hideMark/>
          </w:tcPr>
          <w:p w:rsidR="00A675D6" w:rsidRPr="00472FFC" w:rsidRDefault="00A675D6" w:rsidP="00150C2E">
            <w:pPr>
              <w:jc w:val="center"/>
            </w:pPr>
            <w:r w:rsidRPr="00472FFC">
              <w:t>5</w:t>
            </w:r>
          </w:p>
        </w:tc>
        <w:tc>
          <w:tcPr>
            <w:tcW w:w="800" w:type="dxa"/>
            <w:noWrap/>
            <w:hideMark/>
          </w:tcPr>
          <w:p w:rsidR="00A675D6" w:rsidRPr="00472FFC" w:rsidRDefault="00A675D6" w:rsidP="00150C2E">
            <w:pPr>
              <w:jc w:val="center"/>
            </w:pPr>
            <w:r w:rsidRPr="00472FFC">
              <w:t>5</w:t>
            </w:r>
          </w:p>
        </w:tc>
        <w:tc>
          <w:tcPr>
            <w:tcW w:w="800" w:type="dxa"/>
            <w:noWrap/>
            <w:hideMark/>
          </w:tcPr>
          <w:p w:rsidR="00A675D6" w:rsidRPr="00472FFC" w:rsidRDefault="00A675D6" w:rsidP="00150C2E">
            <w:pPr>
              <w:jc w:val="center"/>
            </w:pPr>
            <w:r w:rsidRPr="00472FFC">
              <w:t>5</w:t>
            </w:r>
          </w:p>
        </w:tc>
        <w:tc>
          <w:tcPr>
            <w:tcW w:w="800" w:type="dxa"/>
            <w:noWrap/>
            <w:hideMark/>
          </w:tcPr>
          <w:p w:rsidR="00A675D6" w:rsidRPr="00472FFC" w:rsidRDefault="00A675D6" w:rsidP="00150C2E">
            <w:pPr>
              <w:jc w:val="center"/>
            </w:pPr>
            <w:r w:rsidRPr="00472FFC">
              <w:t>5</w:t>
            </w:r>
          </w:p>
        </w:tc>
      </w:tr>
      <w:tr w:rsidR="00A675D6" w:rsidRPr="00472FFC" w:rsidTr="00150C2E">
        <w:trPr>
          <w:trHeight w:val="315"/>
        </w:trPr>
        <w:tc>
          <w:tcPr>
            <w:tcW w:w="1071" w:type="dxa"/>
            <w:noWrap/>
            <w:hideMark/>
          </w:tcPr>
          <w:p w:rsidR="00A675D6" w:rsidRPr="00472FFC" w:rsidRDefault="00A675D6" w:rsidP="00150C2E">
            <w:pPr>
              <w:jc w:val="center"/>
            </w:pPr>
            <w:r w:rsidRPr="00472FFC">
              <w:t>Syria</w:t>
            </w:r>
          </w:p>
        </w:tc>
        <w:tc>
          <w:tcPr>
            <w:tcW w:w="800" w:type="dxa"/>
            <w:noWrap/>
            <w:hideMark/>
          </w:tcPr>
          <w:p w:rsidR="00A675D6" w:rsidRPr="00472FFC" w:rsidRDefault="00A675D6" w:rsidP="00150C2E">
            <w:pPr>
              <w:jc w:val="center"/>
            </w:pPr>
            <w:r w:rsidRPr="00472FFC">
              <w:t>1</w:t>
            </w:r>
          </w:p>
        </w:tc>
        <w:tc>
          <w:tcPr>
            <w:tcW w:w="800" w:type="dxa"/>
            <w:noWrap/>
            <w:hideMark/>
          </w:tcPr>
          <w:p w:rsidR="00A675D6" w:rsidRPr="00472FFC" w:rsidRDefault="00A675D6" w:rsidP="00150C2E">
            <w:pPr>
              <w:jc w:val="center"/>
            </w:pPr>
            <w:r w:rsidRPr="00472FFC">
              <w:t>1</w:t>
            </w:r>
          </w:p>
        </w:tc>
        <w:tc>
          <w:tcPr>
            <w:tcW w:w="736" w:type="dxa"/>
            <w:noWrap/>
            <w:hideMark/>
          </w:tcPr>
          <w:p w:rsidR="00A675D6" w:rsidRPr="00472FFC" w:rsidRDefault="00A675D6" w:rsidP="00150C2E">
            <w:pPr>
              <w:jc w:val="center"/>
            </w:pPr>
            <w:r w:rsidRPr="00472FFC">
              <w:t>1</w:t>
            </w:r>
          </w:p>
        </w:tc>
        <w:tc>
          <w:tcPr>
            <w:tcW w:w="891" w:type="dxa"/>
            <w:noWrap/>
            <w:hideMark/>
          </w:tcPr>
          <w:p w:rsidR="00A675D6" w:rsidRPr="00472FFC" w:rsidRDefault="00A675D6" w:rsidP="00150C2E">
            <w:pPr>
              <w:jc w:val="center"/>
            </w:pPr>
            <w:r w:rsidRPr="00472FFC">
              <w:t>1</w:t>
            </w:r>
          </w:p>
        </w:tc>
        <w:tc>
          <w:tcPr>
            <w:tcW w:w="989" w:type="dxa"/>
            <w:noWrap/>
            <w:hideMark/>
          </w:tcPr>
          <w:p w:rsidR="00A675D6" w:rsidRPr="00472FFC" w:rsidRDefault="00A675D6" w:rsidP="00150C2E">
            <w:pPr>
              <w:jc w:val="center"/>
            </w:pPr>
            <w:r w:rsidRPr="00472FFC">
              <w:t>5</w:t>
            </w:r>
          </w:p>
        </w:tc>
        <w:tc>
          <w:tcPr>
            <w:tcW w:w="800" w:type="dxa"/>
            <w:noWrap/>
            <w:hideMark/>
          </w:tcPr>
          <w:p w:rsidR="00A675D6" w:rsidRPr="00472FFC" w:rsidRDefault="00A675D6" w:rsidP="00150C2E">
            <w:pPr>
              <w:jc w:val="center"/>
            </w:pPr>
            <w:r w:rsidRPr="00472FFC">
              <w:t>5</w:t>
            </w:r>
          </w:p>
        </w:tc>
        <w:tc>
          <w:tcPr>
            <w:tcW w:w="800" w:type="dxa"/>
            <w:noWrap/>
            <w:hideMark/>
          </w:tcPr>
          <w:p w:rsidR="00A675D6" w:rsidRPr="00472FFC" w:rsidRDefault="00A675D6" w:rsidP="00150C2E">
            <w:pPr>
              <w:jc w:val="center"/>
            </w:pPr>
            <w:r w:rsidRPr="00472FFC">
              <w:t>5</w:t>
            </w:r>
          </w:p>
        </w:tc>
        <w:tc>
          <w:tcPr>
            <w:tcW w:w="800" w:type="dxa"/>
            <w:noWrap/>
            <w:hideMark/>
          </w:tcPr>
          <w:p w:rsidR="00A675D6" w:rsidRPr="00472FFC" w:rsidRDefault="00A675D6" w:rsidP="00150C2E">
            <w:pPr>
              <w:jc w:val="center"/>
            </w:pPr>
            <w:r w:rsidRPr="00472FFC">
              <w:t>5</w:t>
            </w:r>
          </w:p>
        </w:tc>
        <w:tc>
          <w:tcPr>
            <w:tcW w:w="800" w:type="dxa"/>
            <w:noWrap/>
            <w:hideMark/>
          </w:tcPr>
          <w:p w:rsidR="00A675D6" w:rsidRPr="00472FFC" w:rsidRDefault="00A675D6" w:rsidP="00150C2E">
            <w:pPr>
              <w:jc w:val="center"/>
            </w:pPr>
            <w:r w:rsidRPr="00472FFC">
              <w:t>50</w:t>
            </w:r>
          </w:p>
        </w:tc>
        <w:tc>
          <w:tcPr>
            <w:tcW w:w="800" w:type="dxa"/>
            <w:noWrap/>
            <w:hideMark/>
          </w:tcPr>
          <w:p w:rsidR="00A675D6" w:rsidRPr="00472FFC" w:rsidRDefault="00A675D6" w:rsidP="00150C2E">
            <w:pPr>
              <w:jc w:val="center"/>
            </w:pPr>
            <w:r w:rsidRPr="00472FFC">
              <w:t>3</w:t>
            </w:r>
          </w:p>
        </w:tc>
      </w:tr>
      <w:tr w:rsidR="00A675D6" w:rsidRPr="00472FFC" w:rsidTr="00150C2E">
        <w:trPr>
          <w:trHeight w:val="315"/>
        </w:trPr>
        <w:tc>
          <w:tcPr>
            <w:tcW w:w="1071" w:type="dxa"/>
            <w:noWrap/>
            <w:hideMark/>
          </w:tcPr>
          <w:p w:rsidR="00A675D6" w:rsidRPr="00472FFC" w:rsidRDefault="00A675D6" w:rsidP="00150C2E">
            <w:pPr>
              <w:jc w:val="center"/>
            </w:pPr>
            <w:r w:rsidRPr="00472FFC">
              <w:t>Thailand</w:t>
            </w:r>
          </w:p>
        </w:tc>
        <w:tc>
          <w:tcPr>
            <w:tcW w:w="800" w:type="dxa"/>
            <w:noWrap/>
            <w:hideMark/>
          </w:tcPr>
          <w:p w:rsidR="00A675D6" w:rsidRPr="00472FFC" w:rsidRDefault="00A675D6" w:rsidP="00150C2E">
            <w:pPr>
              <w:jc w:val="center"/>
            </w:pPr>
            <w:r w:rsidRPr="00472FFC">
              <w:t>5</w:t>
            </w:r>
          </w:p>
        </w:tc>
        <w:tc>
          <w:tcPr>
            <w:tcW w:w="800" w:type="dxa"/>
            <w:noWrap/>
            <w:hideMark/>
          </w:tcPr>
          <w:p w:rsidR="00A675D6" w:rsidRPr="00472FFC" w:rsidRDefault="00A675D6" w:rsidP="00150C2E">
            <w:pPr>
              <w:jc w:val="center"/>
            </w:pPr>
            <w:r w:rsidRPr="00472FFC">
              <w:t>5</w:t>
            </w:r>
          </w:p>
        </w:tc>
        <w:tc>
          <w:tcPr>
            <w:tcW w:w="736" w:type="dxa"/>
            <w:noWrap/>
            <w:hideMark/>
          </w:tcPr>
          <w:p w:rsidR="00A675D6" w:rsidRPr="00472FFC" w:rsidRDefault="00A675D6" w:rsidP="00150C2E">
            <w:pPr>
              <w:jc w:val="center"/>
            </w:pPr>
            <w:r w:rsidRPr="00472FFC">
              <w:t>5</w:t>
            </w:r>
          </w:p>
        </w:tc>
        <w:tc>
          <w:tcPr>
            <w:tcW w:w="891" w:type="dxa"/>
            <w:noWrap/>
            <w:hideMark/>
          </w:tcPr>
          <w:p w:rsidR="00A675D6" w:rsidRPr="00472FFC" w:rsidRDefault="00A675D6" w:rsidP="00150C2E">
            <w:pPr>
              <w:jc w:val="center"/>
            </w:pPr>
            <w:r w:rsidRPr="00472FFC">
              <w:t>5</w:t>
            </w:r>
          </w:p>
        </w:tc>
        <w:tc>
          <w:tcPr>
            <w:tcW w:w="989" w:type="dxa"/>
            <w:noWrap/>
            <w:hideMark/>
          </w:tcPr>
          <w:p w:rsidR="00A675D6" w:rsidRPr="00472FFC" w:rsidRDefault="00A675D6" w:rsidP="00150C2E">
            <w:pPr>
              <w:jc w:val="center"/>
            </w:pPr>
            <w:r w:rsidRPr="00472FFC">
              <w:t>5</w:t>
            </w:r>
          </w:p>
        </w:tc>
        <w:tc>
          <w:tcPr>
            <w:tcW w:w="800" w:type="dxa"/>
            <w:noWrap/>
            <w:hideMark/>
          </w:tcPr>
          <w:p w:rsidR="00A675D6" w:rsidRPr="00472FFC" w:rsidRDefault="00A675D6" w:rsidP="00150C2E">
            <w:pPr>
              <w:jc w:val="center"/>
            </w:pPr>
            <w:r w:rsidRPr="00472FFC">
              <w:t>5</w:t>
            </w:r>
          </w:p>
        </w:tc>
        <w:tc>
          <w:tcPr>
            <w:tcW w:w="800" w:type="dxa"/>
            <w:noWrap/>
            <w:hideMark/>
          </w:tcPr>
          <w:p w:rsidR="00A675D6" w:rsidRPr="00472FFC" w:rsidRDefault="00A675D6" w:rsidP="00150C2E">
            <w:pPr>
              <w:jc w:val="center"/>
            </w:pPr>
          </w:p>
        </w:tc>
        <w:tc>
          <w:tcPr>
            <w:tcW w:w="800" w:type="dxa"/>
            <w:noWrap/>
            <w:hideMark/>
          </w:tcPr>
          <w:p w:rsidR="00A675D6" w:rsidRPr="00472FFC" w:rsidRDefault="00A675D6" w:rsidP="00150C2E">
            <w:pPr>
              <w:jc w:val="center"/>
            </w:pPr>
          </w:p>
        </w:tc>
        <w:tc>
          <w:tcPr>
            <w:tcW w:w="800" w:type="dxa"/>
            <w:noWrap/>
            <w:hideMark/>
          </w:tcPr>
          <w:p w:rsidR="00A675D6" w:rsidRPr="00472FFC" w:rsidRDefault="00A675D6" w:rsidP="00150C2E">
            <w:pPr>
              <w:jc w:val="center"/>
            </w:pPr>
          </w:p>
        </w:tc>
        <w:tc>
          <w:tcPr>
            <w:tcW w:w="800" w:type="dxa"/>
            <w:noWrap/>
            <w:hideMark/>
          </w:tcPr>
          <w:p w:rsidR="00A675D6" w:rsidRPr="00472FFC" w:rsidRDefault="00A675D6" w:rsidP="00150C2E">
            <w:pPr>
              <w:jc w:val="center"/>
            </w:pPr>
            <w:r w:rsidRPr="00472FFC">
              <w:t>10</w:t>
            </w:r>
          </w:p>
        </w:tc>
      </w:tr>
      <w:tr w:rsidR="00A675D6" w:rsidRPr="00472FFC" w:rsidTr="00150C2E">
        <w:trPr>
          <w:trHeight w:val="315"/>
        </w:trPr>
        <w:tc>
          <w:tcPr>
            <w:tcW w:w="1071" w:type="dxa"/>
            <w:noWrap/>
            <w:hideMark/>
          </w:tcPr>
          <w:p w:rsidR="00A675D6" w:rsidRPr="00472FFC" w:rsidRDefault="00A675D6" w:rsidP="00150C2E">
            <w:pPr>
              <w:jc w:val="center"/>
            </w:pPr>
            <w:r w:rsidRPr="00472FFC">
              <w:t>Turkey</w:t>
            </w:r>
          </w:p>
        </w:tc>
        <w:tc>
          <w:tcPr>
            <w:tcW w:w="800" w:type="dxa"/>
            <w:noWrap/>
            <w:hideMark/>
          </w:tcPr>
          <w:p w:rsidR="00A675D6" w:rsidRPr="00472FFC" w:rsidRDefault="00A675D6" w:rsidP="00150C2E">
            <w:pPr>
              <w:jc w:val="center"/>
            </w:pPr>
            <w:r w:rsidRPr="00472FFC">
              <w:t>0</w:t>
            </w:r>
          </w:p>
        </w:tc>
        <w:tc>
          <w:tcPr>
            <w:tcW w:w="800" w:type="dxa"/>
            <w:noWrap/>
            <w:hideMark/>
          </w:tcPr>
          <w:p w:rsidR="00A675D6" w:rsidRPr="00472FFC" w:rsidRDefault="00A675D6" w:rsidP="00150C2E">
            <w:pPr>
              <w:jc w:val="center"/>
            </w:pPr>
            <w:r w:rsidRPr="00472FFC">
              <w:t>0</w:t>
            </w:r>
          </w:p>
        </w:tc>
        <w:tc>
          <w:tcPr>
            <w:tcW w:w="736" w:type="dxa"/>
            <w:noWrap/>
            <w:hideMark/>
          </w:tcPr>
          <w:p w:rsidR="00A675D6" w:rsidRPr="00472FFC" w:rsidRDefault="00A675D6" w:rsidP="00150C2E">
            <w:pPr>
              <w:jc w:val="center"/>
            </w:pPr>
            <w:r w:rsidRPr="00472FFC">
              <w:t>0</w:t>
            </w:r>
          </w:p>
        </w:tc>
        <w:tc>
          <w:tcPr>
            <w:tcW w:w="891" w:type="dxa"/>
            <w:noWrap/>
            <w:hideMark/>
          </w:tcPr>
          <w:p w:rsidR="00A675D6" w:rsidRPr="00472FFC" w:rsidRDefault="00A675D6" w:rsidP="00150C2E">
            <w:pPr>
              <w:jc w:val="center"/>
            </w:pPr>
            <w:r w:rsidRPr="00472FFC">
              <w:t>0</w:t>
            </w:r>
          </w:p>
        </w:tc>
        <w:tc>
          <w:tcPr>
            <w:tcW w:w="989" w:type="dxa"/>
            <w:noWrap/>
            <w:hideMark/>
          </w:tcPr>
          <w:p w:rsidR="00A675D6" w:rsidRPr="00472FFC" w:rsidRDefault="00A675D6" w:rsidP="00150C2E">
            <w:pPr>
              <w:jc w:val="center"/>
            </w:pPr>
            <w:r w:rsidRPr="00472FFC">
              <w:t>4</w:t>
            </w:r>
          </w:p>
        </w:tc>
        <w:tc>
          <w:tcPr>
            <w:tcW w:w="800" w:type="dxa"/>
            <w:noWrap/>
            <w:hideMark/>
          </w:tcPr>
          <w:p w:rsidR="00A675D6" w:rsidRPr="00472FFC" w:rsidRDefault="00A675D6" w:rsidP="00150C2E">
            <w:pPr>
              <w:jc w:val="center"/>
            </w:pPr>
            <w:r w:rsidRPr="00472FFC">
              <w:t>4</w:t>
            </w:r>
          </w:p>
        </w:tc>
        <w:tc>
          <w:tcPr>
            <w:tcW w:w="800" w:type="dxa"/>
            <w:noWrap/>
            <w:hideMark/>
          </w:tcPr>
          <w:p w:rsidR="00A675D6" w:rsidRPr="00472FFC" w:rsidRDefault="00A675D6" w:rsidP="00150C2E">
            <w:pPr>
              <w:jc w:val="center"/>
            </w:pPr>
            <w:r w:rsidRPr="00472FFC">
              <w:t>6.7</w:t>
            </w:r>
          </w:p>
        </w:tc>
        <w:tc>
          <w:tcPr>
            <w:tcW w:w="800" w:type="dxa"/>
            <w:noWrap/>
            <w:hideMark/>
          </w:tcPr>
          <w:p w:rsidR="00A675D6" w:rsidRPr="00472FFC" w:rsidRDefault="00A675D6" w:rsidP="00150C2E">
            <w:pPr>
              <w:jc w:val="center"/>
            </w:pPr>
            <w:r w:rsidRPr="00472FFC">
              <w:t>6.7</w:t>
            </w:r>
          </w:p>
        </w:tc>
        <w:tc>
          <w:tcPr>
            <w:tcW w:w="800" w:type="dxa"/>
            <w:noWrap/>
            <w:hideMark/>
          </w:tcPr>
          <w:p w:rsidR="00A675D6" w:rsidRPr="00472FFC" w:rsidRDefault="00A675D6" w:rsidP="00150C2E">
            <w:pPr>
              <w:jc w:val="center"/>
            </w:pPr>
            <w:r w:rsidRPr="00472FFC">
              <w:t>8</w:t>
            </w:r>
          </w:p>
        </w:tc>
        <w:tc>
          <w:tcPr>
            <w:tcW w:w="800" w:type="dxa"/>
            <w:noWrap/>
            <w:hideMark/>
          </w:tcPr>
          <w:p w:rsidR="00A675D6" w:rsidRPr="00472FFC" w:rsidRDefault="00A675D6" w:rsidP="00150C2E">
            <w:pPr>
              <w:jc w:val="center"/>
            </w:pPr>
            <w:r w:rsidRPr="00472FFC">
              <w:t>3</w:t>
            </w:r>
          </w:p>
        </w:tc>
      </w:tr>
      <w:tr w:rsidR="00A675D6" w:rsidRPr="00472FFC" w:rsidTr="00150C2E">
        <w:trPr>
          <w:trHeight w:val="315"/>
        </w:trPr>
        <w:tc>
          <w:tcPr>
            <w:tcW w:w="1071" w:type="dxa"/>
            <w:noWrap/>
            <w:hideMark/>
          </w:tcPr>
          <w:p w:rsidR="00A675D6" w:rsidRPr="00472FFC" w:rsidRDefault="00A675D6" w:rsidP="00150C2E">
            <w:pPr>
              <w:jc w:val="center"/>
            </w:pPr>
            <w:r w:rsidRPr="00472FFC">
              <w:t>USA</w:t>
            </w:r>
          </w:p>
        </w:tc>
        <w:tc>
          <w:tcPr>
            <w:tcW w:w="800" w:type="dxa"/>
            <w:noWrap/>
            <w:hideMark/>
          </w:tcPr>
          <w:p w:rsidR="00A675D6" w:rsidRPr="00472FFC" w:rsidRDefault="00A675D6" w:rsidP="00150C2E">
            <w:pPr>
              <w:jc w:val="center"/>
            </w:pPr>
            <w:r w:rsidRPr="00472FFC">
              <w:t>0</w:t>
            </w:r>
          </w:p>
        </w:tc>
        <w:tc>
          <w:tcPr>
            <w:tcW w:w="800" w:type="dxa"/>
            <w:noWrap/>
            <w:hideMark/>
          </w:tcPr>
          <w:p w:rsidR="00A675D6" w:rsidRPr="00472FFC" w:rsidRDefault="00A675D6" w:rsidP="00150C2E">
            <w:pPr>
              <w:jc w:val="center"/>
            </w:pPr>
            <w:r w:rsidRPr="00472FFC">
              <w:t>0</w:t>
            </w:r>
          </w:p>
        </w:tc>
        <w:tc>
          <w:tcPr>
            <w:tcW w:w="736" w:type="dxa"/>
            <w:noWrap/>
            <w:hideMark/>
          </w:tcPr>
          <w:p w:rsidR="00A675D6" w:rsidRPr="00472FFC" w:rsidRDefault="00A675D6" w:rsidP="00150C2E">
            <w:pPr>
              <w:jc w:val="center"/>
            </w:pPr>
            <w:r w:rsidRPr="00472FFC">
              <w:t>0</w:t>
            </w:r>
          </w:p>
        </w:tc>
        <w:tc>
          <w:tcPr>
            <w:tcW w:w="891" w:type="dxa"/>
            <w:noWrap/>
            <w:hideMark/>
          </w:tcPr>
          <w:p w:rsidR="00A675D6" w:rsidRPr="00472FFC" w:rsidRDefault="00A675D6" w:rsidP="00150C2E">
            <w:pPr>
              <w:jc w:val="center"/>
            </w:pPr>
            <w:r w:rsidRPr="00472FFC">
              <w:t>0</w:t>
            </w:r>
          </w:p>
        </w:tc>
        <w:tc>
          <w:tcPr>
            <w:tcW w:w="989" w:type="dxa"/>
            <w:noWrap/>
            <w:hideMark/>
          </w:tcPr>
          <w:p w:rsidR="00A675D6" w:rsidRPr="00472FFC" w:rsidRDefault="00A675D6" w:rsidP="00150C2E">
            <w:pPr>
              <w:jc w:val="center"/>
            </w:pPr>
            <w:r w:rsidRPr="00472FFC">
              <w:t>0</w:t>
            </w:r>
          </w:p>
        </w:tc>
        <w:tc>
          <w:tcPr>
            <w:tcW w:w="800" w:type="dxa"/>
            <w:noWrap/>
            <w:hideMark/>
          </w:tcPr>
          <w:p w:rsidR="00A675D6" w:rsidRPr="00472FFC" w:rsidRDefault="00A675D6" w:rsidP="00150C2E">
            <w:pPr>
              <w:jc w:val="center"/>
            </w:pPr>
            <w:r w:rsidRPr="00472FFC">
              <w:t>0</w:t>
            </w:r>
          </w:p>
        </w:tc>
        <w:tc>
          <w:tcPr>
            <w:tcW w:w="800" w:type="dxa"/>
            <w:noWrap/>
            <w:hideMark/>
          </w:tcPr>
          <w:p w:rsidR="00A675D6" w:rsidRPr="00472FFC" w:rsidRDefault="00A675D6" w:rsidP="00150C2E">
            <w:pPr>
              <w:jc w:val="center"/>
            </w:pPr>
            <w:r w:rsidRPr="00472FFC">
              <w:t>11.3</w:t>
            </w:r>
          </w:p>
        </w:tc>
        <w:tc>
          <w:tcPr>
            <w:tcW w:w="800" w:type="dxa"/>
            <w:noWrap/>
            <w:hideMark/>
          </w:tcPr>
          <w:p w:rsidR="00A675D6" w:rsidRPr="00472FFC" w:rsidRDefault="00A675D6" w:rsidP="00150C2E">
            <w:pPr>
              <w:jc w:val="center"/>
            </w:pPr>
            <w:r w:rsidRPr="00472FFC">
              <w:t>6.3</w:t>
            </w:r>
          </w:p>
        </w:tc>
        <w:tc>
          <w:tcPr>
            <w:tcW w:w="800" w:type="dxa"/>
            <w:noWrap/>
            <w:hideMark/>
          </w:tcPr>
          <w:p w:rsidR="00A675D6" w:rsidRPr="00472FFC" w:rsidRDefault="00A675D6" w:rsidP="00150C2E">
            <w:pPr>
              <w:jc w:val="center"/>
            </w:pPr>
            <w:r w:rsidRPr="00472FFC">
              <w:t>1.8</w:t>
            </w:r>
          </w:p>
        </w:tc>
        <w:tc>
          <w:tcPr>
            <w:tcW w:w="800" w:type="dxa"/>
            <w:noWrap/>
            <w:hideMark/>
          </w:tcPr>
          <w:p w:rsidR="00A675D6" w:rsidRPr="00472FFC" w:rsidRDefault="00A675D6" w:rsidP="00150C2E">
            <w:pPr>
              <w:jc w:val="center"/>
            </w:pPr>
            <w:r w:rsidRPr="00472FFC">
              <w:t>0</w:t>
            </w:r>
          </w:p>
        </w:tc>
      </w:tr>
      <w:tr w:rsidR="00A675D6" w:rsidRPr="00472FFC" w:rsidTr="00150C2E">
        <w:trPr>
          <w:trHeight w:val="315"/>
        </w:trPr>
        <w:tc>
          <w:tcPr>
            <w:tcW w:w="1071" w:type="dxa"/>
            <w:noWrap/>
            <w:hideMark/>
          </w:tcPr>
          <w:p w:rsidR="00A675D6" w:rsidRPr="00472FFC" w:rsidRDefault="00A675D6" w:rsidP="00150C2E">
            <w:pPr>
              <w:jc w:val="center"/>
            </w:pPr>
          </w:p>
        </w:tc>
        <w:tc>
          <w:tcPr>
            <w:tcW w:w="800" w:type="dxa"/>
            <w:noWrap/>
            <w:hideMark/>
          </w:tcPr>
          <w:p w:rsidR="00A675D6" w:rsidRPr="00472FFC" w:rsidRDefault="00A675D6" w:rsidP="00150C2E">
            <w:pPr>
              <w:jc w:val="center"/>
            </w:pPr>
          </w:p>
        </w:tc>
        <w:tc>
          <w:tcPr>
            <w:tcW w:w="800" w:type="dxa"/>
            <w:noWrap/>
            <w:hideMark/>
          </w:tcPr>
          <w:p w:rsidR="00A675D6" w:rsidRPr="00472FFC" w:rsidRDefault="00A675D6" w:rsidP="00150C2E">
            <w:pPr>
              <w:jc w:val="center"/>
            </w:pPr>
          </w:p>
        </w:tc>
        <w:tc>
          <w:tcPr>
            <w:tcW w:w="736" w:type="dxa"/>
            <w:noWrap/>
            <w:hideMark/>
          </w:tcPr>
          <w:p w:rsidR="00A675D6" w:rsidRPr="00472FFC" w:rsidRDefault="00A675D6" w:rsidP="00150C2E">
            <w:pPr>
              <w:jc w:val="center"/>
            </w:pPr>
          </w:p>
        </w:tc>
        <w:tc>
          <w:tcPr>
            <w:tcW w:w="891" w:type="dxa"/>
            <w:noWrap/>
            <w:hideMark/>
          </w:tcPr>
          <w:p w:rsidR="00A675D6" w:rsidRPr="00472FFC" w:rsidRDefault="00A675D6" w:rsidP="00150C2E">
            <w:pPr>
              <w:jc w:val="center"/>
            </w:pPr>
          </w:p>
        </w:tc>
        <w:tc>
          <w:tcPr>
            <w:tcW w:w="989" w:type="dxa"/>
            <w:noWrap/>
            <w:hideMark/>
          </w:tcPr>
          <w:p w:rsidR="00A675D6" w:rsidRPr="00472FFC" w:rsidRDefault="00A675D6" w:rsidP="00150C2E">
            <w:pPr>
              <w:jc w:val="center"/>
            </w:pPr>
          </w:p>
        </w:tc>
        <w:tc>
          <w:tcPr>
            <w:tcW w:w="800" w:type="dxa"/>
            <w:noWrap/>
            <w:hideMark/>
          </w:tcPr>
          <w:p w:rsidR="00A675D6" w:rsidRPr="00472FFC" w:rsidRDefault="00A675D6" w:rsidP="00150C2E">
            <w:pPr>
              <w:jc w:val="center"/>
            </w:pPr>
          </w:p>
        </w:tc>
        <w:tc>
          <w:tcPr>
            <w:tcW w:w="800" w:type="dxa"/>
            <w:noWrap/>
            <w:hideMark/>
          </w:tcPr>
          <w:p w:rsidR="00A675D6" w:rsidRPr="00472FFC" w:rsidRDefault="00A675D6" w:rsidP="00150C2E">
            <w:pPr>
              <w:jc w:val="center"/>
            </w:pPr>
          </w:p>
        </w:tc>
        <w:tc>
          <w:tcPr>
            <w:tcW w:w="800" w:type="dxa"/>
            <w:noWrap/>
            <w:hideMark/>
          </w:tcPr>
          <w:p w:rsidR="00A675D6" w:rsidRPr="00472FFC" w:rsidRDefault="00A675D6" w:rsidP="00150C2E">
            <w:pPr>
              <w:jc w:val="center"/>
            </w:pPr>
          </w:p>
        </w:tc>
        <w:tc>
          <w:tcPr>
            <w:tcW w:w="800" w:type="dxa"/>
            <w:noWrap/>
            <w:hideMark/>
          </w:tcPr>
          <w:p w:rsidR="00A675D6" w:rsidRPr="00472FFC" w:rsidRDefault="00A675D6" w:rsidP="00150C2E">
            <w:pPr>
              <w:jc w:val="center"/>
            </w:pPr>
          </w:p>
        </w:tc>
        <w:tc>
          <w:tcPr>
            <w:tcW w:w="800" w:type="dxa"/>
            <w:noWrap/>
            <w:hideMark/>
          </w:tcPr>
          <w:p w:rsidR="00A675D6" w:rsidRPr="00472FFC" w:rsidRDefault="00A675D6" w:rsidP="00150C2E">
            <w:pPr>
              <w:jc w:val="center"/>
            </w:pPr>
          </w:p>
        </w:tc>
      </w:tr>
    </w:tbl>
    <w:p w:rsidR="00A675D6" w:rsidRPr="00A5130B" w:rsidRDefault="00A675D6" w:rsidP="00A5130B">
      <w:pPr>
        <w:rPr>
          <w:sz w:val="18"/>
        </w:rPr>
      </w:pPr>
      <w:r w:rsidRPr="00A5130B">
        <w:rPr>
          <w:sz w:val="18"/>
        </w:rPr>
        <w:t>Source: WTO.</w:t>
      </w:r>
    </w:p>
    <w:p w:rsidR="00F33B57" w:rsidRDefault="00F33B57" w:rsidP="00A675D6">
      <w:pPr>
        <w:pStyle w:val="NewPara"/>
      </w:pPr>
      <w:r w:rsidRPr="00F33B57">
        <w:t>Some major jute fibre producing countries are also key importers of jute fibre (India and China). However, Pakistan, a minor producer is the main jute fibre importer globally and, together with China and India, accounted for almost 75 percent of world imports of jute fibre in 2009.</w:t>
      </w:r>
    </w:p>
    <w:p w:rsidR="008349D5" w:rsidRDefault="008349D5" w:rsidP="00A675D6">
      <w:pPr>
        <w:pStyle w:val="NewPara"/>
      </w:pPr>
      <w:r>
        <w:rPr>
          <w:sz w:val="24"/>
          <w:szCs w:val="24"/>
        </w:rPr>
        <w:t>T</w:t>
      </w:r>
      <w:r w:rsidRPr="006E1322">
        <w:rPr>
          <w:sz w:val="24"/>
          <w:szCs w:val="24"/>
        </w:rPr>
        <w:t xml:space="preserve">he effectively applied tariffs in trade amongst developing countries are mostly governed under either some form of preferential, bilateral or regional trade agreements which are </w:t>
      </w:r>
      <w:r>
        <w:rPr>
          <w:sz w:val="24"/>
          <w:szCs w:val="24"/>
        </w:rPr>
        <w:t>at or near zero, except in the fibre producing countries where tariff escalation is common. For example, jute products attract a 25 percent tariff in Bangladesh, whereas jute twines enter duty free. Similarly, in Tanzania</w:t>
      </w:r>
      <w:r w:rsidRPr="006E1322">
        <w:rPr>
          <w:sz w:val="24"/>
          <w:szCs w:val="24"/>
        </w:rPr>
        <w:t>, a major sisal producer</w:t>
      </w:r>
      <w:r>
        <w:rPr>
          <w:sz w:val="24"/>
          <w:szCs w:val="24"/>
        </w:rPr>
        <w:t>,</w:t>
      </w:r>
      <w:r w:rsidRPr="006E1322">
        <w:rPr>
          <w:sz w:val="24"/>
          <w:szCs w:val="24"/>
        </w:rPr>
        <w:t xml:space="preserve"> imposes zero MFN duty for the raw fibre and 25 percent for processed sisal products.</w:t>
      </w:r>
      <w:r>
        <w:rPr>
          <w:sz w:val="24"/>
          <w:szCs w:val="24"/>
        </w:rPr>
        <w:t xml:space="preserve"> F</w:t>
      </w:r>
      <w:r w:rsidRPr="00485D6E">
        <w:rPr>
          <w:sz w:val="24"/>
          <w:szCs w:val="24"/>
        </w:rPr>
        <w:t>urthermore, a number of developed countries have granted duty and quota free access to some LDCs</w:t>
      </w:r>
      <w:r>
        <w:rPr>
          <w:sz w:val="24"/>
          <w:szCs w:val="24"/>
        </w:rPr>
        <w:t xml:space="preserve"> and/or duty free access under the GSP.</w:t>
      </w:r>
    </w:p>
    <w:p w:rsidR="00D83ED3" w:rsidRPr="00D83ED3" w:rsidRDefault="008349D5" w:rsidP="00F33B57">
      <w:pPr>
        <w:pStyle w:val="NewPara"/>
        <w:rPr>
          <w:sz w:val="24"/>
          <w:szCs w:val="24"/>
        </w:rPr>
      </w:pPr>
      <w:r w:rsidRPr="00D83ED3">
        <w:rPr>
          <w:sz w:val="24"/>
          <w:szCs w:val="24"/>
        </w:rPr>
        <w:t xml:space="preserve">Developing country exports to major importing developed countries, namely the EU, Japan and the United States, are mostly under GSP which renders tariffs at or near zero.  However, a number of countries have not been able to effectively utilize these preferences due to stringent product specific rules of origin provisions in the case of the EU-GSP (the EBA) and competitive need limits, in the case of the United States – which requires that GSP </w:t>
      </w:r>
      <w:r w:rsidRPr="00D83ED3">
        <w:rPr>
          <w:sz w:val="24"/>
          <w:szCs w:val="24"/>
        </w:rPr>
        <w:lastRenderedPageBreak/>
        <w:t>treatment be suspended if imports of an eligible product from a single country exceeds a specified threshold limit.</w:t>
      </w:r>
    </w:p>
    <w:p w:rsidR="00F33B57" w:rsidRPr="003A7F82" w:rsidRDefault="008349D5" w:rsidP="00D83ED3">
      <w:pPr>
        <w:pStyle w:val="NewPara"/>
        <w:rPr>
          <w:b/>
        </w:rPr>
      </w:pPr>
      <w:r w:rsidRPr="002166A7">
        <w:t>GSP tariff rates are zero for slightly woven jute products while MFN tariff is 4 percent in the EU and 10 percent in Japan. As for hard fibres, the United States, which accounts for 61 percent of the world imports of sisal and sisal products, and Japan impose zero import tariff (GSP and MFN), while the EU, which accounts for 19 percent of world imports of sisal products, imposes a 12 percent MFN tariff (Table 2). Australia imposes a 5 percent duty on twines/cordage of sisal; China has a duty of 5 percent, and India charges 10 percent on ropes and twines of sisal.</w:t>
      </w:r>
      <w:r w:rsidR="00F33B57">
        <w:br/>
      </w:r>
      <w:r w:rsidR="00F33B57">
        <w:br/>
      </w:r>
      <w:r w:rsidR="00F33B57" w:rsidRPr="00F33B57">
        <w:rPr>
          <w:b/>
        </w:rPr>
        <w:t xml:space="preserve"> </w:t>
      </w:r>
      <w:r w:rsidR="00F33B57" w:rsidRPr="003A7F82">
        <w:rPr>
          <w:b/>
        </w:rPr>
        <w:t>MFN Applied Tariffs</w:t>
      </w:r>
      <w:r w:rsidR="00F33B57" w:rsidRPr="003A7F82">
        <w:rPr>
          <w:b/>
        </w:rPr>
        <w:tab/>
      </w:r>
      <w:r w:rsidR="00F33B57" w:rsidRPr="003A7F82">
        <w:rPr>
          <w:b/>
        </w:rPr>
        <w:tab/>
      </w:r>
    </w:p>
    <w:p w:rsidR="00F33B57" w:rsidRDefault="00F33B57" w:rsidP="00F33B57">
      <w:r w:rsidRPr="003A7F82">
        <w:rPr>
          <w:b/>
        </w:rPr>
        <w:t>Table 2 - Tariffs on Sisal and Sisal Products for selected major importers</w:t>
      </w:r>
      <w:r>
        <w:tab/>
      </w:r>
      <w:r>
        <w:tab/>
        <w:t xml:space="preserve"> </w:t>
      </w:r>
    </w:p>
    <w:tbl>
      <w:tblPr>
        <w:tblW w:w="12143" w:type="dxa"/>
        <w:tblCellMar>
          <w:left w:w="0" w:type="dxa"/>
          <w:right w:w="0" w:type="dxa"/>
        </w:tblCellMar>
        <w:tblLook w:val="04A0"/>
      </w:tblPr>
      <w:tblGrid>
        <w:gridCol w:w="2567"/>
        <w:gridCol w:w="2551"/>
        <w:gridCol w:w="2694"/>
        <w:gridCol w:w="2257"/>
        <w:gridCol w:w="901"/>
        <w:gridCol w:w="1173"/>
      </w:tblGrid>
      <w:tr w:rsidR="00F33B57" w:rsidRPr="00472FFC" w:rsidTr="00150C2E">
        <w:trPr>
          <w:trHeight w:val="733"/>
        </w:trPr>
        <w:tc>
          <w:tcPr>
            <w:tcW w:w="2567"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F33B57" w:rsidRPr="00472FFC" w:rsidRDefault="00F33B57" w:rsidP="00150C2E">
            <w:pPr>
              <w:jc w:val="center"/>
            </w:pPr>
            <w:r w:rsidRPr="00472FFC">
              <w:t>Product Name</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33B57" w:rsidRPr="00472FFC" w:rsidRDefault="00F33B57" w:rsidP="00150C2E">
            <w:pPr>
              <w:jc w:val="center"/>
            </w:pPr>
            <w:r w:rsidRPr="00472FFC">
              <w:t>Raw Sisal fibre</w:t>
            </w:r>
          </w:p>
        </w:tc>
        <w:tc>
          <w:tcPr>
            <w:tcW w:w="269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F33B57" w:rsidRPr="00472FFC" w:rsidRDefault="00F33B57" w:rsidP="00150C2E">
            <w:pPr>
              <w:jc w:val="center"/>
            </w:pPr>
            <w:r w:rsidRPr="00472FFC">
              <w:t xml:space="preserve">Twine, cordage, </w:t>
            </w:r>
            <w:r w:rsidRPr="00472FFC">
              <w:br/>
              <w:t>ropes  of Sisal</w:t>
            </w:r>
            <w:r w:rsidRPr="00472FFC">
              <w:br/>
              <w:t>( Binder or baler twine)</w:t>
            </w:r>
          </w:p>
        </w:tc>
        <w:tc>
          <w:tcPr>
            <w:tcW w:w="225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F33B57" w:rsidRPr="00472FFC" w:rsidRDefault="00F33B57" w:rsidP="00150C2E">
            <w:pPr>
              <w:jc w:val="center"/>
            </w:pPr>
            <w:r w:rsidRPr="00472FFC">
              <w:t>Other twine, cordage,</w:t>
            </w:r>
            <w:r w:rsidRPr="00472FFC">
              <w:br/>
              <w:t>ropes of Sisal</w:t>
            </w:r>
          </w:p>
        </w:tc>
        <w:tc>
          <w:tcPr>
            <w:tcW w:w="901" w:type="dxa"/>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472FFC" w:rsidRDefault="00F33B57" w:rsidP="00150C2E">
            <w:r w:rsidRPr="00472FFC">
              <w:t> </w:t>
            </w:r>
          </w:p>
        </w:tc>
        <w:tc>
          <w:tcPr>
            <w:tcW w:w="1173" w:type="dxa"/>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472FFC" w:rsidRDefault="00F33B57" w:rsidP="00150C2E">
            <w:r w:rsidRPr="00472FFC">
              <w:t> </w:t>
            </w:r>
          </w:p>
        </w:tc>
      </w:tr>
      <w:tr w:rsidR="00F33B57" w:rsidRPr="00472FFC" w:rsidTr="00150C2E">
        <w:trPr>
          <w:trHeight w:val="415"/>
        </w:trPr>
        <w:tc>
          <w:tcPr>
            <w:tcW w:w="2567" w:type="dxa"/>
            <w:tcBorders>
              <w:top w:val="nil"/>
              <w:left w:val="single" w:sz="4" w:space="0" w:color="auto"/>
              <w:bottom w:val="nil"/>
              <w:right w:val="nil"/>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rPr>
                <w:b/>
                <w:bCs/>
              </w:rPr>
            </w:pPr>
            <w:r w:rsidRPr="00472FFC">
              <w:rPr>
                <w:b/>
                <w:bCs/>
              </w:rPr>
              <w:t>HS Code</w:t>
            </w:r>
          </w:p>
        </w:tc>
        <w:tc>
          <w:tcPr>
            <w:tcW w:w="2551"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rPr>
                <w:b/>
                <w:bCs/>
              </w:rPr>
            </w:pPr>
            <w:r w:rsidRPr="00472FFC">
              <w:rPr>
                <w:b/>
                <w:bCs/>
              </w:rPr>
              <w:t>5305.00  1/</w:t>
            </w:r>
          </w:p>
        </w:tc>
        <w:tc>
          <w:tcPr>
            <w:tcW w:w="2694"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rPr>
                <w:b/>
                <w:bCs/>
              </w:rPr>
            </w:pPr>
            <w:r w:rsidRPr="00472FFC">
              <w:rPr>
                <w:b/>
                <w:bCs/>
              </w:rPr>
              <w:t>5607.21</w:t>
            </w:r>
          </w:p>
        </w:tc>
        <w:tc>
          <w:tcPr>
            <w:tcW w:w="2257"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rPr>
                <w:b/>
                <w:bCs/>
              </w:rPr>
            </w:pPr>
            <w:r w:rsidRPr="00472FFC">
              <w:rPr>
                <w:b/>
                <w:bCs/>
              </w:rPr>
              <w:t>5607.29</w:t>
            </w:r>
          </w:p>
        </w:tc>
        <w:tc>
          <w:tcPr>
            <w:tcW w:w="901" w:type="dxa"/>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472FFC" w:rsidRDefault="00F33B57" w:rsidP="00150C2E">
            <w:pPr>
              <w:rPr>
                <w:b/>
                <w:bCs/>
              </w:rPr>
            </w:pPr>
            <w:r w:rsidRPr="00472FFC">
              <w:rPr>
                <w:b/>
                <w:bCs/>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472FFC" w:rsidRDefault="00F33B57" w:rsidP="00150C2E">
            <w:pPr>
              <w:rPr>
                <w:b/>
                <w:bCs/>
              </w:rPr>
            </w:pPr>
            <w:r w:rsidRPr="00472FFC">
              <w:rPr>
                <w:b/>
                <w:bCs/>
              </w:rPr>
              <w:t> </w:t>
            </w:r>
          </w:p>
        </w:tc>
      </w:tr>
      <w:tr w:rsidR="00F33B57" w:rsidRPr="00472FFC" w:rsidTr="00150C2E">
        <w:trPr>
          <w:trHeight w:val="122"/>
        </w:trPr>
        <w:tc>
          <w:tcPr>
            <w:tcW w:w="2567" w:type="dxa"/>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rPr>
                <w:b/>
                <w:bCs/>
              </w:rPr>
            </w:pPr>
          </w:p>
        </w:tc>
        <w:tc>
          <w:tcPr>
            <w:tcW w:w="2551"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p>
        </w:tc>
        <w:tc>
          <w:tcPr>
            <w:tcW w:w="269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p>
        </w:tc>
        <w:tc>
          <w:tcPr>
            <w:tcW w:w="225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p>
        </w:tc>
        <w:tc>
          <w:tcPr>
            <w:tcW w:w="901" w:type="dxa"/>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472FFC" w:rsidRDefault="00F33B57" w:rsidP="00150C2E">
            <w:r w:rsidRPr="00472FFC">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472FFC" w:rsidRDefault="00F33B57" w:rsidP="00150C2E">
            <w:r w:rsidRPr="00472FFC">
              <w:t> </w:t>
            </w:r>
          </w:p>
        </w:tc>
      </w:tr>
      <w:tr w:rsidR="00F33B57" w:rsidRPr="00472FFC" w:rsidTr="00150C2E">
        <w:trPr>
          <w:trHeight w:val="354"/>
        </w:trPr>
        <w:tc>
          <w:tcPr>
            <w:tcW w:w="2567" w:type="dxa"/>
            <w:tcBorders>
              <w:top w:val="nil"/>
              <w:left w:val="single" w:sz="4" w:space="0" w:color="auto"/>
              <w:bottom w:val="nil"/>
              <w:right w:val="nil"/>
            </w:tcBorders>
            <w:shd w:val="clear" w:color="000000" w:fill="FFFFFF"/>
            <w:noWrap/>
            <w:tcMar>
              <w:top w:w="15" w:type="dxa"/>
              <w:left w:w="135" w:type="dxa"/>
              <w:bottom w:w="0" w:type="dxa"/>
              <w:right w:w="15" w:type="dxa"/>
            </w:tcMar>
            <w:vAlign w:val="bottom"/>
            <w:hideMark/>
          </w:tcPr>
          <w:p w:rsidR="00F33B57" w:rsidRPr="00472FFC" w:rsidRDefault="00F33B57" w:rsidP="00150C2E">
            <w:pPr>
              <w:jc w:val="center"/>
            </w:pPr>
            <w:r w:rsidRPr="00472FFC">
              <w:t>Australia</w:t>
            </w:r>
          </w:p>
        </w:tc>
        <w:tc>
          <w:tcPr>
            <w:tcW w:w="2551"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r w:rsidRPr="00472FFC">
              <w:t>0</w:t>
            </w:r>
          </w:p>
        </w:tc>
        <w:tc>
          <w:tcPr>
            <w:tcW w:w="2694"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r w:rsidRPr="00472FFC">
              <w:t>5</w:t>
            </w:r>
          </w:p>
        </w:tc>
        <w:tc>
          <w:tcPr>
            <w:tcW w:w="2257"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r w:rsidRPr="00472FFC">
              <w:t>5</w:t>
            </w:r>
          </w:p>
        </w:tc>
        <w:tc>
          <w:tcPr>
            <w:tcW w:w="901" w:type="dxa"/>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472FFC" w:rsidRDefault="00F33B57" w:rsidP="00150C2E">
            <w:r w:rsidRPr="00472FFC">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472FFC" w:rsidRDefault="00F33B57" w:rsidP="00150C2E">
            <w:r w:rsidRPr="00472FFC">
              <w:t> </w:t>
            </w:r>
          </w:p>
        </w:tc>
      </w:tr>
      <w:tr w:rsidR="00F33B57" w:rsidRPr="00472FFC" w:rsidTr="00150C2E">
        <w:trPr>
          <w:trHeight w:val="354"/>
        </w:trPr>
        <w:tc>
          <w:tcPr>
            <w:tcW w:w="2567" w:type="dxa"/>
            <w:tcBorders>
              <w:top w:val="nil"/>
              <w:left w:val="single" w:sz="4" w:space="0" w:color="auto"/>
              <w:bottom w:val="nil"/>
              <w:right w:val="nil"/>
            </w:tcBorders>
            <w:shd w:val="clear" w:color="000000" w:fill="FFFFFF"/>
            <w:noWrap/>
            <w:tcMar>
              <w:top w:w="15" w:type="dxa"/>
              <w:left w:w="135" w:type="dxa"/>
              <w:bottom w:w="0" w:type="dxa"/>
              <w:right w:w="15" w:type="dxa"/>
            </w:tcMar>
            <w:vAlign w:val="bottom"/>
            <w:hideMark/>
          </w:tcPr>
          <w:p w:rsidR="00F33B57" w:rsidRPr="00472FFC" w:rsidRDefault="00F33B57" w:rsidP="00150C2E">
            <w:pPr>
              <w:jc w:val="center"/>
            </w:pPr>
            <w:r w:rsidRPr="00472FFC">
              <w:t>Canada</w:t>
            </w:r>
          </w:p>
        </w:tc>
        <w:tc>
          <w:tcPr>
            <w:tcW w:w="2551"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r w:rsidRPr="00472FFC">
              <w:t>0</w:t>
            </w:r>
          </w:p>
        </w:tc>
        <w:tc>
          <w:tcPr>
            <w:tcW w:w="2694"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r w:rsidRPr="00472FFC">
              <w:t>0</w:t>
            </w:r>
          </w:p>
        </w:tc>
        <w:tc>
          <w:tcPr>
            <w:tcW w:w="2257"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r w:rsidRPr="00472FFC">
              <w:t>6.7</w:t>
            </w:r>
          </w:p>
        </w:tc>
        <w:tc>
          <w:tcPr>
            <w:tcW w:w="901" w:type="dxa"/>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472FFC" w:rsidRDefault="00F33B57" w:rsidP="00150C2E">
            <w:r w:rsidRPr="00472FFC">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472FFC" w:rsidRDefault="00F33B57" w:rsidP="00150C2E">
            <w:r w:rsidRPr="00472FFC">
              <w:t> </w:t>
            </w:r>
          </w:p>
        </w:tc>
      </w:tr>
      <w:tr w:rsidR="00F33B57" w:rsidRPr="00472FFC" w:rsidTr="00150C2E">
        <w:trPr>
          <w:trHeight w:val="354"/>
        </w:trPr>
        <w:tc>
          <w:tcPr>
            <w:tcW w:w="2567" w:type="dxa"/>
            <w:tcBorders>
              <w:top w:val="nil"/>
              <w:left w:val="single" w:sz="4" w:space="0" w:color="auto"/>
              <w:bottom w:val="nil"/>
              <w:right w:val="nil"/>
            </w:tcBorders>
            <w:shd w:val="clear" w:color="000000" w:fill="FFFFFF"/>
            <w:noWrap/>
            <w:tcMar>
              <w:top w:w="15" w:type="dxa"/>
              <w:left w:w="135" w:type="dxa"/>
              <w:bottom w:w="0" w:type="dxa"/>
              <w:right w:w="15" w:type="dxa"/>
            </w:tcMar>
            <w:vAlign w:val="bottom"/>
            <w:hideMark/>
          </w:tcPr>
          <w:p w:rsidR="00F33B57" w:rsidRPr="00472FFC" w:rsidRDefault="00F33B57" w:rsidP="00150C2E">
            <w:pPr>
              <w:jc w:val="center"/>
            </w:pPr>
            <w:r w:rsidRPr="00472FFC">
              <w:t>Chile</w:t>
            </w:r>
          </w:p>
        </w:tc>
        <w:tc>
          <w:tcPr>
            <w:tcW w:w="2551"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r w:rsidRPr="00472FFC">
              <w:t>6</w:t>
            </w:r>
          </w:p>
        </w:tc>
        <w:tc>
          <w:tcPr>
            <w:tcW w:w="2694"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r w:rsidRPr="00472FFC">
              <w:t>6</w:t>
            </w:r>
          </w:p>
        </w:tc>
        <w:tc>
          <w:tcPr>
            <w:tcW w:w="2257"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r w:rsidRPr="00472FFC">
              <w:t>6</w:t>
            </w:r>
          </w:p>
        </w:tc>
        <w:tc>
          <w:tcPr>
            <w:tcW w:w="901" w:type="dxa"/>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472FFC" w:rsidRDefault="00F33B57" w:rsidP="00150C2E">
            <w:r w:rsidRPr="00472FFC">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472FFC" w:rsidRDefault="00F33B57" w:rsidP="00150C2E">
            <w:r w:rsidRPr="00472FFC">
              <w:t> </w:t>
            </w:r>
          </w:p>
        </w:tc>
      </w:tr>
      <w:tr w:rsidR="00F33B57" w:rsidRPr="00472FFC" w:rsidTr="00150C2E">
        <w:trPr>
          <w:trHeight w:val="354"/>
        </w:trPr>
        <w:tc>
          <w:tcPr>
            <w:tcW w:w="2567" w:type="dxa"/>
            <w:tcBorders>
              <w:top w:val="nil"/>
              <w:left w:val="single" w:sz="4" w:space="0" w:color="auto"/>
              <w:bottom w:val="nil"/>
              <w:right w:val="nil"/>
            </w:tcBorders>
            <w:shd w:val="clear" w:color="000000" w:fill="FFFFFF"/>
            <w:noWrap/>
            <w:tcMar>
              <w:top w:w="15" w:type="dxa"/>
              <w:left w:w="135" w:type="dxa"/>
              <w:bottom w:w="0" w:type="dxa"/>
              <w:right w:w="15" w:type="dxa"/>
            </w:tcMar>
            <w:vAlign w:val="bottom"/>
            <w:hideMark/>
          </w:tcPr>
          <w:p w:rsidR="00F33B57" w:rsidRPr="00472FFC" w:rsidRDefault="00F33B57" w:rsidP="00150C2E">
            <w:pPr>
              <w:jc w:val="center"/>
            </w:pPr>
            <w:r w:rsidRPr="00472FFC">
              <w:t>China</w:t>
            </w:r>
          </w:p>
        </w:tc>
        <w:tc>
          <w:tcPr>
            <w:tcW w:w="2551"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r w:rsidRPr="00472FFC">
              <w:t>4.8</w:t>
            </w:r>
          </w:p>
        </w:tc>
        <w:tc>
          <w:tcPr>
            <w:tcW w:w="2694"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r w:rsidRPr="00472FFC">
              <w:t>5</w:t>
            </w:r>
          </w:p>
        </w:tc>
        <w:tc>
          <w:tcPr>
            <w:tcW w:w="2257"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r w:rsidRPr="00472FFC">
              <w:t>5</w:t>
            </w:r>
          </w:p>
        </w:tc>
        <w:tc>
          <w:tcPr>
            <w:tcW w:w="901" w:type="dxa"/>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472FFC" w:rsidRDefault="00F33B57" w:rsidP="00150C2E">
            <w:r w:rsidRPr="00472FFC">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472FFC" w:rsidRDefault="00F33B57" w:rsidP="00150C2E">
            <w:r w:rsidRPr="00472FFC">
              <w:t> </w:t>
            </w:r>
          </w:p>
        </w:tc>
      </w:tr>
      <w:tr w:rsidR="00F33B57" w:rsidRPr="00472FFC" w:rsidTr="00150C2E">
        <w:trPr>
          <w:trHeight w:val="354"/>
        </w:trPr>
        <w:tc>
          <w:tcPr>
            <w:tcW w:w="2567" w:type="dxa"/>
            <w:tcBorders>
              <w:top w:val="nil"/>
              <w:left w:val="single" w:sz="4" w:space="0" w:color="auto"/>
              <w:bottom w:val="nil"/>
              <w:right w:val="nil"/>
            </w:tcBorders>
            <w:shd w:val="clear" w:color="000000" w:fill="FFFFFF"/>
            <w:noWrap/>
            <w:tcMar>
              <w:top w:w="15" w:type="dxa"/>
              <w:left w:w="135" w:type="dxa"/>
              <w:bottom w:w="0" w:type="dxa"/>
              <w:right w:w="15" w:type="dxa"/>
            </w:tcMar>
            <w:vAlign w:val="bottom"/>
            <w:hideMark/>
          </w:tcPr>
          <w:p w:rsidR="00F33B57" w:rsidRPr="00472FFC" w:rsidRDefault="00F33B57" w:rsidP="00150C2E">
            <w:pPr>
              <w:jc w:val="center"/>
            </w:pPr>
            <w:r w:rsidRPr="00472FFC">
              <w:t>Egypt</w:t>
            </w:r>
          </w:p>
        </w:tc>
        <w:tc>
          <w:tcPr>
            <w:tcW w:w="2551"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r w:rsidRPr="00472FFC">
              <w:t>5</w:t>
            </w:r>
          </w:p>
        </w:tc>
        <w:tc>
          <w:tcPr>
            <w:tcW w:w="2694"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r w:rsidRPr="00472FFC">
              <w:t>5</w:t>
            </w:r>
          </w:p>
        </w:tc>
        <w:tc>
          <w:tcPr>
            <w:tcW w:w="2257"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r w:rsidRPr="00472FFC">
              <w:t>5</w:t>
            </w:r>
          </w:p>
        </w:tc>
        <w:tc>
          <w:tcPr>
            <w:tcW w:w="901" w:type="dxa"/>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472FFC" w:rsidRDefault="00F33B57" w:rsidP="00150C2E">
            <w:r w:rsidRPr="00472FFC">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472FFC" w:rsidRDefault="00F33B57" w:rsidP="00150C2E">
            <w:r w:rsidRPr="00472FFC">
              <w:t> </w:t>
            </w:r>
          </w:p>
        </w:tc>
      </w:tr>
      <w:tr w:rsidR="00F33B57" w:rsidRPr="00472FFC" w:rsidTr="00150C2E">
        <w:trPr>
          <w:trHeight w:val="354"/>
        </w:trPr>
        <w:tc>
          <w:tcPr>
            <w:tcW w:w="2567" w:type="dxa"/>
            <w:tcBorders>
              <w:top w:val="nil"/>
              <w:left w:val="single" w:sz="4" w:space="0" w:color="auto"/>
              <w:bottom w:val="nil"/>
              <w:right w:val="nil"/>
            </w:tcBorders>
            <w:shd w:val="clear" w:color="000000" w:fill="FFFFFF"/>
            <w:noWrap/>
            <w:tcMar>
              <w:top w:w="15" w:type="dxa"/>
              <w:left w:w="135" w:type="dxa"/>
              <w:bottom w:w="0" w:type="dxa"/>
              <w:right w:w="15" w:type="dxa"/>
            </w:tcMar>
            <w:vAlign w:val="bottom"/>
            <w:hideMark/>
          </w:tcPr>
          <w:p w:rsidR="00F33B57" w:rsidRPr="00472FFC" w:rsidRDefault="00F33B57" w:rsidP="00150C2E">
            <w:pPr>
              <w:jc w:val="center"/>
            </w:pPr>
            <w:r w:rsidRPr="00472FFC">
              <w:t>EU</w:t>
            </w:r>
          </w:p>
        </w:tc>
        <w:tc>
          <w:tcPr>
            <w:tcW w:w="2551"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r w:rsidRPr="00472FFC">
              <w:t>0</w:t>
            </w:r>
          </w:p>
        </w:tc>
        <w:tc>
          <w:tcPr>
            <w:tcW w:w="2694"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r w:rsidRPr="00472FFC">
              <w:t>12</w:t>
            </w:r>
          </w:p>
        </w:tc>
        <w:tc>
          <w:tcPr>
            <w:tcW w:w="2257"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r w:rsidRPr="00472FFC">
              <w:t>12</w:t>
            </w:r>
          </w:p>
        </w:tc>
        <w:tc>
          <w:tcPr>
            <w:tcW w:w="901" w:type="dxa"/>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472FFC" w:rsidRDefault="00F33B57" w:rsidP="00150C2E">
            <w:r w:rsidRPr="00472FFC">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472FFC" w:rsidRDefault="00F33B57" w:rsidP="00150C2E">
            <w:r w:rsidRPr="00472FFC">
              <w:t> </w:t>
            </w:r>
          </w:p>
        </w:tc>
      </w:tr>
      <w:tr w:rsidR="00F33B57" w:rsidRPr="00472FFC" w:rsidTr="00150C2E">
        <w:trPr>
          <w:trHeight w:val="354"/>
        </w:trPr>
        <w:tc>
          <w:tcPr>
            <w:tcW w:w="2567" w:type="dxa"/>
            <w:tcBorders>
              <w:top w:val="nil"/>
              <w:left w:val="single" w:sz="4" w:space="0" w:color="auto"/>
              <w:bottom w:val="nil"/>
              <w:right w:val="nil"/>
            </w:tcBorders>
            <w:shd w:val="clear" w:color="000000" w:fill="FFFFFF"/>
            <w:noWrap/>
            <w:tcMar>
              <w:top w:w="15" w:type="dxa"/>
              <w:left w:w="135" w:type="dxa"/>
              <w:bottom w:w="0" w:type="dxa"/>
              <w:right w:w="15" w:type="dxa"/>
            </w:tcMar>
            <w:vAlign w:val="bottom"/>
            <w:hideMark/>
          </w:tcPr>
          <w:p w:rsidR="00F33B57" w:rsidRPr="00472FFC" w:rsidRDefault="00F33B57" w:rsidP="00150C2E">
            <w:pPr>
              <w:jc w:val="center"/>
            </w:pPr>
            <w:r w:rsidRPr="00472FFC">
              <w:t>India</w:t>
            </w:r>
          </w:p>
        </w:tc>
        <w:tc>
          <w:tcPr>
            <w:tcW w:w="2551"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r w:rsidRPr="00472FFC">
              <w:t>10</w:t>
            </w:r>
          </w:p>
        </w:tc>
        <w:tc>
          <w:tcPr>
            <w:tcW w:w="2694"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r w:rsidRPr="00472FFC">
              <w:t>10</w:t>
            </w:r>
          </w:p>
        </w:tc>
        <w:tc>
          <w:tcPr>
            <w:tcW w:w="2257"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r w:rsidRPr="00472FFC">
              <w:t>10</w:t>
            </w:r>
          </w:p>
        </w:tc>
        <w:tc>
          <w:tcPr>
            <w:tcW w:w="901" w:type="dxa"/>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472FFC" w:rsidRDefault="00F33B57" w:rsidP="00150C2E">
            <w:r w:rsidRPr="00472FFC">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472FFC" w:rsidRDefault="00F33B57" w:rsidP="00150C2E">
            <w:r w:rsidRPr="00472FFC">
              <w:t> </w:t>
            </w:r>
          </w:p>
        </w:tc>
      </w:tr>
      <w:tr w:rsidR="00F33B57" w:rsidRPr="00472FFC" w:rsidTr="00150C2E">
        <w:trPr>
          <w:trHeight w:val="354"/>
        </w:trPr>
        <w:tc>
          <w:tcPr>
            <w:tcW w:w="2567" w:type="dxa"/>
            <w:tcBorders>
              <w:top w:val="nil"/>
              <w:left w:val="single" w:sz="4" w:space="0" w:color="auto"/>
              <w:bottom w:val="nil"/>
              <w:right w:val="nil"/>
            </w:tcBorders>
            <w:shd w:val="clear" w:color="000000" w:fill="FFFFFF"/>
            <w:noWrap/>
            <w:tcMar>
              <w:top w:w="15" w:type="dxa"/>
              <w:left w:w="135" w:type="dxa"/>
              <w:bottom w:w="0" w:type="dxa"/>
              <w:right w:w="15" w:type="dxa"/>
            </w:tcMar>
            <w:vAlign w:val="bottom"/>
            <w:hideMark/>
          </w:tcPr>
          <w:p w:rsidR="00F33B57" w:rsidRPr="00472FFC" w:rsidRDefault="00F33B57" w:rsidP="00150C2E">
            <w:pPr>
              <w:jc w:val="center"/>
            </w:pPr>
            <w:r w:rsidRPr="00472FFC">
              <w:t>Indonesia</w:t>
            </w:r>
          </w:p>
        </w:tc>
        <w:tc>
          <w:tcPr>
            <w:tcW w:w="2551"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r w:rsidRPr="00472FFC">
              <w:t>5</w:t>
            </w:r>
          </w:p>
        </w:tc>
        <w:tc>
          <w:tcPr>
            <w:tcW w:w="2694"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r w:rsidRPr="00472FFC">
              <w:t>5</w:t>
            </w:r>
          </w:p>
        </w:tc>
        <w:tc>
          <w:tcPr>
            <w:tcW w:w="2257"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r w:rsidRPr="00472FFC">
              <w:t>5</w:t>
            </w:r>
          </w:p>
        </w:tc>
        <w:tc>
          <w:tcPr>
            <w:tcW w:w="901" w:type="dxa"/>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472FFC" w:rsidRDefault="00F33B57" w:rsidP="00150C2E">
            <w:r w:rsidRPr="00472FFC">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472FFC" w:rsidRDefault="00F33B57" w:rsidP="00150C2E">
            <w:r w:rsidRPr="00472FFC">
              <w:t> </w:t>
            </w:r>
          </w:p>
        </w:tc>
      </w:tr>
      <w:tr w:rsidR="00F33B57" w:rsidRPr="00472FFC" w:rsidTr="00150C2E">
        <w:trPr>
          <w:trHeight w:val="354"/>
        </w:trPr>
        <w:tc>
          <w:tcPr>
            <w:tcW w:w="2567" w:type="dxa"/>
            <w:tcBorders>
              <w:top w:val="nil"/>
              <w:left w:val="single" w:sz="4" w:space="0" w:color="auto"/>
              <w:bottom w:val="nil"/>
              <w:right w:val="nil"/>
            </w:tcBorders>
            <w:shd w:val="clear" w:color="000000" w:fill="FFFFFF"/>
            <w:noWrap/>
            <w:tcMar>
              <w:top w:w="15" w:type="dxa"/>
              <w:left w:w="135" w:type="dxa"/>
              <w:bottom w:w="0" w:type="dxa"/>
              <w:right w:w="15" w:type="dxa"/>
            </w:tcMar>
            <w:vAlign w:val="bottom"/>
            <w:hideMark/>
          </w:tcPr>
          <w:p w:rsidR="00F33B57" w:rsidRPr="00472FFC" w:rsidRDefault="00F33B57" w:rsidP="00150C2E">
            <w:pPr>
              <w:jc w:val="center"/>
            </w:pPr>
            <w:r w:rsidRPr="00472FFC">
              <w:t>Japan</w:t>
            </w:r>
          </w:p>
        </w:tc>
        <w:tc>
          <w:tcPr>
            <w:tcW w:w="2551"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r w:rsidRPr="00472FFC">
              <w:t>0</w:t>
            </w:r>
          </w:p>
        </w:tc>
        <w:tc>
          <w:tcPr>
            <w:tcW w:w="2694"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r w:rsidRPr="00472FFC">
              <w:t>0</w:t>
            </w:r>
          </w:p>
        </w:tc>
        <w:tc>
          <w:tcPr>
            <w:tcW w:w="2257"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r w:rsidRPr="00472FFC">
              <w:t>4</w:t>
            </w:r>
          </w:p>
        </w:tc>
        <w:tc>
          <w:tcPr>
            <w:tcW w:w="901" w:type="dxa"/>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472FFC" w:rsidRDefault="00F33B57" w:rsidP="00150C2E">
            <w:r w:rsidRPr="00472FFC">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472FFC" w:rsidRDefault="00F33B57" w:rsidP="00150C2E">
            <w:r w:rsidRPr="00472FFC">
              <w:t> </w:t>
            </w:r>
          </w:p>
        </w:tc>
      </w:tr>
      <w:tr w:rsidR="00F33B57" w:rsidRPr="00472FFC" w:rsidTr="00150C2E">
        <w:trPr>
          <w:trHeight w:val="354"/>
        </w:trPr>
        <w:tc>
          <w:tcPr>
            <w:tcW w:w="2567" w:type="dxa"/>
            <w:tcBorders>
              <w:top w:val="nil"/>
              <w:left w:val="single" w:sz="4" w:space="0" w:color="auto"/>
              <w:bottom w:val="nil"/>
              <w:right w:val="nil"/>
            </w:tcBorders>
            <w:shd w:val="clear" w:color="000000" w:fill="FFFFFF"/>
            <w:noWrap/>
            <w:tcMar>
              <w:top w:w="15" w:type="dxa"/>
              <w:left w:w="135" w:type="dxa"/>
              <w:bottom w:w="0" w:type="dxa"/>
              <w:right w:w="15" w:type="dxa"/>
            </w:tcMar>
            <w:vAlign w:val="bottom"/>
            <w:hideMark/>
          </w:tcPr>
          <w:p w:rsidR="00F33B57" w:rsidRPr="00472FFC" w:rsidRDefault="00F33B57" w:rsidP="00150C2E">
            <w:pPr>
              <w:jc w:val="center"/>
            </w:pPr>
            <w:r w:rsidRPr="00472FFC">
              <w:t>Saudi Arabia</w:t>
            </w:r>
          </w:p>
        </w:tc>
        <w:tc>
          <w:tcPr>
            <w:tcW w:w="2551"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r w:rsidRPr="00472FFC">
              <w:t>5</w:t>
            </w:r>
          </w:p>
        </w:tc>
        <w:tc>
          <w:tcPr>
            <w:tcW w:w="2694"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r w:rsidRPr="00472FFC">
              <w:t>5</w:t>
            </w:r>
          </w:p>
        </w:tc>
        <w:tc>
          <w:tcPr>
            <w:tcW w:w="2257"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r w:rsidRPr="00472FFC">
              <w:t>5</w:t>
            </w:r>
          </w:p>
        </w:tc>
        <w:tc>
          <w:tcPr>
            <w:tcW w:w="901" w:type="dxa"/>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472FFC" w:rsidRDefault="00F33B57" w:rsidP="00150C2E">
            <w:r w:rsidRPr="00472FFC">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472FFC" w:rsidRDefault="00F33B57" w:rsidP="00150C2E">
            <w:r w:rsidRPr="00472FFC">
              <w:t> </w:t>
            </w:r>
          </w:p>
        </w:tc>
      </w:tr>
      <w:tr w:rsidR="00F33B57" w:rsidRPr="00472FFC" w:rsidTr="00150C2E">
        <w:trPr>
          <w:trHeight w:val="354"/>
        </w:trPr>
        <w:tc>
          <w:tcPr>
            <w:tcW w:w="2567" w:type="dxa"/>
            <w:tcBorders>
              <w:top w:val="nil"/>
              <w:left w:val="single" w:sz="4" w:space="0" w:color="auto"/>
              <w:bottom w:val="nil"/>
              <w:right w:val="nil"/>
            </w:tcBorders>
            <w:shd w:val="clear" w:color="000000" w:fill="FFFFFF"/>
            <w:noWrap/>
            <w:tcMar>
              <w:top w:w="15" w:type="dxa"/>
              <w:left w:w="135" w:type="dxa"/>
              <w:bottom w:w="0" w:type="dxa"/>
              <w:right w:w="15" w:type="dxa"/>
            </w:tcMar>
            <w:vAlign w:val="bottom"/>
            <w:hideMark/>
          </w:tcPr>
          <w:p w:rsidR="00F33B57" w:rsidRPr="00472FFC" w:rsidRDefault="00F33B57" w:rsidP="00150C2E">
            <w:pPr>
              <w:jc w:val="center"/>
            </w:pPr>
            <w:r w:rsidRPr="00472FFC">
              <w:t>USA</w:t>
            </w:r>
          </w:p>
        </w:tc>
        <w:tc>
          <w:tcPr>
            <w:tcW w:w="2551"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r w:rsidRPr="00472FFC">
              <w:t>0</w:t>
            </w:r>
          </w:p>
        </w:tc>
        <w:tc>
          <w:tcPr>
            <w:tcW w:w="2694"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r w:rsidRPr="00472FFC">
              <w:t>0</w:t>
            </w:r>
          </w:p>
        </w:tc>
        <w:tc>
          <w:tcPr>
            <w:tcW w:w="2257"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r w:rsidRPr="00472FFC">
              <w:t>3.6</w:t>
            </w:r>
          </w:p>
        </w:tc>
        <w:tc>
          <w:tcPr>
            <w:tcW w:w="901" w:type="dxa"/>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472FFC" w:rsidRDefault="00F33B57" w:rsidP="00150C2E">
            <w:r w:rsidRPr="00472FFC">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472FFC" w:rsidRDefault="00F33B57" w:rsidP="00150C2E">
            <w:r w:rsidRPr="00472FFC">
              <w:t> </w:t>
            </w:r>
          </w:p>
        </w:tc>
      </w:tr>
      <w:tr w:rsidR="00F33B57" w:rsidRPr="00472FFC" w:rsidTr="00150C2E">
        <w:trPr>
          <w:trHeight w:val="354"/>
        </w:trPr>
        <w:tc>
          <w:tcPr>
            <w:tcW w:w="2567" w:type="dxa"/>
            <w:tcBorders>
              <w:top w:val="nil"/>
              <w:left w:val="single" w:sz="4" w:space="0" w:color="auto"/>
              <w:bottom w:val="nil"/>
              <w:right w:val="nil"/>
            </w:tcBorders>
            <w:shd w:val="clear" w:color="000000" w:fill="FFFFFF"/>
            <w:noWrap/>
            <w:tcMar>
              <w:top w:w="15" w:type="dxa"/>
              <w:left w:w="135" w:type="dxa"/>
              <w:bottom w:w="0" w:type="dxa"/>
              <w:right w:w="15" w:type="dxa"/>
            </w:tcMar>
            <w:vAlign w:val="bottom"/>
            <w:hideMark/>
          </w:tcPr>
          <w:p w:rsidR="00F33B57" w:rsidRPr="00472FFC" w:rsidRDefault="00F33B57" w:rsidP="00150C2E">
            <w:pPr>
              <w:jc w:val="center"/>
            </w:pPr>
            <w:proofErr w:type="spellStart"/>
            <w:r w:rsidRPr="00472FFC">
              <w:t>VietNam</w:t>
            </w:r>
            <w:proofErr w:type="spellEnd"/>
          </w:p>
        </w:tc>
        <w:tc>
          <w:tcPr>
            <w:tcW w:w="2551"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r w:rsidRPr="00472FFC">
              <w:t>5</w:t>
            </w:r>
          </w:p>
        </w:tc>
        <w:tc>
          <w:tcPr>
            <w:tcW w:w="2694"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r w:rsidRPr="00472FFC">
              <w:t>12</w:t>
            </w:r>
          </w:p>
        </w:tc>
        <w:tc>
          <w:tcPr>
            <w:tcW w:w="2257"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r w:rsidRPr="00472FFC">
              <w:t>12</w:t>
            </w:r>
          </w:p>
        </w:tc>
        <w:tc>
          <w:tcPr>
            <w:tcW w:w="901" w:type="dxa"/>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472FFC" w:rsidRDefault="00F33B57" w:rsidP="00150C2E">
            <w:r w:rsidRPr="00472FFC">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472FFC" w:rsidRDefault="00F33B57" w:rsidP="00150C2E">
            <w:r w:rsidRPr="00472FFC">
              <w:t> </w:t>
            </w:r>
          </w:p>
        </w:tc>
      </w:tr>
      <w:tr w:rsidR="00F33B57" w:rsidRPr="00472FFC" w:rsidTr="00150C2E">
        <w:trPr>
          <w:trHeight w:val="257"/>
        </w:trPr>
        <w:tc>
          <w:tcPr>
            <w:tcW w:w="2567" w:type="dxa"/>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p>
        </w:tc>
        <w:tc>
          <w:tcPr>
            <w:tcW w:w="2551"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p>
        </w:tc>
        <w:tc>
          <w:tcPr>
            <w:tcW w:w="269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p>
        </w:tc>
        <w:tc>
          <w:tcPr>
            <w:tcW w:w="225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F33B57" w:rsidRPr="00472FFC" w:rsidRDefault="00F33B57" w:rsidP="00150C2E">
            <w:pPr>
              <w:jc w:val="center"/>
            </w:pPr>
          </w:p>
        </w:tc>
        <w:tc>
          <w:tcPr>
            <w:tcW w:w="901" w:type="dxa"/>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472FFC" w:rsidRDefault="00F33B57" w:rsidP="00150C2E">
            <w:r w:rsidRPr="00472FFC">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472FFC" w:rsidRDefault="00F33B57" w:rsidP="00150C2E">
            <w:r w:rsidRPr="00472FFC">
              <w:t> </w:t>
            </w:r>
          </w:p>
        </w:tc>
      </w:tr>
      <w:tr w:rsidR="00F33B57" w:rsidRPr="002166A7" w:rsidTr="00150C2E">
        <w:trPr>
          <w:trHeight w:val="257"/>
        </w:trPr>
        <w:tc>
          <w:tcPr>
            <w:tcW w:w="2567" w:type="dxa"/>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2166A7" w:rsidRDefault="00F33B57" w:rsidP="00150C2E">
            <w:pPr>
              <w:rPr>
                <w:sz w:val="18"/>
                <w:szCs w:val="18"/>
              </w:rPr>
            </w:pPr>
            <w:r w:rsidRPr="002166A7">
              <w:rPr>
                <w:b/>
                <w:sz w:val="18"/>
                <w:szCs w:val="18"/>
              </w:rPr>
              <w:t xml:space="preserve">Source: </w:t>
            </w:r>
            <w:r w:rsidRPr="002166A7">
              <w:rPr>
                <w:sz w:val="18"/>
                <w:szCs w:val="18"/>
              </w:rPr>
              <w:t>WTO</w:t>
            </w:r>
            <w:r>
              <w:rPr>
                <w:sz w:val="18"/>
                <w:szCs w:val="18"/>
              </w:rPr>
              <w:t>.</w:t>
            </w:r>
          </w:p>
        </w:tc>
        <w:tc>
          <w:tcPr>
            <w:tcW w:w="2551" w:type="dxa"/>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2166A7" w:rsidRDefault="00F33B57" w:rsidP="00150C2E">
            <w:pPr>
              <w:jc w:val="center"/>
              <w:rPr>
                <w:sz w:val="18"/>
                <w:szCs w:val="18"/>
              </w:rPr>
            </w:pPr>
          </w:p>
        </w:tc>
        <w:tc>
          <w:tcPr>
            <w:tcW w:w="2694" w:type="dxa"/>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2166A7" w:rsidRDefault="00F33B57" w:rsidP="00150C2E">
            <w:pPr>
              <w:jc w:val="center"/>
              <w:rPr>
                <w:sz w:val="18"/>
                <w:szCs w:val="18"/>
              </w:rPr>
            </w:pPr>
          </w:p>
        </w:tc>
        <w:tc>
          <w:tcPr>
            <w:tcW w:w="2257" w:type="dxa"/>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2166A7" w:rsidRDefault="00F33B57" w:rsidP="00150C2E">
            <w:pPr>
              <w:jc w:val="center"/>
              <w:rPr>
                <w:sz w:val="18"/>
                <w:szCs w:val="18"/>
              </w:rPr>
            </w:pPr>
          </w:p>
        </w:tc>
        <w:tc>
          <w:tcPr>
            <w:tcW w:w="901" w:type="dxa"/>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2166A7" w:rsidRDefault="00F33B57" w:rsidP="00150C2E">
            <w:pPr>
              <w:rPr>
                <w:sz w:val="18"/>
                <w:szCs w:val="18"/>
              </w:rPr>
            </w:pPr>
            <w:r w:rsidRPr="002166A7">
              <w:rPr>
                <w:sz w:val="18"/>
                <w:szCs w:val="18"/>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F33B57" w:rsidRPr="002166A7" w:rsidRDefault="00F33B57" w:rsidP="00150C2E">
            <w:pPr>
              <w:rPr>
                <w:sz w:val="18"/>
                <w:szCs w:val="18"/>
              </w:rPr>
            </w:pPr>
            <w:r w:rsidRPr="002166A7">
              <w:rPr>
                <w:sz w:val="18"/>
                <w:szCs w:val="18"/>
              </w:rPr>
              <w:t> </w:t>
            </w:r>
          </w:p>
        </w:tc>
      </w:tr>
      <w:tr w:rsidR="00F33B57" w:rsidRPr="002166A7" w:rsidTr="00150C2E">
        <w:trPr>
          <w:trHeight w:val="257"/>
        </w:trPr>
        <w:tc>
          <w:tcPr>
            <w:tcW w:w="0" w:type="auto"/>
            <w:gridSpan w:val="6"/>
            <w:tcBorders>
              <w:top w:val="nil"/>
              <w:left w:val="nil"/>
              <w:bottom w:val="nil"/>
              <w:right w:val="nil"/>
            </w:tcBorders>
            <w:shd w:val="clear" w:color="000000" w:fill="FFFFFF"/>
            <w:noWrap/>
            <w:tcMar>
              <w:top w:w="15" w:type="dxa"/>
              <w:left w:w="15" w:type="dxa"/>
              <w:bottom w:w="0" w:type="dxa"/>
              <w:right w:w="15" w:type="dxa"/>
            </w:tcMar>
            <w:vAlign w:val="bottom"/>
          </w:tcPr>
          <w:p w:rsidR="00F33B57" w:rsidRPr="002166A7" w:rsidRDefault="00F33B57" w:rsidP="00150C2E">
            <w:pPr>
              <w:rPr>
                <w:sz w:val="18"/>
                <w:szCs w:val="18"/>
              </w:rPr>
            </w:pPr>
            <w:r w:rsidRPr="002166A7">
              <w:rPr>
                <w:sz w:val="18"/>
                <w:szCs w:val="18"/>
              </w:rPr>
              <w:t>1/  The HS code for sisal fibre 5304.10 and 5304.90 was eliminated from the Harmonized System effective 1 January 2007.</w:t>
            </w:r>
          </w:p>
          <w:p w:rsidR="00F33B57" w:rsidRDefault="00F33B57" w:rsidP="00150C2E">
            <w:r w:rsidRPr="002166A7">
              <w:rPr>
                <w:sz w:val="18"/>
                <w:szCs w:val="18"/>
              </w:rPr>
              <w:t>Therefore, sisal tariffs are classified under HS code 5305.00</w:t>
            </w:r>
            <w:r w:rsidR="00316913">
              <w:t>.</w:t>
            </w:r>
          </w:p>
          <w:p w:rsidR="00316913" w:rsidRPr="002166A7" w:rsidRDefault="00316913" w:rsidP="00150C2E">
            <w:pPr>
              <w:rPr>
                <w:sz w:val="18"/>
                <w:szCs w:val="18"/>
              </w:rPr>
            </w:pPr>
          </w:p>
        </w:tc>
      </w:tr>
    </w:tbl>
    <w:p w:rsidR="00D83ED3" w:rsidRDefault="00D83ED3" w:rsidP="00D83ED3">
      <w:pPr>
        <w:pStyle w:val="NewPara"/>
      </w:pPr>
      <w:r w:rsidRPr="00D83ED3">
        <w:t>India, Sri Lanka, the Philippines and Thailand are the major producers of coir fibre. China is the world’s largest importer and imposes zero duty on the fibre, but 6 percent for coir yarn and 14 percent for coir floor covering (Table 3). The EU is the largest importer of coir yarn and mats. Its principal suppliers are India, Sri Lanka, Philippines and China. The EU imposes an MFN duty of 4 percent on coir floor coverings with zero on other products. However, most of the trade takes place under GSP or some other preferential arrangement.</w:t>
      </w:r>
    </w:p>
    <w:p w:rsidR="00D83ED3" w:rsidRDefault="00D83ED3" w:rsidP="00D83ED3">
      <w:pPr>
        <w:pStyle w:val="PageBreak"/>
      </w:pPr>
      <w:r>
        <w:br w:type="page"/>
      </w:r>
    </w:p>
    <w:p w:rsidR="00D83ED3" w:rsidRPr="00472FFC" w:rsidRDefault="00D83ED3" w:rsidP="00D83ED3">
      <w:pPr>
        <w:rPr>
          <w:b/>
        </w:rPr>
      </w:pPr>
      <w:r w:rsidRPr="00472FFC">
        <w:rPr>
          <w:b/>
        </w:rPr>
        <w:lastRenderedPageBreak/>
        <w:t>MFN Applied Tariffs</w:t>
      </w:r>
      <w:r w:rsidRPr="00472FFC">
        <w:rPr>
          <w:b/>
        </w:rPr>
        <w:tab/>
      </w:r>
      <w:r w:rsidRPr="00472FFC">
        <w:rPr>
          <w:b/>
        </w:rPr>
        <w:tab/>
      </w:r>
    </w:p>
    <w:p w:rsidR="00D83ED3" w:rsidRDefault="00D83ED3" w:rsidP="00D83ED3">
      <w:r>
        <w:rPr>
          <w:b/>
        </w:rPr>
        <w:t>Table 3</w:t>
      </w:r>
      <w:r w:rsidRPr="00472FFC">
        <w:rPr>
          <w:b/>
        </w:rPr>
        <w:t xml:space="preserve"> - Tariffs  on Coir and Coir Products for selected major importers</w:t>
      </w:r>
      <w:r w:rsidRPr="00472FFC">
        <w:rPr>
          <w:b/>
        </w:rPr>
        <w:tab/>
      </w:r>
      <w:r>
        <w:tab/>
      </w:r>
    </w:p>
    <w:tbl>
      <w:tblPr>
        <w:tblStyle w:val="TableGrid"/>
        <w:tblW w:w="0" w:type="auto"/>
        <w:tblLook w:val="04A0"/>
      </w:tblPr>
      <w:tblGrid>
        <w:gridCol w:w="2091"/>
        <w:gridCol w:w="2322"/>
        <w:gridCol w:w="2322"/>
        <w:gridCol w:w="2552"/>
      </w:tblGrid>
      <w:tr w:rsidR="00D83ED3" w:rsidRPr="00472FFC" w:rsidTr="00150C2E">
        <w:trPr>
          <w:trHeight w:val="975"/>
        </w:trPr>
        <w:tc>
          <w:tcPr>
            <w:tcW w:w="2500" w:type="dxa"/>
            <w:noWrap/>
            <w:hideMark/>
          </w:tcPr>
          <w:p w:rsidR="00D83ED3" w:rsidRPr="00472FFC" w:rsidRDefault="00D83ED3" w:rsidP="00150C2E">
            <w:pPr>
              <w:jc w:val="center"/>
            </w:pPr>
            <w:r w:rsidRPr="00472FFC">
              <w:t>Product Name</w:t>
            </w:r>
          </w:p>
        </w:tc>
        <w:tc>
          <w:tcPr>
            <w:tcW w:w="2780" w:type="dxa"/>
            <w:noWrap/>
            <w:hideMark/>
          </w:tcPr>
          <w:p w:rsidR="00D83ED3" w:rsidRPr="00472FFC" w:rsidRDefault="00D83ED3" w:rsidP="00150C2E">
            <w:pPr>
              <w:jc w:val="center"/>
            </w:pPr>
            <w:r w:rsidRPr="00472FFC">
              <w:t>Raw Coir fibre</w:t>
            </w:r>
          </w:p>
        </w:tc>
        <w:tc>
          <w:tcPr>
            <w:tcW w:w="2780" w:type="dxa"/>
            <w:noWrap/>
            <w:hideMark/>
          </w:tcPr>
          <w:p w:rsidR="00D83ED3" w:rsidRPr="00472FFC" w:rsidRDefault="00D83ED3" w:rsidP="00150C2E">
            <w:pPr>
              <w:jc w:val="center"/>
            </w:pPr>
            <w:r w:rsidRPr="00472FFC">
              <w:t>Coir yarn</w:t>
            </w:r>
          </w:p>
        </w:tc>
        <w:tc>
          <w:tcPr>
            <w:tcW w:w="3060" w:type="dxa"/>
            <w:hideMark/>
          </w:tcPr>
          <w:p w:rsidR="00D83ED3" w:rsidRPr="00472FFC" w:rsidRDefault="00D83ED3" w:rsidP="00150C2E">
            <w:pPr>
              <w:jc w:val="center"/>
            </w:pPr>
            <w:r w:rsidRPr="00472FFC">
              <w:t xml:space="preserve">Floor coverings </w:t>
            </w:r>
            <w:r w:rsidRPr="00472FFC">
              <w:br/>
              <w:t>of coir fibres</w:t>
            </w:r>
          </w:p>
        </w:tc>
      </w:tr>
      <w:tr w:rsidR="00D83ED3" w:rsidRPr="00472FFC" w:rsidTr="00D83ED3">
        <w:trPr>
          <w:trHeight w:val="361"/>
        </w:trPr>
        <w:tc>
          <w:tcPr>
            <w:tcW w:w="2500" w:type="dxa"/>
            <w:noWrap/>
            <w:hideMark/>
          </w:tcPr>
          <w:p w:rsidR="00D83ED3" w:rsidRPr="00472FFC" w:rsidRDefault="00D83ED3" w:rsidP="00150C2E">
            <w:pPr>
              <w:jc w:val="center"/>
              <w:rPr>
                <w:b/>
                <w:bCs/>
              </w:rPr>
            </w:pPr>
            <w:r w:rsidRPr="00472FFC">
              <w:rPr>
                <w:b/>
                <w:bCs/>
              </w:rPr>
              <w:t>HS Code</w:t>
            </w:r>
          </w:p>
        </w:tc>
        <w:tc>
          <w:tcPr>
            <w:tcW w:w="2780" w:type="dxa"/>
            <w:noWrap/>
            <w:hideMark/>
          </w:tcPr>
          <w:p w:rsidR="00D83ED3" w:rsidRPr="00472FFC" w:rsidRDefault="00D83ED3" w:rsidP="00150C2E">
            <w:pPr>
              <w:jc w:val="center"/>
              <w:rPr>
                <w:b/>
                <w:bCs/>
              </w:rPr>
            </w:pPr>
            <w:r w:rsidRPr="00472FFC">
              <w:rPr>
                <w:b/>
                <w:bCs/>
              </w:rPr>
              <w:t>5305.00</w:t>
            </w:r>
          </w:p>
        </w:tc>
        <w:tc>
          <w:tcPr>
            <w:tcW w:w="2780" w:type="dxa"/>
            <w:noWrap/>
            <w:hideMark/>
          </w:tcPr>
          <w:p w:rsidR="00D83ED3" w:rsidRPr="00472FFC" w:rsidRDefault="00D83ED3" w:rsidP="00150C2E">
            <w:pPr>
              <w:jc w:val="center"/>
              <w:rPr>
                <w:b/>
                <w:bCs/>
              </w:rPr>
            </w:pPr>
            <w:r w:rsidRPr="00472FFC">
              <w:rPr>
                <w:b/>
                <w:bCs/>
              </w:rPr>
              <w:t>5308.10</w:t>
            </w:r>
          </w:p>
        </w:tc>
        <w:tc>
          <w:tcPr>
            <w:tcW w:w="3060" w:type="dxa"/>
            <w:noWrap/>
            <w:hideMark/>
          </w:tcPr>
          <w:p w:rsidR="00D83ED3" w:rsidRPr="00472FFC" w:rsidRDefault="00D83ED3" w:rsidP="00150C2E">
            <w:pPr>
              <w:jc w:val="center"/>
              <w:rPr>
                <w:b/>
                <w:bCs/>
              </w:rPr>
            </w:pPr>
            <w:r w:rsidRPr="00472FFC">
              <w:rPr>
                <w:b/>
                <w:bCs/>
              </w:rPr>
              <w:t>5702.20</w:t>
            </w:r>
          </w:p>
        </w:tc>
      </w:tr>
      <w:tr w:rsidR="00D83ED3" w:rsidRPr="00472FFC" w:rsidTr="00150C2E">
        <w:trPr>
          <w:trHeight w:val="495"/>
        </w:trPr>
        <w:tc>
          <w:tcPr>
            <w:tcW w:w="2500" w:type="dxa"/>
            <w:noWrap/>
            <w:hideMark/>
          </w:tcPr>
          <w:p w:rsidR="00D83ED3" w:rsidRPr="00472FFC" w:rsidRDefault="00D83ED3" w:rsidP="00150C2E">
            <w:pPr>
              <w:jc w:val="center"/>
            </w:pPr>
            <w:r w:rsidRPr="00472FFC">
              <w:t>Australia</w:t>
            </w:r>
          </w:p>
        </w:tc>
        <w:tc>
          <w:tcPr>
            <w:tcW w:w="2780" w:type="dxa"/>
            <w:noWrap/>
            <w:hideMark/>
          </w:tcPr>
          <w:p w:rsidR="00D83ED3" w:rsidRPr="00472FFC" w:rsidRDefault="00D83ED3" w:rsidP="00150C2E">
            <w:pPr>
              <w:jc w:val="center"/>
            </w:pPr>
            <w:r w:rsidRPr="00472FFC">
              <w:t>0</w:t>
            </w:r>
          </w:p>
        </w:tc>
        <w:tc>
          <w:tcPr>
            <w:tcW w:w="2780" w:type="dxa"/>
            <w:noWrap/>
            <w:hideMark/>
          </w:tcPr>
          <w:p w:rsidR="00D83ED3" w:rsidRPr="00472FFC" w:rsidRDefault="00D83ED3" w:rsidP="00150C2E">
            <w:pPr>
              <w:jc w:val="center"/>
            </w:pPr>
            <w:r w:rsidRPr="00472FFC">
              <w:t>0</w:t>
            </w:r>
          </w:p>
        </w:tc>
        <w:tc>
          <w:tcPr>
            <w:tcW w:w="3060" w:type="dxa"/>
            <w:noWrap/>
            <w:hideMark/>
          </w:tcPr>
          <w:p w:rsidR="00D83ED3" w:rsidRPr="00472FFC" w:rsidRDefault="00D83ED3" w:rsidP="00150C2E">
            <w:pPr>
              <w:jc w:val="center"/>
            </w:pPr>
            <w:r w:rsidRPr="00472FFC">
              <w:t>0</w:t>
            </w:r>
          </w:p>
        </w:tc>
      </w:tr>
      <w:tr w:rsidR="00D83ED3" w:rsidRPr="00472FFC" w:rsidTr="00D83ED3">
        <w:trPr>
          <w:trHeight w:val="389"/>
        </w:trPr>
        <w:tc>
          <w:tcPr>
            <w:tcW w:w="2500" w:type="dxa"/>
            <w:noWrap/>
            <w:hideMark/>
          </w:tcPr>
          <w:p w:rsidR="00D83ED3" w:rsidRPr="00472FFC" w:rsidRDefault="00D83ED3" w:rsidP="00150C2E">
            <w:pPr>
              <w:jc w:val="center"/>
            </w:pPr>
            <w:r w:rsidRPr="00472FFC">
              <w:t>Canada</w:t>
            </w:r>
          </w:p>
        </w:tc>
        <w:tc>
          <w:tcPr>
            <w:tcW w:w="2780" w:type="dxa"/>
            <w:noWrap/>
            <w:hideMark/>
          </w:tcPr>
          <w:p w:rsidR="00D83ED3" w:rsidRPr="00472FFC" w:rsidRDefault="00D83ED3" w:rsidP="00150C2E">
            <w:pPr>
              <w:jc w:val="center"/>
            </w:pPr>
            <w:r w:rsidRPr="00472FFC">
              <w:t>0</w:t>
            </w:r>
          </w:p>
        </w:tc>
        <w:tc>
          <w:tcPr>
            <w:tcW w:w="2780" w:type="dxa"/>
            <w:noWrap/>
            <w:hideMark/>
          </w:tcPr>
          <w:p w:rsidR="00D83ED3" w:rsidRPr="00472FFC" w:rsidRDefault="00D83ED3" w:rsidP="00150C2E">
            <w:pPr>
              <w:jc w:val="center"/>
            </w:pPr>
            <w:r w:rsidRPr="00472FFC">
              <w:t>0</w:t>
            </w:r>
          </w:p>
        </w:tc>
        <w:tc>
          <w:tcPr>
            <w:tcW w:w="3060" w:type="dxa"/>
            <w:noWrap/>
            <w:hideMark/>
          </w:tcPr>
          <w:p w:rsidR="00D83ED3" w:rsidRPr="00472FFC" w:rsidRDefault="00D83ED3" w:rsidP="00150C2E">
            <w:pPr>
              <w:jc w:val="center"/>
            </w:pPr>
            <w:r w:rsidRPr="00472FFC">
              <w:t>0</w:t>
            </w:r>
          </w:p>
        </w:tc>
      </w:tr>
      <w:tr w:rsidR="00D83ED3" w:rsidRPr="00472FFC" w:rsidTr="00150C2E">
        <w:trPr>
          <w:trHeight w:val="495"/>
        </w:trPr>
        <w:tc>
          <w:tcPr>
            <w:tcW w:w="2500" w:type="dxa"/>
            <w:noWrap/>
            <w:hideMark/>
          </w:tcPr>
          <w:p w:rsidR="00D83ED3" w:rsidRPr="00472FFC" w:rsidRDefault="00D83ED3" w:rsidP="00150C2E">
            <w:pPr>
              <w:jc w:val="center"/>
            </w:pPr>
            <w:r w:rsidRPr="00472FFC">
              <w:t>Chile</w:t>
            </w:r>
          </w:p>
        </w:tc>
        <w:tc>
          <w:tcPr>
            <w:tcW w:w="2780" w:type="dxa"/>
            <w:noWrap/>
            <w:hideMark/>
          </w:tcPr>
          <w:p w:rsidR="00D83ED3" w:rsidRPr="00472FFC" w:rsidRDefault="00D83ED3" w:rsidP="00150C2E">
            <w:pPr>
              <w:jc w:val="center"/>
            </w:pPr>
            <w:r w:rsidRPr="00472FFC">
              <w:t>6</w:t>
            </w:r>
          </w:p>
        </w:tc>
        <w:tc>
          <w:tcPr>
            <w:tcW w:w="2780" w:type="dxa"/>
            <w:noWrap/>
            <w:hideMark/>
          </w:tcPr>
          <w:p w:rsidR="00D83ED3" w:rsidRPr="00472FFC" w:rsidRDefault="00D83ED3" w:rsidP="00150C2E">
            <w:pPr>
              <w:jc w:val="center"/>
            </w:pPr>
            <w:r w:rsidRPr="00472FFC">
              <w:t>6</w:t>
            </w:r>
          </w:p>
        </w:tc>
        <w:tc>
          <w:tcPr>
            <w:tcW w:w="3060" w:type="dxa"/>
            <w:noWrap/>
            <w:hideMark/>
          </w:tcPr>
          <w:p w:rsidR="00D83ED3" w:rsidRPr="00472FFC" w:rsidRDefault="00D83ED3" w:rsidP="00150C2E">
            <w:pPr>
              <w:jc w:val="center"/>
            </w:pPr>
            <w:r w:rsidRPr="00472FFC">
              <w:t>6</w:t>
            </w:r>
          </w:p>
        </w:tc>
      </w:tr>
      <w:tr w:rsidR="00D83ED3" w:rsidRPr="00472FFC" w:rsidTr="00150C2E">
        <w:trPr>
          <w:trHeight w:val="495"/>
        </w:trPr>
        <w:tc>
          <w:tcPr>
            <w:tcW w:w="2500" w:type="dxa"/>
            <w:noWrap/>
            <w:hideMark/>
          </w:tcPr>
          <w:p w:rsidR="00D83ED3" w:rsidRPr="00472FFC" w:rsidRDefault="00D83ED3" w:rsidP="00150C2E">
            <w:pPr>
              <w:jc w:val="center"/>
            </w:pPr>
            <w:r w:rsidRPr="00472FFC">
              <w:t>China</w:t>
            </w:r>
          </w:p>
        </w:tc>
        <w:tc>
          <w:tcPr>
            <w:tcW w:w="2780" w:type="dxa"/>
            <w:noWrap/>
            <w:hideMark/>
          </w:tcPr>
          <w:p w:rsidR="00D83ED3" w:rsidRPr="00472FFC" w:rsidRDefault="00D83ED3" w:rsidP="00150C2E">
            <w:pPr>
              <w:jc w:val="center"/>
            </w:pPr>
            <w:r w:rsidRPr="00472FFC">
              <w:t>4.8</w:t>
            </w:r>
          </w:p>
        </w:tc>
        <w:tc>
          <w:tcPr>
            <w:tcW w:w="2780" w:type="dxa"/>
            <w:noWrap/>
            <w:hideMark/>
          </w:tcPr>
          <w:p w:rsidR="00D83ED3" w:rsidRPr="00472FFC" w:rsidRDefault="00D83ED3" w:rsidP="00150C2E">
            <w:pPr>
              <w:jc w:val="center"/>
            </w:pPr>
            <w:r w:rsidRPr="00472FFC">
              <w:t>6</w:t>
            </w:r>
          </w:p>
        </w:tc>
        <w:tc>
          <w:tcPr>
            <w:tcW w:w="3060" w:type="dxa"/>
            <w:noWrap/>
            <w:hideMark/>
          </w:tcPr>
          <w:p w:rsidR="00D83ED3" w:rsidRPr="00472FFC" w:rsidRDefault="00D83ED3" w:rsidP="00150C2E">
            <w:pPr>
              <w:jc w:val="center"/>
            </w:pPr>
            <w:r w:rsidRPr="00472FFC">
              <w:t>14</w:t>
            </w:r>
          </w:p>
        </w:tc>
      </w:tr>
      <w:tr w:rsidR="00D83ED3" w:rsidRPr="00472FFC" w:rsidTr="00150C2E">
        <w:trPr>
          <w:trHeight w:val="495"/>
        </w:trPr>
        <w:tc>
          <w:tcPr>
            <w:tcW w:w="2500" w:type="dxa"/>
            <w:noWrap/>
            <w:hideMark/>
          </w:tcPr>
          <w:p w:rsidR="00D83ED3" w:rsidRPr="00472FFC" w:rsidRDefault="00D83ED3" w:rsidP="00150C2E">
            <w:pPr>
              <w:jc w:val="center"/>
            </w:pPr>
            <w:r w:rsidRPr="00472FFC">
              <w:t>EU</w:t>
            </w:r>
          </w:p>
        </w:tc>
        <w:tc>
          <w:tcPr>
            <w:tcW w:w="2780" w:type="dxa"/>
            <w:noWrap/>
            <w:hideMark/>
          </w:tcPr>
          <w:p w:rsidR="00D83ED3" w:rsidRPr="00472FFC" w:rsidRDefault="00D83ED3" w:rsidP="00150C2E">
            <w:pPr>
              <w:jc w:val="center"/>
            </w:pPr>
            <w:r w:rsidRPr="00472FFC">
              <w:t>0</w:t>
            </w:r>
          </w:p>
        </w:tc>
        <w:tc>
          <w:tcPr>
            <w:tcW w:w="2780" w:type="dxa"/>
            <w:noWrap/>
            <w:hideMark/>
          </w:tcPr>
          <w:p w:rsidR="00D83ED3" w:rsidRPr="00472FFC" w:rsidRDefault="00D83ED3" w:rsidP="00150C2E">
            <w:pPr>
              <w:jc w:val="center"/>
            </w:pPr>
            <w:r w:rsidRPr="00472FFC">
              <w:t>0</w:t>
            </w:r>
          </w:p>
        </w:tc>
        <w:tc>
          <w:tcPr>
            <w:tcW w:w="3060" w:type="dxa"/>
            <w:noWrap/>
            <w:hideMark/>
          </w:tcPr>
          <w:p w:rsidR="00D83ED3" w:rsidRPr="00472FFC" w:rsidRDefault="00D83ED3" w:rsidP="00150C2E">
            <w:pPr>
              <w:jc w:val="center"/>
            </w:pPr>
            <w:r w:rsidRPr="00472FFC">
              <w:t>4</w:t>
            </w:r>
          </w:p>
        </w:tc>
      </w:tr>
      <w:tr w:rsidR="00D83ED3" w:rsidRPr="00472FFC" w:rsidTr="00150C2E">
        <w:trPr>
          <w:trHeight w:val="495"/>
        </w:trPr>
        <w:tc>
          <w:tcPr>
            <w:tcW w:w="2500" w:type="dxa"/>
            <w:noWrap/>
            <w:hideMark/>
          </w:tcPr>
          <w:p w:rsidR="00D83ED3" w:rsidRPr="00472FFC" w:rsidRDefault="00D83ED3" w:rsidP="00150C2E">
            <w:pPr>
              <w:jc w:val="center"/>
            </w:pPr>
            <w:r w:rsidRPr="00472FFC">
              <w:t>Japan</w:t>
            </w:r>
          </w:p>
        </w:tc>
        <w:tc>
          <w:tcPr>
            <w:tcW w:w="2780" w:type="dxa"/>
            <w:noWrap/>
            <w:hideMark/>
          </w:tcPr>
          <w:p w:rsidR="00D83ED3" w:rsidRPr="00472FFC" w:rsidRDefault="00D83ED3" w:rsidP="00150C2E">
            <w:pPr>
              <w:jc w:val="center"/>
            </w:pPr>
            <w:r w:rsidRPr="00472FFC">
              <w:t>0</w:t>
            </w:r>
          </w:p>
        </w:tc>
        <w:tc>
          <w:tcPr>
            <w:tcW w:w="2780" w:type="dxa"/>
            <w:noWrap/>
            <w:hideMark/>
          </w:tcPr>
          <w:p w:rsidR="00D83ED3" w:rsidRPr="00472FFC" w:rsidRDefault="00D83ED3" w:rsidP="00150C2E">
            <w:pPr>
              <w:jc w:val="center"/>
            </w:pPr>
            <w:r w:rsidRPr="00472FFC">
              <w:t>0</w:t>
            </w:r>
          </w:p>
        </w:tc>
        <w:tc>
          <w:tcPr>
            <w:tcW w:w="3060" w:type="dxa"/>
            <w:noWrap/>
            <w:hideMark/>
          </w:tcPr>
          <w:p w:rsidR="00D83ED3" w:rsidRPr="00472FFC" w:rsidRDefault="00D83ED3" w:rsidP="00150C2E">
            <w:pPr>
              <w:jc w:val="center"/>
            </w:pPr>
            <w:r w:rsidRPr="00472FFC">
              <w:t>0</w:t>
            </w:r>
          </w:p>
        </w:tc>
      </w:tr>
      <w:tr w:rsidR="00D83ED3" w:rsidRPr="00472FFC" w:rsidTr="00150C2E">
        <w:trPr>
          <w:trHeight w:val="495"/>
        </w:trPr>
        <w:tc>
          <w:tcPr>
            <w:tcW w:w="2500" w:type="dxa"/>
            <w:noWrap/>
            <w:hideMark/>
          </w:tcPr>
          <w:p w:rsidR="00D83ED3" w:rsidRPr="00472FFC" w:rsidRDefault="00D83ED3" w:rsidP="00150C2E">
            <w:pPr>
              <w:jc w:val="center"/>
            </w:pPr>
            <w:r w:rsidRPr="00472FFC">
              <w:t>Pakistan</w:t>
            </w:r>
          </w:p>
        </w:tc>
        <w:tc>
          <w:tcPr>
            <w:tcW w:w="2780" w:type="dxa"/>
            <w:noWrap/>
            <w:hideMark/>
          </w:tcPr>
          <w:p w:rsidR="00D83ED3" w:rsidRPr="00472FFC" w:rsidRDefault="00D83ED3" w:rsidP="00150C2E">
            <w:pPr>
              <w:jc w:val="center"/>
            </w:pPr>
            <w:r w:rsidRPr="00472FFC">
              <w:t>0</w:t>
            </w:r>
          </w:p>
        </w:tc>
        <w:tc>
          <w:tcPr>
            <w:tcW w:w="2780" w:type="dxa"/>
            <w:noWrap/>
            <w:hideMark/>
          </w:tcPr>
          <w:p w:rsidR="00D83ED3" w:rsidRPr="00472FFC" w:rsidRDefault="00D83ED3" w:rsidP="00150C2E">
            <w:pPr>
              <w:jc w:val="center"/>
            </w:pPr>
            <w:r w:rsidRPr="00472FFC">
              <w:t>10</w:t>
            </w:r>
          </w:p>
        </w:tc>
        <w:tc>
          <w:tcPr>
            <w:tcW w:w="3060" w:type="dxa"/>
            <w:noWrap/>
            <w:hideMark/>
          </w:tcPr>
          <w:p w:rsidR="00D83ED3" w:rsidRPr="00472FFC" w:rsidRDefault="00D83ED3" w:rsidP="00150C2E">
            <w:pPr>
              <w:jc w:val="center"/>
            </w:pPr>
            <w:r w:rsidRPr="00472FFC">
              <w:t>25</w:t>
            </w:r>
          </w:p>
        </w:tc>
      </w:tr>
      <w:tr w:rsidR="00D83ED3" w:rsidRPr="00472FFC" w:rsidTr="00150C2E">
        <w:trPr>
          <w:trHeight w:val="495"/>
        </w:trPr>
        <w:tc>
          <w:tcPr>
            <w:tcW w:w="2500" w:type="dxa"/>
            <w:noWrap/>
            <w:hideMark/>
          </w:tcPr>
          <w:p w:rsidR="00D83ED3" w:rsidRPr="00472FFC" w:rsidRDefault="00D83ED3" w:rsidP="00150C2E">
            <w:pPr>
              <w:jc w:val="center"/>
            </w:pPr>
            <w:r w:rsidRPr="00472FFC">
              <w:t>Saudi Arabia</w:t>
            </w:r>
          </w:p>
        </w:tc>
        <w:tc>
          <w:tcPr>
            <w:tcW w:w="2780" w:type="dxa"/>
            <w:noWrap/>
            <w:hideMark/>
          </w:tcPr>
          <w:p w:rsidR="00D83ED3" w:rsidRPr="00472FFC" w:rsidRDefault="00D83ED3" w:rsidP="00150C2E">
            <w:pPr>
              <w:jc w:val="center"/>
            </w:pPr>
            <w:r w:rsidRPr="00472FFC">
              <w:t>5</w:t>
            </w:r>
          </w:p>
        </w:tc>
        <w:tc>
          <w:tcPr>
            <w:tcW w:w="2780" w:type="dxa"/>
            <w:noWrap/>
            <w:hideMark/>
          </w:tcPr>
          <w:p w:rsidR="00D83ED3" w:rsidRPr="00472FFC" w:rsidRDefault="00D83ED3" w:rsidP="00150C2E">
            <w:pPr>
              <w:jc w:val="center"/>
            </w:pPr>
            <w:r w:rsidRPr="00472FFC">
              <w:t>5</w:t>
            </w:r>
          </w:p>
        </w:tc>
        <w:tc>
          <w:tcPr>
            <w:tcW w:w="3060" w:type="dxa"/>
            <w:noWrap/>
            <w:hideMark/>
          </w:tcPr>
          <w:p w:rsidR="00D83ED3" w:rsidRPr="00472FFC" w:rsidRDefault="00D83ED3" w:rsidP="00150C2E">
            <w:pPr>
              <w:jc w:val="center"/>
            </w:pPr>
            <w:r w:rsidRPr="00472FFC">
              <w:t>5</w:t>
            </w:r>
          </w:p>
        </w:tc>
      </w:tr>
      <w:tr w:rsidR="00D83ED3" w:rsidRPr="00472FFC" w:rsidTr="00150C2E">
        <w:trPr>
          <w:trHeight w:val="495"/>
        </w:trPr>
        <w:tc>
          <w:tcPr>
            <w:tcW w:w="2500" w:type="dxa"/>
            <w:noWrap/>
            <w:hideMark/>
          </w:tcPr>
          <w:p w:rsidR="00D83ED3" w:rsidRPr="00472FFC" w:rsidRDefault="00D83ED3" w:rsidP="00150C2E">
            <w:pPr>
              <w:jc w:val="center"/>
            </w:pPr>
            <w:r w:rsidRPr="00472FFC">
              <w:t>South Africa</w:t>
            </w:r>
          </w:p>
        </w:tc>
        <w:tc>
          <w:tcPr>
            <w:tcW w:w="2780" w:type="dxa"/>
            <w:noWrap/>
            <w:hideMark/>
          </w:tcPr>
          <w:p w:rsidR="00D83ED3" w:rsidRPr="00472FFC" w:rsidRDefault="00D83ED3" w:rsidP="00150C2E">
            <w:pPr>
              <w:jc w:val="center"/>
            </w:pPr>
            <w:r w:rsidRPr="00472FFC">
              <w:t>0</w:t>
            </w:r>
          </w:p>
        </w:tc>
        <w:tc>
          <w:tcPr>
            <w:tcW w:w="2780" w:type="dxa"/>
            <w:noWrap/>
            <w:hideMark/>
          </w:tcPr>
          <w:p w:rsidR="00D83ED3" w:rsidRPr="00472FFC" w:rsidRDefault="00D83ED3" w:rsidP="00150C2E">
            <w:pPr>
              <w:jc w:val="center"/>
            </w:pPr>
            <w:r w:rsidRPr="00472FFC">
              <w:t>0</w:t>
            </w:r>
          </w:p>
        </w:tc>
        <w:tc>
          <w:tcPr>
            <w:tcW w:w="3060" w:type="dxa"/>
            <w:noWrap/>
            <w:hideMark/>
          </w:tcPr>
          <w:p w:rsidR="00D83ED3" w:rsidRPr="00472FFC" w:rsidRDefault="00D83ED3" w:rsidP="00150C2E">
            <w:pPr>
              <w:jc w:val="center"/>
            </w:pPr>
            <w:r w:rsidRPr="00472FFC">
              <w:t>30</w:t>
            </w:r>
          </w:p>
        </w:tc>
      </w:tr>
      <w:tr w:rsidR="00D83ED3" w:rsidRPr="00472FFC" w:rsidTr="00150C2E">
        <w:trPr>
          <w:trHeight w:val="495"/>
        </w:trPr>
        <w:tc>
          <w:tcPr>
            <w:tcW w:w="2500" w:type="dxa"/>
            <w:noWrap/>
            <w:hideMark/>
          </w:tcPr>
          <w:p w:rsidR="00D83ED3" w:rsidRPr="00472FFC" w:rsidRDefault="00D83ED3" w:rsidP="00150C2E">
            <w:pPr>
              <w:jc w:val="center"/>
            </w:pPr>
            <w:r w:rsidRPr="00472FFC">
              <w:t>USA</w:t>
            </w:r>
          </w:p>
        </w:tc>
        <w:tc>
          <w:tcPr>
            <w:tcW w:w="2780" w:type="dxa"/>
            <w:noWrap/>
            <w:hideMark/>
          </w:tcPr>
          <w:p w:rsidR="00D83ED3" w:rsidRPr="00472FFC" w:rsidRDefault="00D83ED3" w:rsidP="00150C2E">
            <w:pPr>
              <w:jc w:val="center"/>
            </w:pPr>
            <w:r w:rsidRPr="00472FFC">
              <w:t>0</w:t>
            </w:r>
          </w:p>
        </w:tc>
        <w:tc>
          <w:tcPr>
            <w:tcW w:w="2780" w:type="dxa"/>
            <w:noWrap/>
            <w:hideMark/>
          </w:tcPr>
          <w:p w:rsidR="00D83ED3" w:rsidRPr="00472FFC" w:rsidRDefault="00D83ED3" w:rsidP="00150C2E">
            <w:pPr>
              <w:jc w:val="center"/>
            </w:pPr>
            <w:r w:rsidRPr="00472FFC">
              <w:t>0</w:t>
            </w:r>
          </w:p>
        </w:tc>
        <w:tc>
          <w:tcPr>
            <w:tcW w:w="3060" w:type="dxa"/>
            <w:noWrap/>
            <w:hideMark/>
          </w:tcPr>
          <w:p w:rsidR="00D83ED3" w:rsidRPr="00472FFC" w:rsidRDefault="00D83ED3" w:rsidP="00150C2E">
            <w:pPr>
              <w:jc w:val="center"/>
            </w:pPr>
            <w:r w:rsidRPr="00472FFC">
              <w:t>0</w:t>
            </w:r>
          </w:p>
        </w:tc>
      </w:tr>
    </w:tbl>
    <w:p w:rsidR="00D83ED3" w:rsidRDefault="00D83ED3" w:rsidP="00D83ED3">
      <w:pPr>
        <w:rPr>
          <w:sz w:val="24"/>
        </w:rPr>
      </w:pPr>
      <w:r w:rsidRPr="002166A7">
        <w:rPr>
          <w:b/>
          <w:sz w:val="18"/>
          <w:szCs w:val="18"/>
        </w:rPr>
        <w:t xml:space="preserve">Source: </w:t>
      </w:r>
      <w:r w:rsidRPr="002166A7">
        <w:rPr>
          <w:sz w:val="18"/>
          <w:szCs w:val="18"/>
        </w:rPr>
        <w:t>WTO.</w:t>
      </w:r>
    </w:p>
    <w:p w:rsidR="008349D5" w:rsidRDefault="00D83ED3" w:rsidP="00D83ED3">
      <w:pPr>
        <w:pStyle w:val="NewPara"/>
      </w:pPr>
      <w:r w:rsidRPr="00D83ED3">
        <w:t>The Philippines and Ecuador are the main producers and exporters of abaca and abaca products principally to the EU, the United States and Japan. All countries have set a zero MFN duty for most products except for cordage and ropes of abaca, where the duties range from a low of 1.9 percent for the United States to a high of 5 percent in Egypt (Table 4).</w:t>
      </w:r>
    </w:p>
    <w:p w:rsidR="00D83ED3" w:rsidRPr="003A7F82" w:rsidRDefault="00D83ED3" w:rsidP="00D83ED3">
      <w:pPr>
        <w:rPr>
          <w:b/>
        </w:rPr>
      </w:pPr>
      <w:r w:rsidRPr="00D83ED3">
        <w:rPr>
          <w:b/>
        </w:rPr>
        <w:t xml:space="preserve"> </w:t>
      </w:r>
      <w:r w:rsidRPr="003A7F82">
        <w:rPr>
          <w:b/>
        </w:rPr>
        <w:t>MFN Applied Tariffs</w:t>
      </w:r>
      <w:r w:rsidRPr="003A7F82">
        <w:rPr>
          <w:b/>
        </w:rPr>
        <w:tab/>
      </w:r>
      <w:r w:rsidRPr="003A7F82">
        <w:rPr>
          <w:b/>
        </w:rPr>
        <w:tab/>
      </w:r>
    </w:p>
    <w:p w:rsidR="00D83ED3" w:rsidRPr="003A7F82" w:rsidRDefault="00D83ED3" w:rsidP="00D83ED3">
      <w:pPr>
        <w:rPr>
          <w:b/>
        </w:rPr>
      </w:pPr>
      <w:r>
        <w:rPr>
          <w:b/>
        </w:rPr>
        <w:t>Table 4</w:t>
      </w:r>
      <w:r w:rsidRPr="003A7F82">
        <w:rPr>
          <w:b/>
        </w:rPr>
        <w:t xml:space="preserve"> - Tariffs on Abaca and Abaca Products for selected major importers</w:t>
      </w:r>
      <w:r w:rsidRPr="003A7F82">
        <w:rPr>
          <w:b/>
        </w:rPr>
        <w:tab/>
      </w:r>
      <w:r w:rsidRPr="003A7F82">
        <w:rPr>
          <w:b/>
        </w:rPr>
        <w:tab/>
      </w:r>
    </w:p>
    <w:tbl>
      <w:tblPr>
        <w:tblStyle w:val="TableGrid"/>
        <w:tblW w:w="0" w:type="auto"/>
        <w:tblLook w:val="04A0"/>
      </w:tblPr>
      <w:tblGrid>
        <w:gridCol w:w="2377"/>
        <w:gridCol w:w="3455"/>
        <w:gridCol w:w="3455"/>
      </w:tblGrid>
      <w:tr w:rsidR="00D83ED3" w:rsidRPr="00472FFC" w:rsidTr="00150C2E">
        <w:trPr>
          <w:trHeight w:val="735"/>
        </w:trPr>
        <w:tc>
          <w:tcPr>
            <w:tcW w:w="2380" w:type="dxa"/>
            <w:noWrap/>
            <w:hideMark/>
          </w:tcPr>
          <w:p w:rsidR="00D83ED3" w:rsidRPr="00472FFC" w:rsidRDefault="00D83ED3" w:rsidP="00150C2E">
            <w:pPr>
              <w:jc w:val="center"/>
            </w:pPr>
            <w:r w:rsidRPr="00472FFC">
              <w:t>Product Name</w:t>
            </w:r>
          </w:p>
        </w:tc>
        <w:tc>
          <w:tcPr>
            <w:tcW w:w="3460" w:type="dxa"/>
            <w:noWrap/>
            <w:hideMark/>
          </w:tcPr>
          <w:p w:rsidR="00D83ED3" w:rsidRPr="00472FFC" w:rsidRDefault="00D83ED3" w:rsidP="00150C2E">
            <w:pPr>
              <w:jc w:val="center"/>
            </w:pPr>
            <w:r w:rsidRPr="00472FFC">
              <w:t>Raw Abaca fibre</w:t>
            </w:r>
          </w:p>
        </w:tc>
        <w:tc>
          <w:tcPr>
            <w:tcW w:w="3460" w:type="dxa"/>
            <w:noWrap/>
            <w:hideMark/>
          </w:tcPr>
          <w:p w:rsidR="00D83ED3" w:rsidRPr="00472FFC" w:rsidRDefault="00D83ED3" w:rsidP="00150C2E">
            <w:pPr>
              <w:jc w:val="center"/>
            </w:pPr>
            <w:r w:rsidRPr="00472FFC">
              <w:t>Abaca cordage</w:t>
            </w:r>
          </w:p>
        </w:tc>
      </w:tr>
      <w:tr w:rsidR="00D83ED3" w:rsidRPr="00472FFC" w:rsidTr="00150C2E">
        <w:trPr>
          <w:trHeight w:val="405"/>
        </w:trPr>
        <w:tc>
          <w:tcPr>
            <w:tcW w:w="2380" w:type="dxa"/>
            <w:noWrap/>
            <w:hideMark/>
          </w:tcPr>
          <w:p w:rsidR="00D83ED3" w:rsidRPr="00472FFC" w:rsidRDefault="00D83ED3" w:rsidP="00150C2E">
            <w:pPr>
              <w:jc w:val="center"/>
              <w:rPr>
                <w:b/>
                <w:bCs/>
              </w:rPr>
            </w:pPr>
            <w:r w:rsidRPr="00472FFC">
              <w:rPr>
                <w:b/>
                <w:bCs/>
              </w:rPr>
              <w:t>HS Code</w:t>
            </w:r>
          </w:p>
        </w:tc>
        <w:tc>
          <w:tcPr>
            <w:tcW w:w="3460" w:type="dxa"/>
            <w:noWrap/>
            <w:hideMark/>
          </w:tcPr>
          <w:p w:rsidR="00D83ED3" w:rsidRPr="00472FFC" w:rsidRDefault="00D83ED3" w:rsidP="00150C2E">
            <w:pPr>
              <w:jc w:val="center"/>
              <w:rPr>
                <w:b/>
                <w:bCs/>
              </w:rPr>
            </w:pPr>
            <w:r w:rsidRPr="00472FFC">
              <w:rPr>
                <w:b/>
                <w:bCs/>
              </w:rPr>
              <w:t>5305.00</w:t>
            </w:r>
          </w:p>
        </w:tc>
        <w:tc>
          <w:tcPr>
            <w:tcW w:w="3460" w:type="dxa"/>
            <w:noWrap/>
            <w:hideMark/>
          </w:tcPr>
          <w:p w:rsidR="00D83ED3" w:rsidRPr="00472FFC" w:rsidRDefault="00D83ED3" w:rsidP="00150C2E">
            <w:pPr>
              <w:jc w:val="center"/>
              <w:rPr>
                <w:b/>
                <w:bCs/>
              </w:rPr>
            </w:pPr>
            <w:r w:rsidRPr="00472FFC">
              <w:rPr>
                <w:b/>
                <w:bCs/>
              </w:rPr>
              <w:t>5607.90</w:t>
            </w:r>
          </w:p>
        </w:tc>
      </w:tr>
      <w:tr w:rsidR="00D83ED3" w:rsidRPr="00472FFC" w:rsidTr="00D83ED3">
        <w:trPr>
          <w:trHeight w:val="329"/>
        </w:trPr>
        <w:tc>
          <w:tcPr>
            <w:tcW w:w="2380" w:type="dxa"/>
            <w:noWrap/>
            <w:hideMark/>
          </w:tcPr>
          <w:p w:rsidR="00D83ED3" w:rsidRPr="00472FFC" w:rsidRDefault="00D83ED3" w:rsidP="00150C2E">
            <w:pPr>
              <w:jc w:val="center"/>
            </w:pPr>
            <w:r w:rsidRPr="00472FFC">
              <w:t>China</w:t>
            </w:r>
          </w:p>
        </w:tc>
        <w:tc>
          <w:tcPr>
            <w:tcW w:w="3460" w:type="dxa"/>
            <w:noWrap/>
            <w:hideMark/>
          </w:tcPr>
          <w:p w:rsidR="00D83ED3" w:rsidRPr="00472FFC" w:rsidRDefault="00D83ED3" w:rsidP="00150C2E">
            <w:pPr>
              <w:jc w:val="center"/>
            </w:pPr>
            <w:r w:rsidRPr="00472FFC">
              <w:t>4.8</w:t>
            </w:r>
          </w:p>
        </w:tc>
        <w:tc>
          <w:tcPr>
            <w:tcW w:w="3460" w:type="dxa"/>
            <w:noWrap/>
            <w:hideMark/>
          </w:tcPr>
          <w:p w:rsidR="00D83ED3" w:rsidRPr="00472FFC" w:rsidRDefault="00D83ED3" w:rsidP="00150C2E">
            <w:pPr>
              <w:jc w:val="center"/>
            </w:pPr>
            <w:r w:rsidRPr="00472FFC">
              <w:t>5</w:t>
            </w:r>
          </w:p>
        </w:tc>
      </w:tr>
      <w:tr w:rsidR="00D83ED3" w:rsidRPr="00472FFC" w:rsidTr="00D83ED3">
        <w:trPr>
          <w:trHeight w:val="391"/>
        </w:trPr>
        <w:tc>
          <w:tcPr>
            <w:tcW w:w="2380" w:type="dxa"/>
            <w:noWrap/>
            <w:hideMark/>
          </w:tcPr>
          <w:p w:rsidR="00D83ED3" w:rsidRPr="00472FFC" w:rsidRDefault="00D83ED3" w:rsidP="00150C2E">
            <w:pPr>
              <w:jc w:val="center"/>
            </w:pPr>
            <w:r w:rsidRPr="00472FFC">
              <w:t>EU</w:t>
            </w:r>
          </w:p>
        </w:tc>
        <w:tc>
          <w:tcPr>
            <w:tcW w:w="3460" w:type="dxa"/>
            <w:noWrap/>
            <w:hideMark/>
          </w:tcPr>
          <w:p w:rsidR="00D83ED3" w:rsidRPr="00472FFC" w:rsidRDefault="00D83ED3" w:rsidP="00150C2E">
            <w:pPr>
              <w:jc w:val="center"/>
            </w:pPr>
            <w:r w:rsidRPr="00472FFC">
              <w:t>0</w:t>
            </w:r>
          </w:p>
        </w:tc>
        <w:tc>
          <w:tcPr>
            <w:tcW w:w="3460" w:type="dxa"/>
            <w:noWrap/>
            <w:hideMark/>
          </w:tcPr>
          <w:p w:rsidR="00D83ED3" w:rsidRPr="00472FFC" w:rsidRDefault="00D83ED3" w:rsidP="00150C2E">
            <w:pPr>
              <w:jc w:val="center"/>
            </w:pPr>
            <w:r w:rsidRPr="00472FFC">
              <w:t>7</w:t>
            </w:r>
          </w:p>
        </w:tc>
      </w:tr>
      <w:tr w:rsidR="00D83ED3" w:rsidRPr="00472FFC" w:rsidTr="00D83ED3">
        <w:trPr>
          <w:trHeight w:val="411"/>
        </w:trPr>
        <w:tc>
          <w:tcPr>
            <w:tcW w:w="2380" w:type="dxa"/>
            <w:noWrap/>
            <w:hideMark/>
          </w:tcPr>
          <w:p w:rsidR="00D83ED3" w:rsidRPr="00472FFC" w:rsidRDefault="00D83ED3" w:rsidP="00150C2E">
            <w:pPr>
              <w:jc w:val="center"/>
            </w:pPr>
            <w:r w:rsidRPr="00472FFC">
              <w:t>Japan</w:t>
            </w:r>
          </w:p>
        </w:tc>
        <w:tc>
          <w:tcPr>
            <w:tcW w:w="3460" w:type="dxa"/>
            <w:noWrap/>
            <w:hideMark/>
          </w:tcPr>
          <w:p w:rsidR="00D83ED3" w:rsidRPr="00472FFC" w:rsidRDefault="00D83ED3" w:rsidP="00150C2E">
            <w:pPr>
              <w:jc w:val="center"/>
            </w:pPr>
            <w:r w:rsidRPr="00472FFC">
              <w:t>0</w:t>
            </w:r>
          </w:p>
        </w:tc>
        <w:tc>
          <w:tcPr>
            <w:tcW w:w="3460" w:type="dxa"/>
            <w:noWrap/>
            <w:hideMark/>
          </w:tcPr>
          <w:p w:rsidR="00D83ED3" w:rsidRPr="00472FFC" w:rsidRDefault="00D83ED3" w:rsidP="00150C2E">
            <w:pPr>
              <w:jc w:val="center"/>
            </w:pPr>
            <w:r w:rsidRPr="00472FFC">
              <w:t>1.7</w:t>
            </w:r>
          </w:p>
        </w:tc>
      </w:tr>
      <w:tr w:rsidR="00D83ED3" w:rsidRPr="00472FFC" w:rsidTr="00D83ED3">
        <w:trPr>
          <w:trHeight w:val="417"/>
        </w:trPr>
        <w:tc>
          <w:tcPr>
            <w:tcW w:w="2380" w:type="dxa"/>
            <w:noWrap/>
            <w:hideMark/>
          </w:tcPr>
          <w:p w:rsidR="00D83ED3" w:rsidRPr="00472FFC" w:rsidRDefault="00D83ED3" w:rsidP="00150C2E">
            <w:pPr>
              <w:jc w:val="center"/>
            </w:pPr>
            <w:r w:rsidRPr="00472FFC">
              <w:t>Malaysia</w:t>
            </w:r>
          </w:p>
        </w:tc>
        <w:tc>
          <w:tcPr>
            <w:tcW w:w="3460" w:type="dxa"/>
            <w:noWrap/>
            <w:hideMark/>
          </w:tcPr>
          <w:p w:rsidR="00D83ED3" w:rsidRPr="00472FFC" w:rsidRDefault="00D83ED3" w:rsidP="00150C2E">
            <w:pPr>
              <w:jc w:val="center"/>
            </w:pPr>
            <w:r w:rsidRPr="00472FFC">
              <w:t>0</w:t>
            </w:r>
          </w:p>
        </w:tc>
        <w:tc>
          <w:tcPr>
            <w:tcW w:w="3460" w:type="dxa"/>
            <w:noWrap/>
            <w:hideMark/>
          </w:tcPr>
          <w:p w:rsidR="00D83ED3" w:rsidRPr="00472FFC" w:rsidRDefault="00D83ED3" w:rsidP="00150C2E">
            <w:pPr>
              <w:jc w:val="center"/>
            </w:pPr>
            <w:r w:rsidRPr="00472FFC">
              <w:t>1.8</w:t>
            </w:r>
          </w:p>
        </w:tc>
      </w:tr>
      <w:tr w:rsidR="00D83ED3" w:rsidRPr="00472FFC" w:rsidTr="00D83ED3">
        <w:trPr>
          <w:trHeight w:val="409"/>
        </w:trPr>
        <w:tc>
          <w:tcPr>
            <w:tcW w:w="2380" w:type="dxa"/>
            <w:noWrap/>
            <w:hideMark/>
          </w:tcPr>
          <w:p w:rsidR="00D83ED3" w:rsidRPr="00472FFC" w:rsidRDefault="00D83ED3" w:rsidP="00150C2E">
            <w:pPr>
              <w:jc w:val="center"/>
            </w:pPr>
            <w:r w:rsidRPr="00472FFC">
              <w:t>Singapore</w:t>
            </w:r>
          </w:p>
        </w:tc>
        <w:tc>
          <w:tcPr>
            <w:tcW w:w="3460" w:type="dxa"/>
            <w:noWrap/>
            <w:hideMark/>
          </w:tcPr>
          <w:p w:rsidR="00D83ED3" w:rsidRPr="00472FFC" w:rsidRDefault="00D83ED3" w:rsidP="00150C2E">
            <w:pPr>
              <w:jc w:val="center"/>
            </w:pPr>
            <w:r w:rsidRPr="00472FFC">
              <w:t>0</w:t>
            </w:r>
          </w:p>
        </w:tc>
        <w:tc>
          <w:tcPr>
            <w:tcW w:w="3460" w:type="dxa"/>
            <w:noWrap/>
            <w:hideMark/>
          </w:tcPr>
          <w:p w:rsidR="00D83ED3" w:rsidRPr="00472FFC" w:rsidRDefault="00D83ED3" w:rsidP="00150C2E">
            <w:pPr>
              <w:jc w:val="center"/>
            </w:pPr>
            <w:r w:rsidRPr="00472FFC">
              <w:t>0</w:t>
            </w:r>
          </w:p>
        </w:tc>
      </w:tr>
      <w:tr w:rsidR="00D83ED3" w:rsidRPr="00472FFC" w:rsidTr="00D83ED3">
        <w:trPr>
          <w:trHeight w:val="429"/>
        </w:trPr>
        <w:tc>
          <w:tcPr>
            <w:tcW w:w="2380" w:type="dxa"/>
            <w:noWrap/>
            <w:hideMark/>
          </w:tcPr>
          <w:p w:rsidR="00D83ED3" w:rsidRPr="00472FFC" w:rsidRDefault="00D83ED3" w:rsidP="00150C2E">
            <w:pPr>
              <w:jc w:val="center"/>
            </w:pPr>
            <w:r w:rsidRPr="00472FFC">
              <w:t>Thailand</w:t>
            </w:r>
          </w:p>
        </w:tc>
        <w:tc>
          <w:tcPr>
            <w:tcW w:w="3460" w:type="dxa"/>
            <w:noWrap/>
            <w:hideMark/>
          </w:tcPr>
          <w:p w:rsidR="00D83ED3" w:rsidRPr="00472FFC" w:rsidRDefault="00D83ED3" w:rsidP="00150C2E">
            <w:pPr>
              <w:jc w:val="center"/>
            </w:pPr>
            <w:r w:rsidRPr="00472FFC">
              <w:t>5</w:t>
            </w:r>
          </w:p>
        </w:tc>
        <w:tc>
          <w:tcPr>
            <w:tcW w:w="3460" w:type="dxa"/>
            <w:noWrap/>
            <w:hideMark/>
          </w:tcPr>
          <w:p w:rsidR="00D83ED3" w:rsidRPr="00472FFC" w:rsidRDefault="00D83ED3" w:rsidP="00150C2E">
            <w:pPr>
              <w:jc w:val="center"/>
            </w:pPr>
            <w:r w:rsidRPr="00472FFC">
              <w:t>5</w:t>
            </w:r>
          </w:p>
        </w:tc>
      </w:tr>
      <w:tr w:rsidR="00D83ED3" w:rsidRPr="00472FFC" w:rsidTr="00150C2E">
        <w:trPr>
          <w:trHeight w:val="480"/>
        </w:trPr>
        <w:tc>
          <w:tcPr>
            <w:tcW w:w="2380" w:type="dxa"/>
            <w:noWrap/>
            <w:hideMark/>
          </w:tcPr>
          <w:p w:rsidR="00D83ED3" w:rsidRPr="00472FFC" w:rsidRDefault="00D83ED3" w:rsidP="00150C2E">
            <w:pPr>
              <w:jc w:val="center"/>
            </w:pPr>
            <w:r w:rsidRPr="00472FFC">
              <w:t>USA</w:t>
            </w:r>
          </w:p>
        </w:tc>
        <w:tc>
          <w:tcPr>
            <w:tcW w:w="3460" w:type="dxa"/>
            <w:noWrap/>
            <w:hideMark/>
          </w:tcPr>
          <w:p w:rsidR="00D83ED3" w:rsidRPr="00472FFC" w:rsidRDefault="00D83ED3" w:rsidP="00150C2E">
            <w:pPr>
              <w:jc w:val="center"/>
            </w:pPr>
            <w:r w:rsidRPr="00472FFC">
              <w:t>0</w:t>
            </w:r>
          </w:p>
        </w:tc>
        <w:tc>
          <w:tcPr>
            <w:tcW w:w="3460" w:type="dxa"/>
            <w:noWrap/>
            <w:hideMark/>
          </w:tcPr>
          <w:p w:rsidR="00D83ED3" w:rsidRPr="00472FFC" w:rsidRDefault="00D83ED3" w:rsidP="00150C2E">
            <w:pPr>
              <w:jc w:val="center"/>
            </w:pPr>
            <w:r w:rsidRPr="00472FFC">
              <w:t>1.9</w:t>
            </w:r>
          </w:p>
        </w:tc>
      </w:tr>
    </w:tbl>
    <w:p w:rsidR="00D83ED3" w:rsidRPr="006535AE" w:rsidRDefault="00D83ED3" w:rsidP="00D83ED3">
      <w:pPr>
        <w:rPr>
          <w:sz w:val="18"/>
          <w:szCs w:val="18"/>
        </w:rPr>
      </w:pPr>
      <w:r w:rsidRPr="006535AE">
        <w:rPr>
          <w:b/>
          <w:sz w:val="18"/>
          <w:szCs w:val="18"/>
        </w:rPr>
        <w:t>Source:</w:t>
      </w:r>
      <w:r w:rsidRPr="006535AE">
        <w:rPr>
          <w:sz w:val="18"/>
          <w:szCs w:val="18"/>
        </w:rPr>
        <w:t xml:space="preserve"> WTO</w:t>
      </w:r>
      <w:r>
        <w:rPr>
          <w:sz w:val="18"/>
          <w:szCs w:val="18"/>
        </w:rPr>
        <w:t>.</w:t>
      </w:r>
    </w:p>
    <w:p w:rsidR="00EE501A" w:rsidRPr="00A5130B" w:rsidRDefault="00EE501A" w:rsidP="00A5130B"/>
    <w:p w:rsidR="00EE501A" w:rsidRDefault="00EE501A" w:rsidP="00EE501A">
      <w:pPr>
        <w:pStyle w:val="Heading1"/>
        <w:rPr>
          <w:sz w:val="24"/>
          <w:szCs w:val="24"/>
        </w:rPr>
      </w:pPr>
      <w:r w:rsidRPr="006E1322">
        <w:rPr>
          <w:sz w:val="24"/>
          <w:szCs w:val="24"/>
        </w:rPr>
        <w:lastRenderedPageBreak/>
        <w:t>NON-TARIFF BARRIERS (NTBs)</w:t>
      </w:r>
    </w:p>
    <w:p w:rsidR="00EE501A" w:rsidRDefault="00EE501A" w:rsidP="00EE501A">
      <w:pPr>
        <w:pStyle w:val="NewPara"/>
      </w:pPr>
      <w:r w:rsidRPr="00034CB6">
        <w:rPr>
          <w:sz w:val="24"/>
          <w:szCs w:val="24"/>
        </w:rPr>
        <w:t xml:space="preserve">Although there is no agreed formal definition of NTBs, in general, NTBs refer to all non-tariff restrictions on trade in goods, services and investment. These include border measures such as customs procedure as well as behind-the-border measures flowing from domestic laws, regulations and practices. Exporters of JACKS products face a number of NTBs which often inhibits their ability to profitably engage in international trade. These include </w:t>
      </w:r>
      <w:r>
        <w:rPr>
          <w:sz w:val="24"/>
          <w:szCs w:val="24"/>
        </w:rPr>
        <w:t xml:space="preserve">strict </w:t>
      </w:r>
      <w:r w:rsidRPr="00034CB6">
        <w:rPr>
          <w:sz w:val="24"/>
          <w:szCs w:val="24"/>
        </w:rPr>
        <w:t>packaging and labelling</w:t>
      </w:r>
      <w:r>
        <w:rPr>
          <w:sz w:val="24"/>
          <w:szCs w:val="24"/>
        </w:rPr>
        <w:t xml:space="preserve"> requirements</w:t>
      </w:r>
      <w:r w:rsidRPr="00034CB6">
        <w:rPr>
          <w:sz w:val="24"/>
          <w:szCs w:val="24"/>
        </w:rPr>
        <w:t xml:space="preserve">, SPS measures, </w:t>
      </w:r>
      <w:r>
        <w:rPr>
          <w:sz w:val="24"/>
          <w:szCs w:val="24"/>
        </w:rPr>
        <w:t xml:space="preserve">complex and bureaucratic </w:t>
      </w:r>
      <w:r w:rsidRPr="00034CB6">
        <w:rPr>
          <w:sz w:val="24"/>
          <w:szCs w:val="24"/>
        </w:rPr>
        <w:t>customs and administrative procedures</w:t>
      </w:r>
      <w:r>
        <w:rPr>
          <w:sz w:val="24"/>
          <w:szCs w:val="24"/>
        </w:rPr>
        <w:t xml:space="preserve"> and</w:t>
      </w:r>
      <w:r w:rsidRPr="00034CB6">
        <w:rPr>
          <w:sz w:val="24"/>
          <w:szCs w:val="24"/>
        </w:rPr>
        <w:t xml:space="preserve"> import licensing requirements on the exports of </w:t>
      </w:r>
      <w:r>
        <w:rPr>
          <w:sz w:val="24"/>
          <w:szCs w:val="24"/>
        </w:rPr>
        <w:t>processed fibre products</w:t>
      </w:r>
      <w:r w:rsidRPr="00034CB6">
        <w:rPr>
          <w:sz w:val="24"/>
          <w:szCs w:val="24"/>
        </w:rPr>
        <w:t>.</w:t>
      </w:r>
    </w:p>
    <w:p w:rsidR="00EE501A" w:rsidRDefault="00EE501A" w:rsidP="00EE501A">
      <w:pPr>
        <w:pStyle w:val="NewPara"/>
      </w:pPr>
      <w:r w:rsidRPr="009C3FBE">
        <w:rPr>
          <w:sz w:val="24"/>
          <w:szCs w:val="24"/>
        </w:rPr>
        <w:t xml:space="preserve">Fibre products that are packed in wooden crates or placed on wooden pellets have to be quarantine treated. Up until recently methyl bromide  was used to fumigate these crates and pellets, </w:t>
      </w:r>
      <w:r w:rsidRPr="009C3FBE">
        <w:rPr>
          <w:rFonts w:cs="Times New Roman"/>
          <w:color w:val="303030"/>
          <w:sz w:val="24"/>
          <w:szCs w:val="24"/>
        </w:rPr>
        <w:t>because of its penetrating ability, rapid action and high toxicity to a broad spectrum of insects and pests.</w:t>
      </w:r>
      <w:r w:rsidRPr="009C3FBE">
        <w:rPr>
          <w:sz w:val="24"/>
          <w:szCs w:val="24"/>
        </w:rPr>
        <w:t xml:space="preserve"> However, the use of methyl bromide is now banned in many countries</w:t>
      </w:r>
      <w:r w:rsidRPr="006E1322">
        <w:rPr>
          <w:rStyle w:val="FootnoteReference"/>
          <w:sz w:val="24"/>
          <w:szCs w:val="24"/>
        </w:rPr>
        <w:footnoteReference w:id="8"/>
      </w:r>
      <w:r w:rsidRPr="009C3FBE">
        <w:rPr>
          <w:sz w:val="24"/>
          <w:szCs w:val="24"/>
        </w:rPr>
        <w:t>.  Alternative treatments are costly because more than one chemical is needed to treat the broad spectrum of pests that need to be controlled to satisfy the quarantine requirements of importing countries. So far there does not seem to be any chemical available in the market to treat the same broad spectrum of pests as methyl bromide. A lot of confusion has also arisen because of the different phasing out periods in the use of methyl bromide between developed and developing countries under the Montreal Protocol. As developed countries were required to phase out the use of methyl bromide at the end of 2005, while developing countries could continue using the chemical until 2015,  often shipments of fibre products treated with methyl bromide in developing countries were not allowed entry into developed importing countries.</w:t>
      </w:r>
    </w:p>
    <w:p w:rsidR="00EE501A" w:rsidRDefault="00EE501A" w:rsidP="00EE501A">
      <w:pPr>
        <w:pStyle w:val="NewPara"/>
      </w:pPr>
      <w:r w:rsidRPr="003266D2">
        <w:rPr>
          <w:sz w:val="24"/>
          <w:szCs w:val="24"/>
        </w:rPr>
        <w:t>A common complaint from exporters is that the plethora of standards imposed by importing countries has increased cost of compliance to significant levels and perhaps consideration should be given to harmonizing some of these standards. In Australia, sacks and woven fabrics require certification that industrially processed JACKS have originated from pest-free crops, while in Japan, blended products require additional certification depending on the specific percentage of certain JACKS in the fabric. Exporters who sell directly to specialised retail outlets also face obligatory requirements to meet private standards regarding such issues as health, safety, child labour, fair wages and working hours, freedom of association and environmental impacts. These concerns are considered legitimate or precautionary by the countries imposing them. Exporters cannot overcome the problems associated with application of these requirements unless they are effectively engaged and participate in both bilateral and multinational negotiation. Capacity building is also needed to enhance their ability to comply.</w:t>
      </w:r>
    </w:p>
    <w:p w:rsidR="00EE501A" w:rsidRPr="00EE501A" w:rsidRDefault="00EE501A" w:rsidP="00EE501A">
      <w:pPr>
        <w:pStyle w:val="NewPara"/>
      </w:pPr>
      <w:r w:rsidRPr="003266D2">
        <w:rPr>
          <w:sz w:val="24"/>
          <w:szCs w:val="24"/>
        </w:rPr>
        <w:t>In the area of domestic support and other trade distorting measures, JACKS were not subject to reduction commitments under the WTO as key producers and exporters - the developing countries - typically do not provide such support. Also, in the case of competing products, flax and hemp, no export subsidy commitments are reported to the WTO, with the exception of Canada which lists its total outlay for oilseeds in which linseeds (from flax) are covered.</w:t>
      </w:r>
    </w:p>
    <w:p w:rsidR="00A5130B" w:rsidRDefault="00EE501A" w:rsidP="00EE501A">
      <w:pPr>
        <w:pStyle w:val="Heading1"/>
        <w:rPr>
          <w:sz w:val="24"/>
          <w:szCs w:val="24"/>
        </w:rPr>
      </w:pPr>
      <w:r w:rsidRPr="006E1322">
        <w:rPr>
          <w:sz w:val="24"/>
          <w:szCs w:val="24"/>
        </w:rPr>
        <w:lastRenderedPageBreak/>
        <w:t>CONCLU</w:t>
      </w:r>
      <w:r>
        <w:rPr>
          <w:sz w:val="24"/>
          <w:szCs w:val="24"/>
        </w:rPr>
        <w:t>DING REMARKS</w:t>
      </w:r>
    </w:p>
    <w:p w:rsidR="00EE501A" w:rsidRDefault="00A5130B" w:rsidP="00A5130B">
      <w:pPr>
        <w:pStyle w:val="NewPara"/>
      </w:pPr>
      <w:r w:rsidRPr="006E1322">
        <w:rPr>
          <w:sz w:val="24"/>
          <w:szCs w:val="24"/>
        </w:rPr>
        <w:t>The implementation of the Uruguay Round commitments and the phasing out of the Multi-Fibre Agreement (MFA) in 2004 were two important milestones for international trade in JACKS. Under the WTO, disciplines were put in place to reduce tariffs and convert other forms of restrictions into tariff equivalents and reduce them under an agreed formula for improvements in market access</w:t>
      </w:r>
      <w:r>
        <w:rPr>
          <w:sz w:val="24"/>
          <w:szCs w:val="24"/>
        </w:rPr>
        <w:t xml:space="preserve">. </w:t>
      </w:r>
      <w:r w:rsidRPr="006E1322">
        <w:rPr>
          <w:sz w:val="24"/>
          <w:szCs w:val="24"/>
        </w:rPr>
        <w:t>The end of the MFA, which had imposed quota restrictions on textile imports and for which exports were charged MFA duty rates instead of lower GSP rates when imports exceeded quota limits</w:t>
      </w:r>
      <w:r>
        <w:rPr>
          <w:sz w:val="24"/>
          <w:szCs w:val="24"/>
        </w:rPr>
        <w:t>,</w:t>
      </w:r>
      <w:r w:rsidRPr="006E1322">
        <w:rPr>
          <w:sz w:val="24"/>
          <w:szCs w:val="24"/>
        </w:rPr>
        <w:t xml:space="preserve"> is expected to improve market access for textile and clothing products from developing countries. Added to these developments, the increase of bilateral and regional trade agreements in recent years have all served to create a conducive environment for exporters from developing countries. However, this situation should not encourage complacency, as there are still tariffs and significant NTBs that </w:t>
      </w:r>
      <w:r>
        <w:rPr>
          <w:sz w:val="24"/>
          <w:szCs w:val="24"/>
        </w:rPr>
        <w:t xml:space="preserve">pose problems for </w:t>
      </w:r>
      <w:r w:rsidRPr="006E1322">
        <w:rPr>
          <w:sz w:val="24"/>
          <w:szCs w:val="24"/>
        </w:rPr>
        <w:t xml:space="preserve">JACKS producers and exporters </w:t>
      </w:r>
      <w:r>
        <w:rPr>
          <w:sz w:val="24"/>
          <w:szCs w:val="24"/>
        </w:rPr>
        <w:t xml:space="preserve">in trying to exploit export opportunities. In particular, efforts need to be </w:t>
      </w:r>
      <w:r w:rsidRPr="006E1322">
        <w:rPr>
          <w:sz w:val="24"/>
          <w:szCs w:val="24"/>
        </w:rPr>
        <w:t xml:space="preserve">made to engage with trade partners in bilateral, regional and multilateral negotiations to </w:t>
      </w:r>
      <w:r>
        <w:rPr>
          <w:sz w:val="24"/>
          <w:szCs w:val="24"/>
        </w:rPr>
        <w:t xml:space="preserve">review </w:t>
      </w:r>
      <w:r w:rsidRPr="006E1322">
        <w:rPr>
          <w:sz w:val="24"/>
          <w:szCs w:val="24"/>
        </w:rPr>
        <w:t xml:space="preserve">the remaining tariffs, </w:t>
      </w:r>
      <w:r>
        <w:rPr>
          <w:sz w:val="24"/>
          <w:szCs w:val="24"/>
        </w:rPr>
        <w:t xml:space="preserve">and </w:t>
      </w:r>
      <w:r w:rsidRPr="006E1322">
        <w:rPr>
          <w:sz w:val="24"/>
          <w:szCs w:val="24"/>
        </w:rPr>
        <w:t xml:space="preserve">especially </w:t>
      </w:r>
      <w:r>
        <w:rPr>
          <w:sz w:val="24"/>
          <w:szCs w:val="24"/>
        </w:rPr>
        <w:t xml:space="preserve">the issue of </w:t>
      </w:r>
      <w:r w:rsidRPr="006E1322">
        <w:rPr>
          <w:sz w:val="24"/>
          <w:szCs w:val="24"/>
        </w:rPr>
        <w:t>tariff escalation. In the case of NTBs, although minor progress has been made on some fronts</w:t>
      </w:r>
      <w:r>
        <w:rPr>
          <w:sz w:val="24"/>
          <w:szCs w:val="24"/>
        </w:rPr>
        <w:t>,</w:t>
      </w:r>
      <w:r w:rsidRPr="006E1322">
        <w:rPr>
          <w:sz w:val="24"/>
          <w:szCs w:val="24"/>
        </w:rPr>
        <w:t xml:space="preserve"> in terms of reporting and monitoring</w:t>
      </w:r>
      <w:r>
        <w:rPr>
          <w:sz w:val="24"/>
          <w:szCs w:val="24"/>
        </w:rPr>
        <w:t xml:space="preserve">,  </w:t>
      </w:r>
      <w:r w:rsidRPr="006E1322">
        <w:rPr>
          <w:sz w:val="24"/>
          <w:szCs w:val="24"/>
        </w:rPr>
        <w:t xml:space="preserve">no concrete actions or road map to their </w:t>
      </w:r>
      <w:r>
        <w:rPr>
          <w:sz w:val="24"/>
          <w:szCs w:val="24"/>
        </w:rPr>
        <w:t xml:space="preserve">reduction and harmonization </w:t>
      </w:r>
      <w:r w:rsidRPr="006E1322">
        <w:rPr>
          <w:sz w:val="24"/>
          <w:szCs w:val="24"/>
        </w:rPr>
        <w:t>have been agreed at the multilateral level.</w:t>
      </w:r>
    </w:p>
    <w:p w:rsidR="00A5130B" w:rsidRPr="00A5130B" w:rsidRDefault="00A5130B" w:rsidP="00A5130B">
      <w:pPr>
        <w:pStyle w:val="NewPara"/>
      </w:pPr>
      <w:r w:rsidRPr="00A5130B">
        <w:rPr>
          <w:sz w:val="24"/>
          <w:szCs w:val="24"/>
        </w:rPr>
        <w:t xml:space="preserve"> </w:t>
      </w:r>
      <w:r w:rsidRPr="008B2458">
        <w:rPr>
          <w:sz w:val="24"/>
          <w:szCs w:val="24"/>
        </w:rPr>
        <w:t>However, there is little point in improving market access if products are not available in acceptable quality and quantity. In this regard, producers of JACKS would need to ensure that supply-side and marketing constraints would be overcome. These need to be addressed on several fronts: through operationally effective policy, capacity and institution building, investment in research and development along the value chain and on market enhancing infrastructure. The focus should not be limited to improving the agronomic conditions but should also include research and development on new and prospective  end-uses, building on the current heightened environmental concerns over the use of  synthetic substitutes. Enabling policies could be considered in JACKS producing countries to support the emerging composite fibres industry, for example, with incentives to use composite materials for the construction of public buildings, such as hospitals and schools.</w:t>
      </w:r>
    </w:p>
    <w:sectPr w:rsidR="00A5130B" w:rsidRPr="00A5130B" w:rsidSect="005F59A8">
      <w:headerReference w:type="even" r:id="rId12"/>
      <w:headerReference w:type="default" r:id="rId13"/>
      <w:headerReference w:type="first" r:id="rId14"/>
      <w:footerReference w:type="first" r:id="rId15"/>
      <w:pgSz w:w="11907" w:h="16840" w:code="9"/>
      <w:pgMar w:top="1418" w:right="1418" w:bottom="1418"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9A8" w:rsidRPr="000E7DD2" w:rsidRDefault="005F59A8" w:rsidP="000E7DD2">
      <w:r>
        <w:separator/>
      </w:r>
    </w:p>
  </w:endnote>
  <w:endnote w:type="continuationSeparator" w:id="0">
    <w:p w:rsidR="005F59A8" w:rsidRPr="000E7DD2" w:rsidRDefault="005F59A8" w:rsidP="000E7D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khba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3BC" w:rsidRPr="001B13BC" w:rsidRDefault="001B13BC" w:rsidP="005F59A8">
    <w:pPr>
      <w:pStyle w:val="Note"/>
    </w:pPr>
    <w:bookmarkStart w:id="10" w:name="NotesBookmark"/>
    <w:r w:rsidRPr="001B13BC">
      <w:t xml:space="preserve"> </w:t>
    </w:r>
    <w:r w:rsidR="005F59A8">
      <w:t>This document is printed in limited numbers to minimize the environmental impact of FAO's processes and contribute to climate neutrality. Delegates and observers are kindly requested to bring their copies to meetings and to avoid asking for additional copies. Most FAO meeting documents are available on the Internet at www.fao.org</w:t>
    </w:r>
  </w:p>
  <w:p w:rsidR="00DF0451" w:rsidRPr="001B13BC" w:rsidRDefault="001B13BC" w:rsidP="005F59A8">
    <w:bookmarkStart w:id="11" w:name="FooterInformationBookmark"/>
    <w:bookmarkEnd w:id="10"/>
    <w:r w:rsidRPr="001B13BC">
      <w:t xml:space="preserve">  </w:t>
    </w:r>
    <w:bookmarkEnd w:id="1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9A8" w:rsidRPr="000E7DD2" w:rsidRDefault="005F59A8" w:rsidP="000E7DD2">
      <w:r>
        <w:separator/>
      </w:r>
    </w:p>
  </w:footnote>
  <w:footnote w:type="continuationSeparator" w:id="0">
    <w:p w:rsidR="005F59A8" w:rsidRPr="000E7DD2" w:rsidRDefault="005F59A8" w:rsidP="000E7DD2">
      <w:r>
        <w:continuationSeparator/>
      </w:r>
    </w:p>
  </w:footnote>
  <w:footnote w:id="1">
    <w:p w:rsidR="00A675D6" w:rsidRPr="002D1716" w:rsidRDefault="00A675D6" w:rsidP="00A675D6">
      <w:pPr>
        <w:pStyle w:val="FootnoteText"/>
        <w:rPr>
          <w:lang w:val="en-US"/>
        </w:rPr>
      </w:pPr>
      <w:r>
        <w:rPr>
          <w:rStyle w:val="FootnoteReference"/>
        </w:rPr>
        <w:footnoteRef/>
      </w:r>
      <w:r>
        <w:t xml:space="preserve"> JACKS: jute, abaca, coir, kenaf and sisal.</w:t>
      </w:r>
    </w:p>
  </w:footnote>
  <w:footnote w:id="2">
    <w:p w:rsidR="00A675D6" w:rsidRPr="00873D57" w:rsidRDefault="00A675D6" w:rsidP="00A675D6">
      <w:pPr>
        <w:pStyle w:val="FootnoteText"/>
      </w:pPr>
      <w:r>
        <w:rPr>
          <w:rStyle w:val="FootnoteReference"/>
        </w:rPr>
        <w:footnoteRef/>
      </w:r>
      <w:r>
        <w:t xml:space="preserve"> Trade flow by source and destination are given in the policy supplement of the Statistical Bulletin CCP: HF/JU/ST 2013.</w:t>
      </w:r>
    </w:p>
  </w:footnote>
  <w:footnote w:id="3">
    <w:p w:rsidR="00A675D6" w:rsidRPr="00777E04" w:rsidRDefault="00A675D6" w:rsidP="00A675D6">
      <w:pPr>
        <w:pStyle w:val="FootnoteText"/>
      </w:pPr>
      <w:r>
        <w:rPr>
          <w:rStyle w:val="FootnoteReference"/>
        </w:rPr>
        <w:footnoteRef/>
      </w:r>
      <w:r>
        <w:t xml:space="preserve"> Complete tariff tables are available in the policy supplement of the Statistical Bulletin, CCP:HF/JU/ST/2013.</w:t>
      </w:r>
    </w:p>
  </w:footnote>
  <w:footnote w:id="4">
    <w:p w:rsidR="00A675D6" w:rsidRPr="00D1365F" w:rsidRDefault="00A675D6" w:rsidP="00A675D6">
      <w:pPr>
        <w:pStyle w:val="FootnoteText"/>
      </w:pPr>
      <w:r>
        <w:rPr>
          <w:rStyle w:val="FootnoteReference"/>
        </w:rPr>
        <w:footnoteRef/>
      </w:r>
      <w:r>
        <w:t xml:space="preserve"> Beginning with the Ministerial decisions and declaration embodying the final act of the Uruguay Round Multilateral Trade Negotiations in Marrakesh in April 1994, and the Agreement to establish the World Trade Organization (WTO).</w:t>
      </w:r>
    </w:p>
  </w:footnote>
  <w:footnote w:id="5">
    <w:p w:rsidR="00A675D6" w:rsidRPr="0020558C" w:rsidRDefault="00A675D6" w:rsidP="00A675D6">
      <w:pPr>
        <w:pStyle w:val="FootnoteText"/>
      </w:pPr>
      <w:r>
        <w:rPr>
          <w:rStyle w:val="FootnoteReference"/>
        </w:rPr>
        <w:footnoteRef/>
      </w:r>
      <w:r>
        <w:t xml:space="preserve"> The apparent reduction is deceiving because in most cases the bound rates committed under the Uruguay Round were higher than actual existing applied rates. </w:t>
      </w:r>
    </w:p>
  </w:footnote>
  <w:footnote w:id="6">
    <w:p w:rsidR="00A675D6" w:rsidRPr="004E64EA" w:rsidRDefault="00A675D6" w:rsidP="00A675D6">
      <w:pPr>
        <w:pStyle w:val="FootnoteText"/>
      </w:pPr>
      <w:r>
        <w:rPr>
          <w:rStyle w:val="FootnoteReference"/>
        </w:rPr>
        <w:footnoteRef/>
      </w:r>
      <w:r>
        <w:t xml:space="preserve"> Tariff cuts of d</w:t>
      </w:r>
      <w:r>
        <w:rPr>
          <w:rFonts w:cs="Times New Roman"/>
        </w:rPr>
        <w:t>eveloped countries</w:t>
      </w:r>
      <w:r w:rsidRPr="004E64EA">
        <w:rPr>
          <w:rFonts w:cs="Times New Roman"/>
        </w:rPr>
        <w:t xml:space="preserve"> were for the most part phased in over </w:t>
      </w:r>
      <w:r>
        <w:rPr>
          <w:rFonts w:cs="Times New Roman"/>
        </w:rPr>
        <w:t xml:space="preserve">five </w:t>
      </w:r>
      <w:r w:rsidRPr="004E64EA">
        <w:rPr>
          <w:rFonts w:cs="Times New Roman"/>
        </w:rPr>
        <w:t>years from 1 January 1995. The result is a 40</w:t>
      </w:r>
      <w:r>
        <w:rPr>
          <w:rFonts w:cs="Times New Roman"/>
        </w:rPr>
        <w:t xml:space="preserve"> percent</w:t>
      </w:r>
      <w:r w:rsidRPr="004E64EA">
        <w:rPr>
          <w:rFonts w:cs="Times New Roman"/>
        </w:rPr>
        <w:t xml:space="preserve"> cut in their tariffs on industrial products, from an average of 6.3</w:t>
      </w:r>
      <w:r>
        <w:rPr>
          <w:rFonts w:cs="Times New Roman"/>
        </w:rPr>
        <w:t xml:space="preserve"> percent</w:t>
      </w:r>
      <w:r w:rsidRPr="004E64EA">
        <w:rPr>
          <w:rFonts w:cs="Times New Roman"/>
        </w:rPr>
        <w:t xml:space="preserve"> to 3.8</w:t>
      </w:r>
      <w:r>
        <w:rPr>
          <w:rFonts w:cs="Times New Roman"/>
        </w:rPr>
        <w:t xml:space="preserve"> percent</w:t>
      </w:r>
      <w:r w:rsidRPr="004E64EA">
        <w:rPr>
          <w:rFonts w:cs="Times New Roman"/>
        </w:rPr>
        <w:t>. The value of imported industrial products that receive duty</w:t>
      </w:r>
      <w:r>
        <w:rPr>
          <w:rFonts w:cs="Times New Roman"/>
        </w:rPr>
        <w:t xml:space="preserve"> </w:t>
      </w:r>
      <w:r w:rsidRPr="004E64EA">
        <w:rPr>
          <w:rFonts w:cs="Times New Roman"/>
        </w:rPr>
        <w:t>free treatment in developed countries will jump from 20</w:t>
      </w:r>
      <w:r>
        <w:rPr>
          <w:rFonts w:cs="Times New Roman"/>
        </w:rPr>
        <w:t> percent</w:t>
      </w:r>
      <w:r w:rsidRPr="004E64EA">
        <w:rPr>
          <w:rFonts w:cs="Times New Roman"/>
        </w:rPr>
        <w:t xml:space="preserve"> to 44</w:t>
      </w:r>
      <w:r>
        <w:rPr>
          <w:rFonts w:cs="Times New Roman"/>
        </w:rPr>
        <w:t xml:space="preserve"> percent</w:t>
      </w:r>
      <w:r w:rsidRPr="004E64EA">
        <w:rPr>
          <w:rFonts w:cs="Times New Roman"/>
        </w:rPr>
        <w:t>.</w:t>
      </w:r>
    </w:p>
  </w:footnote>
  <w:footnote w:id="7">
    <w:p w:rsidR="00A675D6" w:rsidRPr="005D2B4C" w:rsidRDefault="00A675D6" w:rsidP="00A675D6">
      <w:pPr>
        <w:pStyle w:val="FootnoteText"/>
        <w:rPr>
          <w:rFonts w:cs="Times New Roman"/>
          <w:lang w:val="en-NZ"/>
        </w:rPr>
      </w:pPr>
      <w:r w:rsidRPr="005D2B4C">
        <w:rPr>
          <w:rStyle w:val="FootnoteReference"/>
          <w:rFonts w:cs="Times New Roman"/>
        </w:rPr>
        <w:footnoteRef/>
      </w:r>
      <w:r w:rsidRPr="005D2B4C">
        <w:rPr>
          <w:rFonts w:cs="Times New Roman"/>
        </w:rPr>
        <w:t xml:space="preserve"> </w:t>
      </w:r>
      <w:r>
        <w:rPr>
          <w:rFonts w:cs="Times New Roman"/>
        </w:rPr>
        <w:t xml:space="preserve">The agreement was reached in 2000, phasing out quotas and tariff restrictions for LDC exports to the EU for all commodities by 2009. In </w:t>
      </w:r>
      <w:r w:rsidRPr="00CA6A57">
        <w:rPr>
          <w:rFonts w:eastAsia="Times New Roman" w:cs="Times New Roman"/>
          <w:lang w:eastAsia="en-NZ"/>
        </w:rPr>
        <w:t xml:space="preserve">2011, </w:t>
      </w:r>
      <w:r>
        <w:rPr>
          <w:rFonts w:eastAsia="Times New Roman" w:cs="Times New Roman"/>
          <w:lang w:eastAsia="en-NZ"/>
        </w:rPr>
        <w:t xml:space="preserve">imports to the EU under the </w:t>
      </w:r>
      <w:r w:rsidRPr="00CA6A57">
        <w:rPr>
          <w:rFonts w:eastAsia="Times New Roman" w:cs="Times New Roman"/>
          <w:lang w:eastAsia="en-NZ"/>
        </w:rPr>
        <w:t>EBA</w:t>
      </w:r>
      <w:r>
        <w:rPr>
          <w:rFonts w:eastAsia="Times New Roman" w:cs="Times New Roman"/>
          <w:lang w:eastAsia="en-NZ"/>
        </w:rPr>
        <w:t xml:space="preserve"> was worth  </w:t>
      </w:r>
      <w:r w:rsidRPr="00CA6A57">
        <w:rPr>
          <w:rFonts w:eastAsia="Times New Roman" w:cs="Times New Roman"/>
          <w:lang w:eastAsia="en-NZ"/>
        </w:rPr>
        <w:t>€10.5 billion</w:t>
      </w:r>
      <w:r>
        <w:rPr>
          <w:rFonts w:eastAsia="Times New Roman" w:cs="Times New Roman"/>
          <w:lang w:eastAsia="en-NZ"/>
        </w:rPr>
        <w:t xml:space="preserve"> or 12 percent of imports under its </w:t>
      </w:r>
      <w:r w:rsidRPr="00CA6A57">
        <w:rPr>
          <w:rFonts w:eastAsia="Times New Roman" w:cs="Times New Roman"/>
          <w:lang w:eastAsia="en-NZ"/>
        </w:rPr>
        <w:t>Generalised Scheme of Preferences (GSP)</w:t>
      </w:r>
      <w:r>
        <w:rPr>
          <w:rFonts w:eastAsia="Times New Roman" w:cs="Times New Roman"/>
          <w:lang w:eastAsia="en-NZ"/>
        </w:rPr>
        <w:t>.</w:t>
      </w:r>
    </w:p>
  </w:footnote>
  <w:footnote w:id="8">
    <w:p w:rsidR="00EE501A" w:rsidRPr="00E31B5F" w:rsidRDefault="00EE501A" w:rsidP="00EE501A">
      <w:pPr>
        <w:pStyle w:val="FootnoteText"/>
      </w:pPr>
      <w:r>
        <w:rPr>
          <w:rStyle w:val="FootnoteReference"/>
        </w:rPr>
        <w:footnoteRef/>
      </w:r>
      <w:r>
        <w:t xml:space="preserve"> Methyl bromide is a broad based pesticide used in fumigation of export commodities. In 1999, of the 71 500 tonnes of synthetic methyl bromide used worldwide, 97 percent was used for fumigation.  In regard to export of JACKS, methyl bromide is used for fumigating packaging material and pest control in storage.  Under the </w:t>
      </w:r>
      <w:r w:rsidRPr="00E31B5F">
        <w:rPr>
          <w:lang w:val="en-US"/>
        </w:rPr>
        <w:t xml:space="preserve">Montreal Protocol, developed countries </w:t>
      </w:r>
      <w:r>
        <w:rPr>
          <w:lang w:val="en-US"/>
        </w:rPr>
        <w:t xml:space="preserve">agreed </w:t>
      </w:r>
      <w:r w:rsidRPr="00E31B5F">
        <w:rPr>
          <w:lang w:val="en-US"/>
        </w:rPr>
        <w:t xml:space="preserve">to </w:t>
      </w:r>
      <w:r>
        <w:rPr>
          <w:lang w:val="en-US"/>
        </w:rPr>
        <w:t>phase out the use of methyl bromide by 2005</w:t>
      </w:r>
      <w:r w:rsidRPr="00E31B5F">
        <w:rPr>
          <w:lang w:val="en-US"/>
        </w:rPr>
        <w:t xml:space="preserve"> and a total </w:t>
      </w:r>
      <w:r>
        <w:rPr>
          <w:lang w:val="en-US"/>
        </w:rPr>
        <w:t>phase out in developing countries by 2015</w:t>
      </w:r>
      <w:r w:rsidRPr="00E31B5F">
        <w:rPr>
          <w:lang w:val="en-US"/>
        </w:rPr>
        <w:t>.</w:t>
      </w:r>
      <w:r w:rsidRPr="00D4699C">
        <w:rPr>
          <w:sz w:val="22"/>
          <w:szCs w:val="22"/>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A8" w:rsidRPr="001A0BFF" w:rsidRDefault="0061456E" w:rsidP="001A0BFF">
    <w:pPr>
      <w:pStyle w:val="Underlined"/>
    </w:pPr>
    <w:fldSimple w:instr=" PAGE  \* Arabic  \* MERGEFORMAT ">
      <w:r w:rsidR="00316913">
        <w:rPr>
          <w:noProof/>
        </w:rPr>
        <w:t>10</w:t>
      </w:r>
    </w:fldSimple>
    <w:r w:rsidR="005F59A8">
      <w:ptab w:relativeTo="margin" w:alignment="right" w:leader="none"/>
    </w:r>
    <w:r w:rsidR="005F59A8" w:rsidRPr="00172E88">
      <w:t xml:space="preserve"> </w:t>
    </w:r>
    <w:bookmarkStart w:id="4" w:name="EvenIdentificationBookmark"/>
    <w:r w:rsidR="005F59A8">
      <w:t xml:space="preserve"> CCP: HF/JU 13/2 </w:t>
    </w:r>
    <w:bookmarkEnd w:id="4"/>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A8" w:rsidRPr="001A0BFF" w:rsidRDefault="005F59A8" w:rsidP="001A0BFF">
    <w:pPr>
      <w:pStyle w:val="Underlined"/>
    </w:pPr>
    <w:bookmarkStart w:id="5" w:name="OddIdentificationBookmark"/>
    <w:r>
      <w:t xml:space="preserve"> CCP: HF/JU 13/2 </w:t>
    </w:r>
    <w:bookmarkEnd w:id="5"/>
    <w:r>
      <w:ptab w:relativeTo="margin" w:alignment="right" w:leader="none"/>
    </w:r>
    <w:fldSimple w:instr=" PAGE  \* Arabic  \* MERGEFORMAT ">
      <w:r w:rsidR="00316913">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6E" w:rsidRPr="00734C44" w:rsidRDefault="00AE4D6E" w:rsidP="00734C44">
    <w:pPr>
      <w:pStyle w:val="LanguageSymbol"/>
      <w:framePr w:wrap="around"/>
    </w:pPr>
    <w:bookmarkStart w:id="6" w:name="LanguageSymbolBookmark"/>
    <w:r>
      <w:t xml:space="preserve"> </w:t>
    </w:r>
    <w:r w:rsidR="005F59A8">
      <w:t>E</w:t>
    </w:r>
  </w:p>
  <w:bookmarkEnd w:id="6"/>
  <w:p w:rsidR="00AE4D6E" w:rsidRPr="00734C44" w:rsidRDefault="00AE4D6E" w:rsidP="00BB5EC1">
    <w:pPr>
      <w:pBdr>
        <w:bottom w:val="single" w:sz="12" w:space="1" w:color="auto"/>
      </w:pBdr>
      <w:jc w:val="right"/>
    </w:pPr>
    <w:r>
      <w:t xml:space="preserve"> </w:t>
    </w:r>
    <w:bookmarkStart w:id="7" w:name="FirstCoverIdentificationBookmark"/>
    <w:r>
      <w:t xml:space="preserve"> </w:t>
    </w:r>
    <w:r w:rsidR="005F59A8">
      <w:t>CCP: HF/JU 13/2</w:t>
    </w:r>
    <w:r>
      <w:t xml:space="preserve"> </w:t>
    </w:r>
    <w:bookmarkEnd w:id="7"/>
    <w:r>
      <w:t xml:space="preserve">      </w:t>
    </w:r>
  </w:p>
  <w:p w:rsidR="00DF0451" w:rsidRDefault="00AE4D6E" w:rsidP="00AE4D6E">
    <w:bookmarkStart w:id="8" w:name="PublicationDateBookmark"/>
    <w:r>
      <w:t xml:space="preserve"> </w:t>
    </w:r>
    <w:r w:rsidR="005F59A8">
      <w:t>October 2013</w:t>
    </w:r>
    <w:r>
      <w:t xml:space="preserve"> </w:t>
    </w:r>
    <w:bookmarkEnd w:id="8"/>
    <w:r>
      <w:t xml:space="preserve">                                                                                                                                         </w:t>
    </w:r>
    <w:bookmarkStart w:id="9" w:name="LogoBookmark"/>
    <w:r w:rsidR="005F59A8">
      <w:rPr>
        <w:noProof/>
        <w:lang w:val="en-US"/>
      </w:rPr>
      <w:drawing>
        <wp:inline distT="0" distB="0" distL="0" distR="0">
          <wp:extent cx="5760085" cy="8102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810260"/>
                  </a:xfrm>
                  <a:prstGeom prst="rect">
                    <a:avLst/>
                  </a:prstGeom>
                </pic:spPr>
              </pic:pic>
            </a:graphicData>
          </a:graphic>
        </wp:inline>
      </w:drawing>
    </w:r>
    <w:r>
      <w:t xml:space="preserve">   </w:t>
    </w:r>
    <w:bookmarkEnd w:id="9"/>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246E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382D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9E63B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5C0BF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71C24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3056E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0E9E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FCD9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782DA8"/>
    <w:lvl w:ilvl="0">
      <w:start w:val="1"/>
      <w:numFmt w:val="decimal"/>
      <w:pStyle w:val="ListNumber"/>
      <w:lvlText w:val="%1."/>
      <w:lvlJc w:val="left"/>
      <w:pPr>
        <w:tabs>
          <w:tab w:val="num" w:pos="360"/>
        </w:tabs>
        <w:ind w:left="360" w:hanging="360"/>
      </w:pPr>
    </w:lvl>
  </w:abstractNum>
  <w:abstractNum w:abstractNumId="9">
    <w:nsid w:val="FFFFFF89"/>
    <w:multiLevelType w:val="singleLevel"/>
    <w:tmpl w:val="75D83A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86F4C482"/>
    <w:lvl w:ilvl="0">
      <w:start w:val="1"/>
      <w:numFmt w:val="upperRoman"/>
      <w:pStyle w:val="Heading1"/>
      <w:lvlText w:val="%1."/>
      <w:legacy w:legacy="1" w:legacySpace="0" w:legacyIndent="708"/>
      <w:lvlJc w:val="left"/>
      <w:pPr>
        <w:ind w:left="709" w:hanging="708"/>
      </w:pPr>
    </w:lvl>
    <w:lvl w:ilvl="1">
      <w:start w:val="1"/>
      <w:numFmt w:val="upperLetter"/>
      <w:pStyle w:val="Heading2"/>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1">
    <w:nsid w:val="102A4EE9"/>
    <w:multiLevelType w:val="hybridMultilevel"/>
    <w:tmpl w:val="C75C9848"/>
    <w:lvl w:ilvl="0" w:tplc="4D2ACEC4">
      <w:start w:val="1"/>
      <w:numFmt w:val="decimal"/>
      <w:pStyle w:val="ListParagraph"/>
      <w:lvlText w:val="%1."/>
      <w:lvlJc w:val="left"/>
      <w:pPr>
        <w:ind w:left="1440" w:hanging="360"/>
      </w:pPr>
      <w:rPr>
        <w:rFonts w:ascii="Times New Roman" w:hAnsi="Times New Roman" w:cs="Akhbar MT" w:hint="default"/>
        <w:b w:val="0"/>
        <w:bCs w:val="0"/>
        <w:i w:val="0"/>
        <w:iC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4D567F4"/>
    <w:multiLevelType w:val="multilevel"/>
    <w:tmpl w:val="5F24618C"/>
    <w:styleLink w:val="1ai"/>
    <w:lvl w:ilvl="0">
      <w:start w:val="1"/>
      <w:numFmt w:val="decimal"/>
      <w:lvlText w:val="%1)"/>
      <w:lvlJc w:val="left"/>
      <w:pPr>
        <w:ind w:left="4320" w:hanging="360"/>
      </w:pPr>
      <w:rPr>
        <w:rFonts w:hint="default"/>
      </w:rPr>
    </w:lvl>
    <w:lvl w:ilvl="1">
      <w:start w:val="1"/>
      <w:numFmt w:val="lowerLetter"/>
      <w:lvlText w:val="%2)"/>
      <w:lvlJc w:val="left"/>
      <w:pPr>
        <w:ind w:left="4680" w:hanging="360"/>
      </w:pPr>
      <w:rPr>
        <w:rFonts w:hint="default"/>
      </w:rPr>
    </w:lvl>
    <w:lvl w:ilvl="2">
      <w:start w:val="1"/>
      <w:numFmt w:val="lowerRoman"/>
      <w:lvlText w:val="%3)"/>
      <w:lvlJc w:val="left"/>
      <w:pPr>
        <w:ind w:left="5040" w:hanging="360"/>
      </w:pPr>
      <w:rPr>
        <w:rFonts w:hint="default"/>
      </w:rPr>
    </w:lvl>
    <w:lvl w:ilvl="3">
      <w:start w:val="1"/>
      <w:numFmt w:val="lowerLetter"/>
      <w:lvlText w:val="%4."/>
      <w:lvlJc w:val="left"/>
      <w:pPr>
        <w:ind w:left="540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left"/>
      <w:pPr>
        <w:ind w:left="6120" w:hanging="36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13">
    <w:nsid w:val="2C992785"/>
    <w:multiLevelType w:val="multilevel"/>
    <w:tmpl w:val="0D6C4876"/>
    <w:styleLink w:val="WesternSequentialList"/>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14">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B4653D"/>
    <w:multiLevelType w:val="multilevel"/>
    <w:tmpl w:val="0D6C4876"/>
    <w:numStyleLink w:val="WesternSequentialList"/>
  </w:abstractNum>
  <w:abstractNum w:abstractNumId="16">
    <w:nsid w:val="4E6B300C"/>
    <w:multiLevelType w:val="multilevel"/>
    <w:tmpl w:val="0D6C4876"/>
    <w:numStyleLink w:val="WesternSequentialList"/>
  </w:abstractNum>
  <w:abstractNum w:abstractNumId="17">
    <w:nsid w:val="5A292D75"/>
    <w:multiLevelType w:val="multilevel"/>
    <w:tmpl w:val="466E69B2"/>
    <w:lvl w:ilvl="0">
      <w:start w:val="1"/>
      <w:numFmt w:val="upperRoman"/>
      <w:pStyle w:val="NumberedHeading"/>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8">
    <w:nsid w:val="5F4E7168"/>
    <w:multiLevelType w:val="multilevel"/>
    <w:tmpl w:val="6B2AA086"/>
    <w:lvl w:ilvl="0">
      <w:start w:val="1"/>
      <w:numFmt w:val="decimal"/>
      <w:pStyle w:val="BoxNewPara"/>
      <w:lvlText w:val="%1."/>
      <w:lvlJc w:val="left"/>
      <w:pPr>
        <w:ind w:left="720" w:hanging="720"/>
      </w:pPr>
      <w:rPr>
        <w:rFonts w:ascii="Times New Roman" w:hAnsi="Times New Roman" w:cs="Akhbar MT" w:hint="default"/>
        <w:b w:val="0"/>
        <w:bCs w:val="0"/>
        <w:i w:val="0"/>
        <w:iCs w:val="0"/>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5FFA4880"/>
    <w:multiLevelType w:val="multilevel"/>
    <w:tmpl w:val="6E483918"/>
    <w:lvl w:ilvl="0">
      <w:start w:val="1"/>
      <w:numFmt w:val="decimal"/>
      <w:pStyle w:val="NewPara"/>
      <w:lvlText w:val="%1."/>
      <w:lvlJc w:val="left"/>
      <w:pPr>
        <w:ind w:left="720" w:hanging="720"/>
      </w:pPr>
      <w:rPr>
        <w:rFonts w:ascii="Times New Roman" w:hAnsi="Times New Roman" w:cs="Akhbar MT" w:hint="default"/>
        <w:b w:val="0"/>
        <w:bCs w:val="0"/>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650D6EB2"/>
    <w:multiLevelType w:val="multilevel"/>
    <w:tmpl w:val="1B14536E"/>
    <w:styleLink w:val="ArabicSequentialList"/>
    <w:lvl w:ilvl="0">
      <w:start w:val="1"/>
      <w:numFmt w:val="decimal"/>
      <w:lvlText w:val="(%1)"/>
      <w:lvlJc w:val="left"/>
      <w:pPr>
        <w:ind w:left="720" w:hanging="360"/>
      </w:pPr>
      <w:rPr>
        <w:rFonts w:ascii="Times New Roman" w:hAnsi="Times New Roman" w:cs="Times New Roman" w:hint="default"/>
        <w:bCs w:val="0"/>
        <w:iCs w:val="0"/>
        <w:sz w:val="22"/>
        <w:szCs w:val="22"/>
      </w:rPr>
    </w:lvl>
    <w:lvl w:ilvl="1">
      <w:start w:val="1"/>
      <w:numFmt w:val="arabicAbjad"/>
      <w:lvlText w:val="(%2)"/>
      <w:lvlJc w:val="left"/>
      <w:pPr>
        <w:ind w:left="1440" w:hanging="360"/>
      </w:pPr>
      <w:rPr>
        <w:rFonts w:ascii="Times New Roman" w:hAnsi="Times New Roman" w:cs="Akhbar MT" w:hint="default"/>
        <w:b w:val="0"/>
        <w:bCs w:val="0"/>
        <w:i w:val="0"/>
        <w:iCs w:val="0"/>
        <w:sz w:val="22"/>
        <w:szCs w:val="30"/>
      </w:rPr>
    </w:lvl>
    <w:lvl w:ilvl="2">
      <w:start w:val="1"/>
      <w:numFmt w:val="decimal"/>
      <w:lvlText w:val="(%3)"/>
      <w:lvlJc w:val="right"/>
      <w:pPr>
        <w:ind w:left="2160" w:hanging="180"/>
      </w:pPr>
      <w:rPr>
        <w:rFonts w:ascii="Times New Roman" w:hAnsi="Times New Roman" w:cs="Times New Roman" w:hint="default"/>
        <w:b w:val="0"/>
        <w:bCs w:val="0"/>
        <w:i w:val="0"/>
        <w:iCs w:val="0"/>
        <w:sz w:val="22"/>
        <w:szCs w:val="22"/>
      </w:rPr>
    </w:lvl>
    <w:lvl w:ilvl="3">
      <w:start w:val="1"/>
      <w:numFmt w:val="arabicAbjad"/>
      <w:lvlText w:val="(%4)"/>
      <w:lvlJc w:val="left"/>
      <w:pPr>
        <w:ind w:left="2880" w:hanging="360"/>
      </w:pPr>
      <w:rPr>
        <w:rFonts w:ascii="Times New Roman" w:hAnsi="Times New Roman" w:cs="Akhbar MT" w:hint="default"/>
        <w:b w:val="0"/>
        <w:bCs w:val="0"/>
        <w:i w:val="0"/>
        <w:iCs w:val="0"/>
        <w:sz w:val="22"/>
        <w:szCs w:val="30"/>
      </w:rPr>
    </w:lvl>
    <w:lvl w:ilvl="4">
      <w:start w:val="1"/>
      <w:numFmt w:val="decimal"/>
      <w:lvlText w:val="(%5)"/>
      <w:lvlJc w:val="left"/>
      <w:pPr>
        <w:ind w:left="3600" w:hanging="360"/>
      </w:pPr>
      <w:rPr>
        <w:rFonts w:ascii="Times New Roman" w:hAnsi="Times New Roman" w:cs="Times New Roman" w:hint="default"/>
        <w:b w:val="0"/>
        <w:bCs w:val="0"/>
        <w:i w:val="0"/>
        <w:iCs w:val="0"/>
        <w:sz w:val="22"/>
        <w:szCs w:val="22"/>
      </w:rPr>
    </w:lvl>
    <w:lvl w:ilvl="5">
      <w:start w:val="1"/>
      <w:numFmt w:val="arabicAbjad"/>
      <w:lvlText w:val="(%6)"/>
      <w:lvlJc w:val="right"/>
      <w:pPr>
        <w:ind w:left="4320" w:hanging="180"/>
      </w:pPr>
      <w:rPr>
        <w:rFonts w:ascii="Times New Roman" w:hAnsi="Times New Roman" w:cs="Akhbar MT" w:hint="default"/>
        <w:b w:val="0"/>
        <w:bCs w:val="0"/>
        <w:i w:val="0"/>
        <w:iCs w:val="0"/>
        <w:sz w:val="22"/>
        <w:szCs w:val="30"/>
      </w:rPr>
    </w:lvl>
    <w:lvl w:ilvl="6">
      <w:start w:val="1"/>
      <w:numFmt w:val="decimal"/>
      <w:lvlText w:val="(%7)"/>
      <w:lvlJc w:val="left"/>
      <w:pPr>
        <w:ind w:left="5040" w:hanging="360"/>
      </w:pPr>
      <w:rPr>
        <w:rFonts w:ascii="Times New Roman" w:hAnsi="Times New Roman" w:cs="Times New Roman" w:hint="default"/>
        <w:b w:val="0"/>
        <w:bCs w:val="0"/>
        <w:i w:val="0"/>
        <w:iCs w:val="0"/>
        <w:sz w:val="22"/>
        <w:szCs w:val="22"/>
      </w:rPr>
    </w:lvl>
    <w:lvl w:ilvl="7">
      <w:start w:val="1"/>
      <w:numFmt w:val="arabicAbjad"/>
      <w:lvlText w:val="(%8)"/>
      <w:lvlJc w:val="left"/>
      <w:pPr>
        <w:ind w:left="5760" w:hanging="360"/>
      </w:pPr>
      <w:rPr>
        <w:rFonts w:ascii="Times New Roman" w:hAnsi="Times New Roman" w:cs="Akhbar MT" w:hint="default"/>
        <w:b w:val="0"/>
        <w:bCs w:val="0"/>
        <w:i w:val="0"/>
        <w:iCs w:val="0"/>
        <w:sz w:val="22"/>
        <w:szCs w:val="30"/>
      </w:rPr>
    </w:lvl>
    <w:lvl w:ilvl="8">
      <w:start w:val="1"/>
      <w:numFmt w:val="decimal"/>
      <w:lvlText w:val="(%9)"/>
      <w:lvlJc w:val="right"/>
      <w:pPr>
        <w:ind w:left="6480" w:hanging="180"/>
      </w:pPr>
      <w:rPr>
        <w:rFonts w:ascii="Times New Roman" w:hAnsi="Times New Roman" w:cs="Times New Roman" w:hint="default"/>
        <w:b w:val="0"/>
        <w:bCs w:val="0"/>
        <w:i w:val="0"/>
        <w:iCs w:val="0"/>
        <w:sz w:val="22"/>
        <w:szCs w:val="22"/>
      </w:rPr>
    </w:lvl>
  </w:abstractNum>
  <w:abstractNum w:abstractNumId="21">
    <w:nsid w:val="76376C9F"/>
    <w:multiLevelType w:val="hybridMultilevel"/>
    <w:tmpl w:val="D6369518"/>
    <w:lvl w:ilvl="0" w:tplc="C7405EA8">
      <w:start w:val="1"/>
      <w:numFmt w:val="bullet"/>
      <w:pStyle w:val="ArabicArrowLis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6C82012"/>
    <w:multiLevelType w:val="hybridMultilevel"/>
    <w:tmpl w:val="6210626C"/>
    <w:lvl w:ilvl="0" w:tplc="533ECC72">
      <w:start w:val="1"/>
      <w:numFmt w:val="bullet"/>
      <w:pStyle w:val="Arrow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4"/>
  </w:num>
  <w:num w:numId="4">
    <w:abstractNumId w:val="16"/>
  </w:num>
  <w:num w:numId="5">
    <w:abstractNumId w:val="18"/>
  </w:num>
  <w:num w:numId="6">
    <w:abstractNumId w:val="17"/>
  </w:num>
  <w:num w:numId="7">
    <w:abstractNumId w:val="11"/>
  </w:num>
  <w:num w:numId="8">
    <w:abstractNumId w:val="20"/>
  </w:num>
  <w:num w:numId="9">
    <w:abstractNumId w:val="13"/>
  </w:num>
  <w:num w:numId="10">
    <w:abstractNumId w:val="22"/>
  </w:num>
  <w:num w:numId="11">
    <w:abstractNumId w:val="21"/>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attachedTemplate r:id="rId1"/>
  <w:documentProtection w:formatting="1" w:enforcement="1" w:cryptProviderType="rsaFull" w:cryptAlgorithmClass="hash" w:cryptAlgorithmType="typeAny" w:cryptAlgorithmSid="4" w:cryptSpinCount="100000" w:hash="EkOX+QhdePa/lR1UTOiTbPn+JBo=" w:salt="YdxIctkuQu1o0g1V/8FgIw=="/>
  <w:styleLockTheme/>
  <w:styleLockQFSet/>
  <w:defaultTabStop w:val="720"/>
  <w:evenAndOddHeaders/>
  <w:drawingGridHorizontalSpacing w:val="110"/>
  <w:displayHorizontalDrawingGridEvery w:val="2"/>
  <w:displayVerticalDrawingGridEvery w:val="2"/>
  <w:characterSpacingControl w:val="doNotCompress"/>
  <w:hdrShapeDefaults>
    <o:shapedefaults v:ext="edit" spidmax="1473537"/>
  </w:hdrShapeDefaults>
  <w:footnotePr>
    <w:footnote w:id="-1"/>
    <w:footnote w:id="0"/>
  </w:footnotePr>
  <w:endnotePr>
    <w:endnote w:id="-1"/>
    <w:endnote w:id="0"/>
  </w:endnotePr>
  <w:compat/>
  <w:rsids>
    <w:rsidRoot w:val="003301AC"/>
    <w:rsid w:val="000007CB"/>
    <w:rsid w:val="00000D69"/>
    <w:rsid w:val="000014B0"/>
    <w:rsid w:val="00002ADE"/>
    <w:rsid w:val="00002D2F"/>
    <w:rsid w:val="00003A86"/>
    <w:rsid w:val="00004D92"/>
    <w:rsid w:val="00005408"/>
    <w:rsid w:val="00005E23"/>
    <w:rsid w:val="00007544"/>
    <w:rsid w:val="00007563"/>
    <w:rsid w:val="00011BA3"/>
    <w:rsid w:val="00013C73"/>
    <w:rsid w:val="000168CA"/>
    <w:rsid w:val="00017484"/>
    <w:rsid w:val="00017A49"/>
    <w:rsid w:val="000254E1"/>
    <w:rsid w:val="0002608A"/>
    <w:rsid w:val="000309BE"/>
    <w:rsid w:val="000314C7"/>
    <w:rsid w:val="00032083"/>
    <w:rsid w:val="0003291F"/>
    <w:rsid w:val="00032B3C"/>
    <w:rsid w:val="00033010"/>
    <w:rsid w:val="00034DFE"/>
    <w:rsid w:val="00035256"/>
    <w:rsid w:val="000356D1"/>
    <w:rsid w:val="0003575F"/>
    <w:rsid w:val="0003653B"/>
    <w:rsid w:val="00037220"/>
    <w:rsid w:val="00037B88"/>
    <w:rsid w:val="0004006E"/>
    <w:rsid w:val="00040CBA"/>
    <w:rsid w:val="00041B53"/>
    <w:rsid w:val="000438A0"/>
    <w:rsid w:val="00044DD6"/>
    <w:rsid w:val="0004533C"/>
    <w:rsid w:val="00046CB7"/>
    <w:rsid w:val="0005005B"/>
    <w:rsid w:val="000504B0"/>
    <w:rsid w:val="000507BF"/>
    <w:rsid w:val="00050A38"/>
    <w:rsid w:val="000518F7"/>
    <w:rsid w:val="00051C5A"/>
    <w:rsid w:val="00054E51"/>
    <w:rsid w:val="000560F8"/>
    <w:rsid w:val="00056D4F"/>
    <w:rsid w:val="00057037"/>
    <w:rsid w:val="00057122"/>
    <w:rsid w:val="00064360"/>
    <w:rsid w:val="00065DD2"/>
    <w:rsid w:val="000664EF"/>
    <w:rsid w:val="00066FA6"/>
    <w:rsid w:val="0007407D"/>
    <w:rsid w:val="00074839"/>
    <w:rsid w:val="00074C75"/>
    <w:rsid w:val="00075276"/>
    <w:rsid w:val="0008511D"/>
    <w:rsid w:val="000854AA"/>
    <w:rsid w:val="00090427"/>
    <w:rsid w:val="00090AC5"/>
    <w:rsid w:val="00091ACE"/>
    <w:rsid w:val="00092E32"/>
    <w:rsid w:val="00092FAE"/>
    <w:rsid w:val="00093161"/>
    <w:rsid w:val="000943A5"/>
    <w:rsid w:val="00094B33"/>
    <w:rsid w:val="0009532A"/>
    <w:rsid w:val="00095BE2"/>
    <w:rsid w:val="000A0671"/>
    <w:rsid w:val="000A0703"/>
    <w:rsid w:val="000A0C48"/>
    <w:rsid w:val="000A1C4C"/>
    <w:rsid w:val="000A224F"/>
    <w:rsid w:val="000A2570"/>
    <w:rsid w:val="000B14E8"/>
    <w:rsid w:val="000B1938"/>
    <w:rsid w:val="000B2BAB"/>
    <w:rsid w:val="000B4185"/>
    <w:rsid w:val="000B57F1"/>
    <w:rsid w:val="000B5C00"/>
    <w:rsid w:val="000B5D3E"/>
    <w:rsid w:val="000B6EE3"/>
    <w:rsid w:val="000B70F9"/>
    <w:rsid w:val="000B7BB6"/>
    <w:rsid w:val="000C01F8"/>
    <w:rsid w:val="000C1CD1"/>
    <w:rsid w:val="000C2A84"/>
    <w:rsid w:val="000C2BB6"/>
    <w:rsid w:val="000C2F93"/>
    <w:rsid w:val="000C7A9E"/>
    <w:rsid w:val="000D3756"/>
    <w:rsid w:val="000D404C"/>
    <w:rsid w:val="000D5B0C"/>
    <w:rsid w:val="000E0EBE"/>
    <w:rsid w:val="000E1690"/>
    <w:rsid w:val="000E281F"/>
    <w:rsid w:val="000E42D8"/>
    <w:rsid w:val="000E48DE"/>
    <w:rsid w:val="000E50AA"/>
    <w:rsid w:val="000E5D0D"/>
    <w:rsid w:val="000E7DD2"/>
    <w:rsid w:val="000F2DFA"/>
    <w:rsid w:val="000F733D"/>
    <w:rsid w:val="0010568F"/>
    <w:rsid w:val="00107E89"/>
    <w:rsid w:val="001102F6"/>
    <w:rsid w:val="001115F8"/>
    <w:rsid w:val="00111A3E"/>
    <w:rsid w:val="00112B68"/>
    <w:rsid w:val="0011370B"/>
    <w:rsid w:val="00114B0C"/>
    <w:rsid w:val="00114FE6"/>
    <w:rsid w:val="00116DBD"/>
    <w:rsid w:val="00120131"/>
    <w:rsid w:val="00120224"/>
    <w:rsid w:val="001205EE"/>
    <w:rsid w:val="00120CDA"/>
    <w:rsid w:val="0012509E"/>
    <w:rsid w:val="00125958"/>
    <w:rsid w:val="00125B6E"/>
    <w:rsid w:val="00127309"/>
    <w:rsid w:val="00127EFB"/>
    <w:rsid w:val="00131130"/>
    <w:rsid w:val="001335EA"/>
    <w:rsid w:val="00133DA5"/>
    <w:rsid w:val="00133E61"/>
    <w:rsid w:val="00133ED9"/>
    <w:rsid w:val="00134A2C"/>
    <w:rsid w:val="001351D2"/>
    <w:rsid w:val="001353D2"/>
    <w:rsid w:val="001357D3"/>
    <w:rsid w:val="0013718E"/>
    <w:rsid w:val="00137D89"/>
    <w:rsid w:val="001409FC"/>
    <w:rsid w:val="0014132D"/>
    <w:rsid w:val="00142669"/>
    <w:rsid w:val="00145556"/>
    <w:rsid w:val="00146B17"/>
    <w:rsid w:val="00150838"/>
    <w:rsid w:val="00153975"/>
    <w:rsid w:val="00154F05"/>
    <w:rsid w:val="00156A33"/>
    <w:rsid w:val="00160E1A"/>
    <w:rsid w:val="001628D5"/>
    <w:rsid w:val="001644C7"/>
    <w:rsid w:val="00165F19"/>
    <w:rsid w:val="0016744F"/>
    <w:rsid w:val="001706AC"/>
    <w:rsid w:val="0017190F"/>
    <w:rsid w:val="00171EA9"/>
    <w:rsid w:val="00172E88"/>
    <w:rsid w:val="00174564"/>
    <w:rsid w:val="001746C9"/>
    <w:rsid w:val="00175FA7"/>
    <w:rsid w:val="00176444"/>
    <w:rsid w:val="00176CD7"/>
    <w:rsid w:val="001801C4"/>
    <w:rsid w:val="001806EC"/>
    <w:rsid w:val="001815F8"/>
    <w:rsid w:val="00182BAD"/>
    <w:rsid w:val="0018353B"/>
    <w:rsid w:val="00183BCC"/>
    <w:rsid w:val="00183FFE"/>
    <w:rsid w:val="001856D3"/>
    <w:rsid w:val="001866D7"/>
    <w:rsid w:val="00186C0D"/>
    <w:rsid w:val="00187818"/>
    <w:rsid w:val="00190971"/>
    <w:rsid w:val="001931AA"/>
    <w:rsid w:val="0019382A"/>
    <w:rsid w:val="00196340"/>
    <w:rsid w:val="001974B2"/>
    <w:rsid w:val="00197747"/>
    <w:rsid w:val="001A0BFF"/>
    <w:rsid w:val="001A2084"/>
    <w:rsid w:val="001A20BA"/>
    <w:rsid w:val="001A2168"/>
    <w:rsid w:val="001A228B"/>
    <w:rsid w:val="001A2959"/>
    <w:rsid w:val="001A436F"/>
    <w:rsid w:val="001A43A8"/>
    <w:rsid w:val="001A4BC9"/>
    <w:rsid w:val="001A601F"/>
    <w:rsid w:val="001A683C"/>
    <w:rsid w:val="001B0265"/>
    <w:rsid w:val="001B11F2"/>
    <w:rsid w:val="001B13BC"/>
    <w:rsid w:val="001B19AA"/>
    <w:rsid w:val="001B2089"/>
    <w:rsid w:val="001B230E"/>
    <w:rsid w:val="001B33DF"/>
    <w:rsid w:val="001B38B1"/>
    <w:rsid w:val="001B4871"/>
    <w:rsid w:val="001B69DB"/>
    <w:rsid w:val="001B6E18"/>
    <w:rsid w:val="001B73D6"/>
    <w:rsid w:val="001C230E"/>
    <w:rsid w:val="001C3348"/>
    <w:rsid w:val="001C3704"/>
    <w:rsid w:val="001C613D"/>
    <w:rsid w:val="001D22C1"/>
    <w:rsid w:val="001D36D7"/>
    <w:rsid w:val="001D4565"/>
    <w:rsid w:val="001D4B6A"/>
    <w:rsid w:val="001D5361"/>
    <w:rsid w:val="001D571B"/>
    <w:rsid w:val="001D6A06"/>
    <w:rsid w:val="001D6D7A"/>
    <w:rsid w:val="001D7DA5"/>
    <w:rsid w:val="001E025F"/>
    <w:rsid w:val="001E2B01"/>
    <w:rsid w:val="001E2E8B"/>
    <w:rsid w:val="001E34AE"/>
    <w:rsid w:val="001E372D"/>
    <w:rsid w:val="001E39E8"/>
    <w:rsid w:val="001E56B0"/>
    <w:rsid w:val="001E5E7B"/>
    <w:rsid w:val="001E7D28"/>
    <w:rsid w:val="001F239E"/>
    <w:rsid w:val="001F4413"/>
    <w:rsid w:val="001F4980"/>
    <w:rsid w:val="001F7ACB"/>
    <w:rsid w:val="00200521"/>
    <w:rsid w:val="002010DB"/>
    <w:rsid w:val="00201116"/>
    <w:rsid w:val="00201B5F"/>
    <w:rsid w:val="00201F69"/>
    <w:rsid w:val="002025FA"/>
    <w:rsid w:val="0020336A"/>
    <w:rsid w:val="0020380C"/>
    <w:rsid w:val="0021065E"/>
    <w:rsid w:val="00212C07"/>
    <w:rsid w:val="00213514"/>
    <w:rsid w:val="002138C3"/>
    <w:rsid w:val="00213F98"/>
    <w:rsid w:val="002151B0"/>
    <w:rsid w:val="002164D2"/>
    <w:rsid w:val="002170CC"/>
    <w:rsid w:val="00217406"/>
    <w:rsid w:val="00217918"/>
    <w:rsid w:val="00220415"/>
    <w:rsid w:val="002208B3"/>
    <w:rsid w:val="00221079"/>
    <w:rsid w:val="00222311"/>
    <w:rsid w:val="00222C95"/>
    <w:rsid w:val="00224ACE"/>
    <w:rsid w:val="00226496"/>
    <w:rsid w:val="0022766A"/>
    <w:rsid w:val="00227F46"/>
    <w:rsid w:val="002327A1"/>
    <w:rsid w:val="002327B8"/>
    <w:rsid w:val="00234057"/>
    <w:rsid w:val="00234FD6"/>
    <w:rsid w:val="00235155"/>
    <w:rsid w:val="00235476"/>
    <w:rsid w:val="0023573C"/>
    <w:rsid w:val="00235E75"/>
    <w:rsid w:val="00237C69"/>
    <w:rsid w:val="002406C5"/>
    <w:rsid w:val="00240814"/>
    <w:rsid w:val="002419A8"/>
    <w:rsid w:val="00243248"/>
    <w:rsid w:val="0025015D"/>
    <w:rsid w:val="00252DEB"/>
    <w:rsid w:val="002535CC"/>
    <w:rsid w:val="0025566E"/>
    <w:rsid w:val="00260749"/>
    <w:rsid w:val="00260C8A"/>
    <w:rsid w:val="00260EF3"/>
    <w:rsid w:val="002617F8"/>
    <w:rsid w:val="00263529"/>
    <w:rsid w:val="0026446B"/>
    <w:rsid w:val="00267C38"/>
    <w:rsid w:val="00270609"/>
    <w:rsid w:val="00272496"/>
    <w:rsid w:val="00272A32"/>
    <w:rsid w:val="00275405"/>
    <w:rsid w:val="00275990"/>
    <w:rsid w:val="0027611D"/>
    <w:rsid w:val="00277751"/>
    <w:rsid w:val="0027797D"/>
    <w:rsid w:val="00277B77"/>
    <w:rsid w:val="002809B7"/>
    <w:rsid w:val="00281BF7"/>
    <w:rsid w:val="00282192"/>
    <w:rsid w:val="00282648"/>
    <w:rsid w:val="00283146"/>
    <w:rsid w:val="00287023"/>
    <w:rsid w:val="00290E36"/>
    <w:rsid w:val="00293049"/>
    <w:rsid w:val="002932B6"/>
    <w:rsid w:val="0029339E"/>
    <w:rsid w:val="002937E7"/>
    <w:rsid w:val="00293BC0"/>
    <w:rsid w:val="002960A6"/>
    <w:rsid w:val="00296863"/>
    <w:rsid w:val="00296E8B"/>
    <w:rsid w:val="0029774B"/>
    <w:rsid w:val="002A2B09"/>
    <w:rsid w:val="002A354A"/>
    <w:rsid w:val="002A394D"/>
    <w:rsid w:val="002A57D1"/>
    <w:rsid w:val="002A6C68"/>
    <w:rsid w:val="002B009E"/>
    <w:rsid w:val="002B00A2"/>
    <w:rsid w:val="002B274E"/>
    <w:rsid w:val="002B3AF8"/>
    <w:rsid w:val="002B42D5"/>
    <w:rsid w:val="002B469D"/>
    <w:rsid w:val="002B51E2"/>
    <w:rsid w:val="002B6EB4"/>
    <w:rsid w:val="002C0935"/>
    <w:rsid w:val="002C0AE9"/>
    <w:rsid w:val="002C5A96"/>
    <w:rsid w:val="002C6057"/>
    <w:rsid w:val="002D0381"/>
    <w:rsid w:val="002D05E6"/>
    <w:rsid w:val="002D125A"/>
    <w:rsid w:val="002D1680"/>
    <w:rsid w:val="002D2A60"/>
    <w:rsid w:val="002D776D"/>
    <w:rsid w:val="002E01F1"/>
    <w:rsid w:val="002E03C4"/>
    <w:rsid w:val="002E118D"/>
    <w:rsid w:val="002E404F"/>
    <w:rsid w:val="002E4EFA"/>
    <w:rsid w:val="002E4FAF"/>
    <w:rsid w:val="002E59CC"/>
    <w:rsid w:val="002E7035"/>
    <w:rsid w:val="002F0642"/>
    <w:rsid w:val="002F0903"/>
    <w:rsid w:val="002F0A69"/>
    <w:rsid w:val="002F2394"/>
    <w:rsid w:val="002F24F4"/>
    <w:rsid w:val="002F40E0"/>
    <w:rsid w:val="002F4F61"/>
    <w:rsid w:val="00300892"/>
    <w:rsid w:val="00300B62"/>
    <w:rsid w:val="003024E7"/>
    <w:rsid w:val="00302EB9"/>
    <w:rsid w:val="00303040"/>
    <w:rsid w:val="003038F3"/>
    <w:rsid w:val="00304780"/>
    <w:rsid w:val="00304C76"/>
    <w:rsid w:val="00304E69"/>
    <w:rsid w:val="003067C3"/>
    <w:rsid w:val="003119D3"/>
    <w:rsid w:val="003123CF"/>
    <w:rsid w:val="00312463"/>
    <w:rsid w:val="00314000"/>
    <w:rsid w:val="003142DB"/>
    <w:rsid w:val="00314516"/>
    <w:rsid w:val="003146F8"/>
    <w:rsid w:val="00316895"/>
    <w:rsid w:val="00316913"/>
    <w:rsid w:val="00317EBF"/>
    <w:rsid w:val="0032440A"/>
    <w:rsid w:val="00324FEE"/>
    <w:rsid w:val="00326A1A"/>
    <w:rsid w:val="00326F51"/>
    <w:rsid w:val="0032724D"/>
    <w:rsid w:val="00327E68"/>
    <w:rsid w:val="003301AC"/>
    <w:rsid w:val="00332AC8"/>
    <w:rsid w:val="00333479"/>
    <w:rsid w:val="0033426E"/>
    <w:rsid w:val="0033427A"/>
    <w:rsid w:val="00334423"/>
    <w:rsid w:val="003347E8"/>
    <w:rsid w:val="00334D8E"/>
    <w:rsid w:val="00336ED7"/>
    <w:rsid w:val="003377E2"/>
    <w:rsid w:val="00340DCC"/>
    <w:rsid w:val="003428FF"/>
    <w:rsid w:val="0034394A"/>
    <w:rsid w:val="0034598B"/>
    <w:rsid w:val="0034713B"/>
    <w:rsid w:val="00350537"/>
    <w:rsid w:val="00351629"/>
    <w:rsid w:val="003523B6"/>
    <w:rsid w:val="003524D8"/>
    <w:rsid w:val="00352910"/>
    <w:rsid w:val="00352D58"/>
    <w:rsid w:val="00352DBC"/>
    <w:rsid w:val="00355182"/>
    <w:rsid w:val="003556F5"/>
    <w:rsid w:val="00357180"/>
    <w:rsid w:val="003576D5"/>
    <w:rsid w:val="00363C0C"/>
    <w:rsid w:val="00364954"/>
    <w:rsid w:val="003655FE"/>
    <w:rsid w:val="00365D4F"/>
    <w:rsid w:val="003678AD"/>
    <w:rsid w:val="0037125E"/>
    <w:rsid w:val="00373371"/>
    <w:rsid w:val="00373E7A"/>
    <w:rsid w:val="003759B6"/>
    <w:rsid w:val="0037797C"/>
    <w:rsid w:val="0038082A"/>
    <w:rsid w:val="0038194F"/>
    <w:rsid w:val="003822F5"/>
    <w:rsid w:val="0038234B"/>
    <w:rsid w:val="00382960"/>
    <w:rsid w:val="00383A40"/>
    <w:rsid w:val="00384697"/>
    <w:rsid w:val="00384E6E"/>
    <w:rsid w:val="00385ADB"/>
    <w:rsid w:val="00386190"/>
    <w:rsid w:val="00387C37"/>
    <w:rsid w:val="00391FB0"/>
    <w:rsid w:val="00393FD1"/>
    <w:rsid w:val="00395D6B"/>
    <w:rsid w:val="00395F24"/>
    <w:rsid w:val="00397869"/>
    <w:rsid w:val="003978A3"/>
    <w:rsid w:val="003A19FD"/>
    <w:rsid w:val="003A1C98"/>
    <w:rsid w:val="003A283A"/>
    <w:rsid w:val="003A2E31"/>
    <w:rsid w:val="003A3825"/>
    <w:rsid w:val="003B0605"/>
    <w:rsid w:val="003B0C2E"/>
    <w:rsid w:val="003B32F8"/>
    <w:rsid w:val="003B5890"/>
    <w:rsid w:val="003B77BE"/>
    <w:rsid w:val="003B7992"/>
    <w:rsid w:val="003C15FD"/>
    <w:rsid w:val="003C1C74"/>
    <w:rsid w:val="003C3156"/>
    <w:rsid w:val="003C5D51"/>
    <w:rsid w:val="003C64AF"/>
    <w:rsid w:val="003C680F"/>
    <w:rsid w:val="003D44CF"/>
    <w:rsid w:val="003D6B25"/>
    <w:rsid w:val="003D7FD9"/>
    <w:rsid w:val="003E17B0"/>
    <w:rsid w:val="003E195C"/>
    <w:rsid w:val="003E1F29"/>
    <w:rsid w:val="003E3348"/>
    <w:rsid w:val="003E50C4"/>
    <w:rsid w:val="003E5849"/>
    <w:rsid w:val="003E5FAE"/>
    <w:rsid w:val="003E6888"/>
    <w:rsid w:val="003E72E4"/>
    <w:rsid w:val="003E76DC"/>
    <w:rsid w:val="003F0171"/>
    <w:rsid w:val="003F2348"/>
    <w:rsid w:val="003F252A"/>
    <w:rsid w:val="003F2548"/>
    <w:rsid w:val="003F4020"/>
    <w:rsid w:val="003F45B2"/>
    <w:rsid w:val="003F6C98"/>
    <w:rsid w:val="0040015E"/>
    <w:rsid w:val="004005A6"/>
    <w:rsid w:val="00401EE8"/>
    <w:rsid w:val="0040224C"/>
    <w:rsid w:val="00402CB3"/>
    <w:rsid w:val="00404217"/>
    <w:rsid w:val="004043FE"/>
    <w:rsid w:val="00405FD0"/>
    <w:rsid w:val="00411575"/>
    <w:rsid w:val="004119C1"/>
    <w:rsid w:val="00411CF2"/>
    <w:rsid w:val="004124B2"/>
    <w:rsid w:val="004153E9"/>
    <w:rsid w:val="004154A6"/>
    <w:rsid w:val="0041728F"/>
    <w:rsid w:val="0041785A"/>
    <w:rsid w:val="004205FD"/>
    <w:rsid w:val="00421090"/>
    <w:rsid w:val="00421D41"/>
    <w:rsid w:val="0042467A"/>
    <w:rsid w:val="004249E0"/>
    <w:rsid w:val="00424FD8"/>
    <w:rsid w:val="0042631C"/>
    <w:rsid w:val="00427643"/>
    <w:rsid w:val="00427CFB"/>
    <w:rsid w:val="00431396"/>
    <w:rsid w:val="00432165"/>
    <w:rsid w:val="0043216B"/>
    <w:rsid w:val="00432D2F"/>
    <w:rsid w:val="00433CA1"/>
    <w:rsid w:val="0043450C"/>
    <w:rsid w:val="00434E3F"/>
    <w:rsid w:val="00441E00"/>
    <w:rsid w:val="00442687"/>
    <w:rsid w:val="0044497C"/>
    <w:rsid w:val="00445CA8"/>
    <w:rsid w:val="00446323"/>
    <w:rsid w:val="00446990"/>
    <w:rsid w:val="004522B8"/>
    <w:rsid w:val="00452A91"/>
    <w:rsid w:val="004548C8"/>
    <w:rsid w:val="0045559E"/>
    <w:rsid w:val="00457728"/>
    <w:rsid w:val="004627EF"/>
    <w:rsid w:val="004628DF"/>
    <w:rsid w:val="00463707"/>
    <w:rsid w:val="00465F75"/>
    <w:rsid w:val="004672B6"/>
    <w:rsid w:val="0047392B"/>
    <w:rsid w:val="004762D2"/>
    <w:rsid w:val="00476AAA"/>
    <w:rsid w:val="00477130"/>
    <w:rsid w:val="004777D8"/>
    <w:rsid w:val="004830D7"/>
    <w:rsid w:val="004842DF"/>
    <w:rsid w:val="00484AF6"/>
    <w:rsid w:val="00485B13"/>
    <w:rsid w:val="004867AA"/>
    <w:rsid w:val="00490098"/>
    <w:rsid w:val="00490372"/>
    <w:rsid w:val="00491089"/>
    <w:rsid w:val="00492480"/>
    <w:rsid w:val="00493B16"/>
    <w:rsid w:val="00494AB4"/>
    <w:rsid w:val="00495462"/>
    <w:rsid w:val="004971B7"/>
    <w:rsid w:val="004A3089"/>
    <w:rsid w:val="004A323C"/>
    <w:rsid w:val="004A3AA4"/>
    <w:rsid w:val="004A4027"/>
    <w:rsid w:val="004A5472"/>
    <w:rsid w:val="004A6F7E"/>
    <w:rsid w:val="004A786B"/>
    <w:rsid w:val="004B162F"/>
    <w:rsid w:val="004B2A29"/>
    <w:rsid w:val="004B3FC0"/>
    <w:rsid w:val="004B4263"/>
    <w:rsid w:val="004B49BF"/>
    <w:rsid w:val="004B66FA"/>
    <w:rsid w:val="004B6A55"/>
    <w:rsid w:val="004C1655"/>
    <w:rsid w:val="004C412C"/>
    <w:rsid w:val="004C46B8"/>
    <w:rsid w:val="004C6098"/>
    <w:rsid w:val="004C63C4"/>
    <w:rsid w:val="004C644C"/>
    <w:rsid w:val="004C7330"/>
    <w:rsid w:val="004C7C04"/>
    <w:rsid w:val="004D11E8"/>
    <w:rsid w:val="004D1C47"/>
    <w:rsid w:val="004D1FD9"/>
    <w:rsid w:val="004D2429"/>
    <w:rsid w:val="004D26FF"/>
    <w:rsid w:val="004D6803"/>
    <w:rsid w:val="004E065A"/>
    <w:rsid w:val="004E4DCF"/>
    <w:rsid w:val="004E74E0"/>
    <w:rsid w:val="004E7901"/>
    <w:rsid w:val="004F0ADE"/>
    <w:rsid w:val="004F171D"/>
    <w:rsid w:val="004F20D3"/>
    <w:rsid w:val="004F427C"/>
    <w:rsid w:val="004F4C76"/>
    <w:rsid w:val="004F4FCF"/>
    <w:rsid w:val="004F5145"/>
    <w:rsid w:val="004F5890"/>
    <w:rsid w:val="004F5F21"/>
    <w:rsid w:val="004F604D"/>
    <w:rsid w:val="004F7526"/>
    <w:rsid w:val="004F7C92"/>
    <w:rsid w:val="004F7E2A"/>
    <w:rsid w:val="00503A76"/>
    <w:rsid w:val="00503C04"/>
    <w:rsid w:val="00505D6C"/>
    <w:rsid w:val="00505FDD"/>
    <w:rsid w:val="005062F6"/>
    <w:rsid w:val="005066E4"/>
    <w:rsid w:val="00506ADD"/>
    <w:rsid w:val="00507B15"/>
    <w:rsid w:val="0051147B"/>
    <w:rsid w:val="005120BB"/>
    <w:rsid w:val="00512707"/>
    <w:rsid w:val="00514641"/>
    <w:rsid w:val="00514692"/>
    <w:rsid w:val="00516DC3"/>
    <w:rsid w:val="005174EC"/>
    <w:rsid w:val="0052144C"/>
    <w:rsid w:val="005216BF"/>
    <w:rsid w:val="00523E14"/>
    <w:rsid w:val="00523F49"/>
    <w:rsid w:val="005244B3"/>
    <w:rsid w:val="00524940"/>
    <w:rsid w:val="00524D50"/>
    <w:rsid w:val="00532B66"/>
    <w:rsid w:val="005345A8"/>
    <w:rsid w:val="005354C8"/>
    <w:rsid w:val="005405E7"/>
    <w:rsid w:val="00541E74"/>
    <w:rsid w:val="0054383B"/>
    <w:rsid w:val="00544E21"/>
    <w:rsid w:val="00545627"/>
    <w:rsid w:val="0054618C"/>
    <w:rsid w:val="005466FD"/>
    <w:rsid w:val="00546B79"/>
    <w:rsid w:val="00546D89"/>
    <w:rsid w:val="00547A8D"/>
    <w:rsid w:val="005503C7"/>
    <w:rsid w:val="005522C8"/>
    <w:rsid w:val="0055239F"/>
    <w:rsid w:val="00553B8D"/>
    <w:rsid w:val="00556464"/>
    <w:rsid w:val="005575B4"/>
    <w:rsid w:val="005579B9"/>
    <w:rsid w:val="005632F1"/>
    <w:rsid w:val="00564109"/>
    <w:rsid w:val="00564388"/>
    <w:rsid w:val="00564640"/>
    <w:rsid w:val="00564AFA"/>
    <w:rsid w:val="00566001"/>
    <w:rsid w:val="00566BFF"/>
    <w:rsid w:val="00567BF8"/>
    <w:rsid w:val="005704F2"/>
    <w:rsid w:val="00573E5B"/>
    <w:rsid w:val="0057443E"/>
    <w:rsid w:val="00575F29"/>
    <w:rsid w:val="005769F0"/>
    <w:rsid w:val="00577196"/>
    <w:rsid w:val="00580A66"/>
    <w:rsid w:val="00581806"/>
    <w:rsid w:val="0058282B"/>
    <w:rsid w:val="0058296C"/>
    <w:rsid w:val="005835DB"/>
    <w:rsid w:val="00585292"/>
    <w:rsid w:val="005856D0"/>
    <w:rsid w:val="00585BF7"/>
    <w:rsid w:val="005869D5"/>
    <w:rsid w:val="00590A61"/>
    <w:rsid w:val="00590B6D"/>
    <w:rsid w:val="005936B4"/>
    <w:rsid w:val="00593987"/>
    <w:rsid w:val="00594B50"/>
    <w:rsid w:val="00597380"/>
    <w:rsid w:val="005A048D"/>
    <w:rsid w:val="005A0817"/>
    <w:rsid w:val="005A2AE1"/>
    <w:rsid w:val="005A2E28"/>
    <w:rsid w:val="005A3E10"/>
    <w:rsid w:val="005A3F45"/>
    <w:rsid w:val="005A4134"/>
    <w:rsid w:val="005A4A32"/>
    <w:rsid w:val="005A4E9C"/>
    <w:rsid w:val="005A7DFE"/>
    <w:rsid w:val="005B044C"/>
    <w:rsid w:val="005B5CFA"/>
    <w:rsid w:val="005B6D5C"/>
    <w:rsid w:val="005C0760"/>
    <w:rsid w:val="005C0F01"/>
    <w:rsid w:val="005C0F55"/>
    <w:rsid w:val="005C181C"/>
    <w:rsid w:val="005C1CB5"/>
    <w:rsid w:val="005C1F1A"/>
    <w:rsid w:val="005C3B02"/>
    <w:rsid w:val="005C3C29"/>
    <w:rsid w:val="005C3D81"/>
    <w:rsid w:val="005C4BFB"/>
    <w:rsid w:val="005C4E5A"/>
    <w:rsid w:val="005C5803"/>
    <w:rsid w:val="005C6C7B"/>
    <w:rsid w:val="005D040A"/>
    <w:rsid w:val="005D1DDD"/>
    <w:rsid w:val="005D52F5"/>
    <w:rsid w:val="005D69EB"/>
    <w:rsid w:val="005E007C"/>
    <w:rsid w:val="005E0344"/>
    <w:rsid w:val="005E0B9D"/>
    <w:rsid w:val="005E1937"/>
    <w:rsid w:val="005E2281"/>
    <w:rsid w:val="005E4E86"/>
    <w:rsid w:val="005E5BE0"/>
    <w:rsid w:val="005E5D7E"/>
    <w:rsid w:val="005E7B40"/>
    <w:rsid w:val="005F1994"/>
    <w:rsid w:val="005F2128"/>
    <w:rsid w:val="005F2145"/>
    <w:rsid w:val="005F4245"/>
    <w:rsid w:val="005F4F30"/>
    <w:rsid w:val="005F59A8"/>
    <w:rsid w:val="005F5AB8"/>
    <w:rsid w:val="005F687D"/>
    <w:rsid w:val="00600EFF"/>
    <w:rsid w:val="0060106C"/>
    <w:rsid w:val="0060127A"/>
    <w:rsid w:val="00603295"/>
    <w:rsid w:val="006036AF"/>
    <w:rsid w:val="00603D02"/>
    <w:rsid w:val="00605711"/>
    <w:rsid w:val="00605851"/>
    <w:rsid w:val="00606701"/>
    <w:rsid w:val="00607FDE"/>
    <w:rsid w:val="00612129"/>
    <w:rsid w:val="006126D5"/>
    <w:rsid w:val="00612BC6"/>
    <w:rsid w:val="006130C9"/>
    <w:rsid w:val="00613E6F"/>
    <w:rsid w:val="0061456E"/>
    <w:rsid w:val="006154CF"/>
    <w:rsid w:val="00616976"/>
    <w:rsid w:val="00620202"/>
    <w:rsid w:val="00620C71"/>
    <w:rsid w:val="006244B6"/>
    <w:rsid w:val="00624E2D"/>
    <w:rsid w:val="00626178"/>
    <w:rsid w:val="006261EB"/>
    <w:rsid w:val="00627F7D"/>
    <w:rsid w:val="00630A72"/>
    <w:rsid w:val="006324CC"/>
    <w:rsid w:val="006349B2"/>
    <w:rsid w:val="00635244"/>
    <w:rsid w:val="006357C6"/>
    <w:rsid w:val="006376ED"/>
    <w:rsid w:val="006400E3"/>
    <w:rsid w:val="00642409"/>
    <w:rsid w:val="00643049"/>
    <w:rsid w:val="006433ED"/>
    <w:rsid w:val="006446FB"/>
    <w:rsid w:val="00650CC1"/>
    <w:rsid w:val="00651CAB"/>
    <w:rsid w:val="00655DC9"/>
    <w:rsid w:val="006560B0"/>
    <w:rsid w:val="00656DF7"/>
    <w:rsid w:val="00656E7D"/>
    <w:rsid w:val="00657FE8"/>
    <w:rsid w:val="00661AAB"/>
    <w:rsid w:val="00662900"/>
    <w:rsid w:val="006637E1"/>
    <w:rsid w:val="00663D58"/>
    <w:rsid w:val="00664223"/>
    <w:rsid w:val="006678F4"/>
    <w:rsid w:val="00672466"/>
    <w:rsid w:val="006727B8"/>
    <w:rsid w:val="00672A4B"/>
    <w:rsid w:val="00673F97"/>
    <w:rsid w:val="00674CBA"/>
    <w:rsid w:val="006755F5"/>
    <w:rsid w:val="006805F5"/>
    <w:rsid w:val="00680BDE"/>
    <w:rsid w:val="00682523"/>
    <w:rsid w:val="00684ED4"/>
    <w:rsid w:val="00687CC4"/>
    <w:rsid w:val="006900C6"/>
    <w:rsid w:val="00691230"/>
    <w:rsid w:val="00692DA2"/>
    <w:rsid w:val="006A0668"/>
    <w:rsid w:val="006A0A81"/>
    <w:rsid w:val="006A10B4"/>
    <w:rsid w:val="006A19DC"/>
    <w:rsid w:val="006A5184"/>
    <w:rsid w:val="006A5699"/>
    <w:rsid w:val="006A731F"/>
    <w:rsid w:val="006A75CF"/>
    <w:rsid w:val="006B0EC3"/>
    <w:rsid w:val="006B237C"/>
    <w:rsid w:val="006B309E"/>
    <w:rsid w:val="006B3920"/>
    <w:rsid w:val="006B4CE0"/>
    <w:rsid w:val="006B7850"/>
    <w:rsid w:val="006B7E8E"/>
    <w:rsid w:val="006C17F5"/>
    <w:rsid w:val="006C24EB"/>
    <w:rsid w:val="006C3DA5"/>
    <w:rsid w:val="006C44CB"/>
    <w:rsid w:val="006C5599"/>
    <w:rsid w:val="006C744C"/>
    <w:rsid w:val="006C7BA1"/>
    <w:rsid w:val="006D5777"/>
    <w:rsid w:val="006D6B8A"/>
    <w:rsid w:val="006D769B"/>
    <w:rsid w:val="006E05ED"/>
    <w:rsid w:val="006E2BEC"/>
    <w:rsid w:val="006E3784"/>
    <w:rsid w:val="006E3B9F"/>
    <w:rsid w:val="006E407E"/>
    <w:rsid w:val="006E45AC"/>
    <w:rsid w:val="006E74EB"/>
    <w:rsid w:val="006E7A35"/>
    <w:rsid w:val="006F1964"/>
    <w:rsid w:val="006F231B"/>
    <w:rsid w:val="006F2510"/>
    <w:rsid w:val="006F2DE7"/>
    <w:rsid w:val="006F36FB"/>
    <w:rsid w:val="006F49C5"/>
    <w:rsid w:val="006F517D"/>
    <w:rsid w:val="007004C7"/>
    <w:rsid w:val="0070215B"/>
    <w:rsid w:val="00704AE5"/>
    <w:rsid w:val="00704EB2"/>
    <w:rsid w:val="00707E41"/>
    <w:rsid w:val="00707FD2"/>
    <w:rsid w:val="00710B46"/>
    <w:rsid w:val="007113EA"/>
    <w:rsid w:val="007148C2"/>
    <w:rsid w:val="007167EF"/>
    <w:rsid w:val="007178C8"/>
    <w:rsid w:val="00720718"/>
    <w:rsid w:val="0072077A"/>
    <w:rsid w:val="007221B4"/>
    <w:rsid w:val="00722EC5"/>
    <w:rsid w:val="007245D3"/>
    <w:rsid w:val="00725457"/>
    <w:rsid w:val="0072740C"/>
    <w:rsid w:val="007279B8"/>
    <w:rsid w:val="00727ECB"/>
    <w:rsid w:val="00730E3A"/>
    <w:rsid w:val="00734C44"/>
    <w:rsid w:val="00735248"/>
    <w:rsid w:val="00735A6B"/>
    <w:rsid w:val="0073685B"/>
    <w:rsid w:val="00737C04"/>
    <w:rsid w:val="00737CE6"/>
    <w:rsid w:val="0074241F"/>
    <w:rsid w:val="00742727"/>
    <w:rsid w:val="00742C26"/>
    <w:rsid w:val="00743E30"/>
    <w:rsid w:val="0074593F"/>
    <w:rsid w:val="00750534"/>
    <w:rsid w:val="007513EB"/>
    <w:rsid w:val="00752554"/>
    <w:rsid w:val="00752953"/>
    <w:rsid w:val="007536C9"/>
    <w:rsid w:val="0075485A"/>
    <w:rsid w:val="00755D78"/>
    <w:rsid w:val="0075722C"/>
    <w:rsid w:val="00760D1E"/>
    <w:rsid w:val="00760F7F"/>
    <w:rsid w:val="007617BE"/>
    <w:rsid w:val="00761FB3"/>
    <w:rsid w:val="00763280"/>
    <w:rsid w:val="00765255"/>
    <w:rsid w:val="007673C5"/>
    <w:rsid w:val="0077001F"/>
    <w:rsid w:val="00770C45"/>
    <w:rsid w:val="0077139F"/>
    <w:rsid w:val="007717CB"/>
    <w:rsid w:val="00772BE3"/>
    <w:rsid w:val="00773D15"/>
    <w:rsid w:val="0077422A"/>
    <w:rsid w:val="00774B30"/>
    <w:rsid w:val="00775B78"/>
    <w:rsid w:val="0078098D"/>
    <w:rsid w:val="0078257C"/>
    <w:rsid w:val="00782BAF"/>
    <w:rsid w:val="007852FA"/>
    <w:rsid w:val="0078612B"/>
    <w:rsid w:val="007868C7"/>
    <w:rsid w:val="00790F9E"/>
    <w:rsid w:val="007916AF"/>
    <w:rsid w:val="00791C20"/>
    <w:rsid w:val="00791DA4"/>
    <w:rsid w:val="00792032"/>
    <w:rsid w:val="007928DE"/>
    <w:rsid w:val="00794036"/>
    <w:rsid w:val="00794D2D"/>
    <w:rsid w:val="00795F9A"/>
    <w:rsid w:val="00796A3C"/>
    <w:rsid w:val="007A1F79"/>
    <w:rsid w:val="007A3C4D"/>
    <w:rsid w:val="007A4056"/>
    <w:rsid w:val="007A48B1"/>
    <w:rsid w:val="007A5C45"/>
    <w:rsid w:val="007A61E0"/>
    <w:rsid w:val="007A69F7"/>
    <w:rsid w:val="007B20C9"/>
    <w:rsid w:val="007B68F6"/>
    <w:rsid w:val="007B6BBF"/>
    <w:rsid w:val="007B6D7D"/>
    <w:rsid w:val="007B7D1C"/>
    <w:rsid w:val="007C2266"/>
    <w:rsid w:val="007C2539"/>
    <w:rsid w:val="007C3BFC"/>
    <w:rsid w:val="007C3C3C"/>
    <w:rsid w:val="007C4F41"/>
    <w:rsid w:val="007C5825"/>
    <w:rsid w:val="007C5A45"/>
    <w:rsid w:val="007C7913"/>
    <w:rsid w:val="007C7F05"/>
    <w:rsid w:val="007D0DCA"/>
    <w:rsid w:val="007D21E4"/>
    <w:rsid w:val="007D382F"/>
    <w:rsid w:val="007D5890"/>
    <w:rsid w:val="007D5FB5"/>
    <w:rsid w:val="007D6A6A"/>
    <w:rsid w:val="007D739F"/>
    <w:rsid w:val="007D7599"/>
    <w:rsid w:val="007E197B"/>
    <w:rsid w:val="007E242D"/>
    <w:rsid w:val="007E43FB"/>
    <w:rsid w:val="007E4FF5"/>
    <w:rsid w:val="007E57BE"/>
    <w:rsid w:val="007E7F68"/>
    <w:rsid w:val="007F1AAB"/>
    <w:rsid w:val="007F23DF"/>
    <w:rsid w:val="007F2500"/>
    <w:rsid w:val="007F293D"/>
    <w:rsid w:val="007F313F"/>
    <w:rsid w:val="007F3B06"/>
    <w:rsid w:val="007F4840"/>
    <w:rsid w:val="007F68AA"/>
    <w:rsid w:val="007F6EAA"/>
    <w:rsid w:val="00800D54"/>
    <w:rsid w:val="00802376"/>
    <w:rsid w:val="00803FEA"/>
    <w:rsid w:val="0080529F"/>
    <w:rsid w:val="00811BDA"/>
    <w:rsid w:val="008124DE"/>
    <w:rsid w:val="00813633"/>
    <w:rsid w:val="00814222"/>
    <w:rsid w:val="0081558F"/>
    <w:rsid w:val="00817823"/>
    <w:rsid w:val="00817CF1"/>
    <w:rsid w:val="008203DE"/>
    <w:rsid w:val="00820CD4"/>
    <w:rsid w:val="00822AC9"/>
    <w:rsid w:val="0082588A"/>
    <w:rsid w:val="0082719F"/>
    <w:rsid w:val="00827CBB"/>
    <w:rsid w:val="00827F8F"/>
    <w:rsid w:val="00830467"/>
    <w:rsid w:val="00830A1B"/>
    <w:rsid w:val="00831B3E"/>
    <w:rsid w:val="0083396B"/>
    <w:rsid w:val="008345A9"/>
    <w:rsid w:val="008349D5"/>
    <w:rsid w:val="00836D8C"/>
    <w:rsid w:val="0084065E"/>
    <w:rsid w:val="00840E62"/>
    <w:rsid w:val="00841F2C"/>
    <w:rsid w:val="00842356"/>
    <w:rsid w:val="00842A57"/>
    <w:rsid w:val="00842C91"/>
    <w:rsid w:val="00843937"/>
    <w:rsid w:val="00844A0B"/>
    <w:rsid w:val="008460B0"/>
    <w:rsid w:val="008468DA"/>
    <w:rsid w:val="00846FC0"/>
    <w:rsid w:val="008501F3"/>
    <w:rsid w:val="00850597"/>
    <w:rsid w:val="00851167"/>
    <w:rsid w:val="008522FB"/>
    <w:rsid w:val="00852D1E"/>
    <w:rsid w:val="0085492A"/>
    <w:rsid w:val="00854A7F"/>
    <w:rsid w:val="00854DC0"/>
    <w:rsid w:val="0086086F"/>
    <w:rsid w:val="00860E6E"/>
    <w:rsid w:val="00861149"/>
    <w:rsid w:val="00861238"/>
    <w:rsid w:val="00863164"/>
    <w:rsid w:val="0086463D"/>
    <w:rsid w:val="00864DD2"/>
    <w:rsid w:val="00865A43"/>
    <w:rsid w:val="0086630E"/>
    <w:rsid w:val="008671FF"/>
    <w:rsid w:val="00867E0D"/>
    <w:rsid w:val="00867E64"/>
    <w:rsid w:val="00870476"/>
    <w:rsid w:val="00871C72"/>
    <w:rsid w:val="00873EA2"/>
    <w:rsid w:val="00874FD4"/>
    <w:rsid w:val="008765E1"/>
    <w:rsid w:val="00880F26"/>
    <w:rsid w:val="00881648"/>
    <w:rsid w:val="00882014"/>
    <w:rsid w:val="00882BDD"/>
    <w:rsid w:val="00882D84"/>
    <w:rsid w:val="008836F0"/>
    <w:rsid w:val="00884092"/>
    <w:rsid w:val="00884758"/>
    <w:rsid w:val="0088510F"/>
    <w:rsid w:val="00886773"/>
    <w:rsid w:val="00887472"/>
    <w:rsid w:val="008926A9"/>
    <w:rsid w:val="0089350B"/>
    <w:rsid w:val="00894A8F"/>
    <w:rsid w:val="00895490"/>
    <w:rsid w:val="00895D17"/>
    <w:rsid w:val="0089678F"/>
    <w:rsid w:val="008A0183"/>
    <w:rsid w:val="008A0691"/>
    <w:rsid w:val="008A069A"/>
    <w:rsid w:val="008A16CD"/>
    <w:rsid w:val="008A178A"/>
    <w:rsid w:val="008A2B12"/>
    <w:rsid w:val="008A32E0"/>
    <w:rsid w:val="008A4851"/>
    <w:rsid w:val="008A7463"/>
    <w:rsid w:val="008B1CAE"/>
    <w:rsid w:val="008B48A2"/>
    <w:rsid w:val="008B57EB"/>
    <w:rsid w:val="008B62C5"/>
    <w:rsid w:val="008B7FCB"/>
    <w:rsid w:val="008C07DE"/>
    <w:rsid w:val="008C1D7C"/>
    <w:rsid w:val="008C272B"/>
    <w:rsid w:val="008C2A3B"/>
    <w:rsid w:val="008C2D06"/>
    <w:rsid w:val="008C35F1"/>
    <w:rsid w:val="008C38A7"/>
    <w:rsid w:val="008D0D09"/>
    <w:rsid w:val="008D1C76"/>
    <w:rsid w:val="008D2DF7"/>
    <w:rsid w:val="008D30B5"/>
    <w:rsid w:val="008D5741"/>
    <w:rsid w:val="008E157D"/>
    <w:rsid w:val="008E295B"/>
    <w:rsid w:val="008E3D8A"/>
    <w:rsid w:val="008E5592"/>
    <w:rsid w:val="008E603A"/>
    <w:rsid w:val="008E6C0C"/>
    <w:rsid w:val="008E71F9"/>
    <w:rsid w:val="008F04D4"/>
    <w:rsid w:val="008F3C1B"/>
    <w:rsid w:val="008F5445"/>
    <w:rsid w:val="008F5E76"/>
    <w:rsid w:val="008F7D43"/>
    <w:rsid w:val="0090005B"/>
    <w:rsid w:val="00900B86"/>
    <w:rsid w:val="0090428C"/>
    <w:rsid w:val="00904AD7"/>
    <w:rsid w:val="00906834"/>
    <w:rsid w:val="00906F8A"/>
    <w:rsid w:val="009106E2"/>
    <w:rsid w:val="009134EC"/>
    <w:rsid w:val="00914984"/>
    <w:rsid w:val="00922C86"/>
    <w:rsid w:val="00922FD3"/>
    <w:rsid w:val="009237C5"/>
    <w:rsid w:val="0092394C"/>
    <w:rsid w:val="009256A4"/>
    <w:rsid w:val="00927854"/>
    <w:rsid w:val="0093031F"/>
    <w:rsid w:val="009306C1"/>
    <w:rsid w:val="00930BCA"/>
    <w:rsid w:val="009319A0"/>
    <w:rsid w:val="00932A71"/>
    <w:rsid w:val="0093340D"/>
    <w:rsid w:val="00934996"/>
    <w:rsid w:val="00936306"/>
    <w:rsid w:val="0093748F"/>
    <w:rsid w:val="0093783C"/>
    <w:rsid w:val="00937F4A"/>
    <w:rsid w:val="00940CBE"/>
    <w:rsid w:val="00940DC8"/>
    <w:rsid w:val="009432F6"/>
    <w:rsid w:val="009445F4"/>
    <w:rsid w:val="009451CD"/>
    <w:rsid w:val="009500B3"/>
    <w:rsid w:val="009502CD"/>
    <w:rsid w:val="00952CB5"/>
    <w:rsid w:val="009552DC"/>
    <w:rsid w:val="009564D2"/>
    <w:rsid w:val="00956BC1"/>
    <w:rsid w:val="0096089F"/>
    <w:rsid w:val="00963888"/>
    <w:rsid w:val="00963FCF"/>
    <w:rsid w:val="00964197"/>
    <w:rsid w:val="0096569C"/>
    <w:rsid w:val="00972976"/>
    <w:rsid w:val="00972C92"/>
    <w:rsid w:val="009738C6"/>
    <w:rsid w:val="009766AA"/>
    <w:rsid w:val="00976F4C"/>
    <w:rsid w:val="0098095F"/>
    <w:rsid w:val="00981FB2"/>
    <w:rsid w:val="00982C03"/>
    <w:rsid w:val="00983BB6"/>
    <w:rsid w:val="009840FF"/>
    <w:rsid w:val="00984D61"/>
    <w:rsid w:val="0098509C"/>
    <w:rsid w:val="00986FA3"/>
    <w:rsid w:val="00992837"/>
    <w:rsid w:val="00994068"/>
    <w:rsid w:val="00995A73"/>
    <w:rsid w:val="00995C16"/>
    <w:rsid w:val="00997498"/>
    <w:rsid w:val="009A4D2C"/>
    <w:rsid w:val="009A54DA"/>
    <w:rsid w:val="009B16EF"/>
    <w:rsid w:val="009B186F"/>
    <w:rsid w:val="009B299F"/>
    <w:rsid w:val="009B3BEA"/>
    <w:rsid w:val="009B57B1"/>
    <w:rsid w:val="009B620C"/>
    <w:rsid w:val="009B6E27"/>
    <w:rsid w:val="009B6EB4"/>
    <w:rsid w:val="009C0279"/>
    <w:rsid w:val="009C0E42"/>
    <w:rsid w:val="009C1039"/>
    <w:rsid w:val="009C1242"/>
    <w:rsid w:val="009C3E20"/>
    <w:rsid w:val="009C4288"/>
    <w:rsid w:val="009C4C72"/>
    <w:rsid w:val="009C6A6A"/>
    <w:rsid w:val="009C70D9"/>
    <w:rsid w:val="009D06A7"/>
    <w:rsid w:val="009D0BC8"/>
    <w:rsid w:val="009D0D59"/>
    <w:rsid w:val="009D2601"/>
    <w:rsid w:val="009D2D3C"/>
    <w:rsid w:val="009D3944"/>
    <w:rsid w:val="009D4748"/>
    <w:rsid w:val="009E08E2"/>
    <w:rsid w:val="009E0B95"/>
    <w:rsid w:val="009E503B"/>
    <w:rsid w:val="009F0F47"/>
    <w:rsid w:val="009F1BD5"/>
    <w:rsid w:val="009F55D6"/>
    <w:rsid w:val="009F59DC"/>
    <w:rsid w:val="009F6C2C"/>
    <w:rsid w:val="009F6F1C"/>
    <w:rsid w:val="00A01FC2"/>
    <w:rsid w:val="00A0544F"/>
    <w:rsid w:val="00A05468"/>
    <w:rsid w:val="00A0608C"/>
    <w:rsid w:val="00A067E3"/>
    <w:rsid w:val="00A11793"/>
    <w:rsid w:val="00A12F62"/>
    <w:rsid w:val="00A12FA8"/>
    <w:rsid w:val="00A1308F"/>
    <w:rsid w:val="00A13741"/>
    <w:rsid w:val="00A14F69"/>
    <w:rsid w:val="00A16745"/>
    <w:rsid w:val="00A16C8C"/>
    <w:rsid w:val="00A17D48"/>
    <w:rsid w:val="00A20BBF"/>
    <w:rsid w:val="00A219F4"/>
    <w:rsid w:val="00A22074"/>
    <w:rsid w:val="00A22344"/>
    <w:rsid w:val="00A239B7"/>
    <w:rsid w:val="00A244BD"/>
    <w:rsid w:val="00A24AC9"/>
    <w:rsid w:val="00A26120"/>
    <w:rsid w:val="00A26666"/>
    <w:rsid w:val="00A26D4F"/>
    <w:rsid w:val="00A302F9"/>
    <w:rsid w:val="00A33367"/>
    <w:rsid w:val="00A34801"/>
    <w:rsid w:val="00A35161"/>
    <w:rsid w:val="00A35790"/>
    <w:rsid w:val="00A3625D"/>
    <w:rsid w:val="00A36976"/>
    <w:rsid w:val="00A3766B"/>
    <w:rsid w:val="00A4085C"/>
    <w:rsid w:val="00A4086D"/>
    <w:rsid w:val="00A40CEB"/>
    <w:rsid w:val="00A40EBF"/>
    <w:rsid w:val="00A439C7"/>
    <w:rsid w:val="00A4527C"/>
    <w:rsid w:val="00A45310"/>
    <w:rsid w:val="00A45A46"/>
    <w:rsid w:val="00A46D05"/>
    <w:rsid w:val="00A46D2B"/>
    <w:rsid w:val="00A46EEB"/>
    <w:rsid w:val="00A47FC4"/>
    <w:rsid w:val="00A5130B"/>
    <w:rsid w:val="00A54AA9"/>
    <w:rsid w:val="00A57931"/>
    <w:rsid w:val="00A6166F"/>
    <w:rsid w:val="00A61E2C"/>
    <w:rsid w:val="00A62F58"/>
    <w:rsid w:val="00A648FD"/>
    <w:rsid w:val="00A64C3F"/>
    <w:rsid w:val="00A650F2"/>
    <w:rsid w:val="00A675D6"/>
    <w:rsid w:val="00A67DF0"/>
    <w:rsid w:val="00A7006A"/>
    <w:rsid w:val="00A70F43"/>
    <w:rsid w:val="00A71BAD"/>
    <w:rsid w:val="00A71E9B"/>
    <w:rsid w:val="00A7366D"/>
    <w:rsid w:val="00A73CED"/>
    <w:rsid w:val="00A744DA"/>
    <w:rsid w:val="00A75090"/>
    <w:rsid w:val="00A75268"/>
    <w:rsid w:val="00A764A0"/>
    <w:rsid w:val="00A80158"/>
    <w:rsid w:val="00A82060"/>
    <w:rsid w:val="00A82B05"/>
    <w:rsid w:val="00A84CCB"/>
    <w:rsid w:val="00A84E43"/>
    <w:rsid w:val="00A85840"/>
    <w:rsid w:val="00A87D96"/>
    <w:rsid w:val="00A91284"/>
    <w:rsid w:val="00A91290"/>
    <w:rsid w:val="00A91596"/>
    <w:rsid w:val="00A919B4"/>
    <w:rsid w:val="00A931EE"/>
    <w:rsid w:val="00A93364"/>
    <w:rsid w:val="00A97E55"/>
    <w:rsid w:val="00AA2F40"/>
    <w:rsid w:val="00AA4B79"/>
    <w:rsid w:val="00AA760E"/>
    <w:rsid w:val="00AB2866"/>
    <w:rsid w:val="00AB3172"/>
    <w:rsid w:val="00AB4103"/>
    <w:rsid w:val="00AB6E70"/>
    <w:rsid w:val="00AC04B1"/>
    <w:rsid w:val="00AC0831"/>
    <w:rsid w:val="00AC1C9B"/>
    <w:rsid w:val="00AC2893"/>
    <w:rsid w:val="00AC5864"/>
    <w:rsid w:val="00AC62BE"/>
    <w:rsid w:val="00AC7183"/>
    <w:rsid w:val="00AC747D"/>
    <w:rsid w:val="00AD0CCE"/>
    <w:rsid w:val="00AD1096"/>
    <w:rsid w:val="00AD2F62"/>
    <w:rsid w:val="00AD49D7"/>
    <w:rsid w:val="00AD6A33"/>
    <w:rsid w:val="00AD7389"/>
    <w:rsid w:val="00AE0BDD"/>
    <w:rsid w:val="00AE2512"/>
    <w:rsid w:val="00AE2855"/>
    <w:rsid w:val="00AE33E2"/>
    <w:rsid w:val="00AE3665"/>
    <w:rsid w:val="00AE4D6E"/>
    <w:rsid w:val="00AE6AEE"/>
    <w:rsid w:val="00AF2FDC"/>
    <w:rsid w:val="00AF35C8"/>
    <w:rsid w:val="00AF3BB3"/>
    <w:rsid w:val="00AF45FB"/>
    <w:rsid w:val="00AF7E4B"/>
    <w:rsid w:val="00B00A82"/>
    <w:rsid w:val="00B00FB9"/>
    <w:rsid w:val="00B01BDD"/>
    <w:rsid w:val="00B0376D"/>
    <w:rsid w:val="00B03EEC"/>
    <w:rsid w:val="00B03F26"/>
    <w:rsid w:val="00B043BE"/>
    <w:rsid w:val="00B10F05"/>
    <w:rsid w:val="00B1159D"/>
    <w:rsid w:val="00B1218F"/>
    <w:rsid w:val="00B129A7"/>
    <w:rsid w:val="00B14223"/>
    <w:rsid w:val="00B154E1"/>
    <w:rsid w:val="00B16639"/>
    <w:rsid w:val="00B16AAD"/>
    <w:rsid w:val="00B20034"/>
    <w:rsid w:val="00B2110C"/>
    <w:rsid w:val="00B22353"/>
    <w:rsid w:val="00B26A08"/>
    <w:rsid w:val="00B27A0A"/>
    <w:rsid w:val="00B308F7"/>
    <w:rsid w:val="00B30BB5"/>
    <w:rsid w:val="00B31FB1"/>
    <w:rsid w:val="00B417CD"/>
    <w:rsid w:val="00B4418F"/>
    <w:rsid w:val="00B452F1"/>
    <w:rsid w:val="00B46124"/>
    <w:rsid w:val="00B46715"/>
    <w:rsid w:val="00B479E5"/>
    <w:rsid w:val="00B51018"/>
    <w:rsid w:val="00B51AEC"/>
    <w:rsid w:val="00B54C7A"/>
    <w:rsid w:val="00B54CF3"/>
    <w:rsid w:val="00B562F8"/>
    <w:rsid w:val="00B57204"/>
    <w:rsid w:val="00B5731E"/>
    <w:rsid w:val="00B577E6"/>
    <w:rsid w:val="00B5792D"/>
    <w:rsid w:val="00B61A0B"/>
    <w:rsid w:val="00B62DFE"/>
    <w:rsid w:val="00B6395E"/>
    <w:rsid w:val="00B63DAB"/>
    <w:rsid w:val="00B6532A"/>
    <w:rsid w:val="00B65553"/>
    <w:rsid w:val="00B6671D"/>
    <w:rsid w:val="00B732F8"/>
    <w:rsid w:val="00B73DD1"/>
    <w:rsid w:val="00B76080"/>
    <w:rsid w:val="00B769BB"/>
    <w:rsid w:val="00B777A0"/>
    <w:rsid w:val="00B7786B"/>
    <w:rsid w:val="00B80970"/>
    <w:rsid w:val="00B81272"/>
    <w:rsid w:val="00B82301"/>
    <w:rsid w:val="00B823DF"/>
    <w:rsid w:val="00B83054"/>
    <w:rsid w:val="00B86C16"/>
    <w:rsid w:val="00B8742D"/>
    <w:rsid w:val="00B9223A"/>
    <w:rsid w:val="00B95085"/>
    <w:rsid w:val="00BA0C2C"/>
    <w:rsid w:val="00BA0FD5"/>
    <w:rsid w:val="00BA12BD"/>
    <w:rsid w:val="00BA1A55"/>
    <w:rsid w:val="00BA26F4"/>
    <w:rsid w:val="00BA2B4E"/>
    <w:rsid w:val="00BA4DCE"/>
    <w:rsid w:val="00BA5292"/>
    <w:rsid w:val="00BA60F7"/>
    <w:rsid w:val="00BA7FC9"/>
    <w:rsid w:val="00BB008F"/>
    <w:rsid w:val="00BB035C"/>
    <w:rsid w:val="00BB11DF"/>
    <w:rsid w:val="00BB2D11"/>
    <w:rsid w:val="00BB38B8"/>
    <w:rsid w:val="00BB5961"/>
    <w:rsid w:val="00BB5BCC"/>
    <w:rsid w:val="00BB5EC1"/>
    <w:rsid w:val="00BB60C2"/>
    <w:rsid w:val="00BB7150"/>
    <w:rsid w:val="00BB740D"/>
    <w:rsid w:val="00BC10DF"/>
    <w:rsid w:val="00BC40D9"/>
    <w:rsid w:val="00BC41D2"/>
    <w:rsid w:val="00BC79E5"/>
    <w:rsid w:val="00BD00DD"/>
    <w:rsid w:val="00BD158D"/>
    <w:rsid w:val="00BD1EFD"/>
    <w:rsid w:val="00BD2878"/>
    <w:rsid w:val="00BD32C2"/>
    <w:rsid w:val="00BD3BC5"/>
    <w:rsid w:val="00BD4D65"/>
    <w:rsid w:val="00BD61E5"/>
    <w:rsid w:val="00BD6436"/>
    <w:rsid w:val="00BD7AF0"/>
    <w:rsid w:val="00BE0812"/>
    <w:rsid w:val="00BE0A94"/>
    <w:rsid w:val="00BE15CD"/>
    <w:rsid w:val="00BE1AEF"/>
    <w:rsid w:val="00BE3328"/>
    <w:rsid w:val="00BE464D"/>
    <w:rsid w:val="00BE6063"/>
    <w:rsid w:val="00BE65EE"/>
    <w:rsid w:val="00BF1F56"/>
    <w:rsid w:val="00BF3D02"/>
    <w:rsid w:val="00BF4E67"/>
    <w:rsid w:val="00BF5A7D"/>
    <w:rsid w:val="00C00080"/>
    <w:rsid w:val="00C00738"/>
    <w:rsid w:val="00C021A2"/>
    <w:rsid w:val="00C0629B"/>
    <w:rsid w:val="00C068C9"/>
    <w:rsid w:val="00C06A46"/>
    <w:rsid w:val="00C07139"/>
    <w:rsid w:val="00C0717F"/>
    <w:rsid w:val="00C11513"/>
    <w:rsid w:val="00C11724"/>
    <w:rsid w:val="00C12339"/>
    <w:rsid w:val="00C12DE5"/>
    <w:rsid w:val="00C1566E"/>
    <w:rsid w:val="00C1583C"/>
    <w:rsid w:val="00C15E76"/>
    <w:rsid w:val="00C16AE7"/>
    <w:rsid w:val="00C20B07"/>
    <w:rsid w:val="00C20FC7"/>
    <w:rsid w:val="00C22329"/>
    <w:rsid w:val="00C2329D"/>
    <w:rsid w:val="00C238DD"/>
    <w:rsid w:val="00C25473"/>
    <w:rsid w:val="00C26D32"/>
    <w:rsid w:val="00C30C6F"/>
    <w:rsid w:val="00C35A7D"/>
    <w:rsid w:val="00C373A5"/>
    <w:rsid w:val="00C375B3"/>
    <w:rsid w:val="00C37AB2"/>
    <w:rsid w:val="00C42567"/>
    <w:rsid w:val="00C434AA"/>
    <w:rsid w:val="00C4500A"/>
    <w:rsid w:val="00C452E5"/>
    <w:rsid w:val="00C45BB4"/>
    <w:rsid w:val="00C52183"/>
    <w:rsid w:val="00C5413C"/>
    <w:rsid w:val="00C56D6F"/>
    <w:rsid w:val="00C56F55"/>
    <w:rsid w:val="00C57130"/>
    <w:rsid w:val="00C5739C"/>
    <w:rsid w:val="00C61DD5"/>
    <w:rsid w:val="00C61F9B"/>
    <w:rsid w:val="00C6363F"/>
    <w:rsid w:val="00C67636"/>
    <w:rsid w:val="00C72201"/>
    <w:rsid w:val="00C726FD"/>
    <w:rsid w:val="00C72CE3"/>
    <w:rsid w:val="00C749EA"/>
    <w:rsid w:val="00C74F2A"/>
    <w:rsid w:val="00C75E56"/>
    <w:rsid w:val="00C80162"/>
    <w:rsid w:val="00C80268"/>
    <w:rsid w:val="00C80C1C"/>
    <w:rsid w:val="00C8219C"/>
    <w:rsid w:val="00C83FCA"/>
    <w:rsid w:val="00C8463E"/>
    <w:rsid w:val="00C90E5C"/>
    <w:rsid w:val="00C91177"/>
    <w:rsid w:val="00C9225A"/>
    <w:rsid w:val="00C925B8"/>
    <w:rsid w:val="00C93EA9"/>
    <w:rsid w:val="00C94B20"/>
    <w:rsid w:val="00C9515E"/>
    <w:rsid w:val="00C951C6"/>
    <w:rsid w:val="00C95ECB"/>
    <w:rsid w:val="00C97294"/>
    <w:rsid w:val="00CA0D0A"/>
    <w:rsid w:val="00CA2659"/>
    <w:rsid w:val="00CA2B25"/>
    <w:rsid w:val="00CA30E5"/>
    <w:rsid w:val="00CA58E3"/>
    <w:rsid w:val="00CB0790"/>
    <w:rsid w:val="00CB1EEE"/>
    <w:rsid w:val="00CB1FE3"/>
    <w:rsid w:val="00CB2B6C"/>
    <w:rsid w:val="00CB6CCA"/>
    <w:rsid w:val="00CC3471"/>
    <w:rsid w:val="00CC4AF3"/>
    <w:rsid w:val="00CC7623"/>
    <w:rsid w:val="00CC77B5"/>
    <w:rsid w:val="00CC790A"/>
    <w:rsid w:val="00CD0A27"/>
    <w:rsid w:val="00CD2E20"/>
    <w:rsid w:val="00CD7565"/>
    <w:rsid w:val="00CE0261"/>
    <w:rsid w:val="00CE1C79"/>
    <w:rsid w:val="00CE731D"/>
    <w:rsid w:val="00CE7CD3"/>
    <w:rsid w:val="00CF1B4D"/>
    <w:rsid w:val="00CF2DCF"/>
    <w:rsid w:val="00CF2FF3"/>
    <w:rsid w:val="00CF3A02"/>
    <w:rsid w:val="00CF45F9"/>
    <w:rsid w:val="00CF4609"/>
    <w:rsid w:val="00CF571D"/>
    <w:rsid w:val="00CF68B2"/>
    <w:rsid w:val="00CF7734"/>
    <w:rsid w:val="00D0027C"/>
    <w:rsid w:val="00D01732"/>
    <w:rsid w:val="00D03E04"/>
    <w:rsid w:val="00D04E56"/>
    <w:rsid w:val="00D05631"/>
    <w:rsid w:val="00D05879"/>
    <w:rsid w:val="00D1095A"/>
    <w:rsid w:val="00D10BE3"/>
    <w:rsid w:val="00D11519"/>
    <w:rsid w:val="00D11D3F"/>
    <w:rsid w:val="00D12216"/>
    <w:rsid w:val="00D12C05"/>
    <w:rsid w:val="00D17BC7"/>
    <w:rsid w:val="00D20160"/>
    <w:rsid w:val="00D21053"/>
    <w:rsid w:val="00D21399"/>
    <w:rsid w:val="00D2316A"/>
    <w:rsid w:val="00D238C3"/>
    <w:rsid w:val="00D251D4"/>
    <w:rsid w:val="00D25C28"/>
    <w:rsid w:val="00D264FD"/>
    <w:rsid w:val="00D26508"/>
    <w:rsid w:val="00D30735"/>
    <w:rsid w:val="00D34154"/>
    <w:rsid w:val="00D37E0F"/>
    <w:rsid w:val="00D41319"/>
    <w:rsid w:val="00D415DD"/>
    <w:rsid w:val="00D4211F"/>
    <w:rsid w:val="00D42A17"/>
    <w:rsid w:val="00D42FD4"/>
    <w:rsid w:val="00D44D2E"/>
    <w:rsid w:val="00D46180"/>
    <w:rsid w:val="00D51957"/>
    <w:rsid w:val="00D536C6"/>
    <w:rsid w:val="00D54A5A"/>
    <w:rsid w:val="00D54EEA"/>
    <w:rsid w:val="00D55DED"/>
    <w:rsid w:val="00D56741"/>
    <w:rsid w:val="00D600D6"/>
    <w:rsid w:val="00D60D30"/>
    <w:rsid w:val="00D60D42"/>
    <w:rsid w:val="00D62889"/>
    <w:rsid w:val="00D659FF"/>
    <w:rsid w:val="00D666E4"/>
    <w:rsid w:val="00D67AF3"/>
    <w:rsid w:val="00D7011F"/>
    <w:rsid w:val="00D7023B"/>
    <w:rsid w:val="00D70A35"/>
    <w:rsid w:val="00D717F5"/>
    <w:rsid w:val="00D71AB5"/>
    <w:rsid w:val="00D7250F"/>
    <w:rsid w:val="00D72877"/>
    <w:rsid w:val="00D737A7"/>
    <w:rsid w:val="00D740CF"/>
    <w:rsid w:val="00D74F99"/>
    <w:rsid w:val="00D75FC9"/>
    <w:rsid w:val="00D760BC"/>
    <w:rsid w:val="00D76757"/>
    <w:rsid w:val="00D80FD4"/>
    <w:rsid w:val="00D83ED3"/>
    <w:rsid w:val="00D86609"/>
    <w:rsid w:val="00D86777"/>
    <w:rsid w:val="00D90B5D"/>
    <w:rsid w:val="00D90E8A"/>
    <w:rsid w:val="00D90F52"/>
    <w:rsid w:val="00D93EFF"/>
    <w:rsid w:val="00D96331"/>
    <w:rsid w:val="00D96B32"/>
    <w:rsid w:val="00DA14F4"/>
    <w:rsid w:val="00DA3546"/>
    <w:rsid w:val="00DA3553"/>
    <w:rsid w:val="00DA41CF"/>
    <w:rsid w:val="00DA4356"/>
    <w:rsid w:val="00DA4EB6"/>
    <w:rsid w:val="00DA52F8"/>
    <w:rsid w:val="00DA6459"/>
    <w:rsid w:val="00DA6722"/>
    <w:rsid w:val="00DB169A"/>
    <w:rsid w:val="00DB3828"/>
    <w:rsid w:val="00DB4B1D"/>
    <w:rsid w:val="00DB78A7"/>
    <w:rsid w:val="00DC036F"/>
    <w:rsid w:val="00DC14EA"/>
    <w:rsid w:val="00DC25BE"/>
    <w:rsid w:val="00DC2D86"/>
    <w:rsid w:val="00DC34B6"/>
    <w:rsid w:val="00DC3891"/>
    <w:rsid w:val="00DC612B"/>
    <w:rsid w:val="00DC7C6A"/>
    <w:rsid w:val="00DD01A2"/>
    <w:rsid w:val="00DD0B43"/>
    <w:rsid w:val="00DD1920"/>
    <w:rsid w:val="00DD2990"/>
    <w:rsid w:val="00DD338A"/>
    <w:rsid w:val="00DD479D"/>
    <w:rsid w:val="00DD47A6"/>
    <w:rsid w:val="00DD5F3D"/>
    <w:rsid w:val="00DD68B1"/>
    <w:rsid w:val="00DD7649"/>
    <w:rsid w:val="00DD795F"/>
    <w:rsid w:val="00DE4A73"/>
    <w:rsid w:val="00DE5ECD"/>
    <w:rsid w:val="00DE64B4"/>
    <w:rsid w:val="00DE66EA"/>
    <w:rsid w:val="00DE6E30"/>
    <w:rsid w:val="00DF0451"/>
    <w:rsid w:val="00DF276B"/>
    <w:rsid w:val="00DF312D"/>
    <w:rsid w:val="00DF40BD"/>
    <w:rsid w:val="00DF477C"/>
    <w:rsid w:val="00E00FCC"/>
    <w:rsid w:val="00E022FE"/>
    <w:rsid w:val="00E028F6"/>
    <w:rsid w:val="00E05413"/>
    <w:rsid w:val="00E05C4A"/>
    <w:rsid w:val="00E05F42"/>
    <w:rsid w:val="00E0617E"/>
    <w:rsid w:val="00E0656D"/>
    <w:rsid w:val="00E067B6"/>
    <w:rsid w:val="00E12240"/>
    <w:rsid w:val="00E12A33"/>
    <w:rsid w:val="00E13ABE"/>
    <w:rsid w:val="00E13D05"/>
    <w:rsid w:val="00E14DFA"/>
    <w:rsid w:val="00E14F18"/>
    <w:rsid w:val="00E2118A"/>
    <w:rsid w:val="00E21A21"/>
    <w:rsid w:val="00E21AA3"/>
    <w:rsid w:val="00E2203E"/>
    <w:rsid w:val="00E23E45"/>
    <w:rsid w:val="00E24781"/>
    <w:rsid w:val="00E25A60"/>
    <w:rsid w:val="00E25D3C"/>
    <w:rsid w:val="00E279F1"/>
    <w:rsid w:val="00E30220"/>
    <w:rsid w:val="00E3026B"/>
    <w:rsid w:val="00E303B3"/>
    <w:rsid w:val="00E312F2"/>
    <w:rsid w:val="00E31B38"/>
    <w:rsid w:val="00E349F5"/>
    <w:rsid w:val="00E3535D"/>
    <w:rsid w:val="00E35A18"/>
    <w:rsid w:val="00E35BAD"/>
    <w:rsid w:val="00E37BC2"/>
    <w:rsid w:val="00E4014B"/>
    <w:rsid w:val="00E4037B"/>
    <w:rsid w:val="00E43C62"/>
    <w:rsid w:val="00E46FE6"/>
    <w:rsid w:val="00E500D4"/>
    <w:rsid w:val="00E50D6C"/>
    <w:rsid w:val="00E5250E"/>
    <w:rsid w:val="00E52DA1"/>
    <w:rsid w:val="00E549B6"/>
    <w:rsid w:val="00E54B94"/>
    <w:rsid w:val="00E54BC9"/>
    <w:rsid w:val="00E620E0"/>
    <w:rsid w:val="00E621B2"/>
    <w:rsid w:val="00E62943"/>
    <w:rsid w:val="00E62A1A"/>
    <w:rsid w:val="00E63469"/>
    <w:rsid w:val="00E64735"/>
    <w:rsid w:val="00E648BB"/>
    <w:rsid w:val="00E64FDF"/>
    <w:rsid w:val="00E662B9"/>
    <w:rsid w:val="00E73AA4"/>
    <w:rsid w:val="00E75BE4"/>
    <w:rsid w:val="00E75F92"/>
    <w:rsid w:val="00E76B26"/>
    <w:rsid w:val="00E774E6"/>
    <w:rsid w:val="00E77DDB"/>
    <w:rsid w:val="00E820C4"/>
    <w:rsid w:val="00E824D2"/>
    <w:rsid w:val="00E82B4C"/>
    <w:rsid w:val="00E82C93"/>
    <w:rsid w:val="00E83D91"/>
    <w:rsid w:val="00E840DA"/>
    <w:rsid w:val="00E84305"/>
    <w:rsid w:val="00E87380"/>
    <w:rsid w:val="00E90910"/>
    <w:rsid w:val="00E95660"/>
    <w:rsid w:val="00E95E12"/>
    <w:rsid w:val="00E9644D"/>
    <w:rsid w:val="00E96EA0"/>
    <w:rsid w:val="00E97AEE"/>
    <w:rsid w:val="00EA5268"/>
    <w:rsid w:val="00EA7520"/>
    <w:rsid w:val="00EA7907"/>
    <w:rsid w:val="00EB39DF"/>
    <w:rsid w:val="00EB40D4"/>
    <w:rsid w:val="00EB48B3"/>
    <w:rsid w:val="00EB4B1D"/>
    <w:rsid w:val="00EB655A"/>
    <w:rsid w:val="00EB7A26"/>
    <w:rsid w:val="00EC6C70"/>
    <w:rsid w:val="00EC7045"/>
    <w:rsid w:val="00EC7097"/>
    <w:rsid w:val="00EC7301"/>
    <w:rsid w:val="00ED018F"/>
    <w:rsid w:val="00ED1BE7"/>
    <w:rsid w:val="00ED265A"/>
    <w:rsid w:val="00ED336F"/>
    <w:rsid w:val="00ED3F7D"/>
    <w:rsid w:val="00ED5E54"/>
    <w:rsid w:val="00ED6121"/>
    <w:rsid w:val="00EE1B5E"/>
    <w:rsid w:val="00EE4788"/>
    <w:rsid w:val="00EE4A35"/>
    <w:rsid w:val="00EE501A"/>
    <w:rsid w:val="00EE5375"/>
    <w:rsid w:val="00EE7B8A"/>
    <w:rsid w:val="00EF0A78"/>
    <w:rsid w:val="00EF0E59"/>
    <w:rsid w:val="00EF1355"/>
    <w:rsid w:val="00EF1714"/>
    <w:rsid w:val="00EF3C10"/>
    <w:rsid w:val="00EF3C37"/>
    <w:rsid w:val="00EF5029"/>
    <w:rsid w:val="00EF51C8"/>
    <w:rsid w:val="00EF5934"/>
    <w:rsid w:val="00EF62E7"/>
    <w:rsid w:val="00EF68BA"/>
    <w:rsid w:val="00EF7E43"/>
    <w:rsid w:val="00F013B8"/>
    <w:rsid w:val="00F013CD"/>
    <w:rsid w:val="00F037B8"/>
    <w:rsid w:val="00F039B6"/>
    <w:rsid w:val="00F05EAB"/>
    <w:rsid w:val="00F07F64"/>
    <w:rsid w:val="00F13274"/>
    <w:rsid w:val="00F141DF"/>
    <w:rsid w:val="00F14DBF"/>
    <w:rsid w:val="00F15286"/>
    <w:rsid w:val="00F158C1"/>
    <w:rsid w:val="00F16B41"/>
    <w:rsid w:val="00F1744F"/>
    <w:rsid w:val="00F23453"/>
    <w:rsid w:val="00F2596B"/>
    <w:rsid w:val="00F25DBA"/>
    <w:rsid w:val="00F26366"/>
    <w:rsid w:val="00F31234"/>
    <w:rsid w:val="00F32026"/>
    <w:rsid w:val="00F324D8"/>
    <w:rsid w:val="00F333E9"/>
    <w:rsid w:val="00F33B57"/>
    <w:rsid w:val="00F35759"/>
    <w:rsid w:val="00F361CC"/>
    <w:rsid w:val="00F37553"/>
    <w:rsid w:val="00F37BE0"/>
    <w:rsid w:val="00F42BCC"/>
    <w:rsid w:val="00F43953"/>
    <w:rsid w:val="00F43DC5"/>
    <w:rsid w:val="00F451B9"/>
    <w:rsid w:val="00F51B56"/>
    <w:rsid w:val="00F53F10"/>
    <w:rsid w:val="00F546CC"/>
    <w:rsid w:val="00F5673D"/>
    <w:rsid w:val="00F569A9"/>
    <w:rsid w:val="00F57768"/>
    <w:rsid w:val="00F60BC5"/>
    <w:rsid w:val="00F61417"/>
    <w:rsid w:val="00F614FF"/>
    <w:rsid w:val="00F62778"/>
    <w:rsid w:val="00F6472E"/>
    <w:rsid w:val="00F66367"/>
    <w:rsid w:val="00F66511"/>
    <w:rsid w:val="00F71652"/>
    <w:rsid w:val="00F74854"/>
    <w:rsid w:val="00F76281"/>
    <w:rsid w:val="00F7642D"/>
    <w:rsid w:val="00F76BDB"/>
    <w:rsid w:val="00F8040F"/>
    <w:rsid w:val="00F8092B"/>
    <w:rsid w:val="00F86770"/>
    <w:rsid w:val="00F90084"/>
    <w:rsid w:val="00F91A59"/>
    <w:rsid w:val="00F91B85"/>
    <w:rsid w:val="00F91DC2"/>
    <w:rsid w:val="00F925D9"/>
    <w:rsid w:val="00F95389"/>
    <w:rsid w:val="00F96040"/>
    <w:rsid w:val="00FA1857"/>
    <w:rsid w:val="00FA549F"/>
    <w:rsid w:val="00FA61B8"/>
    <w:rsid w:val="00FA6C34"/>
    <w:rsid w:val="00FA72D9"/>
    <w:rsid w:val="00FA7444"/>
    <w:rsid w:val="00FA795D"/>
    <w:rsid w:val="00FB0011"/>
    <w:rsid w:val="00FB03B0"/>
    <w:rsid w:val="00FB05CB"/>
    <w:rsid w:val="00FB13CA"/>
    <w:rsid w:val="00FB28BB"/>
    <w:rsid w:val="00FB2F1D"/>
    <w:rsid w:val="00FB34C6"/>
    <w:rsid w:val="00FB3715"/>
    <w:rsid w:val="00FB3A2C"/>
    <w:rsid w:val="00FB407F"/>
    <w:rsid w:val="00FB4461"/>
    <w:rsid w:val="00FB5C3D"/>
    <w:rsid w:val="00FB62B4"/>
    <w:rsid w:val="00FB6DD1"/>
    <w:rsid w:val="00FC3F60"/>
    <w:rsid w:val="00FC45CD"/>
    <w:rsid w:val="00FC462B"/>
    <w:rsid w:val="00FC4AB5"/>
    <w:rsid w:val="00FC5FA4"/>
    <w:rsid w:val="00FC602C"/>
    <w:rsid w:val="00FC7863"/>
    <w:rsid w:val="00FD03DB"/>
    <w:rsid w:val="00FD09D7"/>
    <w:rsid w:val="00FD1D0B"/>
    <w:rsid w:val="00FD3E27"/>
    <w:rsid w:val="00FD5242"/>
    <w:rsid w:val="00FD52AB"/>
    <w:rsid w:val="00FD588A"/>
    <w:rsid w:val="00FE0D08"/>
    <w:rsid w:val="00FE65EF"/>
    <w:rsid w:val="00FE6CB4"/>
    <w:rsid w:val="00FE789C"/>
    <w:rsid w:val="00FE7922"/>
    <w:rsid w:val="00FF0201"/>
    <w:rsid w:val="00FF0285"/>
    <w:rsid w:val="00FF1A90"/>
    <w:rsid w:val="00FF2CE4"/>
    <w:rsid w:val="00FF5A87"/>
    <w:rsid w:val="00FF6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73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index heading" w:locked="1"/>
    <w:lsdException w:name="caption" w:locked="1" w:uiPriority="35" w:qFormat="1"/>
    <w:lsdException w:name="envelope address" w:locked="1"/>
    <w:lsdException w:name="envelope return" w:locked="1"/>
    <w:lsdException w:name="annotation reference" w:locked="1"/>
    <w:lsdException w:name="line number" w:locked="1"/>
    <w:lsdException w:name="page number" w:locked="1"/>
    <w:lsdException w:name="endnote reference" w:locked="1"/>
    <w:lsdException w:name="endnote text" w:locked="1"/>
    <w:lsdException w:name="macro" w:locked="1"/>
    <w:lsdException w:name="toa heading" w:locked="1"/>
    <w:lsdException w:name="List" w:locked="1"/>
    <w:lsdException w:name="List Number" w:locked="1"/>
    <w:lsdException w:name="List 2" w:locked="1"/>
    <w:lsdException w:name="List 3" w:locked="1"/>
    <w:lsdException w:name="List 4" w:locked="1"/>
    <w:lsdException w:name="List 5"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3D effects 1" w:locked="1"/>
    <w:lsdException w:name="Table 3D effects 2" w:locked="1"/>
    <w:lsdException w:name="Table 3D effects 3" w:locked="1"/>
    <w:lsdException w:name="Table Web 1" w:locked="1"/>
    <w:lsdException w:name="Table Web 2" w:locked="1"/>
    <w:lsdException w:name="Table Web 3" w:locked="1"/>
    <w:lsdException w:name="Balloon Text" w:locked="1"/>
    <w:lsdException w:name="Table Grid" w:semiHidden="0" w:uiPriority="59" w:unhideWhenUsed="0"/>
    <w:lsdException w:name="Placeholder Text" w:locked="1" w:unhideWhenUsed="0"/>
    <w:lsdException w:name="No Spacing" w:locked="1" w:semiHidden="0" w:uiPriority="1" w:unhideWhenUsed="0" w:qFormat="1"/>
    <w:lsdException w:name="Light Shading" w:locked="1"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1"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1"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1"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locked="1" w:uiPriority="37"/>
    <w:lsdException w:name="TOC Heading" w:locked="1" w:uiPriority="39" w:qFormat="1"/>
  </w:latentStyles>
  <w:style w:type="paragraph" w:default="1" w:styleId="Normal">
    <w:name w:val="Normal"/>
    <w:rsid w:val="00171EA9"/>
    <w:pPr>
      <w:spacing w:before="120" w:after="0"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FB6DD1"/>
    <w:pPr>
      <w:keepNext/>
      <w:numPr>
        <w:numId w:val="1"/>
      </w:numPr>
      <w:spacing w:before="24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FB6DD1"/>
    <w:pPr>
      <w:keepNext/>
      <w:numPr>
        <w:ilvl w:val="1"/>
        <w:numId w:val="1"/>
      </w:numPr>
      <w:spacing w:before="240"/>
      <w:jc w:val="center"/>
      <w:outlineLvl w:val="1"/>
    </w:pPr>
    <w:rPr>
      <w:rFonts w:ascii="Times New Roman Bold" w:eastAsia="Times New Roman" w:hAnsi="Times New Roman Bold"/>
      <w:b/>
      <w:bCs/>
      <w:sz w:val="24"/>
      <w:szCs w:val="32"/>
    </w:rPr>
  </w:style>
  <w:style w:type="paragraph" w:styleId="Heading3">
    <w:name w:val="heading 3"/>
    <w:aliases w:val="Sec"/>
    <w:basedOn w:val="Normal"/>
    <w:next w:val="NewPara"/>
    <w:link w:val="Heading3Char"/>
    <w:qFormat/>
    <w:rsid w:val="001628D5"/>
    <w:pPr>
      <w:keepNext/>
      <w:jc w:val="center"/>
      <w:outlineLvl w:val="2"/>
    </w:pPr>
    <w:rPr>
      <w:rFonts w:eastAsia="Times New Roman"/>
      <w:i/>
      <w:iCs/>
      <w:sz w:val="24"/>
      <w:szCs w:val="32"/>
    </w:rPr>
  </w:style>
  <w:style w:type="paragraph" w:styleId="Heading4">
    <w:name w:val="heading 4"/>
    <w:aliases w:val="MainPara"/>
    <w:basedOn w:val="Heading3"/>
    <w:next w:val="Normal"/>
    <w:link w:val="Heading4Char"/>
    <w:qFormat/>
    <w:locked/>
    <w:rsid w:val="00F614FF"/>
    <w:pPr>
      <w:numPr>
        <w:ilvl w:val="3"/>
      </w:numPr>
      <w:jc w:val="left"/>
      <w:outlineLvl w:val="3"/>
    </w:pPr>
    <w:rPr>
      <w:b/>
    </w:rPr>
  </w:style>
  <w:style w:type="paragraph" w:styleId="Heading5">
    <w:name w:val="heading 5"/>
    <w:aliases w:val="Subpara 2"/>
    <w:basedOn w:val="Heading3"/>
    <w:next w:val="Normal"/>
    <w:link w:val="Heading5Char"/>
    <w:qFormat/>
    <w:locked/>
    <w:rsid w:val="00F614FF"/>
    <w:pPr>
      <w:numPr>
        <w:ilvl w:val="4"/>
      </w:numPr>
      <w:outlineLvl w:val="4"/>
    </w:pPr>
    <w:rPr>
      <w:caps/>
    </w:rPr>
  </w:style>
  <w:style w:type="paragraph" w:styleId="Heading6">
    <w:name w:val="heading 6"/>
    <w:aliases w:val="Subpara 3"/>
    <w:basedOn w:val="Heading3"/>
    <w:next w:val="Normal"/>
    <w:link w:val="Heading6Char"/>
    <w:qFormat/>
    <w:locked/>
    <w:rsid w:val="00F614FF"/>
    <w:pPr>
      <w:numPr>
        <w:ilvl w:val="5"/>
      </w:numPr>
      <w:outlineLvl w:val="5"/>
    </w:pPr>
  </w:style>
  <w:style w:type="paragraph" w:styleId="Heading7">
    <w:name w:val="heading 7"/>
    <w:aliases w:val="Subpara 4"/>
    <w:basedOn w:val="Heading3"/>
    <w:next w:val="Normal"/>
    <w:link w:val="Heading7Char"/>
    <w:qFormat/>
    <w:locked/>
    <w:rsid w:val="00F614FF"/>
    <w:pPr>
      <w:numPr>
        <w:ilvl w:val="6"/>
      </w:numPr>
      <w:outlineLvl w:val="6"/>
    </w:pPr>
  </w:style>
  <w:style w:type="paragraph" w:styleId="Heading8">
    <w:name w:val="heading 8"/>
    <w:aliases w:val="Subpara 5"/>
    <w:basedOn w:val="Heading3"/>
    <w:next w:val="Normal"/>
    <w:link w:val="Heading8Char"/>
    <w:qFormat/>
    <w:locked/>
    <w:rsid w:val="00F614FF"/>
    <w:pPr>
      <w:numPr>
        <w:ilvl w:val="7"/>
      </w:numPr>
      <w:outlineLvl w:val="7"/>
    </w:pPr>
  </w:style>
  <w:style w:type="paragraph" w:styleId="Heading9">
    <w:name w:val="heading 9"/>
    <w:aliases w:val="Subpara 6"/>
    <w:basedOn w:val="Heading3"/>
    <w:next w:val="Normal"/>
    <w:link w:val="Heading9Char"/>
    <w:qFormat/>
    <w:locked/>
    <w:rsid w:val="00F614FF"/>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C62BE"/>
    <w:pPr>
      <w:tabs>
        <w:tab w:val="center" w:pos="4536"/>
        <w:tab w:val="right" w:pos="9072"/>
      </w:tabs>
    </w:pPr>
  </w:style>
  <w:style w:type="character" w:customStyle="1" w:styleId="HeaderChar">
    <w:name w:val="Header Char"/>
    <w:basedOn w:val="DefaultParagraphFont"/>
    <w:link w:val="Header"/>
    <w:uiPriority w:val="99"/>
    <w:rsid w:val="00AC62BE"/>
    <w:rPr>
      <w:rFonts w:ascii="Times New Roman" w:hAnsi="Times New Roman" w:cs="Akhbar MT"/>
      <w:szCs w:val="30"/>
      <w:lang w:val="en-GB"/>
    </w:rPr>
  </w:style>
  <w:style w:type="paragraph" w:styleId="Footer">
    <w:name w:val="footer"/>
    <w:basedOn w:val="Normal"/>
    <w:link w:val="FooterChar"/>
    <w:uiPriority w:val="99"/>
    <w:unhideWhenUsed/>
    <w:locked/>
    <w:rsid w:val="00AC62BE"/>
    <w:pPr>
      <w:tabs>
        <w:tab w:val="center" w:pos="4536"/>
        <w:tab w:val="right" w:pos="9072"/>
      </w:tabs>
    </w:pPr>
  </w:style>
  <w:style w:type="character" w:customStyle="1" w:styleId="FooterChar">
    <w:name w:val="Footer Char"/>
    <w:basedOn w:val="DefaultParagraphFont"/>
    <w:link w:val="Footer"/>
    <w:uiPriority w:val="99"/>
    <w:rsid w:val="00AC62BE"/>
    <w:rPr>
      <w:rFonts w:ascii="Times New Roman" w:hAnsi="Times New Roman" w:cs="Akhbar MT"/>
      <w:szCs w:val="30"/>
      <w:lang w:val="en-GB"/>
    </w:rPr>
  </w:style>
  <w:style w:type="character" w:styleId="PlaceholderText">
    <w:name w:val="Placeholder Text"/>
    <w:basedOn w:val="DefaultParagraphFont"/>
    <w:uiPriority w:val="99"/>
    <w:semiHidden/>
    <w:locked/>
    <w:rsid w:val="006C3DA5"/>
    <w:rPr>
      <w:color w:val="808080"/>
    </w:rPr>
  </w:style>
  <w:style w:type="paragraph" w:styleId="BalloonText">
    <w:name w:val="Balloon Text"/>
    <w:basedOn w:val="Normal"/>
    <w:link w:val="BalloonTextChar"/>
    <w:uiPriority w:val="99"/>
    <w:semiHidden/>
    <w:unhideWhenUsed/>
    <w:locked/>
    <w:rsid w:val="006C3DA5"/>
    <w:rPr>
      <w:rFonts w:ascii="Tahoma" w:hAnsi="Tahoma" w:cs="Tahoma"/>
      <w:sz w:val="16"/>
      <w:szCs w:val="16"/>
    </w:rPr>
  </w:style>
  <w:style w:type="character" w:customStyle="1" w:styleId="BalloonTextChar">
    <w:name w:val="Balloon Text Char"/>
    <w:basedOn w:val="DefaultParagraphFont"/>
    <w:link w:val="BalloonText"/>
    <w:uiPriority w:val="99"/>
    <w:semiHidden/>
    <w:rsid w:val="006C3DA5"/>
    <w:rPr>
      <w:rFonts w:ascii="Tahoma" w:hAnsi="Tahoma" w:cs="Tahoma"/>
      <w:sz w:val="16"/>
      <w:szCs w:val="16"/>
      <w:lang w:val="en-GB"/>
    </w:rPr>
  </w:style>
  <w:style w:type="paragraph" w:styleId="NoSpacing">
    <w:name w:val="No Spacing"/>
    <w:uiPriority w:val="1"/>
    <w:qFormat/>
    <w:locked/>
    <w:rsid w:val="00AC62BE"/>
    <w:pPr>
      <w:spacing w:after="0" w:line="240" w:lineRule="auto"/>
    </w:pPr>
    <w:rPr>
      <w:rFonts w:ascii="Times New Roman" w:hAnsi="Times New Roman" w:cs="Akhbar MT"/>
      <w:szCs w:val="30"/>
      <w:lang w:val="en-GB"/>
    </w:rPr>
  </w:style>
  <w:style w:type="paragraph" w:customStyle="1" w:styleId="Note">
    <w:name w:val="Note"/>
    <w:basedOn w:val="Normal"/>
    <w:link w:val="NoteChar"/>
    <w:autoRedefine/>
    <w:qFormat/>
    <w:rsid w:val="00EE4A35"/>
    <w:pPr>
      <w:pBdr>
        <w:top w:val="single" w:sz="4" w:space="1" w:color="auto"/>
      </w:pBdr>
      <w:jc w:val="center"/>
    </w:pPr>
    <w:rPr>
      <w:i/>
      <w:sz w:val="20"/>
      <w:szCs w:val="28"/>
    </w:rPr>
  </w:style>
  <w:style w:type="character" w:customStyle="1" w:styleId="NoteChar">
    <w:name w:val="Note Char"/>
    <w:basedOn w:val="DefaultParagraphFont"/>
    <w:link w:val="Note"/>
    <w:rsid w:val="00EE4A35"/>
    <w:rPr>
      <w:rFonts w:ascii="Times New Roman" w:hAnsi="Times New Roman" w:cs="Akhbar MT"/>
      <w:i/>
      <w:sz w:val="20"/>
      <w:szCs w:val="28"/>
      <w:lang w:val="en-GB"/>
    </w:rPr>
  </w:style>
  <w:style w:type="paragraph" w:customStyle="1" w:styleId="DocTitle">
    <w:name w:val="DocTitle"/>
    <w:basedOn w:val="Normal"/>
    <w:link w:val="DocTitleChar"/>
    <w:qFormat/>
    <w:rsid w:val="00FB6DD1"/>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FB6DD1"/>
    <w:rPr>
      <w:rFonts w:ascii="Times New Roman" w:hAnsi="Times New Roman" w:cs="Akhbar MT"/>
      <w:bCs/>
      <w:color w:val="7F7F7F" w:themeColor="text1" w:themeTint="80"/>
      <w:sz w:val="56"/>
      <w:szCs w:val="72"/>
      <w:lang w:val="en-GB"/>
    </w:rPr>
  </w:style>
  <w:style w:type="character" w:customStyle="1" w:styleId="Heading1Char">
    <w:name w:val="Heading 1 Char"/>
    <w:aliases w:val="Part Char"/>
    <w:basedOn w:val="DefaultParagraphFont"/>
    <w:link w:val="Heading1"/>
    <w:rsid w:val="00FB6DD1"/>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FB6DD1"/>
    <w:rPr>
      <w:rFonts w:ascii="Times New Roman Bold" w:eastAsia="Times New Roman" w:hAnsi="Times New Roman Bold" w:cs="Akhbar MT"/>
      <w:b/>
      <w:bCs/>
      <w:sz w:val="24"/>
      <w:szCs w:val="32"/>
      <w:lang w:val="en-GB"/>
    </w:rPr>
  </w:style>
  <w:style w:type="character" w:customStyle="1" w:styleId="Heading3Char">
    <w:name w:val="Heading 3 Char"/>
    <w:aliases w:val="Sec Char"/>
    <w:basedOn w:val="DefaultParagraphFont"/>
    <w:link w:val="Heading3"/>
    <w:rsid w:val="001628D5"/>
    <w:rPr>
      <w:rFonts w:ascii="Times New Roman" w:eastAsia="Times New Roman" w:hAnsi="Times New Roman" w:cs="Akhbar MT"/>
      <w:i/>
      <w:iCs/>
      <w:sz w:val="24"/>
      <w:szCs w:val="32"/>
      <w:lang w:val="en-GB"/>
    </w:rPr>
  </w:style>
  <w:style w:type="character" w:customStyle="1" w:styleId="Heading4Char">
    <w:name w:val="Heading 4 Char"/>
    <w:aliases w:val="MainPara Char"/>
    <w:basedOn w:val="DefaultParagraphFont"/>
    <w:link w:val="Heading4"/>
    <w:rsid w:val="00F614FF"/>
    <w:rPr>
      <w:rFonts w:ascii="Times New Roman" w:eastAsia="Times New Roman" w:hAnsi="Times New Roman" w:cs="Akhbar MT"/>
      <w:b/>
      <w:i/>
      <w:iCs/>
      <w:sz w:val="24"/>
      <w:szCs w:val="32"/>
      <w:lang w:val="en-GB"/>
    </w:rPr>
  </w:style>
  <w:style w:type="character" w:customStyle="1" w:styleId="Heading5Char">
    <w:name w:val="Heading 5 Char"/>
    <w:aliases w:val="Subpara 2 Char"/>
    <w:basedOn w:val="DefaultParagraphFont"/>
    <w:link w:val="Heading5"/>
    <w:rsid w:val="00F614FF"/>
    <w:rPr>
      <w:rFonts w:ascii="Times New Roman" w:eastAsia="Times New Roman" w:hAnsi="Times New Roman" w:cs="Akhbar MT"/>
      <w:i/>
      <w:iCs/>
      <w:caps/>
      <w:sz w:val="24"/>
      <w:szCs w:val="32"/>
      <w:lang w:val="en-GB"/>
    </w:rPr>
  </w:style>
  <w:style w:type="character" w:customStyle="1" w:styleId="Heading6Char">
    <w:name w:val="Heading 6 Char"/>
    <w:aliases w:val="Subpara 3 Char"/>
    <w:basedOn w:val="DefaultParagraphFont"/>
    <w:link w:val="Heading6"/>
    <w:rsid w:val="00F614FF"/>
    <w:rPr>
      <w:rFonts w:ascii="Times New Roman" w:eastAsia="Times New Roman" w:hAnsi="Times New Roman" w:cs="Akhbar MT"/>
      <w:i/>
      <w:iCs/>
      <w:sz w:val="24"/>
      <w:szCs w:val="32"/>
      <w:lang w:val="en-GB"/>
    </w:rPr>
  </w:style>
  <w:style w:type="character" w:customStyle="1" w:styleId="Heading7Char">
    <w:name w:val="Heading 7 Char"/>
    <w:aliases w:val="Subpara 4 Char"/>
    <w:basedOn w:val="DefaultParagraphFont"/>
    <w:link w:val="Heading7"/>
    <w:rsid w:val="00F614FF"/>
    <w:rPr>
      <w:rFonts w:ascii="Times New Roman" w:eastAsia="Times New Roman" w:hAnsi="Times New Roman" w:cs="Akhbar MT"/>
      <w:i/>
      <w:iCs/>
      <w:sz w:val="24"/>
      <w:szCs w:val="32"/>
      <w:lang w:val="en-GB"/>
    </w:rPr>
  </w:style>
  <w:style w:type="character" w:customStyle="1" w:styleId="Heading8Char">
    <w:name w:val="Heading 8 Char"/>
    <w:aliases w:val="Subpara 5 Char"/>
    <w:basedOn w:val="DefaultParagraphFont"/>
    <w:link w:val="Heading8"/>
    <w:rsid w:val="00F614FF"/>
    <w:rPr>
      <w:rFonts w:ascii="Times New Roman" w:eastAsia="Times New Roman" w:hAnsi="Times New Roman" w:cs="Akhbar MT"/>
      <w:i/>
      <w:iCs/>
      <w:sz w:val="24"/>
      <w:szCs w:val="32"/>
      <w:lang w:val="en-GB"/>
    </w:rPr>
  </w:style>
  <w:style w:type="character" w:customStyle="1" w:styleId="Heading9Char">
    <w:name w:val="Heading 9 Char"/>
    <w:aliases w:val="Subpara 6 Char"/>
    <w:basedOn w:val="DefaultParagraphFont"/>
    <w:link w:val="Heading9"/>
    <w:rsid w:val="00F614FF"/>
    <w:rPr>
      <w:rFonts w:ascii="Times New Roman" w:eastAsia="Times New Roman" w:hAnsi="Times New Roman" w:cs="Akhbar MT"/>
      <w:i/>
      <w:iCs/>
      <w:sz w:val="24"/>
      <w:szCs w:val="32"/>
      <w:lang w:val="en-GB"/>
    </w:rPr>
  </w:style>
  <w:style w:type="paragraph" w:styleId="ListParagraph">
    <w:name w:val="List Paragraph"/>
    <w:basedOn w:val="Normal"/>
    <w:link w:val="ListParagraphChar"/>
    <w:uiPriority w:val="34"/>
    <w:qFormat/>
    <w:locked/>
    <w:rsid w:val="00AC62BE"/>
    <w:pPr>
      <w:numPr>
        <w:numId w:val="7"/>
      </w:numPr>
      <w:contextualSpacing/>
    </w:pPr>
  </w:style>
  <w:style w:type="paragraph" w:customStyle="1" w:styleId="NewPara">
    <w:name w:val="NewPara"/>
    <w:basedOn w:val="ListParagraph"/>
    <w:link w:val="NewParaChar"/>
    <w:qFormat/>
    <w:rsid w:val="0072740C"/>
    <w:pPr>
      <w:numPr>
        <w:numId w:val="2"/>
      </w:numPr>
      <w:ind w:left="0" w:firstLine="0"/>
      <w:contextualSpacing w:val="0"/>
    </w:pPr>
  </w:style>
  <w:style w:type="character" w:customStyle="1" w:styleId="ListParagraphChar">
    <w:name w:val="List Paragraph Char"/>
    <w:basedOn w:val="DefaultParagraphFont"/>
    <w:link w:val="ListParagraph"/>
    <w:uiPriority w:val="34"/>
    <w:rsid w:val="00AC62BE"/>
    <w:rPr>
      <w:rFonts w:ascii="Times New Roman" w:hAnsi="Times New Roman" w:cs="Akhbar MT"/>
      <w:szCs w:val="30"/>
      <w:lang w:val="en-GB"/>
    </w:rPr>
  </w:style>
  <w:style w:type="character" w:customStyle="1" w:styleId="NewParaChar">
    <w:name w:val="NewPara Char"/>
    <w:basedOn w:val="ListParagraphChar"/>
    <w:link w:val="NewPara"/>
    <w:rsid w:val="0072740C"/>
  </w:style>
  <w:style w:type="paragraph" w:customStyle="1" w:styleId="BulletList">
    <w:name w:val="Bullet List"/>
    <w:basedOn w:val="ListParagraph"/>
    <w:link w:val="BulletListChar"/>
    <w:qFormat/>
    <w:rsid w:val="00A67DF0"/>
    <w:pPr>
      <w:numPr>
        <w:numId w:val="3"/>
      </w:numPr>
      <w:ind w:left="714" w:hanging="357"/>
    </w:pPr>
  </w:style>
  <w:style w:type="character" w:customStyle="1" w:styleId="BulletListChar">
    <w:name w:val="Bullet List Char"/>
    <w:basedOn w:val="ListParagraphChar"/>
    <w:link w:val="BulletList"/>
    <w:rsid w:val="00A67DF0"/>
  </w:style>
  <w:style w:type="paragraph" w:customStyle="1" w:styleId="SequentialList">
    <w:name w:val="Sequential List"/>
    <w:basedOn w:val="ListParagraph"/>
    <w:link w:val="SequentialListChar"/>
    <w:qFormat/>
    <w:rsid w:val="005F59A8"/>
    <w:pPr>
      <w:numPr>
        <w:numId w:val="4"/>
      </w:numPr>
    </w:pPr>
  </w:style>
  <w:style w:type="character" w:customStyle="1" w:styleId="SequentialListChar">
    <w:name w:val="Sequential List Char"/>
    <w:basedOn w:val="ListParagraphChar"/>
    <w:link w:val="SequentialList"/>
    <w:rsid w:val="005F59A8"/>
  </w:style>
  <w:style w:type="paragraph" w:styleId="TOC1">
    <w:name w:val="toc 1"/>
    <w:basedOn w:val="Normal"/>
    <w:next w:val="Normal"/>
    <w:autoRedefine/>
    <w:uiPriority w:val="39"/>
    <w:unhideWhenUsed/>
    <w:rsid w:val="00AC62BE"/>
    <w:pPr>
      <w:spacing w:after="120"/>
    </w:pPr>
    <w:rPr>
      <w:sz w:val="24"/>
      <w:szCs w:val="34"/>
    </w:rPr>
  </w:style>
  <w:style w:type="paragraph" w:styleId="TOC2">
    <w:name w:val="toc 2"/>
    <w:basedOn w:val="Normal"/>
    <w:next w:val="Normal"/>
    <w:autoRedefine/>
    <w:uiPriority w:val="39"/>
    <w:unhideWhenUsed/>
    <w:rsid w:val="00AC62BE"/>
    <w:pPr>
      <w:ind w:left="240"/>
    </w:pPr>
    <w:rPr>
      <w:szCs w:val="32"/>
    </w:rPr>
  </w:style>
  <w:style w:type="paragraph" w:styleId="TOC3">
    <w:name w:val="toc 3"/>
    <w:basedOn w:val="Normal"/>
    <w:next w:val="Normal"/>
    <w:autoRedefine/>
    <w:uiPriority w:val="39"/>
    <w:unhideWhenUsed/>
    <w:rsid w:val="00AC62BE"/>
    <w:pPr>
      <w:ind w:left="480"/>
    </w:pPr>
    <w:rPr>
      <w:i/>
      <w:iCs/>
      <w:sz w:val="20"/>
    </w:rPr>
  </w:style>
  <w:style w:type="paragraph" w:styleId="TOC4">
    <w:name w:val="toc 4"/>
    <w:basedOn w:val="Normal"/>
    <w:next w:val="Normal"/>
    <w:autoRedefine/>
    <w:uiPriority w:val="39"/>
    <w:unhideWhenUsed/>
    <w:locked/>
    <w:rsid w:val="00175FA7"/>
    <w:pPr>
      <w:ind w:left="720"/>
    </w:pPr>
    <w:rPr>
      <w:rFonts w:asciiTheme="minorHAnsi" w:hAnsiTheme="minorHAnsi"/>
      <w:sz w:val="18"/>
      <w:szCs w:val="18"/>
    </w:rPr>
  </w:style>
  <w:style w:type="paragraph" w:styleId="TOC5">
    <w:name w:val="toc 5"/>
    <w:basedOn w:val="Normal"/>
    <w:next w:val="Normal"/>
    <w:autoRedefine/>
    <w:uiPriority w:val="39"/>
    <w:unhideWhenUsed/>
    <w:locked/>
    <w:rsid w:val="00175FA7"/>
    <w:pPr>
      <w:ind w:left="960"/>
    </w:pPr>
    <w:rPr>
      <w:rFonts w:asciiTheme="minorHAnsi" w:hAnsiTheme="minorHAnsi"/>
      <w:sz w:val="18"/>
      <w:szCs w:val="18"/>
    </w:rPr>
  </w:style>
  <w:style w:type="paragraph" w:styleId="TOC6">
    <w:name w:val="toc 6"/>
    <w:basedOn w:val="Normal"/>
    <w:next w:val="Normal"/>
    <w:autoRedefine/>
    <w:uiPriority w:val="39"/>
    <w:unhideWhenUsed/>
    <w:locked/>
    <w:rsid w:val="00175FA7"/>
    <w:pPr>
      <w:ind w:left="1200"/>
    </w:pPr>
    <w:rPr>
      <w:rFonts w:asciiTheme="minorHAnsi" w:hAnsiTheme="minorHAnsi"/>
      <w:sz w:val="18"/>
      <w:szCs w:val="18"/>
    </w:rPr>
  </w:style>
  <w:style w:type="paragraph" w:styleId="TOC7">
    <w:name w:val="toc 7"/>
    <w:basedOn w:val="Normal"/>
    <w:next w:val="Normal"/>
    <w:autoRedefine/>
    <w:uiPriority w:val="39"/>
    <w:unhideWhenUsed/>
    <w:locked/>
    <w:rsid w:val="00175FA7"/>
    <w:pPr>
      <w:ind w:left="1440"/>
    </w:pPr>
    <w:rPr>
      <w:rFonts w:asciiTheme="minorHAnsi" w:hAnsiTheme="minorHAnsi"/>
      <w:sz w:val="18"/>
      <w:szCs w:val="18"/>
    </w:rPr>
  </w:style>
  <w:style w:type="paragraph" w:styleId="TOC8">
    <w:name w:val="toc 8"/>
    <w:basedOn w:val="Normal"/>
    <w:next w:val="Normal"/>
    <w:autoRedefine/>
    <w:uiPriority w:val="39"/>
    <w:unhideWhenUsed/>
    <w:locked/>
    <w:rsid w:val="00175FA7"/>
    <w:pPr>
      <w:ind w:left="1680"/>
    </w:pPr>
    <w:rPr>
      <w:rFonts w:asciiTheme="minorHAnsi" w:hAnsiTheme="minorHAnsi"/>
      <w:sz w:val="18"/>
      <w:szCs w:val="18"/>
    </w:rPr>
  </w:style>
  <w:style w:type="paragraph" w:styleId="TOC9">
    <w:name w:val="toc 9"/>
    <w:basedOn w:val="Normal"/>
    <w:next w:val="Normal"/>
    <w:autoRedefine/>
    <w:uiPriority w:val="39"/>
    <w:unhideWhenUsed/>
    <w:locked/>
    <w:rsid w:val="00175FA7"/>
    <w:pPr>
      <w:ind w:left="1920"/>
    </w:pPr>
    <w:rPr>
      <w:rFonts w:asciiTheme="minorHAnsi" w:hAnsiTheme="minorHAnsi"/>
      <w:sz w:val="18"/>
      <w:szCs w:val="18"/>
    </w:rPr>
  </w:style>
  <w:style w:type="character" w:styleId="Hyperlink">
    <w:name w:val="Hyperlink"/>
    <w:basedOn w:val="DefaultParagraphFont"/>
    <w:uiPriority w:val="99"/>
    <w:unhideWhenUsed/>
    <w:locked/>
    <w:rsid w:val="009445F4"/>
    <w:rPr>
      <w:color w:val="0000FF" w:themeColor="hyperlink"/>
      <w:u w:val="single"/>
    </w:rPr>
  </w:style>
  <w:style w:type="paragraph" w:customStyle="1" w:styleId="BoxTitle">
    <w:name w:val="Box Title"/>
    <w:basedOn w:val="Normal"/>
    <w:next w:val="BoxText"/>
    <w:link w:val="BoxTitleChar"/>
    <w:qFormat/>
    <w:rsid w:val="00A67DF0"/>
    <w:pPr>
      <w:jc w:val="center"/>
    </w:pPr>
    <w:rPr>
      <w:rFonts w:ascii="Times New Roman Bold" w:hAnsi="Times New Roman Bold"/>
      <w:b/>
      <w:bCs/>
      <w:i/>
      <w:iCs/>
      <w:sz w:val="28"/>
      <w:szCs w:val="36"/>
    </w:rPr>
  </w:style>
  <w:style w:type="paragraph" w:customStyle="1" w:styleId="BoxText">
    <w:name w:val="Box Text"/>
    <w:basedOn w:val="Normal"/>
    <w:link w:val="BoxTextChar"/>
    <w:qFormat/>
    <w:rsid w:val="00A67DF0"/>
  </w:style>
  <w:style w:type="character" w:customStyle="1" w:styleId="BoxTitleChar">
    <w:name w:val="Box Title Char"/>
    <w:basedOn w:val="DefaultParagraphFont"/>
    <w:link w:val="BoxTitle"/>
    <w:rsid w:val="00A67DF0"/>
    <w:rPr>
      <w:rFonts w:ascii="Times New Roman Bold" w:hAnsi="Times New Roman Bold" w:cs="Akhbar MT"/>
      <w:b/>
      <w:bCs/>
      <w:i/>
      <w:iCs/>
      <w:sz w:val="28"/>
      <w:szCs w:val="36"/>
      <w:lang w:val="en-GB"/>
    </w:rPr>
  </w:style>
  <w:style w:type="character" w:customStyle="1" w:styleId="BoxTextChar">
    <w:name w:val="Box Text Char"/>
    <w:basedOn w:val="DefaultParagraphFont"/>
    <w:link w:val="BoxText"/>
    <w:rsid w:val="00A67DF0"/>
    <w:rPr>
      <w:rFonts w:ascii="Times New Roman" w:hAnsi="Times New Roman" w:cs="Akhbar MT"/>
      <w:szCs w:val="30"/>
      <w:lang w:val="en-GB"/>
    </w:rPr>
  </w:style>
  <w:style w:type="paragraph" w:customStyle="1" w:styleId="BoxNewPara">
    <w:name w:val="Box NewPara"/>
    <w:basedOn w:val="ListParagraph"/>
    <w:link w:val="BoxNewParaChar"/>
    <w:qFormat/>
    <w:rsid w:val="0072740C"/>
    <w:pPr>
      <w:numPr>
        <w:numId w:val="5"/>
      </w:numPr>
      <w:ind w:left="0" w:firstLine="0"/>
      <w:contextualSpacing w:val="0"/>
    </w:pPr>
  </w:style>
  <w:style w:type="character" w:customStyle="1" w:styleId="BoxNewParaChar">
    <w:name w:val="Box NewPara Char"/>
    <w:basedOn w:val="ListParagraphChar"/>
    <w:link w:val="BoxNewPara"/>
    <w:rsid w:val="0072740C"/>
  </w:style>
  <w:style w:type="paragraph" w:styleId="Caption">
    <w:name w:val="caption"/>
    <w:basedOn w:val="Normal"/>
    <w:next w:val="Normal"/>
    <w:uiPriority w:val="35"/>
    <w:unhideWhenUsed/>
    <w:qFormat/>
    <w:rsid w:val="00AC62BE"/>
    <w:rPr>
      <w:rFonts w:ascii="Times New Roman Bold" w:hAnsi="Times New Roman Bold"/>
      <w:b/>
      <w:bCs/>
      <w:i/>
      <w:iCs/>
      <w:sz w:val="20"/>
      <w:szCs w:val="28"/>
    </w:rPr>
  </w:style>
  <w:style w:type="table" w:styleId="LightShading-Accent2">
    <w:name w:val="Light Shading Accent 2"/>
    <w:basedOn w:val="TableNormal"/>
    <w:uiPriority w:val="60"/>
    <w:rsid w:val="00A7509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7509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locked/>
    <w:rsid w:val="00A7509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A7509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A7509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SummaryBoxTitle">
    <w:name w:val="Summary Box Title"/>
    <w:basedOn w:val="Normal"/>
    <w:link w:val="SummaryBoxTitleChar"/>
    <w:qFormat/>
    <w:rsid w:val="00A57931"/>
    <w:pPr>
      <w:jc w:val="center"/>
    </w:pPr>
    <w:rPr>
      <w:b/>
      <w:sz w:val="28"/>
      <w:szCs w:val="28"/>
    </w:rPr>
  </w:style>
  <w:style w:type="paragraph" w:customStyle="1" w:styleId="SummaryBoxSubtitle">
    <w:name w:val="Summary Box Subtitle"/>
    <w:basedOn w:val="Normal"/>
    <w:link w:val="SummaryBoxSubtitleChar"/>
    <w:qFormat/>
    <w:rsid w:val="00AC62BE"/>
    <w:pPr>
      <w:spacing w:before="200"/>
      <w:jc w:val="center"/>
    </w:pPr>
    <w:rPr>
      <w:i/>
      <w:iCs/>
    </w:rPr>
  </w:style>
  <w:style w:type="character" w:customStyle="1" w:styleId="SummaryBoxTitleChar">
    <w:name w:val="Summary Box Title Char"/>
    <w:basedOn w:val="DefaultParagraphFont"/>
    <w:link w:val="SummaryBoxTitle"/>
    <w:rsid w:val="00A57931"/>
    <w:rPr>
      <w:rFonts w:ascii="Times New Roman" w:hAnsi="Times New Roman" w:cs="Akhbar MT"/>
      <w:b/>
      <w:sz w:val="28"/>
      <w:szCs w:val="28"/>
      <w:lang w:val="en-GB"/>
    </w:rPr>
  </w:style>
  <w:style w:type="paragraph" w:customStyle="1" w:styleId="SummaryBoxText">
    <w:name w:val="Summary Box Text"/>
    <w:basedOn w:val="Normal"/>
    <w:link w:val="SummaryBoxTextChar"/>
    <w:qFormat/>
    <w:rsid w:val="003576D5"/>
    <w:pPr>
      <w:spacing w:line="360" w:lineRule="auto"/>
    </w:pPr>
  </w:style>
  <w:style w:type="character" w:customStyle="1" w:styleId="SummaryBoxSubtitleChar">
    <w:name w:val="Summary Box Subtitle Char"/>
    <w:basedOn w:val="DefaultParagraphFont"/>
    <w:link w:val="SummaryBoxSubtitle"/>
    <w:rsid w:val="00AC62BE"/>
    <w:rPr>
      <w:rFonts w:ascii="Times New Roman" w:hAnsi="Times New Roman" w:cs="Akhbar MT"/>
      <w:i/>
      <w:iCs/>
      <w:szCs w:val="30"/>
      <w:lang w:val="en-GB"/>
    </w:rPr>
  </w:style>
  <w:style w:type="character" w:customStyle="1" w:styleId="SummaryBoxTextChar">
    <w:name w:val="Summary Box Text Char"/>
    <w:basedOn w:val="DefaultParagraphFont"/>
    <w:link w:val="SummaryBoxText"/>
    <w:rsid w:val="003576D5"/>
    <w:rPr>
      <w:rFonts w:ascii="Times New Roman" w:hAnsi="Times New Roman" w:cs="Akhbar MT"/>
      <w:szCs w:val="30"/>
      <w:lang w:val="en-GB"/>
    </w:rPr>
  </w:style>
  <w:style w:type="paragraph" w:customStyle="1" w:styleId="Underlined">
    <w:name w:val="Underlined"/>
    <w:basedOn w:val="Normal"/>
    <w:link w:val="UnderlinedChar"/>
    <w:qFormat/>
    <w:rsid w:val="00AC62BE"/>
    <w:pPr>
      <w:pBdr>
        <w:bottom w:val="single" w:sz="12" w:space="1" w:color="auto"/>
      </w:pBdr>
    </w:pPr>
  </w:style>
  <w:style w:type="character" w:customStyle="1" w:styleId="UnderlinedChar">
    <w:name w:val="Underlined Char"/>
    <w:basedOn w:val="DefaultParagraphFont"/>
    <w:link w:val="Underlined"/>
    <w:rsid w:val="00AC62BE"/>
    <w:rPr>
      <w:rFonts w:ascii="Times New Roman" w:hAnsi="Times New Roman" w:cs="Akhbar MT"/>
      <w:szCs w:val="30"/>
      <w:lang w:val="en-GB"/>
    </w:rPr>
  </w:style>
  <w:style w:type="paragraph" w:customStyle="1" w:styleId="Centered">
    <w:name w:val="Centered"/>
    <w:basedOn w:val="Normal"/>
    <w:link w:val="CenteredChar"/>
    <w:qFormat/>
    <w:rsid w:val="00A67DF0"/>
    <w:pPr>
      <w:jc w:val="center"/>
    </w:pPr>
  </w:style>
  <w:style w:type="character" w:customStyle="1" w:styleId="CenteredChar">
    <w:name w:val="Centered Char"/>
    <w:basedOn w:val="DefaultParagraphFont"/>
    <w:link w:val="Centered"/>
    <w:rsid w:val="00A67DF0"/>
    <w:rPr>
      <w:rFonts w:ascii="Times New Roman" w:hAnsi="Times New Roman" w:cs="Akhbar MT"/>
      <w:szCs w:val="30"/>
      <w:lang w:val="en-GB"/>
    </w:rPr>
  </w:style>
  <w:style w:type="paragraph" w:customStyle="1" w:styleId="BoxBulletList">
    <w:name w:val="Box Bullet List"/>
    <w:basedOn w:val="BulletList"/>
    <w:link w:val="BoxBulletListChar"/>
    <w:qFormat/>
    <w:rsid w:val="00A67DF0"/>
  </w:style>
  <w:style w:type="paragraph" w:customStyle="1" w:styleId="BoxSequentialList">
    <w:name w:val="Box Sequential List"/>
    <w:basedOn w:val="SequentialList"/>
    <w:link w:val="BoxSequentialListChar"/>
    <w:qFormat/>
    <w:rsid w:val="00A67DF0"/>
  </w:style>
  <w:style w:type="character" w:customStyle="1" w:styleId="BoxBulletListChar">
    <w:name w:val="Box Bullet List Char"/>
    <w:basedOn w:val="BulletListChar"/>
    <w:link w:val="BoxBulletList"/>
    <w:rsid w:val="00A67DF0"/>
  </w:style>
  <w:style w:type="character" w:customStyle="1" w:styleId="BoxSequentialListChar">
    <w:name w:val="Box Sequential List Char"/>
    <w:basedOn w:val="SequentialListChar"/>
    <w:link w:val="BoxSequentialList"/>
    <w:rsid w:val="00A67DF0"/>
  </w:style>
  <w:style w:type="paragraph" w:customStyle="1" w:styleId="Appendix">
    <w:name w:val="Appendix"/>
    <w:basedOn w:val="Normal"/>
    <w:next w:val="NewPara"/>
    <w:link w:val="AppendixChar"/>
    <w:qFormat/>
    <w:rsid w:val="00A67DF0"/>
    <w:pPr>
      <w:ind w:left="709" w:hanging="708"/>
      <w:jc w:val="center"/>
    </w:pPr>
    <w:rPr>
      <w:rFonts w:ascii="Times New Roman Bold" w:hAnsi="Times New Roman Bold"/>
      <w:b/>
      <w:bCs/>
      <w:sz w:val="28"/>
      <w:szCs w:val="36"/>
    </w:rPr>
  </w:style>
  <w:style w:type="character" w:customStyle="1" w:styleId="AppendixChar">
    <w:name w:val="Appendix Char"/>
    <w:basedOn w:val="DefaultParagraphFont"/>
    <w:link w:val="Appendix"/>
    <w:rsid w:val="00A67DF0"/>
    <w:rPr>
      <w:rFonts w:ascii="Times New Roman Bold" w:hAnsi="Times New Roman Bold" w:cs="Akhbar MT"/>
      <w:b/>
      <w:bCs/>
      <w:sz w:val="28"/>
      <w:szCs w:val="36"/>
      <w:lang w:val="en-GB"/>
    </w:rPr>
  </w:style>
  <w:style w:type="paragraph" w:customStyle="1" w:styleId="SummaryBoxContactInformation">
    <w:name w:val="Summary Box Contact Information"/>
    <w:basedOn w:val="Normal"/>
    <w:link w:val="SummaryBoxContactInformationChar"/>
    <w:qFormat/>
    <w:rsid w:val="00AC62BE"/>
    <w:pPr>
      <w:spacing w:after="120"/>
    </w:pPr>
  </w:style>
  <w:style w:type="character" w:customStyle="1" w:styleId="SummaryBoxContactInformationChar">
    <w:name w:val="Summary Box Contact Information Char"/>
    <w:basedOn w:val="DefaultParagraphFont"/>
    <w:link w:val="SummaryBoxContactInformation"/>
    <w:rsid w:val="00AC62BE"/>
    <w:rPr>
      <w:rFonts w:ascii="Times New Roman" w:hAnsi="Times New Roman" w:cs="Akhbar MT"/>
      <w:szCs w:val="30"/>
      <w:lang w:val="en-GB"/>
    </w:rPr>
  </w:style>
  <w:style w:type="table" w:customStyle="1" w:styleId="LightShading2">
    <w:name w:val="Light Shading2"/>
    <w:basedOn w:val="TableNormal"/>
    <w:uiPriority w:val="60"/>
    <w:rsid w:val="00C8026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geBreak">
    <w:name w:val="PageBreak"/>
    <w:basedOn w:val="Normal"/>
    <w:link w:val="PageBreakChar"/>
    <w:rsid w:val="009B620C"/>
  </w:style>
  <w:style w:type="character" w:customStyle="1" w:styleId="PageBreakChar">
    <w:name w:val="PageBreak Char"/>
    <w:basedOn w:val="DefaultParagraphFont"/>
    <w:link w:val="PageBreak"/>
    <w:rsid w:val="009B620C"/>
    <w:rPr>
      <w:rFonts w:ascii="Times New Roman" w:hAnsi="Times New Roman" w:cs="Akhbar MT"/>
      <w:szCs w:val="30"/>
      <w:lang w:val="en-GB"/>
    </w:rPr>
  </w:style>
  <w:style w:type="paragraph" w:customStyle="1" w:styleId="MeetingInfo">
    <w:name w:val="MeetingInfo"/>
    <w:basedOn w:val="Normal"/>
    <w:link w:val="MeetingInfoChar"/>
    <w:qFormat/>
    <w:rsid w:val="00A05468"/>
    <w:pPr>
      <w:pBdr>
        <w:top w:val="single" w:sz="8" w:space="6" w:color="auto"/>
        <w:left w:val="single" w:sz="8" w:space="0" w:color="auto"/>
        <w:bottom w:val="single" w:sz="8" w:space="6" w:color="auto"/>
        <w:right w:val="single" w:sz="8" w:space="0" w:color="auto"/>
        <w:between w:val="single" w:sz="8" w:space="6" w:color="auto"/>
        <w:bar w:val="single" w:sz="8" w:color="auto"/>
      </w:pBdr>
      <w:spacing w:before="0"/>
      <w:jc w:val="center"/>
    </w:pPr>
    <w:rPr>
      <w:rFonts w:ascii="Times New Roman Bold" w:hAnsi="Times New Roman Bold"/>
      <w:b/>
      <w:bCs/>
      <w:sz w:val="28"/>
      <w:szCs w:val="36"/>
    </w:rPr>
  </w:style>
  <w:style w:type="paragraph" w:customStyle="1" w:styleId="SectionBreak">
    <w:name w:val="SectionBreak"/>
    <w:basedOn w:val="Normal"/>
    <w:link w:val="SectionBreakChar"/>
    <w:qFormat/>
    <w:rsid w:val="009B620C"/>
  </w:style>
  <w:style w:type="character" w:customStyle="1" w:styleId="SectionBreakChar">
    <w:name w:val="SectionBreak Char"/>
    <w:basedOn w:val="DefaultParagraphFont"/>
    <w:link w:val="SectionBreak"/>
    <w:rsid w:val="009B620C"/>
    <w:rPr>
      <w:rFonts w:ascii="Times New Roman" w:hAnsi="Times New Roman" w:cs="Akhbar MT"/>
      <w:szCs w:val="30"/>
      <w:lang w:val="en-GB"/>
    </w:rPr>
  </w:style>
  <w:style w:type="character" w:customStyle="1" w:styleId="MeetingInfoChar">
    <w:name w:val="MeetingInfo Char"/>
    <w:basedOn w:val="DefaultParagraphFont"/>
    <w:link w:val="MeetingInfo"/>
    <w:rsid w:val="00A05468"/>
    <w:rPr>
      <w:rFonts w:ascii="Times New Roman Bold" w:hAnsi="Times New Roman Bold" w:cs="Akhbar MT"/>
      <w:b/>
      <w:bCs/>
      <w:sz w:val="28"/>
      <w:szCs w:val="36"/>
      <w:lang w:val="en-GB"/>
    </w:rPr>
  </w:style>
  <w:style w:type="paragraph" w:customStyle="1" w:styleId="TableofContentsTitle">
    <w:name w:val="Table of Contents Title"/>
    <w:basedOn w:val="Normal"/>
    <w:link w:val="TableofContentsTitleChar"/>
    <w:qFormat/>
    <w:rsid w:val="008C1D7C"/>
    <w:pPr>
      <w:pBdr>
        <w:top w:val="single" w:sz="8" w:space="2" w:color="auto"/>
        <w:bottom w:val="single" w:sz="8" w:space="2" w:color="auto"/>
      </w:pBdr>
      <w:spacing w:before="0"/>
      <w:jc w:val="center"/>
    </w:pPr>
    <w:rPr>
      <w:rFonts w:ascii="Times New Roman Bold" w:hAnsi="Times New Roman Bold"/>
      <w:b/>
      <w:bCs/>
      <w:sz w:val="28"/>
      <w:szCs w:val="36"/>
    </w:rPr>
  </w:style>
  <w:style w:type="character" w:customStyle="1" w:styleId="TableofContentsTitleChar">
    <w:name w:val="Table of Contents Title Char"/>
    <w:basedOn w:val="DefaultParagraphFont"/>
    <w:link w:val="TableofContentsTitle"/>
    <w:rsid w:val="008C1D7C"/>
    <w:rPr>
      <w:rFonts w:ascii="Times New Roman Bold" w:hAnsi="Times New Roman Bold" w:cs="Akhbar MT"/>
      <w:b/>
      <w:bCs/>
      <w:sz w:val="28"/>
      <w:szCs w:val="36"/>
      <w:lang w:val="en-GB"/>
    </w:rPr>
  </w:style>
  <w:style w:type="paragraph" w:styleId="TOCHeading">
    <w:name w:val="TOC Heading"/>
    <w:basedOn w:val="Heading1"/>
    <w:next w:val="Normal"/>
    <w:uiPriority w:val="39"/>
    <w:semiHidden/>
    <w:unhideWhenUsed/>
    <w:qFormat/>
    <w:locked/>
    <w:rsid w:val="00BE6063"/>
    <w:pPr>
      <w:keepLines/>
      <w:numPr>
        <w:numId w:val="0"/>
      </w:numPr>
      <w:spacing w:before="480"/>
      <w:jc w:val="left"/>
      <w:outlineLvl w:val="9"/>
    </w:pPr>
    <w:rPr>
      <w:rFonts w:asciiTheme="majorHAnsi" w:eastAsiaTheme="majorEastAsia" w:hAnsiTheme="majorHAnsi" w:cstheme="majorBidi"/>
      <w:color w:val="365F91" w:themeColor="accent1" w:themeShade="BF"/>
      <w:szCs w:val="28"/>
    </w:rPr>
  </w:style>
  <w:style w:type="paragraph" w:customStyle="1" w:styleId="BlankLine">
    <w:name w:val="BlankLine"/>
    <w:basedOn w:val="Normal"/>
    <w:link w:val="BlankLineChar"/>
    <w:qFormat/>
    <w:rsid w:val="00A67DF0"/>
  </w:style>
  <w:style w:type="character" w:customStyle="1" w:styleId="BlankLineChar">
    <w:name w:val="BlankLine Char"/>
    <w:basedOn w:val="DefaultParagraphFont"/>
    <w:link w:val="BlankLine"/>
    <w:rsid w:val="00A67DF0"/>
    <w:rPr>
      <w:rFonts w:ascii="Times New Roman" w:hAnsi="Times New Roman" w:cs="Akhbar MT"/>
      <w:szCs w:val="30"/>
      <w:lang w:val="en-GB"/>
    </w:rPr>
  </w:style>
  <w:style w:type="paragraph" w:customStyle="1" w:styleId="RightAligned">
    <w:name w:val="RightAligned"/>
    <w:basedOn w:val="Normal"/>
    <w:link w:val="RightAlignedChar"/>
    <w:qFormat/>
    <w:rsid w:val="009B620C"/>
    <w:pPr>
      <w:jc w:val="right"/>
    </w:pPr>
  </w:style>
  <w:style w:type="character" w:customStyle="1" w:styleId="RightAlignedChar">
    <w:name w:val="RightAligned Char"/>
    <w:basedOn w:val="DefaultParagraphFont"/>
    <w:link w:val="RightAligned"/>
    <w:rsid w:val="009B620C"/>
    <w:rPr>
      <w:rFonts w:ascii="Times New Roman" w:hAnsi="Times New Roman" w:cs="Akhbar MT"/>
      <w:szCs w:val="30"/>
      <w:lang w:val="en-GB"/>
    </w:rPr>
  </w:style>
  <w:style w:type="paragraph" w:customStyle="1" w:styleId="Hidden">
    <w:name w:val="Hidden"/>
    <w:basedOn w:val="Normal"/>
    <w:link w:val="HiddenChar"/>
    <w:qFormat/>
    <w:rsid w:val="009500B3"/>
    <w:pPr>
      <w:spacing w:before="0" w:line="20" w:lineRule="exact"/>
    </w:pPr>
    <w:rPr>
      <w:sz w:val="2"/>
    </w:rPr>
  </w:style>
  <w:style w:type="character" w:customStyle="1" w:styleId="HiddenChar">
    <w:name w:val="Hidden Char"/>
    <w:basedOn w:val="DefaultParagraphFont"/>
    <w:link w:val="Hidden"/>
    <w:rsid w:val="009500B3"/>
    <w:rPr>
      <w:rFonts w:ascii="Times New Roman" w:hAnsi="Times New Roman" w:cs="Akhbar MT"/>
      <w:sz w:val="2"/>
      <w:szCs w:val="30"/>
      <w:lang w:val="en-GB"/>
    </w:rPr>
  </w:style>
  <w:style w:type="paragraph" w:customStyle="1" w:styleId="LanguageSymbol">
    <w:name w:val="LanguageSymbol"/>
    <w:basedOn w:val="Normal"/>
    <w:link w:val="LanguageSymbolChar"/>
    <w:qFormat/>
    <w:rsid w:val="00A20BBF"/>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A20BBF"/>
    <w:rPr>
      <w:rFonts w:ascii="Times New Roman" w:hAnsi="Times New Roman" w:cs="Akhbar MT"/>
      <w:b/>
      <w:color w:val="808080"/>
      <w:sz w:val="56"/>
      <w:szCs w:val="56"/>
      <w:lang w:val="en-GB"/>
    </w:rPr>
  </w:style>
  <w:style w:type="character" w:styleId="LineNumber">
    <w:name w:val="line number"/>
    <w:basedOn w:val="DefaultParagraphFont"/>
    <w:uiPriority w:val="99"/>
    <w:semiHidden/>
    <w:unhideWhenUsed/>
    <w:locked/>
    <w:rsid w:val="00ED336F"/>
  </w:style>
  <w:style w:type="paragraph" w:customStyle="1" w:styleId="NumberedHeading">
    <w:name w:val="NumberedHeading"/>
    <w:basedOn w:val="Normal"/>
    <w:next w:val="Heading2"/>
    <w:link w:val="NumberedHeadingChar"/>
    <w:qFormat/>
    <w:rsid w:val="009B620C"/>
    <w:pPr>
      <w:keepNext/>
      <w:numPr>
        <w:numId w:val="6"/>
      </w:numPr>
      <w:spacing w:before="240"/>
      <w:jc w:val="center"/>
    </w:pPr>
    <w:rPr>
      <w:rFonts w:ascii="Times New Roman Bold" w:hAnsi="Times New Roman Bold"/>
      <w:b/>
      <w:sz w:val="28"/>
      <w:szCs w:val="36"/>
    </w:rPr>
  </w:style>
  <w:style w:type="character" w:customStyle="1" w:styleId="NumberedHeadingChar">
    <w:name w:val="NumberedHeading Char"/>
    <w:basedOn w:val="Heading1Char"/>
    <w:link w:val="NumberedHeading"/>
    <w:rsid w:val="009B620C"/>
    <w:rPr>
      <w:sz w:val="28"/>
    </w:rPr>
  </w:style>
  <w:style w:type="numbering" w:customStyle="1" w:styleId="ArabicSequentialList">
    <w:name w:val="Arabic Sequential List"/>
    <w:uiPriority w:val="99"/>
    <w:rsid w:val="0029339E"/>
    <w:pPr>
      <w:numPr>
        <w:numId w:val="8"/>
      </w:numPr>
    </w:pPr>
  </w:style>
  <w:style w:type="numbering" w:customStyle="1" w:styleId="WesternSequentialList">
    <w:name w:val="Western Sequential List"/>
    <w:uiPriority w:val="99"/>
    <w:rsid w:val="00BA1A55"/>
    <w:pPr>
      <w:numPr>
        <w:numId w:val="9"/>
      </w:numPr>
    </w:pPr>
  </w:style>
  <w:style w:type="paragraph" w:customStyle="1" w:styleId="IndentedParagraph">
    <w:name w:val="Indented Paragraph"/>
    <w:basedOn w:val="Normal"/>
    <w:link w:val="IndentedParagraphChar"/>
    <w:qFormat/>
    <w:rsid w:val="0072740C"/>
    <w:pPr>
      <w:ind w:firstLine="720"/>
    </w:pPr>
  </w:style>
  <w:style w:type="character" w:customStyle="1" w:styleId="IndentedParagraphChar">
    <w:name w:val="Indented Paragraph Char"/>
    <w:basedOn w:val="DefaultParagraphFont"/>
    <w:link w:val="IndentedParagraph"/>
    <w:rsid w:val="0072740C"/>
    <w:rPr>
      <w:rFonts w:ascii="Times New Roman" w:hAnsi="Times New Roman" w:cs="Akhbar MT"/>
      <w:szCs w:val="30"/>
      <w:lang w:val="en-GB"/>
    </w:rPr>
  </w:style>
  <w:style w:type="paragraph" w:customStyle="1" w:styleId="BoxIndentedParagraph">
    <w:name w:val="Box Indented Paragraph"/>
    <w:basedOn w:val="IndentedParagraph"/>
    <w:link w:val="BoxIndentedParagraphChar"/>
    <w:qFormat/>
    <w:rsid w:val="0072740C"/>
  </w:style>
  <w:style w:type="character" w:customStyle="1" w:styleId="BoxIndentedParagraphChar">
    <w:name w:val="Box Indented Paragraph Char"/>
    <w:basedOn w:val="IndentedParagraphChar"/>
    <w:link w:val="BoxIndentedParagraph"/>
    <w:rsid w:val="0072740C"/>
    <w:rPr>
      <w:lang w:val="en-GB"/>
    </w:rPr>
  </w:style>
  <w:style w:type="paragraph" w:customStyle="1" w:styleId="ArrowList">
    <w:name w:val="Arrow List"/>
    <w:basedOn w:val="NewPara"/>
    <w:link w:val="ArrowListChar"/>
    <w:qFormat/>
    <w:rsid w:val="009D0D59"/>
    <w:pPr>
      <w:numPr>
        <w:numId w:val="10"/>
      </w:numPr>
    </w:pPr>
    <w:rPr>
      <w:lang w:bidi="ar-EG"/>
    </w:rPr>
  </w:style>
  <w:style w:type="character" w:customStyle="1" w:styleId="ArrowListChar">
    <w:name w:val="Arrow List Char"/>
    <w:basedOn w:val="NewParaChar"/>
    <w:link w:val="ArrowList"/>
    <w:rsid w:val="009D0D59"/>
    <w:rPr>
      <w:lang w:bidi="ar-EG"/>
    </w:rPr>
  </w:style>
  <w:style w:type="paragraph" w:customStyle="1" w:styleId="Speaker">
    <w:name w:val="Speaker"/>
    <w:basedOn w:val="Normal"/>
    <w:link w:val="SpeakerChar"/>
    <w:qFormat/>
    <w:rsid w:val="000D5B0C"/>
    <w:rPr>
      <w:b/>
      <w:lang w:bidi="ar-EG"/>
    </w:rPr>
  </w:style>
  <w:style w:type="character" w:customStyle="1" w:styleId="SpeakerChar">
    <w:name w:val="Speaker Char"/>
    <w:basedOn w:val="DefaultParagraphFont"/>
    <w:link w:val="Speaker"/>
    <w:rsid w:val="000D5B0C"/>
    <w:rPr>
      <w:rFonts w:ascii="Times New Roman" w:hAnsi="Times New Roman" w:cs="Akhbar MT"/>
      <w:b/>
      <w:szCs w:val="30"/>
      <w:lang w:val="en-GB" w:bidi="ar-EG"/>
    </w:rPr>
  </w:style>
  <w:style w:type="paragraph" w:customStyle="1" w:styleId="ArabicArrowList">
    <w:name w:val="Arabic Arrow List"/>
    <w:basedOn w:val="ArrowList"/>
    <w:link w:val="ArabicArrowListChar"/>
    <w:rsid w:val="00B2110C"/>
    <w:pPr>
      <w:numPr>
        <w:numId w:val="11"/>
      </w:numPr>
    </w:pPr>
  </w:style>
  <w:style w:type="character" w:customStyle="1" w:styleId="ArabicArrowListChar">
    <w:name w:val="Arabic Arrow List Char"/>
    <w:basedOn w:val="ArrowListChar"/>
    <w:link w:val="ArabicArrowList"/>
    <w:rsid w:val="00B2110C"/>
  </w:style>
  <w:style w:type="numbering" w:styleId="1ai">
    <w:name w:val="Outline List 1"/>
    <w:basedOn w:val="NoList"/>
    <w:uiPriority w:val="99"/>
    <w:semiHidden/>
    <w:unhideWhenUsed/>
    <w:locked/>
    <w:rsid w:val="00EB48B3"/>
    <w:pPr>
      <w:numPr>
        <w:numId w:val="12"/>
      </w:numPr>
    </w:pPr>
  </w:style>
  <w:style w:type="paragraph" w:styleId="Bibliography">
    <w:name w:val="Bibliography"/>
    <w:basedOn w:val="Normal"/>
    <w:next w:val="Normal"/>
    <w:uiPriority w:val="37"/>
    <w:semiHidden/>
    <w:unhideWhenUsed/>
    <w:locked/>
    <w:rsid w:val="005F59A8"/>
  </w:style>
  <w:style w:type="paragraph" w:styleId="BlockText">
    <w:name w:val="Block Text"/>
    <w:basedOn w:val="Normal"/>
    <w:uiPriority w:val="99"/>
    <w:semiHidden/>
    <w:unhideWhenUsed/>
    <w:locked/>
    <w:rsid w:val="005F59A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locked/>
    <w:rsid w:val="005F59A8"/>
    <w:pPr>
      <w:spacing w:after="120"/>
    </w:pPr>
  </w:style>
  <w:style w:type="character" w:customStyle="1" w:styleId="BodyTextChar">
    <w:name w:val="Body Text Char"/>
    <w:basedOn w:val="DefaultParagraphFont"/>
    <w:link w:val="BodyText"/>
    <w:uiPriority w:val="99"/>
    <w:semiHidden/>
    <w:rsid w:val="005F59A8"/>
    <w:rPr>
      <w:rFonts w:ascii="Times New Roman" w:hAnsi="Times New Roman" w:cs="Akhbar MT"/>
      <w:szCs w:val="30"/>
      <w:lang w:val="en-GB"/>
    </w:rPr>
  </w:style>
  <w:style w:type="paragraph" w:styleId="BodyText2">
    <w:name w:val="Body Text 2"/>
    <w:basedOn w:val="Normal"/>
    <w:link w:val="BodyText2Char"/>
    <w:uiPriority w:val="99"/>
    <w:semiHidden/>
    <w:unhideWhenUsed/>
    <w:locked/>
    <w:rsid w:val="005F59A8"/>
    <w:pPr>
      <w:spacing w:after="120" w:line="480" w:lineRule="auto"/>
    </w:pPr>
  </w:style>
  <w:style w:type="character" w:customStyle="1" w:styleId="BodyText2Char">
    <w:name w:val="Body Text 2 Char"/>
    <w:basedOn w:val="DefaultParagraphFont"/>
    <w:link w:val="BodyText2"/>
    <w:uiPriority w:val="99"/>
    <w:semiHidden/>
    <w:rsid w:val="005F59A8"/>
    <w:rPr>
      <w:rFonts w:ascii="Times New Roman" w:hAnsi="Times New Roman" w:cs="Akhbar MT"/>
      <w:szCs w:val="30"/>
      <w:lang w:val="en-GB"/>
    </w:rPr>
  </w:style>
  <w:style w:type="paragraph" w:styleId="BodyText3">
    <w:name w:val="Body Text 3"/>
    <w:basedOn w:val="Normal"/>
    <w:link w:val="BodyText3Char"/>
    <w:uiPriority w:val="99"/>
    <w:semiHidden/>
    <w:unhideWhenUsed/>
    <w:locked/>
    <w:rsid w:val="005F59A8"/>
    <w:pPr>
      <w:spacing w:after="120"/>
    </w:pPr>
    <w:rPr>
      <w:sz w:val="16"/>
      <w:szCs w:val="16"/>
    </w:rPr>
  </w:style>
  <w:style w:type="character" w:customStyle="1" w:styleId="BodyText3Char">
    <w:name w:val="Body Text 3 Char"/>
    <w:basedOn w:val="DefaultParagraphFont"/>
    <w:link w:val="BodyText3"/>
    <w:uiPriority w:val="99"/>
    <w:semiHidden/>
    <w:rsid w:val="005F59A8"/>
    <w:rPr>
      <w:rFonts w:ascii="Times New Roman" w:hAnsi="Times New Roman" w:cs="Akhbar MT"/>
      <w:sz w:val="16"/>
      <w:szCs w:val="16"/>
      <w:lang w:val="en-GB"/>
    </w:rPr>
  </w:style>
  <w:style w:type="paragraph" w:styleId="BodyTextFirstIndent">
    <w:name w:val="Body Text First Indent"/>
    <w:basedOn w:val="BodyText"/>
    <w:link w:val="BodyTextFirstIndentChar"/>
    <w:uiPriority w:val="99"/>
    <w:semiHidden/>
    <w:unhideWhenUsed/>
    <w:locked/>
    <w:rsid w:val="005F59A8"/>
    <w:pPr>
      <w:spacing w:after="0"/>
      <w:ind w:firstLine="360"/>
    </w:pPr>
  </w:style>
  <w:style w:type="character" w:customStyle="1" w:styleId="BodyTextFirstIndentChar">
    <w:name w:val="Body Text First Indent Char"/>
    <w:basedOn w:val="BodyTextChar"/>
    <w:link w:val="BodyTextFirstIndent"/>
    <w:uiPriority w:val="99"/>
    <w:semiHidden/>
    <w:rsid w:val="005F59A8"/>
  </w:style>
  <w:style w:type="paragraph" w:styleId="BodyTextIndent">
    <w:name w:val="Body Text Indent"/>
    <w:basedOn w:val="Normal"/>
    <w:link w:val="BodyTextIndentChar"/>
    <w:uiPriority w:val="99"/>
    <w:semiHidden/>
    <w:unhideWhenUsed/>
    <w:locked/>
    <w:rsid w:val="005F59A8"/>
    <w:pPr>
      <w:spacing w:after="120"/>
      <w:ind w:left="283"/>
    </w:pPr>
  </w:style>
  <w:style w:type="character" w:customStyle="1" w:styleId="BodyTextIndentChar">
    <w:name w:val="Body Text Indent Char"/>
    <w:basedOn w:val="DefaultParagraphFont"/>
    <w:link w:val="BodyTextIndent"/>
    <w:uiPriority w:val="99"/>
    <w:semiHidden/>
    <w:rsid w:val="005F59A8"/>
    <w:rPr>
      <w:rFonts w:ascii="Times New Roman" w:hAnsi="Times New Roman" w:cs="Akhbar MT"/>
      <w:szCs w:val="30"/>
      <w:lang w:val="en-GB"/>
    </w:rPr>
  </w:style>
  <w:style w:type="paragraph" w:styleId="BodyTextFirstIndent2">
    <w:name w:val="Body Text First Indent 2"/>
    <w:basedOn w:val="BodyTextIndent"/>
    <w:link w:val="BodyTextFirstIndent2Char"/>
    <w:uiPriority w:val="99"/>
    <w:semiHidden/>
    <w:unhideWhenUsed/>
    <w:locked/>
    <w:rsid w:val="005F59A8"/>
    <w:pPr>
      <w:spacing w:after="0"/>
      <w:ind w:left="360" w:firstLine="360"/>
    </w:pPr>
  </w:style>
  <w:style w:type="character" w:customStyle="1" w:styleId="BodyTextFirstIndent2Char">
    <w:name w:val="Body Text First Indent 2 Char"/>
    <w:basedOn w:val="BodyTextIndentChar"/>
    <w:link w:val="BodyTextFirstIndent2"/>
    <w:uiPriority w:val="99"/>
    <w:semiHidden/>
    <w:rsid w:val="005F59A8"/>
  </w:style>
  <w:style w:type="paragraph" w:styleId="BodyTextIndent2">
    <w:name w:val="Body Text Indent 2"/>
    <w:basedOn w:val="Normal"/>
    <w:link w:val="BodyTextIndent2Char"/>
    <w:uiPriority w:val="99"/>
    <w:semiHidden/>
    <w:unhideWhenUsed/>
    <w:locked/>
    <w:rsid w:val="005F59A8"/>
    <w:pPr>
      <w:spacing w:after="120" w:line="480" w:lineRule="auto"/>
      <w:ind w:left="283"/>
    </w:pPr>
  </w:style>
  <w:style w:type="character" w:customStyle="1" w:styleId="BodyTextIndent2Char">
    <w:name w:val="Body Text Indent 2 Char"/>
    <w:basedOn w:val="DefaultParagraphFont"/>
    <w:link w:val="BodyTextIndent2"/>
    <w:uiPriority w:val="99"/>
    <w:semiHidden/>
    <w:rsid w:val="005F59A8"/>
    <w:rPr>
      <w:rFonts w:ascii="Times New Roman" w:hAnsi="Times New Roman" w:cs="Akhbar MT"/>
      <w:szCs w:val="30"/>
      <w:lang w:val="en-GB"/>
    </w:rPr>
  </w:style>
  <w:style w:type="paragraph" w:styleId="BodyTextIndent3">
    <w:name w:val="Body Text Indent 3"/>
    <w:basedOn w:val="Normal"/>
    <w:link w:val="BodyTextIndent3Char"/>
    <w:uiPriority w:val="99"/>
    <w:semiHidden/>
    <w:unhideWhenUsed/>
    <w:locked/>
    <w:rsid w:val="005F59A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F59A8"/>
    <w:rPr>
      <w:rFonts w:ascii="Times New Roman" w:hAnsi="Times New Roman" w:cs="Akhbar MT"/>
      <w:sz w:val="16"/>
      <w:szCs w:val="16"/>
      <w:lang w:val="en-GB"/>
    </w:rPr>
  </w:style>
  <w:style w:type="paragraph" w:styleId="Closing">
    <w:name w:val="Closing"/>
    <w:basedOn w:val="Normal"/>
    <w:link w:val="ClosingChar"/>
    <w:uiPriority w:val="99"/>
    <w:semiHidden/>
    <w:unhideWhenUsed/>
    <w:locked/>
    <w:rsid w:val="005F59A8"/>
    <w:pPr>
      <w:spacing w:before="0"/>
      <w:ind w:left="4252"/>
    </w:pPr>
  </w:style>
  <w:style w:type="character" w:customStyle="1" w:styleId="ClosingChar">
    <w:name w:val="Closing Char"/>
    <w:basedOn w:val="DefaultParagraphFont"/>
    <w:link w:val="Closing"/>
    <w:uiPriority w:val="99"/>
    <w:semiHidden/>
    <w:rsid w:val="005F59A8"/>
    <w:rPr>
      <w:rFonts w:ascii="Times New Roman" w:hAnsi="Times New Roman" w:cs="Akhbar MT"/>
      <w:szCs w:val="30"/>
      <w:lang w:val="en-GB"/>
    </w:rPr>
  </w:style>
  <w:style w:type="paragraph" w:styleId="CommentText">
    <w:name w:val="annotation text"/>
    <w:basedOn w:val="Normal"/>
    <w:link w:val="CommentTextChar"/>
    <w:uiPriority w:val="99"/>
    <w:semiHidden/>
    <w:unhideWhenUsed/>
    <w:locked/>
    <w:rsid w:val="005F59A8"/>
    <w:rPr>
      <w:sz w:val="20"/>
      <w:szCs w:val="20"/>
    </w:rPr>
  </w:style>
  <w:style w:type="character" w:customStyle="1" w:styleId="CommentTextChar">
    <w:name w:val="Comment Text Char"/>
    <w:basedOn w:val="DefaultParagraphFont"/>
    <w:link w:val="CommentText"/>
    <w:uiPriority w:val="99"/>
    <w:semiHidden/>
    <w:rsid w:val="005F59A8"/>
    <w:rPr>
      <w:rFonts w:ascii="Times New Roman" w:hAnsi="Times New Roman" w:cs="Akhbar MT"/>
      <w:sz w:val="20"/>
      <w:szCs w:val="20"/>
      <w:lang w:val="en-GB"/>
    </w:rPr>
  </w:style>
  <w:style w:type="paragraph" w:styleId="CommentSubject">
    <w:name w:val="annotation subject"/>
    <w:basedOn w:val="CommentText"/>
    <w:next w:val="CommentText"/>
    <w:link w:val="CommentSubjectChar"/>
    <w:uiPriority w:val="99"/>
    <w:semiHidden/>
    <w:unhideWhenUsed/>
    <w:locked/>
    <w:rsid w:val="005F59A8"/>
    <w:rPr>
      <w:b/>
      <w:bCs/>
    </w:rPr>
  </w:style>
  <w:style w:type="character" w:customStyle="1" w:styleId="CommentSubjectChar">
    <w:name w:val="Comment Subject Char"/>
    <w:basedOn w:val="CommentTextChar"/>
    <w:link w:val="CommentSubject"/>
    <w:uiPriority w:val="99"/>
    <w:semiHidden/>
    <w:rsid w:val="005F59A8"/>
    <w:rPr>
      <w:b/>
      <w:bCs/>
    </w:rPr>
  </w:style>
  <w:style w:type="paragraph" w:styleId="Date">
    <w:name w:val="Date"/>
    <w:basedOn w:val="Normal"/>
    <w:next w:val="Normal"/>
    <w:link w:val="DateChar"/>
    <w:uiPriority w:val="99"/>
    <w:semiHidden/>
    <w:unhideWhenUsed/>
    <w:locked/>
    <w:rsid w:val="005F59A8"/>
  </w:style>
  <w:style w:type="character" w:customStyle="1" w:styleId="DateChar">
    <w:name w:val="Date Char"/>
    <w:basedOn w:val="DefaultParagraphFont"/>
    <w:link w:val="Date"/>
    <w:uiPriority w:val="99"/>
    <w:semiHidden/>
    <w:rsid w:val="005F59A8"/>
    <w:rPr>
      <w:rFonts w:ascii="Times New Roman" w:hAnsi="Times New Roman" w:cs="Akhbar MT"/>
      <w:szCs w:val="30"/>
      <w:lang w:val="en-GB"/>
    </w:rPr>
  </w:style>
  <w:style w:type="paragraph" w:styleId="DocumentMap">
    <w:name w:val="Document Map"/>
    <w:basedOn w:val="Normal"/>
    <w:link w:val="DocumentMapChar"/>
    <w:uiPriority w:val="99"/>
    <w:semiHidden/>
    <w:unhideWhenUsed/>
    <w:locked/>
    <w:rsid w:val="005F59A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5F59A8"/>
    <w:rPr>
      <w:rFonts w:ascii="Tahoma" w:hAnsi="Tahoma" w:cs="Tahoma"/>
      <w:sz w:val="16"/>
      <w:szCs w:val="16"/>
      <w:lang w:val="en-GB"/>
    </w:rPr>
  </w:style>
  <w:style w:type="paragraph" w:styleId="E-mailSignature">
    <w:name w:val="E-mail Signature"/>
    <w:basedOn w:val="Normal"/>
    <w:link w:val="E-mailSignatureChar"/>
    <w:uiPriority w:val="99"/>
    <w:semiHidden/>
    <w:unhideWhenUsed/>
    <w:locked/>
    <w:rsid w:val="005F59A8"/>
    <w:pPr>
      <w:spacing w:before="0"/>
    </w:pPr>
  </w:style>
  <w:style w:type="character" w:customStyle="1" w:styleId="E-mailSignatureChar">
    <w:name w:val="E-mail Signature Char"/>
    <w:basedOn w:val="DefaultParagraphFont"/>
    <w:link w:val="E-mailSignature"/>
    <w:uiPriority w:val="99"/>
    <w:semiHidden/>
    <w:rsid w:val="005F59A8"/>
    <w:rPr>
      <w:rFonts w:ascii="Times New Roman" w:hAnsi="Times New Roman" w:cs="Akhbar MT"/>
      <w:szCs w:val="30"/>
      <w:lang w:val="en-GB"/>
    </w:rPr>
  </w:style>
  <w:style w:type="paragraph" w:styleId="EndnoteText">
    <w:name w:val="endnote text"/>
    <w:basedOn w:val="Normal"/>
    <w:link w:val="EndnoteTextChar"/>
    <w:uiPriority w:val="99"/>
    <w:semiHidden/>
    <w:unhideWhenUsed/>
    <w:locked/>
    <w:rsid w:val="005F59A8"/>
    <w:pPr>
      <w:spacing w:before="0"/>
    </w:pPr>
    <w:rPr>
      <w:sz w:val="20"/>
      <w:szCs w:val="20"/>
    </w:rPr>
  </w:style>
  <w:style w:type="character" w:customStyle="1" w:styleId="EndnoteTextChar">
    <w:name w:val="Endnote Text Char"/>
    <w:basedOn w:val="DefaultParagraphFont"/>
    <w:link w:val="EndnoteText"/>
    <w:uiPriority w:val="99"/>
    <w:semiHidden/>
    <w:rsid w:val="005F59A8"/>
    <w:rPr>
      <w:rFonts w:ascii="Times New Roman" w:hAnsi="Times New Roman" w:cs="Akhbar MT"/>
      <w:sz w:val="20"/>
      <w:szCs w:val="20"/>
      <w:lang w:val="en-GB"/>
    </w:rPr>
  </w:style>
  <w:style w:type="paragraph" w:styleId="EnvelopeAddress">
    <w:name w:val="envelope address"/>
    <w:basedOn w:val="Normal"/>
    <w:uiPriority w:val="99"/>
    <w:semiHidden/>
    <w:unhideWhenUsed/>
    <w:locked/>
    <w:rsid w:val="005F59A8"/>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5F59A8"/>
    <w:pPr>
      <w:spacing w:before="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unhideWhenUsed/>
    <w:rsid w:val="005F59A8"/>
    <w:pPr>
      <w:spacing w:before="0"/>
    </w:pPr>
    <w:rPr>
      <w:sz w:val="20"/>
      <w:szCs w:val="20"/>
    </w:rPr>
  </w:style>
  <w:style w:type="character" w:customStyle="1" w:styleId="FootnoteTextChar">
    <w:name w:val="Footnote Text Char"/>
    <w:basedOn w:val="DefaultParagraphFont"/>
    <w:link w:val="FootnoteText"/>
    <w:uiPriority w:val="99"/>
    <w:rsid w:val="005F59A8"/>
    <w:rPr>
      <w:rFonts w:ascii="Times New Roman" w:hAnsi="Times New Roman" w:cs="Akhbar MT"/>
      <w:sz w:val="20"/>
      <w:szCs w:val="20"/>
      <w:lang w:val="en-GB"/>
    </w:rPr>
  </w:style>
  <w:style w:type="paragraph" w:styleId="HTMLAddress">
    <w:name w:val="HTML Address"/>
    <w:basedOn w:val="Normal"/>
    <w:link w:val="HTMLAddressChar"/>
    <w:uiPriority w:val="99"/>
    <w:semiHidden/>
    <w:unhideWhenUsed/>
    <w:locked/>
    <w:rsid w:val="005F59A8"/>
    <w:pPr>
      <w:spacing w:before="0"/>
    </w:pPr>
    <w:rPr>
      <w:i/>
      <w:iCs/>
    </w:rPr>
  </w:style>
  <w:style w:type="character" w:customStyle="1" w:styleId="HTMLAddressChar">
    <w:name w:val="HTML Address Char"/>
    <w:basedOn w:val="DefaultParagraphFont"/>
    <w:link w:val="HTMLAddress"/>
    <w:uiPriority w:val="99"/>
    <w:semiHidden/>
    <w:rsid w:val="005F59A8"/>
    <w:rPr>
      <w:rFonts w:ascii="Times New Roman" w:hAnsi="Times New Roman" w:cs="Akhbar MT"/>
      <w:i/>
      <w:iCs/>
      <w:szCs w:val="30"/>
      <w:lang w:val="en-GB"/>
    </w:rPr>
  </w:style>
  <w:style w:type="paragraph" w:styleId="HTMLPreformatted">
    <w:name w:val="HTML Preformatted"/>
    <w:basedOn w:val="Normal"/>
    <w:link w:val="HTMLPreformattedChar"/>
    <w:uiPriority w:val="99"/>
    <w:semiHidden/>
    <w:unhideWhenUsed/>
    <w:locked/>
    <w:rsid w:val="005F59A8"/>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F59A8"/>
    <w:rPr>
      <w:rFonts w:ascii="Consolas" w:hAnsi="Consolas" w:cs="Akhbar MT"/>
      <w:sz w:val="20"/>
      <w:szCs w:val="20"/>
      <w:lang w:val="en-GB"/>
    </w:rPr>
  </w:style>
  <w:style w:type="paragraph" w:styleId="Index1">
    <w:name w:val="index 1"/>
    <w:basedOn w:val="Normal"/>
    <w:next w:val="Normal"/>
    <w:autoRedefine/>
    <w:uiPriority w:val="99"/>
    <w:semiHidden/>
    <w:unhideWhenUsed/>
    <w:locked/>
    <w:rsid w:val="005F59A8"/>
    <w:pPr>
      <w:spacing w:before="0"/>
      <w:ind w:left="220" w:hanging="220"/>
    </w:pPr>
  </w:style>
  <w:style w:type="paragraph" w:styleId="Index2">
    <w:name w:val="index 2"/>
    <w:basedOn w:val="Normal"/>
    <w:next w:val="Normal"/>
    <w:autoRedefine/>
    <w:uiPriority w:val="99"/>
    <w:semiHidden/>
    <w:unhideWhenUsed/>
    <w:locked/>
    <w:rsid w:val="005F59A8"/>
    <w:pPr>
      <w:spacing w:before="0"/>
      <w:ind w:left="440" w:hanging="220"/>
    </w:pPr>
  </w:style>
  <w:style w:type="paragraph" w:styleId="Index3">
    <w:name w:val="index 3"/>
    <w:basedOn w:val="Normal"/>
    <w:next w:val="Normal"/>
    <w:autoRedefine/>
    <w:uiPriority w:val="99"/>
    <w:semiHidden/>
    <w:unhideWhenUsed/>
    <w:locked/>
    <w:rsid w:val="005F59A8"/>
    <w:pPr>
      <w:spacing w:before="0"/>
      <w:ind w:left="660" w:hanging="220"/>
    </w:pPr>
  </w:style>
  <w:style w:type="paragraph" w:styleId="Index4">
    <w:name w:val="index 4"/>
    <w:basedOn w:val="Normal"/>
    <w:next w:val="Normal"/>
    <w:autoRedefine/>
    <w:uiPriority w:val="99"/>
    <w:semiHidden/>
    <w:unhideWhenUsed/>
    <w:locked/>
    <w:rsid w:val="005F59A8"/>
    <w:pPr>
      <w:spacing w:before="0"/>
      <w:ind w:left="880" w:hanging="220"/>
    </w:pPr>
  </w:style>
  <w:style w:type="paragraph" w:styleId="Index5">
    <w:name w:val="index 5"/>
    <w:basedOn w:val="Normal"/>
    <w:next w:val="Normal"/>
    <w:autoRedefine/>
    <w:uiPriority w:val="99"/>
    <w:semiHidden/>
    <w:unhideWhenUsed/>
    <w:locked/>
    <w:rsid w:val="005F59A8"/>
    <w:pPr>
      <w:spacing w:before="0"/>
      <w:ind w:left="1100" w:hanging="220"/>
    </w:pPr>
  </w:style>
  <w:style w:type="paragraph" w:styleId="Index6">
    <w:name w:val="index 6"/>
    <w:basedOn w:val="Normal"/>
    <w:next w:val="Normal"/>
    <w:autoRedefine/>
    <w:uiPriority w:val="99"/>
    <w:semiHidden/>
    <w:unhideWhenUsed/>
    <w:locked/>
    <w:rsid w:val="005F59A8"/>
    <w:pPr>
      <w:spacing w:before="0"/>
      <w:ind w:left="1320" w:hanging="220"/>
    </w:pPr>
  </w:style>
  <w:style w:type="paragraph" w:styleId="Index7">
    <w:name w:val="index 7"/>
    <w:basedOn w:val="Normal"/>
    <w:next w:val="Normal"/>
    <w:autoRedefine/>
    <w:uiPriority w:val="99"/>
    <w:semiHidden/>
    <w:unhideWhenUsed/>
    <w:locked/>
    <w:rsid w:val="005F59A8"/>
    <w:pPr>
      <w:spacing w:before="0"/>
      <w:ind w:left="1540" w:hanging="220"/>
    </w:pPr>
  </w:style>
  <w:style w:type="paragraph" w:styleId="Index8">
    <w:name w:val="index 8"/>
    <w:basedOn w:val="Normal"/>
    <w:next w:val="Normal"/>
    <w:autoRedefine/>
    <w:uiPriority w:val="99"/>
    <w:semiHidden/>
    <w:unhideWhenUsed/>
    <w:locked/>
    <w:rsid w:val="005F59A8"/>
    <w:pPr>
      <w:spacing w:before="0"/>
      <w:ind w:left="1760" w:hanging="220"/>
    </w:pPr>
  </w:style>
  <w:style w:type="paragraph" w:styleId="Index9">
    <w:name w:val="index 9"/>
    <w:basedOn w:val="Normal"/>
    <w:next w:val="Normal"/>
    <w:autoRedefine/>
    <w:uiPriority w:val="99"/>
    <w:semiHidden/>
    <w:unhideWhenUsed/>
    <w:locked/>
    <w:rsid w:val="005F59A8"/>
    <w:pPr>
      <w:spacing w:before="0"/>
      <w:ind w:left="1980" w:hanging="220"/>
    </w:pPr>
  </w:style>
  <w:style w:type="paragraph" w:styleId="IndexHeading">
    <w:name w:val="index heading"/>
    <w:basedOn w:val="Normal"/>
    <w:next w:val="Index1"/>
    <w:uiPriority w:val="99"/>
    <w:semiHidden/>
    <w:unhideWhenUsed/>
    <w:locked/>
    <w:rsid w:val="005F59A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5F59A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F59A8"/>
    <w:rPr>
      <w:rFonts w:ascii="Times New Roman" w:hAnsi="Times New Roman" w:cs="Akhbar MT"/>
      <w:b/>
      <w:bCs/>
      <w:i/>
      <w:iCs/>
      <w:color w:val="4F81BD" w:themeColor="accent1"/>
      <w:szCs w:val="30"/>
      <w:lang w:val="en-GB"/>
    </w:rPr>
  </w:style>
  <w:style w:type="paragraph" w:styleId="List">
    <w:name w:val="List"/>
    <w:basedOn w:val="Normal"/>
    <w:uiPriority w:val="99"/>
    <w:semiHidden/>
    <w:unhideWhenUsed/>
    <w:locked/>
    <w:rsid w:val="005F59A8"/>
    <w:pPr>
      <w:ind w:left="283" w:hanging="283"/>
      <w:contextualSpacing/>
    </w:pPr>
  </w:style>
  <w:style w:type="paragraph" w:styleId="List2">
    <w:name w:val="List 2"/>
    <w:basedOn w:val="Normal"/>
    <w:uiPriority w:val="99"/>
    <w:semiHidden/>
    <w:unhideWhenUsed/>
    <w:locked/>
    <w:rsid w:val="005F59A8"/>
    <w:pPr>
      <w:ind w:left="566" w:hanging="283"/>
      <w:contextualSpacing/>
    </w:pPr>
  </w:style>
  <w:style w:type="paragraph" w:styleId="List3">
    <w:name w:val="List 3"/>
    <w:basedOn w:val="Normal"/>
    <w:uiPriority w:val="99"/>
    <w:semiHidden/>
    <w:unhideWhenUsed/>
    <w:locked/>
    <w:rsid w:val="005F59A8"/>
    <w:pPr>
      <w:ind w:left="849" w:hanging="283"/>
      <w:contextualSpacing/>
    </w:pPr>
  </w:style>
  <w:style w:type="paragraph" w:styleId="List4">
    <w:name w:val="List 4"/>
    <w:basedOn w:val="Normal"/>
    <w:uiPriority w:val="99"/>
    <w:semiHidden/>
    <w:unhideWhenUsed/>
    <w:locked/>
    <w:rsid w:val="005F59A8"/>
    <w:pPr>
      <w:ind w:left="1132" w:hanging="283"/>
      <w:contextualSpacing/>
    </w:pPr>
  </w:style>
  <w:style w:type="paragraph" w:styleId="List5">
    <w:name w:val="List 5"/>
    <w:basedOn w:val="Normal"/>
    <w:uiPriority w:val="99"/>
    <w:semiHidden/>
    <w:unhideWhenUsed/>
    <w:locked/>
    <w:rsid w:val="005F59A8"/>
    <w:pPr>
      <w:ind w:left="1415" w:hanging="283"/>
      <w:contextualSpacing/>
    </w:pPr>
  </w:style>
  <w:style w:type="paragraph" w:styleId="ListBullet">
    <w:name w:val="List Bullet"/>
    <w:basedOn w:val="Normal"/>
    <w:uiPriority w:val="99"/>
    <w:semiHidden/>
    <w:unhideWhenUsed/>
    <w:rsid w:val="005F59A8"/>
    <w:pPr>
      <w:numPr>
        <w:numId w:val="13"/>
      </w:numPr>
      <w:contextualSpacing/>
    </w:pPr>
  </w:style>
  <w:style w:type="paragraph" w:styleId="ListBullet2">
    <w:name w:val="List Bullet 2"/>
    <w:basedOn w:val="Normal"/>
    <w:uiPriority w:val="99"/>
    <w:semiHidden/>
    <w:unhideWhenUsed/>
    <w:rsid w:val="005F59A8"/>
    <w:pPr>
      <w:numPr>
        <w:numId w:val="14"/>
      </w:numPr>
      <w:contextualSpacing/>
    </w:pPr>
  </w:style>
  <w:style w:type="paragraph" w:styleId="ListBullet3">
    <w:name w:val="List Bullet 3"/>
    <w:basedOn w:val="Normal"/>
    <w:uiPriority w:val="99"/>
    <w:semiHidden/>
    <w:unhideWhenUsed/>
    <w:rsid w:val="005F59A8"/>
    <w:pPr>
      <w:numPr>
        <w:numId w:val="15"/>
      </w:numPr>
      <w:contextualSpacing/>
    </w:pPr>
  </w:style>
  <w:style w:type="paragraph" w:styleId="ListBullet4">
    <w:name w:val="List Bullet 4"/>
    <w:basedOn w:val="Normal"/>
    <w:uiPriority w:val="99"/>
    <w:semiHidden/>
    <w:unhideWhenUsed/>
    <w:locked/>
    <w:rsid w:val="005F59A8"/>
    <w:pPr>
      <w:numPr>
        <w:numId w:val="16"/>
      </w:numPr>
      <w:contextualSpacing/>
    </w:pPr>
  </w:style>
  <w:style w:type="paragraph" w:styleId="ListBullet5">
    <w:name w:val="List Bullet 5"/>
    <w:basedOn w:val="Normal"/>
    <w:uiPriority w:val="99"/>
    <w:semiHidden/>
    <w:unhideWhenUsed/>
    <w:locked/>
    <w:rsid w:val="005F59A8"/>
    <w:pPr>
      <w:numPr>
        <w:numId w:val="17"/>
      </w:numPr>
      <w:contextualSpacing/>
    </w:pPr>
  </w:style>
  <w:style w:type="paragraph" w:styleId="ListContinue">
    <w:name w:val="List Continue"/>
    <w:basedOn w:val="Normal"/>
    <w:uiPriority w:val="99"/>
    <w:semiHidden/>
    <w:unhideWhenUsed/>
    <w:locked/>
    <w:rsid w:val="005F59A8"/>
    <w:pPr>
      <w:spacing w:after="120"/>
      <w:ind w:left="283"/>
      <w:contextualSpacing/>
    </w:pPr>
  </w:style>
  <w:style w:type="paragraph" w:styleId="ListContinue2">
    <w:name w:val="List Continue 2"/>
    <w:basedOn w:val="Normal"/>
    <w:uiPriority w:val="99"/>
    <w:semiHidden/>
    <w:unhideWhenUsed/>
    <w:locked/>
    <w:rsid w:val="005F59A8"/>
    <w:pPr>
      <w:spacing w:after="120"/>
      <w:ind w:left="566"/>
      <w:contextualSpacing/>
    </w:pPr>
  </w:style>
  <w:style w:type="paragraph" w:styleId="ListContinue3">
    <w:name w:val="List Continue 3"/>
    <w:basedOn w:val="Normal"/>
    <w:uiPriority w:val="99"/>
    <w:semiHidden/>
    <w:unhideWhenUsed/>
    <w:locked/>
    <w:rsid w:val="005F59A8"/>
    <w:pPr>
      <w:spacing w:after="120"/>
      <w:ind w:left="849"/>
      <w:contextualSpacing/>
    </w:pPr>
  </w:style>
  <w:style w:type="paragraph" w:styleId="ListContinue4">
    <w:name w:val="List Continue 4"/>
    <w:basedOn w:val="Normal"/>
    <w:uiPriority w:val="99"/>
    <w:semiHidden/>
    <w:unhideWhenUsed/>
    <w:locked/>
    <w:rsid w:val="005F59A8"/>
    <w:pPr>
      <w:spacing w:after="120"/>
      <w:ind w:left="1132"/>
      <w:contextualSpacing/>
    </w:pPr>
  </w:style>
  <w:style w:type="paragraph" w:styleId="ListContinue5">
    <w:name w:val="List Continue 5"/>
    <w:basedOn w:val="Normal"/>
    <w:uiPriority w:val="99"/>
    <w:semiHidden/>
    <w:unhideWhenUsed/>
    <w:locked/>
    <w:rsid w:val="005F59A8"/>
    <w:pPr>
      <w:spacing w:after="120"/>
      <w:ind w:left="1415"/>
      <w:contextualSpacing/>
    </w:pPr>
  </w:style>
  <w:style w:type="paragraph" w:styleId="ListNumber">
    <w:name w:val="List Number"/>
    <w:basedOn w:val="Normal"/>
    <w:uiPriority w:val="99"/>
    <w:semiHidden/>
    <w:unhideWhenUsed/>
    <w:locked/>
    <w:rsid w:val="005F59A8"/>
    <w:pPr>
      <w:numPr>
        <w:numId w:val="18"/>
      </w:numPr>
      <w:contextualSpacing/>
    </w:pPr>
  </w:style>
  <w:style w:type="paragraph" w:styleId="ListNumber2">
    <w:name w:val="List Number 2"/>
    <w:basedOn w:val="Normal"/>
    <w:uiPriority w:val="99"/>
    <w:semiHidden/>
    <w:unhideWhenUsed/>
    <w:locked/>
    <w:rsid w:val="005F59A8"/>
    <w:pPr>
      <w:numPr>
        <w:numId w:val="19"/>
      </w:numPr>
      <w:contextualSpacing/>
    </w:pPr>
  </w:style>
  <w:style w:type="paragraph" w:styleId="ListNumber3">
    <w:name w:val="List Number 3"/>
    <w:basedOn w:val="Normal"/>
    <w:uiPriority w:val="99"/>
    <w:semiHidden/>
    <w:unhideWhenUsed/>
    <w:locked/>
    <w:rsid w:val="005F59A8"/>
    <w:pPr>
      <w:numPr>
        <w:numId w:val="20"/>
      </w:numPr>
      <w:contextualSpacing/>
    </w:pPr>
  </w:style>
  <w:style w:type="paragraph" w:styleId="ListNumber4">
    <w:name w:val="List Number 4"/>
    <w:basedOn w:val="Normal"/>
    <w:uiPriority w:val="99"/>
    <w:semiHidden/>
    <w:unhideWhenUsed/>
    <w:locked/>
    <w:rsid w:val="005F59A8"/>
    <w:pPr>
      <w:numPr>
        <w:numId w:val="21"/>
      </w:numPr>
      <w:contextualSpacing/>
    </w:pPr>
  </w:style>
  <w:style w:type="paragraph" w:styleId="ListNumber5">
    <w:name w:val="List Number 5"/>
    <w:basedOn w:val="Normal"/>
    <w:uiPriority w:val="99"/>
    <w:semiHidden/>
    <w:unhideWhenUsed/>
    <w:locked/>
    <w:rsid w:val="005F59A8"/>
    <w:pPr>
      <w:numPr>
        <w:numId w:val="22"/>
      </w:numPr>
      <w:contextualSpacing/>
    </w:pPr>
  </w:style>
  <w:style w:type="paragraph" w:styleId="MacroText">
    <w:name w:val="macro"/>
    <w:link w:val="MacroTextChar"/>
    <w:uiPriority w:val="99"/>
    <w:semiHidden/>
    <w:unhideWhenUsed/>
    <w:locked/>
    <w:rsid w:val="005F59A8"/>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Akhbar MT"/>
      <w:sz w:val="20"/>
      <w:szCs w:val="20"/>
      <w:lang w:val="en-GB"/>
    </w:rPr>
  </w:style>
  <w:style w:type="character" w:customStyle="1" w:styleId="MacroTextChar">
    <w:name w:val="Macro Text Char"/>
    <w:basedOn w:val="DefaultParagraphFont"/>
    <w:link w:val="MacroText"/>
    <w:uiPriority w:val="99"/>
    <w:semiHidden/>
    <w:rsid w:val="005F59A8"/>
    <w:rPr>
      <w:rFonts w:ascii="Consolas" w:hAnsi="Consolas" w:cs="Akhbar MT"/>
      <w:sz w:val="20"/>
      <w:szCs w:val="20"/>
      <w:lang w:val="en-GB"/>
    </w:rPr>
  </w:style>
  <w:style w:type="paragraph" w:styleId="MessageHeader">
    <w:name w:val="Message Header"/>
    <w:basedOn w:val="Normal"/>
    <w:link w:val="MessageHeaderChar"/>
    <w:uiPriority w:val="99"/>
    <w:semiHidden/>
    <w:unhideWhenUsed/>
    <w:locked/>
    <w:rsid w:val="005F59A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F59A8"/>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locked/>
    <w:rsid w:val="005F59A8"/>
    <w:rPr>
      <w:rFonts w:cs="Times New Roman"/>
      <w:sz w:val="24"/>
      <w:szCs w:val="24"/>
    </w:rPr>
  </w:style>
  <w:style w:type="paragraph" w:styleId="NormalIndent">
    <w:name w:val="Normal Indent"/>
    <w:basedOn w:val="Normal"/>
    <w:uiPriority w:val="99"/>
    <w:semiHidden/>
    <w:unhideWhenUsed/>
    <w:locked/>
    <w:rsid w:val="005F59A8"/>
    <w:pPr>
      <w:ind w:left="720"/>
    </w:pPr>
  </w:style>
  <w:style w:type="paragraph" w:styleId="NoteHeading">
    <w:name w:val="Note Heading"/>
    <w:basedOn w:val="Normal"/>
    <w:next w:val="Normal"/>
    <w:link w:val="NoteHeadingChar"/>
    <w:uiPriority w:val="99"/>
    <w:semiHidden/>
    <w:unhideWhenUsed/>
    <w:locked/>
    <w:rsid w:val="005F59A8"/>
    <w:pPr>
      <w:spacing w:before="0"/>
    </w:pPr>
  </w:style>
  <w:style w:type="character" w:customStyle="1" w:styleId="NoteHeadingChar">
    <w:name w:val="Note Heading Char"/>
    <w:basedOn w:val="DefaultParagraphFont"/>
    <w:link w:val="NoteHeading"/>
    <w:uiPriority w:val="99"/>
    <w:semiHidden/>
    <w:rsid w:val="005F59A8"/>
    <w:rPr>
      <w:rFonts w:ascii="Times New Roman" w:hAnsi="Times New Roman" w:cs="Akhbar MT"/>
      <w:szCs w:val="30"/>
      <w:lang w:val="en-GB"/>
    </w:rPr>
  </w:style>
  <w:style w:type="paragraph" w:styleId="PlainText">
    <w:name w:val="Plain Text"/>
    <w:basedOn w:val="Normal"/>
    <w:link w:val="PlainTextChar"/>
    <w:uiPriority w:val="99"/>
    <w:semiHidden/>
    <w:unhideWhenUsed/>
    <w:rsid w:val="005F59A8"/>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5F59A8"/>
    <w:rPr>
      <w:rFonts w:ascii="Consolas" w:hAnsi="Consolas" w:cs="Akhbar MT"/>
      <w:sz w:val="21"/>
      <w:szCs w:val="21"/>
      <w:lang w:val="en-GB"/>
    </w:rPr>
  </w:style>
  <w:style w:type="paragraph" w:styleId="Quote">
    <w:name w:val="Quote"/>
    <w:basedOn w:val="Normal"/>
    <w:next w:val="Normal"/>
    <w:link w:val="QuoteChar"/>
    <w:uiPriority w:val="29"/>
    <w:qFormat/>
    <w:locked/>
    <w:rsid w:val="005F59A8"/>
    <w:rPr>
      <w:i/>
      <w:iCs/>
      <w:color w:val="000000" w:themeColor="text1"/>
    </w:rPr>
  </w:style>
  <w:style w:type="character" w:customStyle="1" w:styleId="QuoteChar">
    <w:name w:val="Quote Char"/>
    <w:basedOn w:val="DefaultParagraphFont"/>
    <w:link w:val="Quote"/>
    <w:uiPriority w:val="29"/>
    <w:rsid w:val="005F59A8"/>
    <w:rPr>
      <w:rFonts w:ascii="Times New Roman" w:hAnsi="Times New Roman" w:cs="Akhbar MT"/>
      <w:i/>
      <w:iCs/>
      <w:color w:val="000000" w:themeColor="text1"/>
      <w:szCs w:val="30"/>
      <w:lang w:val="en-GB"/>
    </w:rPr>
  </w:style>
  <w:style w:type="paragraph" w:styleId="Salutation">
    <w:name w:val="Salutation"/>
    <w:basedOn w:val="Normal"/>
    <w:next w:val="Normal"/>
    <w:link w:val="SalutationChar"/>
    <w:uiPriority w:val="99"/>
    <w:semiHidden/>
    <w:unhideWhenUsed/>
    <w:locked/>
    <w:rsid w:val="005F59A8"/>
  </w:style>
  <w:style w:type="character" w:customStyle="1" w:styleId="SalutationChar">
    <w:name w:val="Salutation Char"/>
    <w:basedOn w:val="DefaultParagraphFont"/>
    <w:link w:val="Salutation"/>
    <w:uiPriority w:val="99"/>
    <w:semiHidden/>
    <w:rsid w:val="005F59A8"/>
    <w:rPr>
      <w:rFonts w:ascii="Times New Roman" w:hAnsi="Times New Roman" w:cs="Akhbar MT"/>
      <w:szCs w:val="30"/>
      <w:lang w:val="en-GB"/>
    </w:rPr>
  </w:style>
  <w:style w:type="paragraph" w:styleId="Signature">
    <w:name w:val="Signature"/>
    <w:basedOn w:val="Normal"/>
    <w:link w:val="SignatureChar"/>
    <w:uiPriority w:val="99"/>
    <w:semiHidden/>
    <w:unhideWhenUsed/>
    <w:locked/>
    <w:rsid w:val="005F59A8"/>
    <w:pPr>
      <w:spacing w:before="0"/>
      <w:ind w:left="4252"/>
    </w:pPr>
  </w:style>
  <w:style w:type="character" w:customStyle="1" w:styleId="SignatureChar">
    <w:name w:val="Signature Char"/>
    <w:basedOn w:val="DefaultParagraphFont"/>
    <w:link w:val="Signature"/>
    <w:uiPriority w:val="99"/>
    <w:semiHidden/>
    <w:rsid w:val="005F59A8"/>
    <w:rPr>
      <w:rFonts w:ascii="Times New Roman" w:hAnsi="Times New Roman" w:cs="Akhbar MT"/>
      <w:szCs w:val="30"/>
      <w:lang w:val="en-GB"/>
    </w:rPr>
  </w:style>
  <w:style w:type="paragraph" w:styleId="Subtitle">
    <w:name w:val="Subtitle"/>
    <w:basedOn w:val="Normal"/>
    <w:next w:val="Normal"/>
    <w:link w:val="SubtitleChar"/>
    <w:uiPriority w:val="11"/>
    <w:qFormat/>
    <w:locked/>
    <w:rsid w:val="005F59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F59A8"/>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uiPriority w:val="99"/>
    <w:semiHidden/>
    <w:unhideWhenUsed/>
    <w:rsid w:val="005F59A8"/>
    <w:pPr>
      <w:ind w:left="220" w:hanging="220"/>
    </w:pPr>
  </w:style>
  <w:style w:type="paragraph" w:styleId="TableofFigures">
    <w:name w:val="table of figures"/>
    <w:basedOn w:val="Normal"/>
    <w:next w:val="Normal"/>
    <w:uiPriority w:val="99"/>
    <w:semiHidden/>
    <w:unhideWhenUsed/>
    <w:rsid w:val="005F59A8"/>
  </w:style>
  <w:style w:type="paragraph" w:styleId="Title">
    <w:name w:val="Title"/>
    <w:basedOn w:val="Normal"/>
    <w:next w:val="Normal"/>
    <w:link w:val="TitleChar"/>
    <w:uiPriority w:val="10"/>
    <w:qFormat/>
    <w:locked/>
    <w:rsid w:val="005F59A8"/>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59A8"/>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locked/>
    <w:rsid w:val="005F59A8"/>
    <w:rPr>
      <w:rFonts w:asciiTheme="majorHAnsi" w:eastAsiaTheme="majorEastAsia" w:hAnsiTheme="majorHAnsi" w:cstheme="majorBidi"/>
      <w:b/>
      <w:bCs/>
      <w:sz w:val="24"/>
      <w:szCs w:val="24"/>
    </w:rPr>
  </w:style>
  <w:style w:type="character" w:styleId="FootnoteReference">
    <w:name w:val="footnote reference"/>
    <w:basedOn w:val="DefaultParagraphFont"/>
    <w:uiPriority w:val="99"/>
    <w:semiHidden/>
    <w:unhideWhenUsed/>
    <w:rsid w:val="00A675D6"/>
    <w:rPr>
      <w:vertAlign w:val="superscript"/>
    </w:rPr>
  </w:style>
  <w:style w:type="table" w:styleId="TableGrid">
    <w:name w:val="Table Grid"/>
    <w:basedOn w:val="TableNormal"/>
    <w:uiPriority w:val="59"/>
    <w:rsid w:val="00A675D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2020839">
      <w:bodyDiv w:val="1"/>
      <w:marLeft w:val="0"/>
      <w:marRight w:val="0"/>
      <w:marTop w:val="0"/>
      <w:marBottom w:val="0"/>
      <w:divBdr>
        <w:top w:val="none" w:sz="0" w:space="0" w:color="auto"/>
        <w:left w:val="none" w:sz="0" w:space="0" w:color="auto"/>
        <w:bottom w:val="none" w:sz="0" w:space="0" w:color="auto"/>
        <w:right w:val="none" w:sz="0" w:space="0" w:color="auto"/>
      </w:divBdr>
      <w:divsChild>
        <w:div w:id="1667784869">
          <w:marLeft w:val="0"/>
          <w:marRight w:val="0"/>
          <w:marTop w:val="240"/>
          <w:marBottom w:val="240"/>
          <w:divBdr>
            <w:top w:val="none" w:sz="0" w:space="0" w:color="auto"/>
            <w:left w:val="none" w:sz="0" w:space="0" w:color="auto"/>
            <w:bottom w:val="none" w:sz="0" w:space="0" w:color="auto"/>
            <w:right w:val="none" w:sz="0" w:space="0" w:color="auto"/>
          </w:divBdr>
        </w:div>
        <w:div w:id="1336297414">
          <w:marLeft w:val="0"/>
          <w:marRight w:val="0"/>
          <w:marTop w:val="240"/>
          <w:marBottom w:val="240"/>
          <w:divBdr>
            <w:top w:val="none" w:sz="0" w:space="0" w:color="auto"/>
            <w:left w:val="none" w:sz="0" w:space="0" w:color="auto"/>
            <w:bottom w:val="none" w:sz="0" w:space="0" w:color="auto"/>
            <w:right w:val="none" w:sz="0" w:space="0" w:color="auto"/>
          </w:divBdr>
        </w:div>
        <w:div w:id="640960547">
          <w:marLeft w:val="0"/>
          <w:marRight w:val="0"/>
          <w:marTop w:val="240"/>
          <w:marBottom w:val="240"/>
          <w:divBdr>
            <w:top w:val="none" w:sz="0" w:space="0" w:color="auto"/>
            <w:left w:val="none" w:sz="0" w:space="0" w:color="auto"/>
            <w:bottom w:val="none" w:sz="0" w:space="0" w:color="auto"/>
            <w:right w:val="none" w:sz="0" w:space="0" w:color="auto"/>
          </w:divBdr>
        </w:div>
        <w:div w:id="175386752">
          <w:marLeft w:val="0"/>
          <w:marRight w:val="0"/>
          <w:marTop w:val="240"/>
          <w:marBottom w:val="240"/>
          <w:divBdr>
            <w:top w:val="none" w:sz="0" w:space="0" w:color="auto"/>
            <w:left w:val="none" w:sz="0" w:space="0" w:color="auto"/>
            <w:bottom w:val="none" w:sz="0" w:space="0" w:color="auto"/>
            <w:right w:val="none" w:sz="0" w:space="0" w:color="auto"/>
          </w:divBdr>
        </w:div>
        <w:div w:id="946546732">
          <w:marLeft w:val="0"/>
          <w:marRight w:val="0"/>
          <w:marTop w:val="240"/>
          <w:marBottom w:val="240"/>
          <w:divBdr>
            <w:top w:val="none" w:sz="0" w:space="0" w:color="auto"/>
            <w:left w:val="none" w:sz="0" w:space="0" w:color="auto"/>
            <w:bottom w:val="none" w:sz="0" w:space="0" w:color="auto"/>
            <w:right w:val="none" w:sz="0" w:space="0" w:color="auto"/>
          </w:divBdr>
        </w:div>
      </w:divsChild>
    </w:div>
    <w:div w:id="13609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AO\FAOMeetingSetup\FAOMeeting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HANG\AppData\Local\Microsoft\Windows\Temporary%20Internet%20Files\Content.Outlook\74HNYN4V\Charts%20for%20Kaison%20Aug%20%202013%20Policy%20pap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HANG\AppData\Local\Microsoft\Windows\Temporary%20Internet%20Files\Content.Outlook\OEEPACAJ\HF%20exp%20value%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GB" sz="1200"/>
              <a:t>Figure 1: Trends in Jute Fibre and Manufactures Exports Value, 2000-2011</a:t>
            </a:r>
          </a:p>
        </c:rich>
      </c:tx>
      <c:layout>
        <c:manualLayout>
          <c:xMode val="edge"/>
          <c:yMode val="edge"/>
          <c:x val="0.1329003091695389"/>
          <c:y val="1.1816833498024641E-2"/>
        </c:manualLayout>
      </c:layout>
    </c:title>
    <c:plotArea>
      <c:layout/>
      <c:lineChart>
        <c:grouping val="standard"/>
        <c:ser>
          <c:idx val="1"/>
          <c:order val="0"/>
          <c:marker>
            <c:symbol val="none"/>
          </c:marker>
          <c:cat>
            <c:numRef>
              <c:f>'[Jute fibre and products exp value.xls]data and charts'!$A$18:$A$29</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'[Jute fibre and products exp value.xls]data and charts'!$B$18:$B$29</c:f>
              <c:numCache>
                <c:formatCode>General</c:formatCode>
                <c:ptCount val="12"/>
                <c:pt idx="0">
                  <c:v>0.73525493800000064</c:v>
                </c:pt>
                <c:pt idx="1">
                  <c:v>0.75067926600000712</c:v>
                </c:pt>
                <c:pt idx="2">
                  <c:v>1.0628519640000083</c:v>
                </c:pt>
                <c:pt idx="3">
                  <c:v>1.0675146009999916</c:v>
                </c:pt>
                <c:pt idx="4">
                  <c:v>1.2467951290000001</c:v>
                </c:pt>
                <c:pt idx="5">
                  <c:v>1.4053462829999857</c:v>
                </c:pt>
                <c:pt idx="6">
                  <c:v>1.5514000290000001</c:v>
                </c:pt>
                <c:pt idx="7">
                  <c:v>1.710060149</c:v>
                </c:pt>
                <c:pt idx="8">
                  <c:v>1.2780503390000073</c:v>
                </c:pt>
                <c:pt idx="9">
                  <c:v>1.0531548799999999</c:v>
                </c:pt>
                <c:pt idx="10">
                  <c:v>1.321414324</c:v>
                </c:pt>
                <c:pt idx="11">
                  <c:v>1.4399663359999855</c:v>
                </c:pt>
              </c:numCache>
            </c:numRef>
          </c:val>
        </c:ser>
        <c:marker val="1"/>
        <c:axId val="66057344"/>
        <c:axId val="66058880"/>
      </c:lineChart>
      <c:catAx>
        <c:axId val="66057344"/>
        <c:scaling>
          <c:orientation val="minMax"/>
        </c:scaling>
        <c:axPos val="b"/>
        <c:numFmt formatCode="General" sourceLinked="1"/>
        <c:majorTickMark val="none"/>
        <c:tickLblPos val="nextTo"/>
        <c:crossAx val="66058880"/>
        <c:crosses val="autoZero"/>
        <c:auto val="1"/>
        <c:lblAlgn val="ctr"/>
        <c:lblOffset val="100"/>
      </c:catAx>
      <c:valAx>
        <c:axId val="66058880"/>
        <c:scaling>
          <c:orientation val="minMax"/>
          <c:min val="0.60000000000000064"/>
        </c:scaling>
        <c:axPos val="l"/>
        <c:majorGridlines/>
        <c:title>
          <c:tx>
            <c:rich>
              <a:bodyPr/>
              <a:lstStyle/>
              <a:p>
                <a:pPr>
                  <a:defRPr/>
                </a:pPr>
                <a:r>
                  <a:rPr lang="en-GB"/>
                  <a:t>billion USD</a:t>
                </a:r>
              </a:p>
            </c:rich>
          </c:tx>
          <c:layout>
            <c:manualLayout>
              <c:xMode val="edge"/>
              <c:yMode val="edge"/>
              <c:x val="1.1862396204033301E-2"/>
              <c:y val="0.43577225333058123"/>
            </c:manualLayout>
          </c:layout>
        </c:title>
        <c:numFmt formatCode="General" sourceLinked="1"/>
        <c:majorTickMark val="none"/>
        <c:tickLblPos val="nextTo"/>
        <c:crossAx val="66057344"/>
        <c:crosses val="autoZero"/>
        <c:crossBetween val="between"/>
      </c:valAx>
    </c:plotArea>
    <c:plotVisOnly val="1"/>
    <c:dispBlanksAs val="gap"/>
  </c:chart>
  <c:txPr>
    <a:bodyPr/>
    <a:lstStyle/>
    <a:p>
      <a:pPr>
        <a:defRPr>
          <a:latin typeface="Garamond"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GB" sz="1200"/>
              <a:t>Figure 2:  Trends in</a:t>
            </a:r>
            <a:r>
              <a:rPr lang="en-GB" sz="1200" baseline="0"/>
              <a:t> Hard Fibres Raw and Manufactures </a:t>
            </a:r>
          </a:p>
          <a:p>
            <a:pPr>
              <a:defRPr sz="1200"/>
            </a:pPr>
            <a:r>
              <a:rPr lang="en-GB" sz="1200" baseline="0"/>
              <a:t>Exports Value, 2000-2011</a:t>
            </a:r>
            <a:endParaRPr lang="en-GB" sz="1200"/>
          </a:p>
        </c:rich>
      </c:tx>
      <c:layout/>
    </c:title>
    <c:plotArea>
      <c:layout/>
      <c:lineChart>
        <c:grouping val="standard"/>
        <c:ser>
          <c:idx val="0"/>
          <c:order val="0"/>
          <c:marker>
            <c:symbol val="none"/>
          </c:marker>
          <c:cat>
            <c:numRef>
              <c:f>'HF value'!$A$3:$A$14</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'HF value'!$B$3:$B$14</c:f>
              <c:numCache>
                <c:formatCode>0.00</c:formatCode>
                <c:ptCount val="12"/>
                <c:pt idx="0">
                  <c:v>0.38765161006212284</c:v>
                </c:pt>
                <c:pt idx="1">
                  <c:v>0.3848525946031755</c:v>
                </c:pt>
                <c:pt idx="2">
                  <c:v>0.37977853342115681</c:v>
                </c:pt>
                <c:pt idx="3">
                  <c:v>0.42458479382324993</c:v>
                </c:pt>
                <c:pt idx="4">
                  <c:v>0.51529782316358352</c:v>
                </c:pt>
                <c:pt idx="5">
                  <c:v>0.56988445297061463</c:v>
                </c:pt>
                <c:pt idx="6">
                  <c:v>0.62738437263985836</c:v>
                </c:pt>
                <c:pt idx="7">
                  <c:v>0.46481549873682482</c:v>
                </c:pt>
                <c:pt idx="8">
                  <c:v>0.62094863470349004</c:v>
                </c:pt>
                <c:pt idx="9">
                  <c:v>0.72598864410178965</c:v>
                </c:pt>
                <c:pt idx="10">
                  <c:v>0.93101354741891051</c:v>
                </c:pt>
                <c:pt idx="11">
                  <c:v>0.97919544835901384</c:v>
                </c:pt>
              </c:numCache>
            </c:numRef>
          </c:val>
        </c:ser>
        <c:marker val="1"/>
        <c:axId val="65157376"/>
        <c:axId val="65163264"/>
      </c:lineChart>
      <c:catAx>
        <c:axId val="65157376"/>
        <c:scaling>
          <c:orientation val="minMax"/>
        </c:scaling>
        <c:axPos val="b"/>
        <c:numFmt formatCode="General" sourceLinked="1"/>
        <c:majorTickMark val="none"/>
        <c:tickLblPos val="nextTo"/>
        <c:crossAx val="65163264"/>
        <c:crosses val="autoZero"/>
        <c:auto val="1"/>
        <c:lblAlgn val="ctr"/>
        <c:lblOffset val="100"/>
      </c:catAx>
      <c:valAx>
        <c:axId val="65163264"/>
        <c:scaling>
          <c:orientation val="minMax"/>
          <c:min val="0.30000000000000032"/>
        </c:scaling>
        <c:axPos val="l"/>
        <c:majorGridlines/>
        <c:title>
          <c:tx>
            <c:rich>
              <a:bodyPr/>
              <a:lstStyle/>
              <a:p>
                <a:pPr>
                  <a:defRPr/>
                </a:pPr>
                <a:r>
                  <a:rPr lang="en-US"/>
                  <a:t>billion USD</a:t>
                </a:r>
              </a:p>
            </c:rich>
          </c:tx>
          <c:layout>
            <c:manualLayout>
              <c:xMode val="edge"/>
              <c:yMode val="edge"/>
              <c:x val="1.6175634295713118E-2"/>
              <c:y val="0.41901775513355038"/>
            </c:manualLayout>
          </c:layout>
        </c:title>
        <c:numFmt formatCode="0.00" sourceLinked="1"/>
        <c:majorTickMark val="none"/>
        <c:tickLblPos val="nextTo"/>
        <c:crossAx val="65157376"/>
        <c:crosses val="autoZero"/>
        <c:crossBetween val="between"/>
        <c:majorUnit val="0.2"/>
      </c:valAx>
    </c:plotArea>
    <c:plotVisOnly val="1"/>
    <c:dispBlanksAs val="gap"/>
  </c:chart>
  <c:txPr>
    <a:bodyPr/>
    <a:lstStyle/>
    <a:p>
      <a:pPr>
        <a:defRPr>
          <a:latin typeface="Garamond"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ustomProperties xmlns="http://tempuri.org/CustomProperties.xsd">
  <GeneralProperties>
    <JobNumber/>
    <CoverIdentification>CCP: HF/JU 13/2</CoverIdentification>
    <PublicationDate>2013-10-15T00:00:00</PublicationDate>
    <DocumentType>Committee on Commodity Problems</DocumentType>
    <AuthorDivision>EST</AuthorDivision>
    <Language>E</Language>
    <Draft>False</Draft>
    <Cover>True</Cover>
    <EconomyNote>True</EconomyNote>
    <SummaryBox>False</SummaryBox>
    <PageTableOfContents>False</PageTableOfContents>
    <ParagraphTableOfContents>False</ParagraphTableOfContents>
    <LanguageName>English</LanguageName>
    <NumberedHeadings>True</NumberedHeadings>
    <SummaryBoxSecondPage>False</SummaryBoxSecondPage>
  </GeneralProperties>
</CustomProperties>
</file>

<file path=customXml/item2.xml><?xml version="1.0" encoding="utf-8"?>
<cdm:cachedDataManifest xmlns:cdm="http://schemas.microsoft.com/2004/VisualStudio/Tools/Applications/CachedDataManifest.xsd" cdm:revision="1"/>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8901C-232B-4621-B76E-7AFB0D847770}">
  <ds:schemaRefs>
    <ds:schemaRef ds:uri="http://tempuri.org/CustomProperties.xsd"/>
  </ds:schemaRefs>
</ds:datastoreItem>
</file>

<file path=customXml/itemProps2.xml><?xml version="1.0" encoding="utf-8"?>
<ds:datastoreItem xmlns:ds="http://schemas.openxmlformats.org/officeDocument/2006/customXml" ds:itemID="{10410FE0-29EE-4A06-8950-EB85A2DFCA62}">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85F3C5CB-2930-400C-87F4-9FDB1605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FAOMeetingTemplate.dotx</Template>
  <TotalTime>123</TotalTime>
  <Pages>10</Pages>
  <Words>3526</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Brattlof (EST)</dc:creator>
  <cp:lastModifiedBy>Margarita Brattlof (EST)</cp:lastModifiedBy>
  <cp:revision>7</cp:revision>
  <dcterms:created xsi:type="dcterms:W3CDTF">2013-10-15T08:01:00Z</dcterms:created>
  <dcterms:modified xsi:type="dcterms:W3CDTF">2013-10-15T12:10:00Z</dcterms:modified>
  <cp:version>1.0.0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2.2</vt:lpwstr>
  </property>
  <property fmtid="{D5CDD505-2E9C-101B-9397-08002B2CF9AE}" pid="3" name="DocumentToConvert">
    <vt:bool>false</vt:bool>
  </property>
  <property fmtid="{D5CDD505-2E9C-101B-9397-08002B2CF9AE}" pid="4" name="_AssemblyLocation">
    <vt:lpwstr>file:///C:/Program Files/FAO/FAOMeetingSetup/FAOMeetingTemplate.vsto|fde793ce-fd3d-407d-bcef-ca6d66171596|vstolocal</vt:lpwstr>
  </property>
  <property fmtid="{D5CDD505-2E9C-101B-9397-08002B2CF9AE}" pid="5" name="_AssemblyName">
    <vt:lpwstr>4E3C66D5-58D4-491E-A7D4-64AF99AF6E8B</vt:lpwstr>
  </property>
</Properties>
</file>