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D75971">
      <w:pPr>
        <w:pStyle w:val="Hidden"/>
      </w:pPr>
    </w:p>
    <w:p w:rsidR="00012386" w:rsidRPr="00093C91" w:rsidRDefault="00012386" w:rsidP="00D75971">
      <w:pPr>
        <w:pStyle w:val="DocTitle"/>
        <w:rPr>
          <w:smallCaps/>
          <w:lang w:eastAsia="en-US" w:bidi="ar-SA"/>
        </w:rPr>
      </w:pPr>
      <w:bookmarkStart w:id="0" w:name="CoverTitleBookmark"/>
      <w:bookmarkStart w:id="1" w:name="CoverBookmark"/>
      <w:r w:rsidRPr="00093C91">
        <w:rPr>
          <w:smallCaps/>
          <w:lang w:eastAsia="en-US" w:bidi="ar-SA"/>
        </w:rPr>
        <w:t>Comité de Problemas de Productos Básicos</w:t>
      </w:r>
    </w:p>
    <w:bookmarkEnd w:id="0"/>
    <w:p w:rsidR="00012386" w:rsidRPr="00093C91" w:rsidRDefault="0078197B" w:rsidP="00D75971">
      <w:pPr>
        <w:pStyle w:val="MeetingInfo"/>
      </w:pPr>
      <w:r w:rsidRPr="00093C91">
        <w:t>REUNIÓN CONJUNTA DEL GRUPO INTERGUBERNAMENTAL SOBRE FIBRAS DURAS EN SU 38.ª REUNIÓN Y EL GRUPO INTERGUBERNAMENTAL SOBRE EL YUTE, EL KENAF Y FIBRAS AFINES EN SU 40.ª REUNIÓN</w:t>
      </w:r>
    </w:p>
    <w:p w:rsidR="00012386" w:rsidRPr="00093C91" w:rsidRDefault="0078197B" w:rsidP="00D75971">
      <w:pPr>
        <w:pStyle w:val="MeetingInfo"/>
      </w:pPr>
      <w:r w:rsidRPr="00093C91">
        <w:t>Bogotá, 25-27 de noviembre de 2015</w:t>
      </w:r>
    </w:p>
    <w:p w:rsidR="00012386" w:rsidRPr="00093C91" w:rsidRDefault="0078197B" w:rsidP="00D75971">
      <w:pPr>
        <w:pStyle w:val="MeetingInfo"/>
      </w:pPr>
      <w:r w:rsidRPr="00093C91">
        <w:t>Proyecto de informe</w:t>
      </w:r>
    </w:p>
    <w:p w:rsidR="00017069" w:rsidRPr="00093C91" w:rsidRDefault="00012386" w:rsidP="00093C91">
      <w:pPr>
        <w:pStyle w:val="Heading1"/>
        <w:ind w:hanging="709"/>
      </w:pPr>
      <w:r w:rsidRPr="00093C91">
        <w:t xml:space="preserve"> </w:t>
      </w:r>
      <w:bookmarkEnd w:id="1"/>
      <w:r w:rsidRPr="00093C91">
        <w:t xml:space="preserve"> </w:t>
      </w:r>
      <w:bookmarkStart w:id="2" w:name="SummaryBoxBookmark"/>
      <w:r w:rsidRPr="00093C91">
        <w:t xml:space="preserve"> </w:t>
      </w:r>
      <w:bookmarkEnd w:id="2"/>
      <w:r w:rsidRPr="00093C91">
        <w:t xml:space="preserve"> </w:t>
      </w:r>
      <w:bookmarkStart w:id="3" w:name="TableOfContentsRangeBookmark"/>
      <w:r w:rsidRPr="00093C91">
        <w:t xml:space="preserve"> </w:t>
      </w:r>
      <w:bookmarkEnd w:id="3"/>
      <w:r w:rsidRPr="00093C91">
        <w:t>INTRODUCCIÓN</w:t>
      </w:r>
    </w:p>
    <w:p w:rsidR="00017069" w:rsidRPr="00093C91" w:rsidRDefault="00017069" w:rsidP="002A192E">
      <w:pPr>
        <w:pStyle w:val="BoxNewPara"/>
        <w:ind w:left="0" w:firstLine="0"/>
      </w:pPr>
      <w:r w:rsidRPr="00093C91">
        <w:t>La reunión conjunta del Grupo Intergubernamental sobre Fibras Duras en su 38</w:t>
      </w:r>
      <w:proofErr w:type="gramStart"/>
      <w:r w:rsidRPr="00093C91">
        <w:t>.ª</w:t>
      </w:r>
      <w:proofErr w:type="gramEnd"/>
      <w:r w:rsidRPr="00093C91">
        <w:t xml:space="preserve"> reunión y el Grupo Intergubernamental sobre el Yute, el Kenaf y Fibras Afines en su</w:t>
      </w:r>
      <w:r w:rsidR="00093C91">
        <w:t xml:space="preserve"> 40.ª reunión se celebró del 25 </w:t>
      </w:r>
      <w:r w:rsidRPr="00093C91">
        <w:t>al 27 de noviembre de 2015 en Bogotá (Colombia). Asistieron a la reunión 28 delegados de los siguientes países miembros: Brasil, Colombia, Cuba, Filipinas, Kenya, Polonia, República Unida de Tanzanía y Sri Lanka. Asistieron también observadores de la Organización Internacional de las Fibras Naturales (INFO) y la Asociación del Sisal de Londres.</w:t>
      </w:r>
    </w:p>
    <w:p w:rsidR="00017069" w:rsidRPr="00093C91" w:rsidRDefault="00665EC2" w:rsidP="002A192E">
      <w:pPr>
        <w:pStyle w:val="BoxNewPara"/>
        <w:ind w:left="0" w:firstLine="0"/>
      </w:pPr>
      <w:r w:rsidRPr="00093C91">
        <w:t xml:space="preserve">La reunión fue inaugurada conjuntamente por el Sr. César Oliveiros Cárdenas, Director de Cadenas Agrícolas y Forestales del Ministerio de Agricultura, y la Sra. Cecilia María Vélez White, Rectora de la Universidad de Bogotá Jorge Tadeo Lozano. Asimismo, pronunciaron declaraciones el Sr. Luis Dussán, del Fondo para el Financiamiento del Sector Agropecuario (Finagro), y el Sr. Julio Ramírez, de la Corporación Colombiana de Investigación Agropecuaria. La declaración inaugural fue pronunciada por el Sr. Rafael Zavala, Representante de la FAO en Colombia, en nombre del Director General. </w:t>
      </w:r>
    </w:p>
    <w:p w:rsidR="00017069" w:rsidRPr="00093C91" w:rsidRDefault="00017069" w:rsidP="002A192E">
      <w:pPr>
        <w:pStyle w:val="BoxNewPara"/>
        <w:ind w:left="0" w:firstLine="0"/>
      </w:pPr>
      <w:r w:rsidRPr="00093C91">
        <w:t>La reunión eligió a la Sra. Jennifer Castillo (Colombia) como Presidenta, al Sr. Wilson Andrade (Brasil) como Vicepresidente Primero y al Sr. Deogratias Ruhinda (República Unida de Tanzanía) como Vicepresidente Segundo.</w:t>
      </w:r>
    </w:p>
    <w:p w:rsidR="00017069" w:rsidRPr="00093C91" w:rsidRDefault="00017069" w:rsidP="002A192E">
      <w:pPr>
        <w:pStyle w:val="BoxNewPara"/>
        <w:ind w:left="0" w:firstLine="0"/>
      </w:pPr>
      <w:r w:rsidRPr="00093C91">
        <w:t>La reunión aprobó el programa provisional (documento CCP:HF/JU 15/1) y el calendario provisional (documento CCP:HF/JU 15/Inf.2).</w:t>
      </w:r>
    </w:p>
    <w:p w:rsidR="00017069" w:rsidRPr="00093C91" w:rsidRDefault="00017069" w:rsidP="002A192E">
      <w:pPr>
        <w:pStyle w:val="BoxNewPara"/>
        <w:ind w:left="0" w:firstLine="0"/>
      </w:pPr>
      <w:r w:rsidRPr="00093C91">
        <w:t>La reunión conjunta decidió que la Secretaría preparara su informe con vistas a su aprobación el 27 de noviembre de 2015.</w:t>
      </w:r>
    </w:p>
    <w:p w:rsidR="00017069" w:rsidRPr="00093C91" w:rsidRDefault="00017069" w:rsidP="002A192E">
      <w:pPr>
        <w:pStyle w:val="Heading1"/>
        <w:ind w:left="0" w:firstLine="0"/>
      </w:pPr>
      <w:r w:rsidRPr="00093C91">
        <w:lastRenderedPageBreak/>
        <w:t>CUESTIONES ECONÓMICAS Y DE POLÍTICAS</w:t>
      </w:r>
    </w:p>
    <w:p w:rsidR="00017069" w:rsidRPr="00093C91" w:rsidRDefault="00017069" w:rsidP="00017069">
      <w:pPr>
        <w:pStyle w:val="Heading2"/>
      </w:pPr>
      <w:r w:rsidRPr="00093C91">
        <w:t>SITUACIÓN ACTUAL DE LOS MERCADOS Y PERSPECTIVAS A MEDIO PLAZO</w:t>
      </w:r>
    </w:p>
    <w:p w:rsidR="006E2712" w:rsidRPr="00093C91" w:rsidRDefault="006E2712" w:rsidP="006E2712">
      <w:pPr>
        <w:pStyle w:val="BoxNewPara"/>
        <w:ind w:left="0" w:firstLine="0"/>
      </w:pPr>
      <w:r w:rsidRPr="00093C91">
        <w:t>La reunión conjunta examinó la situación actual del mercado y las perspectivas a medio plazo con la ayuda del documento CCP:HF/JU 15/CRS 2, que contenía tablas sobre la producción, el comercio y los precios compiladas a partir de las estadísticas aportadas por los miembros del Grupo Intergubernamental sobre Fibras Duras y del Grupo Intergubernamental sobre el Yute, el Kenaf y Fibras Afines. Puesto que la Secretaría había recibido datos e información de mercado actualizados procedentes de varios países, la reunión acordó que se revisara el documento CCP:HF/JU 15/CRS 1 y que se cargara en el sitio web de la FAO (http://www.fao.org/economic/est/est-commodities/yute-y-fibras-duras/reuniones-sobre-yute-y-fibras-dura/es/). En resumen, la demanda de la mayoría de las fibras aumentó en 2014, lo que conllevó que aumentaran los precios, en especial los del abacá, utilizado en la producción de bolsas de té y filtros de café, y los del sisal, demandado por la industria de la construcción. Además, se manifestó nuevamente preocupación por el cambio que podría producirse en la estructura de la oferta de sisal en el Brasil, el mayor productor mundial, debido a la migración de los productores a las zonas urbanas a causa de las difíciles condiciones de vida provocadas por la sequía, que se prevé se intensifique como resultado del fenómeno meteorológico El Niño.</w:t>
      </w:r>
    </w:p>
    <w:p w:rsidR="004859DD" w:rsidRPr="00093C91" w:rsidRDefault="006E2712" w:rsidP="004859DD">
      <w:pPr>
        <w:pStyle w:val="BoxNewPara"/>
        <w:ind w:left="0" w:firstLine="0"/>
      </w:pPr>
      <w:r w:rsidRPr="00093C91">
        <w:t>Por lo que hace a las previsiones a medio plazo, los delegados presentaron algunas reflexiones excelentes sobre los programas de desarrollo de sus respectivos subsectores de las fibras, que permitirían hacer ajustes en la oferta para adaptarla a la creciente demanda. Se manifestaron algunas reservas respecto del modelo utilizado para generar las previsiones. La Secretaría tomó nota de la inquietud de la reunión conjunta y acogió con agrado los ofrecimientos de proporcionar una metodología y un modelo más eficaces para mejorar las previsiones.</w:t>
      </w:r>
      <w:r w:rsidR="00093C91">
        <w:t xml:space="preserve"> </w:t>
      </w:r>
      <w:r w:rsidRPr="00093C91">
        <w:t>La reunión conjunta señaló que las grandes lagunas en los datos proporcionados a la Secretaría constituían un serio motivo de preocupación y que la Secretaría no había podido preparar su compendio estadístico anual sobre las fibras duras, el yute, el kenaf y las fibras afines antes de la reunión conjunta debido a la falta de datos.</w:t>
      </w:r>
      <w:r w:rsidR="00093C91">
        <w:t xml:space="preserve"> </w:t>
      </w:r>
      <w:r w:rsidRPr="00093C91">
        <w:t>Al reconocer que resultaba extremadamente difícil analizar el mercado debido a la falta de datos exactos, la reunión conjunta acordó mejorar el suministro de datos a la Secretaría.</w:t>
      </w:r>
    </w:p>
    <w:p w:rsidR="0079532D" w:rsidRPr="00093C91" w:rsidRDefault="0079532D" w:rsidP="004859DD">
      <w:pPr>
        <w:pStyle w:val="Heading1"/>
        <w:rPr>
          <w:rFonts w:ascii="Times New Roman" w:eastAsia="Calibri" w:hAnsi="Times New Roman"/>
          <w:sz w:val="22"/>
          <w:szCs w:val="30"/>
        </w:rPr>
      </w:pPr>
      <w:r w:rsidRPr="00093C91">
        <w:rPr>
          <w:rFonts w:ascii="Times New Roman" w:hAnsi="Times New Roman"/>
          <w:sz w:val="22"/>
        </w:rPr>
        <w:t xml:space="preserve"> TENDENCIAS DE LOS PRECIOS DEL SISAL, EL ABACÁ Y EL BONOTE</w:t>
      </w:r>
    </w:p>
    <w:p w:rsidR="0079532D" w:rsidRPr="00093C91" w:rsidRDefault="0079532D" w:rsidP="006F4AC9">
      <w:pPr>
        <w:pStyle w:val="BoxNewPara"/>
        <w:ind w:left="0" w:firstLine="0"/>
      </w:pPr>
      <w:r w:rsidRPr="00093C91">
        <w:t xml:space="preserve">La reunión reafirmó el punto de vista del Subgrupo de Países Productores de Sisal y Henequén, a saber, que el pronóstico de escalas de precios era útil a efectos de proporcionar información para orientar a los agricultores y los comerciantes en sus decisiones sobre producción y comercialización, así como para hacer posible que los gobiernos aplicasen políticas apropiadas. </w:t>
      </w:r>
    </w:p>
    <w:p w:rsidR="0079532D" w:rsidRPr="00093C91" w:rsidRDefault="0079532D" w:rsidP="006F4AC9">
      <w:pPr>
        <w:pStyle w:val="BoxNewPara"/>
        <w:ind w:left="0" w:firstLine="0"/>
      </w:pPr>
      <w:r w:rsidRPr="00093C91">
        <w:t>La reunión aprobó los pronósticos del Subgrupo sobre las tendencias de los precios, como se indica a continuación:</w:t>
      </w:r>
    </w:p>
    <w:p w:rsidR="0079532D" w:rsidRPr="00093C91" w:rsidRDefault="0079532D" w:rsidP="0079532D">
      <w:pPr>
        <w:pStyle w:val="BoxNewPara"/>
        <w:numPr>
          <w:ilvl w:val="0"/>
          <w:numId w:val="9"/>
        </w:numPr>
      </w:pPr>
      <w:r w:rsidRPr="00093C91">
        <w:t>fibras de tipo 3 del Brasil, entre 1 400 USD y 1 500 USD por tonelada f.o.b. en Salvador de Bahía;</w:t>
      </w:r>
    </w:p>
    <w:p w:rsidR="0079532D" w:rsidRPr="00093C91" w:rsidRDefault="0079532D" w:rsidP="0079532D">
      <w:pPr>
        <w:pStyle w:val="BoxNewPara"/>
        <w:numPr>
          <w:ilvl w:val="0"/>
          <w:numId w:val="9"/>
        </w:numPr>
      </w:pPr>
      <w:r w:rsidRPr="00093C91">
        <w:t>fibra UG del África oriental, entre 1 900 USD y 2 150 USD por tonelada f.o.b. Si bien esta es la escala de precios, algunos tipos de sisal que se venden especialmente al sector de la construcción han llegado a alcanzar los 2 300 USD por tonelada.</w:t>
      </w:r>
    </w:p>
    <w:p w:rsidR="00B83AF6" w:rsidRPr="00093C91" w:rsidRDefault="001C2281" w:rsidP="00236950">
      <w:pPr>
        <w:pStyle w:val="BoxNewPara"/>
        <w:keepNext/>
        <w:keepLines/>
      </w:pPr>
      <w:r w:rsidRPr="00093C91">
        <w:lastRenderedPageBreak/>
        <w:t>Los precios del abacá fueron proporcionados por la delegación de Filipinas, como sigue (f.o.b. en dólares EE.UU./tonelada):</w:t>
      </w:r>
    </w:p>
    <w:p w:rsidR="00B83AF6" w:rsidRPr="00093C91" w:rsidRDefault="00B83AF6" w:rsidP="00236950">
      <w:pPr>
        <w:pStyle w:val="BoxNewPara"/>
        <w:keepNext/>
        <w:keepLines/>
        <w:numPr>
          <w:ilvl w:val="0"/>
          <w:numId w:val="0"/>
        </w:numPr>
        <w:ind w:left="720"/>
      </w:pPr>
    </w:p>
    <w:tbl>
      <w:tblPr>
        <w:tblStyle w:val="TableGrid"/>
        <w:tblW w:w="0" w:type="auto"/>
        <w:tblInd w:w="720" w:type="dxa"/>
        <w:tblLook w:val="04A0" w:firstRow="1" w:lastRow="0" w:firstColumn="1" w:lastColumn="0" w:noHBand="0" w:noVBand="1"/>
      </w:tblPr>
      <w:tblGrid>
        <w:gridCol w:w="1722"/>
        <w:gridCol w:w="1710"/>
        <w:gridCol w:w="1711"/>
        <w:gridCol w:w="1712"/>
        <w:gridCol w:w="1712"/>
      </w:tblGrid>
      <w:tr w:rsidR="000E0955" w:rsidRPr="00093C91" w:rsidTr="000E0955">
        <w:tc>
          <w:tcPr>
            <w:tcW w:w="1722" w:type="dxa"/>
          </w:tcPr>
          <w:p w:rsidR="00B83AF6" w:rsidRPr="00093C91" w:rsidRDefault="00B83AF6" w:rsidP="00236950">
            <w:pPr>
              <w:pStyle w:val="BoxNewPara"/>
              <w:keepNext/>
              <w:keepLines/>
              <w:numPr>
                <w:ilvl w:val="0"/>
                <w:numId w:val="0"/>
              </w:numPr>
            </w:pPr>
            <w:r w:rsidRPr="00093C91">
              <w:t xml:space="preserve">Calidad </w:t>
            </w:r>
          </w:p>
        </w:tc>
        <w:tc>
          <w:tcPr>
            <w:tcW w:w="1710" w:type="dxa"/>
          </w:tcPr>
          <w:p w:rsidR="00B83AF6" w:rsidRPr="00093C91" w:rsidRDefault="00B83AF6" w:rsidP="00236950">
            <w:pPr>
              <w:pStyle w:val="BoxNewPara"/>
              <w:keepNext/>
              <w:keepLines/>
              <w:numPr>
                <w:ilvl w:val="0"/>
                <w:numId w:val="0"/>
              </w:numPr>
            </w:pPr>
            <w:r w:rsidRPr="00093C91">
              <w:t>2015</w:t>
            </w:r>
          </w:p>
        </w:tc>
        <w:tc>
          <w:tcPr>
            <w:tcW w:w="1711" w:type="dxa"/>
          </w:tcPr>
          <w:p w:rsidR="00B83AF6" w:rsidRPr="00093C91" w:rsidRDefault="00B83AF6" w:rsidP="00236950">
            <w:pPr>
              <w:pStyle w:val="BoxNewPara"/>
              <w:keepNext/>
              <w:keepLines/>
              <w:numPr>
                <w:ilvl w:val="0"/>
                <w:numId w:val="0"/>
              </w:numPr>
            </w:pPr>
            <w:r w:rsidRPr="00093C91">
              <w:t>2016</w:t>
            </w:r>
          </w:p>
        </w:tc>
        <w:tc>
          <w:tcPr>
            <w:tcW w:w="1712" w:type="dxa"/>
          </w:tcPr>
          <w:p w:rsidR="00B83AF6" w:rsidRPr="00093C91" w:rsidRDefault="00B83AF6" w:rsidP="00236950">
            <w:pPr>
              <w:pStyle w:val="BoxNewPara"/>
              <w:keepNext/>
              <w:keepLines/>
              <w:numPr>
                <w:ilvl w:val="0"/>
                <w:numId w:val="0"/>
              </w:numPr>
            </w:pPr>
            <w:r w:rsidRPr="00093C91">
              <w:t>2017</w:t>
            </w:r>
          </w:p>
        </w:tc>
        <w:tc>
          <w:tcPr>
            <w:tcW w:w="1712" w:type="dxa"/>
          </w:tcPr>
          <w:p w:rsidR="00B83AF6" w:rsidRPr="00093C91" w:rsidRDefault="00B83AF6" w:rsidP="00236950">
            <w:pPr>
              <w:pStyle w:val="BoxNewPara"/>
              <w:keepNext/>
              <w:keepLines/>
              <w:numPr>
                <w:ilvl w:val="0"/>
                <w:numId w:val="0"/>
              </w:numPr>
            </w:pPr>
            <w:r w:rsidRPr="00093C91">
              <w:t>2018</w:t>
            </w:r>
          </w:p>
        </w:tc>
      </w:tr>
      <w:tr w:rsidR="000E0955" w:rsidRPr="00093C91" w:rsidTr="000E0955">
        <w:tc>
          <w:tcPr>
            <w:tcW w:w="1722" w:type="dxa"/>
          </w:tcPr>
          <w:p w:rsidR="00B83AF6" w:rsidRPr="00093C91" w:rsidRDefault="00B83AF6" w:rsidP="00236950">
            <w:pPr>
              <w:pStyle w:val="BoxNewPara"/>
              <w:keepNext/>
              <w:keepLines/>
              <w:numPr>
                <w:ilvl w:val="0"/>
                <w:numId w:val="0"/>
              </w:numPr>
            </w:pPr>
            <w:r w:rsidRPr="00093C91">
              <w:t>S2</w:t>
            </w:r>
          </w:p>
        </w:tc>
        <w:tc>
          <w:tcPr>
            <w:tcW w:w="1710" w:type="dxa"/>
          </w:tcPr>
          <w:p w:rsidR="00B83AF6" w:rsidRPr="00093C91" w:rsidRDefault="00B83AF6" w:rsidP="00B83AF6">
            <w:pPr>
              <w:pStyle w:val="BoxNewPara"/>
              <w:numPr>
                <w:ilvl w:val="0"/>
                <w:numId w:val="0"/>
              </w:numPr>
            </w:pPr>
            <w:r w:rsidRPr="00093C91">
              <w:t>1 767</w:t>
            </w:r>
          </w:p>
        </w:tc>
        <w:tc>
          <w:tcPr>
            <w:tcW w:w="1711" w:type="dxa"/>
          </w:tcPr>
          <w:p w:rsidR="00B83AF6" w:rsidRPr="00093C91" w:rsidRDefault="00B83AF6" w:rsidP="00B83AF6">
            <w:pPr>
              <w:pStyle w:val="BoxNewPara"/>
              <w:numPr>
                <w:ilvl w:val="0"/>
                <w:numId w:val="0"/>
              </w:numPr>
            </w:pPr>
            <w:r w:rsidRPr="00093C91">
              <w:t>1 856</w:t>
            </w:r>
          </w:p>
        </w:tc>
        <w:tc>
          <w:tcPr>
            <w:tcW w:w="1712" w:type="dxa"/>
          </w:tcPr>
          <w:p w:rsidR="00B83AF6" w:rsidRPr="00093C91" w:rsidRDefault="00B83AF6" w:rsidP="00B83AF6">
            <w:pPr>
              <w:pStyle w:val="BoxNewPara"/>
              <w:numPr>
                <w:ilvl w:val="0"/>
                <w:numId w:val="0"/>
              </w:numPr>
            </w:pPr>
            <w:r w:rsidRPr="00093C91">
              <w:t>1 949</w:t>
            </w:r>
          </w:p>
        </w:tc>
        <w:tc>
          <w:tcPr>
            <w:tcW w:w="1712" w:type="dxa"/>
          </w:tcPr>
          <w:p w:rsidR="00B83AF6" w:rsidRPr="00093C91" w:rsidRDefault="00B83AF6" w:rsidP="00B83AF6">
            <w:pPr>
              <w:pStyle w:val="BoxNewPara"/>
              <w:numPr>
                <w:ilvl w:val="0"/>
                <w:numId w:val="0"/>
              </w:numPr>
            </w:pPr>
            <w:r w:rsidRPr="00093C91">
              <w:t>2 048</w:t>
            </w:r>
          </w:p>
        </w:tc>
      </w:tr>
      <w:tr w:rsidR="000E0955" w:rsidRPr="00093C91" w:rsidTr="000E0955">
        <w:tc>
          <w:tcPr>
            <w:tcW w:w="1722" w:type="dxa"/>
          </w:tcPr>
          <w:p w:rsidR="00B83AF6" w:rsidRPr="00093C91" w:rsidRDefault="00B83AF6" w:rsidP="00236950">
            <w:pPr>
              <w:pStyle w:val="BoxNewPara"/>
              <w:keepNext/>
              <w:keepLines/>
              <w:numPr>
                <w:ilvl w:val="0"/>
                <w:numId w:val="0"/>
              </w:numPr>
            </w:pPr>
            <w:r w:rsidRPr="00093C91">
              <w:t>G</w:t>
            </w:r>
          </w:p>
        </w:tc>
        <w:tc>
          <w:tcPr>
            <w:tcW w:w="1710" w:type="dxa"/>
          </w:tcPr>
          <w:p w:rsidR="00B83AF6" w:rsidRPr="00093C91" w:rsidRDefault="00B83AF6" w:rsidP="00B83AF6">
            <w:pPr>
              <w:pStyle w:val="BoxNewPara"/>
              <w:numPr>
                <w:ilvl w:val="0"/>
                <w:numId w:val="0"/>
              </w:numPr>
            </w:pPr>
            <w:r w:rsidRPr="00093C91">
              <w:t>1 585</w:t>
            </w:r>
          </w:p>
        </w:tc>
        <w:tc>
          <w:tcPr>
            <w:tcW w:w="1711" w:type="dxa"/>
          </w:tcPr>
          <w:p w:rsidR="00B83AF6" w:rsidRPr="00093C91" w:rsidRDefault="00B83AF6" w:rsidP="00B83AF6">
            <w:pPr>
              <w:pStyle w:val="BoxNewPara"/>
              <w:numPr>
                <w:ilvl w:val="0"/>
                <w:numId w:val="0"/>
              </w:numPr>
            </w:pPr>
            <w:r w:rsidRPr="00093C91">
              <w:t>1 679</w:t>
            </w:r>
          </w:p>
        </w:tc>
        <w:tc>
          <w:tcPr>
            <w:tcW w:w="1712" w:type="dxa"/>
          </w:tcPr>
          <w:p w:rsidR="00B83AF6" w:rsidRPr="00093C91" w:rsidRDefault="00B83AF6" w:rsidP="00B83AF6">
            <w:pPr>
              <w:pStyle w:val="BoxNewPara"/>
              <w:numPr>
                <w:ilvl w:val="0"/>
                <w:numId w:val="0"/>
              </w:numPr>
            </w:pPr>
            <w:r w:rsidRPr="00093C91">
              <w:t>1 768</w:t>
            </w:r>
          </w:p>
        </w:tc>
        <w:tc>
          <w:tcPr>
            <w:tcW w:w="1712" w:type="dxa"/>
          </w:tcPr>
          <w:p w:rsidR="00B83AF6" w:rsidRPr="00093C91" w:rsidRDefault="00B83AF6" w:rsidP="00B83AF6">
            <w:pPr>
              <w:pStyle w:val="BoxNewPara"/>
              <w:numPr>
                <w:ilvl w:val="0"/>
                <w:numId w:val="0"/>
              </w:numPr>
            </w:pPr>
            <w:r w:rsidRPr="00093C91">
              <w:t>1 862</w:t>
            </w:r>
          </w:p>
        </w:tc>
      </w:tr>
      <w:tr w:rsidR="000E0955" w:rsidRPr="00093C91" w:rsidTr="000E0955">
        <w:tc>
          <w:tcPr>
            <w:tcW w:w="1722" w:type="dxa"/>
          </w:tcPr>
          <w:p w:rsidR="00B83AF6" w:rsidRPr="00093C91" w:rsidRDefault="00B83AF6" w:rsidP="00B83AF6">
            <w:pPr>
              <w:pStyle w:val="BoxNewPara"/>
              <w:numPr>
                <w:ilvl w:val="0"/>
                <w:numId w:val="0"/>
              </w:numPr>
            </w:pPr>
            <w:r w:rsidRPr="00093C91">
              <w:t>JK</w:t>
            </w:r>
          </w:p>
        </w:tc>
        <w:tc>
          <w:tcPr>
            <w:tcW w:w="1710" w:type="dxa"/>
          </w:tcPr>
          <w:p w:rsidR="00B83AF6" w:rsidRPr="00093C91" w:rsidRDefault="00B83AF6" w:rsidP="00B83AF6">
            <w:pPr>
              <w:pStyle w:val="BoxNewPara"/>
              <w:numPr>
                <w:ilvl w:val="0"/>
                <w:numId w:val="0"/>
              </w:numPr>
            </w:pPr>
            <w:r w:rsidRPr="00093C91">
              <w:t>1 423</w:t>
            </w:r>
          </w:p>
        </w:tc>
        <w:tc>
          <w:tcPr>
            <w:tcW w:w="1711" w:type="dxa"/>
          </w:tcPr>
          <w:p w:rsidR="00B83AF6" w:rsidRPr="00093C91" w:rsidRDefault="00B83AF6" w:rsidP="00B83AF6">
            <w:pPr>
              <w:pStyle w:val="BoxNewPara"/>
              <w:numPr>
                <w:ilvl w:val="0"/>
                <w:numId w:val="0"/>
              </w:numPr>
            </w:pPr>
            <w:r w:rsidRPr="00093C91">
              <w:t>1 505</w:t>
            </w:r>
          </w:p>
        </w:tc>
        <w:tc>
          <w:tcPr>
            <w:tcW w:w="1712" w:type="dxa"/>
          </w:tcPr>
          <w:p w:rsidR="00B83AF6" w:rsidRPr="00093C91" w:rsidRDefault="00B83AF6" w:rsidP="00B83AF6">
            <w:pPr>
              <w:pStyle w:val="BoxNewPara"/>
              <w:numPr>
                <w:ilvl w:val="0"/>
                <w:numId w:val="0"/>
              </w:numPr>
            </w:pPr>
            <w:r w:rsidRPr="00093C91">
              <w:t>1 592</w:t>
            </w:r>
          </w:p>
        </w:tc>
        <w:tc>
          <w:tcPr>
            <w:tcW w:w="1712" w:type="dxa"/>
          </w:tcPr>
          <w:p w:rsidR="00B83AF6" w:rsidRPr="00093C91" w:rsidRDefault="00B83AF6" w:rsidP="00B83AF6">
            <w:pPr>
              <w:pStyle w:val="BoxNewPara"/>
              <w:numPr>
                <w:ilvl w:val="0"/>
                <w:numId w:val="0"/>
              </w:numPr>
            </w:pPr>
            <w:r w:rsidRPr="00093C91">
              <w:t>1 684</w:t>
            </w:r>
          </w:p>
        </w:tc>
      </w:tr>
      <w:tr w:rsidR="000E0955" w:rsidRPr="00093C91" w:rsidTr="000E0955">
        <w:tc>
          <w:tcPr>
            <w:tcW w:w="1722" w:type="dxa"/>
          </w:tcPr>
          <w:p w:rsidR="00B83AF6" w:rsidRPr="00093C91" w:rsidRDefault="00B83AF6" w:rsidP="00B83AF6">
            <w:pPr>
              <w:pStyle w:val="BoxNewPara"/>
              <w:numPr>
                <w:ilvl w:val="0"/>
                <w:numId w:val="0"/>
              </w:numPr>
            </w:pPr>
            <w:r w:rsidRPr="00093C91">
              <w:t>Y</w:t>
            </w:r>
          </w:p>
        </w:tc>
        <w:tc>
          <w:tcPr>
            <w:tcW w:w="1710" w:type="dxa"/>
          </w:tcPr>
          <w:p w:rsidR="00B83AF6" w:rsidRPr="00093C91" w:rsidRDefault="00B83AF6" w:rsidP="00B83AF6">
            <w:pPr>
              <w:pStyle w:val="BoxNewPara"/>
              <w:numPr>
                <w:ilvl w:val="0"/>
                <w:numId w:val="0"/>
              </w:numPr>
            </w:pPr>
            <w:r w:rsidRPr="00093C91">
              <w:t>1 271</w:t>
            </w:r>
          </w:p>
        </w:tc>
        <w:tc>
          <w:tcPr>
            <w:tcW w:w="1711" w:type="dxa"/>
          </w:tcPr>
          <w:p w:rsidR="00B83AF6" w:rsidRPr="00093C91" w:rsidRDefault="00B83AF6" w:rsidP="00B83AF6">
            <w:pPr>
              <w:pStyle w:val="BoxNewPara"/>
              <w:numPr>
                <w:ilvl w:val="0"/>
                <w:numId w:val="0"/>
              </w:numPr>
            </w:pPr>
            <w:r w:rsidRPr="00093C91">
              <w:t>1 358</w:t>
            </w:r>
          </w:p>
        </w:tc>
        <w:tc>
          <w:tcPr>
            <w:tcW w:w="1712" w:type="dxa"/>
          </w:tcPr>
          <w:p w:rsidR="00B83AF6" w:rsidRPr="00093C91" w:rsidRDefault="00B83AF6" w:rsidP="00B83AF6">
            <w:pPr>
              <w:pStyle w:val="BoxNewPara"/>
              <w:numPr>
                <w:ilvl w:val="0"/>
                <w:numId w:val="0"/>
              </w:numPr>
            </w:pPr>
            <w:r w:rsidRPr="00093C91">
              <w:t>1 452</w:t>
            </w:r>
          </w:p>
        </w:tc>
        <w:tc>
          <w:tcPr>
            <w:tcW w:w="1712" w:type="dxa"/>
          </w:tcPr>
          <w:p w:rsidR="00B83AF6" w:rsidRPr="00093C91" w:rsidRDefault="00B83AF6" w:rsidP="00B83AF6">
            <w:pPr>
              <w:pStyle w:val="BoxNewPara"/>
              <w:numPr>
                <w:ilvl w:val="0"/>
                <w:numId w:val="0"/>
              </w:numPr>
            </w:pPr>
            <w:r w:rsidRPr="00093C91">
              <w:t>1 551</w:t>
            </w:r>
          </w:p>
        </w:tc>
      </w:tr>
    </w:tbl>
    <w:p w:rsidR="000E0955" w:rsidRPr="00093C91" w:rsidRDefault="000E0955" w:rsidP="000E0955">
      <w:pPr>
        <w:pStyle w:val="BoxNewPara"/>
      </w:pPr>
      <w:r w:rsidRPr="00093C91">
        <w:t>Los precios del bonote, en dólares EE.UU. por tonelada, fueron proporcionados por el delegado de Sri Lanka:</w:t>
      </w:r>
    </w:p>
    <w:p w:rsidR="000E0955" w:rsidRPr="00093C91" w:rsidRDefault="000E0955" w:rsidP="000E0955">
      <w:pPr>
        <w:pStyle w:val="BoxNewPara"/>
        <w:numPr>
          <w:ilvl w:val="0"/>
          <w:numId w:val="0"/>
        </w:numPr>
        <w:ind w:left="720"/>
      </w:pPr>
    </w:p>
    <w:tbl>
      <w:tblPr>
        <w:tblStyle w:val="TableGrid"/>
        <w:tblW w:w="0" w:type="auto"/>
        <w:tblInd w:w="720" w:type="dxa"/>
        <w:tblLook w:val="04A0" w:firstRow="1" w:lastRow="0" w:firstColumn="1" w:lastColumn="0" w:noHBand="0" w:noVBand="1"/>
      </w:tblPr>
      <w:tblGrid>
        <w:gridCol w:w="1798"/>
        <w:gridCol w:w="1701"/>
        <w:gridCol w:w="1559"/>
        <w:gridCol w:w="1418"/>
        <w:gridCol w:w="1134"/>
        <w:gridCol w:w="957"/>
      </w:tblGrid>
      <w:tr w:rsidR="00F63B0E" w:rsidRPr="00093C91" w:rsidTr="00F63B0E">
        <w:tc>
          <w:tcPr>
            <w:tcW w:w="1798" w:type="dxa"/>
          </w:tcPr>
          <w:p w:rsidR="00F63B0E" w:rsidRPr="00093C91" w:rsidRDefault="00F63B0E" w:rsidP="000E0955">
            <w:pPr>
              <w:pStyle w:val="BoxNewPara"/>
              <w:numPr>
                <w:ilvl w:val="0"/>
                <w:numId w:val="0"/>
              </w:numPr>
            </w:pPr>
            <w:r w:rsidRPr="00093C91">
              <w:t xml:space="preserve">Año </w:t>
            </w:r>
          </w:p>
        </w:tc>
        <w:tc>
          <w:tcPr>
            <w:tcW w:w="1701" w:type="dxa"/>
          </w:tcPr>
          <w:p w:rsidR="00F63B0E" w:rsidRPr="00093C91" w:rsidRDefault="00F63B0E" w:rsidP="00B958C0">
            <w:pPr>
              <w:pStyle w:val="BoxNewPara"/>
              <w:numPr>
                <w:ilvl w:val="0"/>
                <w:numId w:val="0"/>
              </w:numPr>
            </w:pPr>
            <w:r w:rsidRPr="00093C91">
              <w:t>Fibra de colchón</w:t>
            </w:r>
          </w:p>
        </w:tc>
        <w:tc>
          <w:tcPr>
            <w:tcW w:w="1559" w:type="dxa"/>
          </w:tcPr>
          <w:p w:rsidR="00F63B0E" w:rsidRPr="00093C91" w:rsidRDefault="00F63B0E" w:rsidP="00B958C0">
            <w:pPr>
              <w:pStyle w:val="BoxNewPara"/>
              <w:numPr>
                <w:ilvl w:val="0"/>
                <w:numId w:val="0"/>
              </w:numPr>
            </w:pPr>
            <w:r w:rsidRPr="00093C91">
              <w:t>Fibra de cerdas</w:t>
            </w:r>
          </w:p>
        </w:tc>
        <w:tc>
          <w:tcPr>
            <w:tcW w:w="1418" w:type="dxa"/>
          </w:tcPr>
          <w:p w:rsidR="00F63B0E" w:rsidRPr="00093C91" w:rsidRDefault="00F63B0E" w:rsidP="00B958C0">
            <w:pPr>
              <w:pStyle w:val="BoxNewPara"/>
              <w:numPr>
                <w:ilvl w:val="0"/>
                <w:numId w:val="0"/>
              </w:numPr>
            </w:pPr>
            <w:r w:rsidRPr="00093C91">
              <w:t>Hilo de bonote</w:t>
            </w:r>
          </w:p>
        </w:tc>
        <w:tc>
          <w:tcPr>
            <w:tcW w:w="1134" w:type="dxa"/>
          </w:tcPr>
          <w:p w:rsidR="00F63B0E" w:rsidRPr="00093C91" w:rsidRDefault="00F63B0E" w:rsidP="00B958C0">
            <w:pPr>
              <w:pStyle w:val="BoxNewPara"/>
              <w:numPr>
                <w:ilvl w:val="0"/>
                <w:numId w:val="0"/>
              </w:numPr>
            </w:pPr>
            <w:r w:rsidRPr="00093C91">
              <w:t>Bramante</w:t>
            </w:r>
          </w:p>
        </w:tc>
        <w:tc>
          <w:tcPr>
            <w:tcW w:w="957" w:type="dxa"/>
          </w:tcPr>
          <w:p w:rsidR="00F63B0E" w:rsidRPr="00093C91" w:rsidRDefault="00F63B0E" w:rsidP="00B958C0">
            <w:pPr>
              <w:pStyle w:val="BoxNewPara"/>
              <w:numPr>
                <w:ilvl w:val="0"/>
                <w:numId w:val="0"/>
              </w:numPr>
            </w:pPr>
            <w:r w:rsidRPr="00093C91">
              <w:t>Médula</w:t>
            </w:r>
          </w:p>
        </w:tc>
      </w:tr>
      <w:tr w:rsidR="00F63B0E" w:rsidRPr="00093C91" w:rsidTr="00F63B0E">
        <w:tc>
          <w:tcPr>
            <w:tcW w:w="1798" w:type="dxa"/>
          </w:tcPr>
          <w:p w:rsidR="00F63B0E" w:rsidRPr="00093C91" w:rsidRDefault="00F63B0E" w:rsidP="00B958C0">
            <w:pPr>
              <w:pStyle w:val="BoxNewPara"/>
              <w:numPr>
                <w:ilvl w:val="0"/>
                <w:numId w:val="0"/>
              </w:numPr>
            </w:pPr>
            <w:r w:rsidRPr="00093C91">
              <w:t>2014</w:t>
            </w:r>
          </w:p>
        </w:tc>
        <w:tc>
          <w:tcPr>
            <w:tcW w:w="1701" w:type="dxa"/>
          </w:tcPr>
          <w:p w:rsidR="00F63B0E" w:rsidRPr="00093C91" w:rsidRDefault="00F63B0E" w:rsidP="00B958C0">
            <w:pPr>
              <w:pStyle w:val="BoxNewPara"/>
              <w:numPr>
                <w:ilvl w:val="0"/>
                <w:numId w:val="0"/>
              </w:numPr>
            </w:pPr>
            <w:r w:rsidRPr="00093C91">
              <w:t>383</w:t>
            </w:r>
          </w:p>
        </w:tc>
        <w:tc>
          <w:tcPr>
            <w:tcW w:w="1559" w:type="dxa"/>
          </w:tcPr>
          <w:p w:rsidR="00F63B0E" w:rsidRPr="00093C91" w:rsidRDefault="00F63B0E" w:rsidP="00B958C0">
            <w:pPr>
              <w:pStyle w:val="BoxNewPara"/>
              <w:numPr>
                <w:ilvl w:val="0"/>
                <w:numId w:val="0"/>
              </w:numPr>
            </w:pPr>
            <w:r w:rsidRPr="00093C91">
              <w:t>401</w:t>
            </w:r>
          </w:p>
        </w:tc>
        <w:tc>
          <w:tcPr>
            <w:tcW w:w="1418" w:type="dxa"/>
          </w:tcPr>
          <w:p w:rsidR="00F63B0E" w:rsidRPr="00093C91" w:rsidRDefault="00F63B0E" w:rsidP="00B958C0">
            <w:pPr>
              <w:pStyle w:val="BoxNewPara"/>
              <w:numPr>
                <w:ilvl w:val="0"/>
                <w:numId w:val="0"/>
              </w:numPr>
            </w:pPr>
            <w:r w:rsidRPr="00093C91">
              <w:t>782</w:t>
            </w:r>
          </w:p>
        </w:tc>
        <w:tc>
          <w:tcPr>
            <w:tcW w:w="1134" w:type="dxa"/>
          </w:tcPr>
          <w:p w:rsidR="00F63B0E" w:rsidRPr="00093C91" w:rsidRDefault="00F63B0E" w:rsidP="00B958C0">
            <w:pPr>
              <w:pStyle w:val="BoxNewPara"/>
              <w:numPr>
                <w:ilvl w:val="0"/>
                <w:numId w:val="0"/>
              </w:numPr>
            </w:pPr>
            <w:r w:rsidRPr="00093C91">
              <w:t>707</w:t>
            </w:r>
          </w:p>
        </w:tc>
        <w:tc>
          <w:tcPr>
            <w:tcW w:w="957" w:type="dxa"/>
          </w:tcPr>
          <w:p w:rsidR="00F63B0E" w:rsidRPr="00093C91" w:rsidRDefault="00F63B0E" w:rsidP="00B958C0">
            <w:pPr>
              <w:pStyle w:val="BoxNewPara"/>
              <w:numPr>
                <w:ilvl w:val="0"/>
                <w:numId w:val="0"/>
              </w:numPr>
            </w:pPr>
            <w:r w:rsidRPr="00093C91">
              <w:t>318</w:t>
            </w:r>
          </w:p>
        </w:tc>
      </w:tr>
      <w:tr w:rsidR="00F63B0E" w:rsidRPr="00093C91" w:rsidTr="00F63B0E">
        <w:tc>
          <w:tcPr>
            <w:tcW w:w="1798" w:type="dxa"/>
          </w:tcPr>
          <w:p w:rsidR="00F63B0E" w:rsidRPr="00093C91" w:rsidRDefault="00F63B0E" w:rsidP="00B958C0">
            <w:pPr>
              <w:pStyle w:val="BoxNewPara"/>
              <w:numPr>
                <w:ilvl w:val="0"/>
                <w:numId w:val="0"/>
              </w:numPr>
            </w:pPr>
            <w:r w:rsidRPr="00093C91">
              <w:t>2015 (hasta marzo)</w:t>
            </w:r>
          </w:p>
        </w:tc>
        <w:tc>
          <w:tcPr>
            <w:tcW w:w="1701" w:type="dxa"/>
          </w:tcPr>
          <w:p w:rsidR="00F63B0E" w:rsidRPr="00093C91" w:rsidRDefault="00F63B0E" w:rsidP="00B958C0">
            <w:pPr>
              <w:pStyle w:val="BoxNewPara"/>
              <w:numPr>
                <w:ilvl w:val="0"/>
                <w:numId w:val="0"/>
              </w:numPr>
            </w:pPr>
            <w:r w:rsidRPr="00093C91">
              <w:t>365</w:t>
            </w:r>
          </w:p>
        </w:tc>
        <w:tc>
          <w:tcPr>
            <w:tcW w:w="1559" w:type="dxa"/>
          </w:tcPr>
          <w:p w:rsidR="00F63B0E" w:rsidRPr="00093C91" w:rsidRDefault="00F63B0E" w:rsidP="00B958C0">
            <w:pPr>
              <w:pStyle w:val="BoxNewPara"/>
              <w:numPr>
                <w:ilvl w:val="0"/>
                <w:numId w:val="0"/>
              </w:numPr>
            </w:pPr>
            <w:r w:rsidRPr="00093C91">
              <w:t>510</w:t>
            </w:r>
          </w:p>
        </w:tc>
        <w:tc>
          <w:tcPr>
            <w:tcW w:w="1418" w:type="dxa"/>
          </w:tcPr>
          <w:p w:rsidR="00F63B0E" w:rsidRPr="00093C91" w:rsidRDefault="00F63B0E" w:rsidP="00B958C0">
            <w:pPr>
              <w:pStyle w:val="BoxNewPara"/>
              <w:numPr>
                <w:ilvl w:val="0"/>
                <w:numId w:val="0"/>
              </w:numPr>
            </w:pPr>
            <w:r w:rsidRPr="00093C91">
              <w:t>715</w:t>
            </w:r>
          </w:p>
        </w:tc>
        <w:tc>
          <w:tcPr>
            <w:tcW w:w="1134" w:type="dxa"/>
          </w:tcPr>
          <w:p w:rsidR="00F63B0E" w:rsidRPr="00093C91" w:rsidRDefault="00F63B0E" w:rsidP="00B958C0">
            <w:pPr>
              <w:pStyle w:val="BoxNewPara"/>
              <w:numPr>
                <w:ilvl w:val="0"/>
                <w:numId w:val="0"/>
              </w:numPr>
            </w:pPr>
            <w:r w:rsidRPr="00093C91">
              <w:t>1 104</w:t>
            </w:r>
          </w:p>
        </w:tc>
        <w:tc>
          <w:tcPr>
            <w:tcW w:w="957" w:type="dxa"/>
          </w:tcPr>
          <w:p w:rsidR="00F63B0E" w:rsidRPr="00093C91" w:rsidRDefault="00F63B0E" w:rsidP="00B958C0">
            <w:pPr>
              <w:pStyle w:val="BoxNewPara"/>
              <w:numPr>
                <w:ilvl w:val="0"/>
                <w:numId w:val="0"/>
              </w:numPr>
            </w:pPr>
            <w:r w:rsidRPr="00093C91">
              <w:t>274</w:t>
            </w:r>
          </w:p>
        </w:tc>
      </w:tr>
    </w:tbl>
    <w:p w:rsidR="0079532D" w:rsidRPr="00093C91" w:rsidRDefault="0079532D" w:rsidP="0079532D">
      <w:pPr>
        <w:pStyle w:val="Heading2"/>
        <w:spacing w:after="200"/>
      </w:pPr>
      <w:r w:rsidRPr="00093C91">
        <w:t>INFORME SOBRE ACTIVIDADES SUBSIDIARIAS</w:t>
      </w:r>
    </w:p>
    <w:p w:rsidR="0079532D" w:rsidRPr="00093C91" w:rsidRDefault="0079532D" w:rsidP="0079532D">
      <w:pPr>
        <w:pStyle w:val="Quote"/>
        <w:numPr>
          <w:ilvl w:val="0"/>
          <w:numId w:val="4"/>
        </w:numPr>
        <w:rPr>
          <w:color w:val="auto"/>
        </w:rPr>
      </w:pPr>
      <w:r w:rsidRPr="00093C91">
        <w:rPr>
          <w:color w:val="auto"/>
        </w:rPr>
        <w:t>Informe de la 19.ª reunión del Subgrupo de Países Productores de Sisal y Henequén</w:t>
      </w:r>
    </w:p>
    <w:p w:rsidR="0079532D" w:rsidRPr="00093C91" w:rsidRDefault="0079532D" w:rsidP="0079532D">
      <w:pPr>
        <w:pStyle w:val="BoxNewPara"/>
        <w:ind w:left="0" w:firstLine="0"/>
      </w:pPr>
      <w:r w:rsidRPr="00093C91">
        <w:t>El informe del Subgrupo de Países Productores de Sisal y Henequén se presentó a la reunión conjunta, que lo aprobó, y se adjunta en el Anexo 1.</w:t>
      </w:r>
    </w:p>
    <w:p w:rsidR="0079532D" w:rsidRPr="00093C91" w:rsidRDefault="0079532D" w:rsidP="0079532D">
      <w:pPr>
        <w:pStyle w:val="Heading2"/>
        <w:spacing w:after="200"/>
      </w:pPr>
      <w:r w:rsidRPr="00093C91">
        <w:t>EXAMEN DE LAS POLÍTICAS</w:t>
      </w:r>
    </w:p>
    <w:p w:rsidR="001B44C3" w:rsidRPr="00093C91" w:rsidRDefault="001B44C3" w:rsidP="001B44C3">
      <w:pPr>
        <w:pStyle w:val="BoxNewPara"/>
        <w:ind w:left="0" w:firstLine="0"/>
      </w:pPr>
      <w:r w:rsidRPr="00093C91">
        <w:t>La reunión conjunta examinó este tema del programa con la ayuda del documento CCP:HF/JU 15/2 y señaló que la precisión de los datos y análisis era un requisito previo para formular opciones eficaces de políticas que influyeran en las economías al abordar la mitigación de la pobreza y la mejora de la seguridad alimentaria y la malnutrición.</w:t>
      </w:r>
    </w:p>
    <w:p w:rsidR="0079532D" w:rsidRPr="00093C91" w:rsidRDefault="00A00718" w:rsidP="0079532D">
      <w:pPr>
        <w:pStyle w:val="BoxNewPara"/>
        <w:ind w:left="0" w:firstLine="0"/>
      </w:pPr>
      <w:r w:rsidRPr="00093C91">
        <w:t xml:space="preserve">La reunión conjunta señaló que en su última sesión se había pedido a la Secretaría que modificara su cuestionario anual para que incluyera una base de datos exhaustiva sobre los obstáculos arancelarios y de otro tipo, con objeto de mejorar la comprensión del entorno de políticas que influye en el comercio internacional. No obstante, la reunión conjunta observó que la tasa de respuesta al cuestionario fue extraordinariamente baja, incluso después de que la Secretaría se hubiera interesado directamente ante los miembros de los grupos. Asimismo, varios delegados mencionaron las dificultades para obtener información de propiedad del sector privado. Para subsanar esta situación y mejorar la tasa de respuesta, la reunión conjunta sugirió que la Secretaría remitiera también copias del cuestionario a los representantes de las instituciones que suelen asistir a la reunión conjunta. </w:t>
      </w:r>
    </w:p>
    <w:p w:rsidR="0079532D" w:rsidRPr="00093C91" w:rsidRDefault="0079532D" w:rsidP="0079532D">
      <w:pPr>
        <w:pStyle w:val="Heading2"/>
        <w:spacing w:after="200"/>
      </w:pPr>
      <w:r w:rsidRPr="00093C91">
        <w:t>LA CADENA DE VALOR DEL FIQUE EN COLOMBIA</w:t>
      </w:r>
    </w:p>
    <w:p w:rsidR="0079532D" w:rsidRPr="00093C91" w:rsidRDefault="00193844" w:rsidP="0079532D">
      <w:pPr>
        <w:pStyle w:val="BoxNewPara"/>
        <w:ind w:left="0" w:firstLine="0"/>
      </w:pPr>
      <w:r w:rsidRPr="00093C91">
        <w:t>En su calidad de delegada de Colombia, la Presidenta presentó el análisis de la cadena de valor del fique en Colombia. La reunión conjunta observó con interés las novedades que se habían producido a este respecto y sugirió los ámbitos en los que se podría mejorar.</w:t>
      </w:r>
    </w:p>
    <w:p w:rsidR="000D7D3B" w:rsidRPr="00093C91" w:rsidRDefault="000D7D3B" w:rsidP="000D7D3B">
      <w:pPr>
        <w:pStyle w:val="BoxNewPara"/>
        <w:ind w:left="0" w:firstLine="0"/>
      </w:pPr>
      <w:r w:rsidRPr="00093C91">
        <w:t xml:space="preserve">El sisal es una planta de la familia de las </w:t>
      </w:r>
      <w:proofErr w:type="spellStart"/>
      <w:r w:rsidRPr="00093C91">
        <w:t>Agavaceas</w:t>
      </w:r>
      <w:proofErr w:type="spellEnd"/>
      <w:r w:rsidRPr="00093C91">
        <w:t xml:space="preserve">, del género </w:t>
      </w:r>
      <w:proofErr w:type="spellStart"/>
      <w:r w:rsidRPr="00093C91">
        <w:rPr>
          <w:i/>
        </w:rPr>
        <w:t>Furcraea</w:t>
      </w:r>
      <w:proofErr w:type="spellEnd"/>
      <w:r w:rsidRPr="00093C91">
        <w:t>, originaria de Colombia, que crece en terrenos entre 0 y 3 000 metros sobre el nivel del mar.</w:t>
      </w:r>
      <w:r w:rsidR="00093C91">
        <w:t xml:space="preserve"> </w:t>
      </w:r>
      <w:r w:rsidRPr="00093C91">
        <w:t xml:space="preserve">Es una planta de </w:t>
      </w:r>
      <w:r w:rsidRPr="00093C91">
        <w:lastRenderedPageBreak/>
        <w:t>floración tardía clasificada como una fibra dura.</w:t>
      </w:r>
      <w:r w:rsidR="00093C91">
        <w:t xml:space="preserve"> </w:t>
      </w:r>
      <w:r w:rsidRPr="00093C91">
        <w:t>Los principales departamentos productores son</w:t>
      </w:r>
      <w:r w:rsidR="00093C91" w:rsidRPr="00093C91">
        <w:t>: Antioquía</w:t>
      </w:r>
      <w:r w:rsidRPr="00093C91">
        <w:t>, Cauca, Nariño y Santander, que representan el 80 % de la producción nacional.</w:t>
      </w:r>
      <w:r w:rsidR="00093C91">
        <w:t xml:space="preserve"> </w:t>
      </w:r>
      <w:r w:rsidRPr="00093C91">
        <w:t>En Colombia hay una superficie plantada de 20 000 hectáreas y se producen 18 000 toneladas métricas (2014). El costo de acondicionamiento por hectárea es de 2 300 USD y el valor de la producción por tonelada es de 700 USD (2014).</w:t>
      </w:r>
      <w:r w:rsidR="00093C91">
        <w:t xml:space="preserve"> </w:t>
      </w:r>
      <w:r w:rsidRPr="00093C91">
        <w:t xml:space="preserve">La fibra de sisal se utiliza para fabricar envoltorios, bramante, </w:t>
      </w:r>
      <w:proofErr w:type="spellStart"/>
      <w:r w:rsidRPr="00093C91">
        <w:t>geomantas</w:t>
      </w:r>
      <w:proofErr w:type="spellEnd"/>
      <w:r w:rsidRPr="00093C91">
        <w:t>, artículos de artesanía, papel, fibra reforzada, aglomerados y aislamiento térmico.</w:t>
      </w:r>
      <w:r w:rsidR="00093C91">
        <w:t xml:space="preserve"> </w:t>
      </w:r>
      <w:r w:rsidRPr="00093C91">
        <w:t xml:space="preserve">Los productos residuales sólidos (bagazo) se transforman principalmente en fertilizantes orgánicos y piensos concentrados, y el jugo de sisal se utiliza principalmente para producir </w:t>
      </w:r>
      <w:proofErr w:type="spellStart"/>
      <w:r w:rsidRPr="00093C91">
        <w:t>sapogeninas</w:t>
      </w:r>
      <w:proofErr w:type="spellEnd"/>
      <w:r w:rsidRPr="00093C91">
        <w:t>, azúcares, alcohol y plaguicidas, entre otras cosas.</w:t>
      </w:r>
    </w:p>
    <w:p w:rsidR="0079532D" w:rsidRPr="00093C91" w:rsidRDefault="0079532D" w:rsidP="0079532D">
      <w:pPr>
        <w:pStyle w:val="Heading1"/>
        <w:spacing w:after="200"/>
      </w:pPr>
      <w:r w:rsidRPr="00093C91">
        <w:t>MEDIDAS INTERGUBERNAMENTALES</w:t>
      </w:r>
    </w:p>
    <w:p w:rsidR="0079532D" w:rsidRPr="00093C91" w:rsidRDefault="0079532D" w:rsidP="0079532D">
      <w:pPr>
        <w:pStyle w:val="Heading2"/>
        <w:spacing w:after="200"/>
      </w:pPr>
      <w:r w:rsidRPr="00093C91">
        <w:t>POSIBLES FUENTES DE FINANCIACIÓN DE PROYECTOS</w:t>
      </w:r>
    </w:p>
    <w:p w:rsidR="00935080" w:rsidRPr="00093C91" w:rsidRDefault="00D12DB4" w:rsidP="00857D15">
      <w:pPr>
        <w:pStyle w:val="BoxNewPara"/>
        <w:ind w:left="0" w:firstLine="0"/>
      </w:pPr>
      <w:r w:rsidRPr="00093C91">
        <w:t>Este tema del programa se consideró con la ayuda del documento CCP</w:t>
      </w:r>
      <w:proofErr w:type="gramStart"/>
      <w:r w:rsidRPr="00093C91">
        <w:t>:HF</w:t>
      </w:r>
      <w:proofErr w:type="gramEnd"/>
      <w:r w:rsidRPr="00093C91">
        <w:t>/JU 15/Inf.3, en el que se determinaban y compilaban los criterios en materia de concesión de préstamos de varias posibles fuentes de financiación. No obstante, se informó a la reunión conjunta de que sin propuestas de proyectos bien definidas y sólidas, no podía llevarse a cabo un análisis detallado de las posibles fuentes de financiación.</w:t>
      </w:r>
    </w:p>
    <w:p w:rsidR="00D12DB4" w:rsidRPr="00093C91" w:rsidRDefault="00D12DB4" w:rsidP="0079532D">
      <w:pPr>
        <w:pStyle w:val="BoxNewPara"/>
        <w:ind w:left="0" w:firstLine="0"/>
      </w:pPr>
      <w:r w:rsidRPr="00093C91">
        <w:t>Varios delegados mencionaron que no resultaría eficaz si la financiación solo estuviera disponible en al ámbito nacional, ya que la mayoría de los países ya estaba al corriente de ello y había obtenido la colaboración de donantes en consecuencia respecto de programas específicos de los países. Lo que se necesitaba eran fondos para proyectos que beneficiaran a los grupos en su conjunto. Se informó a la reunión conjunta de que la mayoría de las fuentes de financiación contenidas en el documento aportaba fondos específicos para cada país en lugar de hacerlo a través de agrupaciones como el Grupo Intergubernamental sobre Fibras Duras y el Grupo Intergubernamental sobre el Yute, el Kenaf y Fibras Afines. La reunión conjunta pidió a la Secretaría que siguiera trabajando en esta esfera.</w:t>
      </w:r>
    </w:p>
    <w:p w:rsidR="0079532D" w:rsidRPr="00093C91" w:rsidRDefault="0079532D" w:rsidP="0079532D">
      <w:pPr>
        <w:pStyle w:val="Heading2"/>
        <w:spacing w:after="200"/>
      </w:pPr>
      <w:r w:rsidRPr="00093C91">
        <w:t xml:space="preserve">INFORME DE LOS GRUPOS DE TRABAJO </w:t>
      </w:r>
    </w:p>
    <w:p w:rsidR="0079532D" w:rsidRPr="00093C91" w:rsidRDefault="001327A5" w:rsidP="004337E1">
      <w:pPr>
        <w:pStyle w:val="BoxNewPara"/>
        <w:ind w:left="0" w:firstLine="0"/>
      </w:pPr>
      <w:r w:rsidRPr="00093C91">
        <w:t>El observador de la INFO presentó un documento titulado "</w:t>
      </w:r>
      <w:proofErr w:type="spellStart"/>
      <w:r w:rsidRPr="00093C91">
        <w:t>Now</w:t>
      </w:r>
      <w:proofErr w:type="spellEnd"/>
      <w:r w:rsidRPr="00093C91">
        <w:t xml:space="preserve">, </w:t>
      </w:r>
      <w:proofErr w:type="spellStart"/>
      <w:r w:rsidRPr="00093C91">
        <w:t>the</w:t>
      </w:r>
      <w:proofErr w:type="spellEnd"/>
      <w:r w:rsidRPr="00093C91">
        <w:t xml:space="preserve"> time to </w:t>
      </w:r>
      <w:proofErr w:type="spellStart"/>
      <w:r w:rsidRPr="00093C91">
        <w:t>act</w:t>
      </w:r>
      <w:proofErr w:type="spellEnd"/>
      <w:r w:rsidRPr="00093C91">
        <w:t>!" (¡Ahora es el momento de actuar!), que contenía la labor realizada por los grupos de trabajo sobre políticas e investigación y desarrollo, así como las esferas de actividad que los grupos de trabajo debían emprender en el futuro. La reunión conjunta aprobó el documento y recomendó que se le diera seguimiento.</w:t>
      </w:r>
    </w:p>
    <w:p w:rsidR="0079532D" w:rsidRPr="00093C91" w:rsidRDefault="0079532D" w:rsidP="0079532D">
      <w:pPr>
        <w:pStyle w:val="Heading1"/>
        <w:spacing w:after="200"/>
      </w:pPr>
      <w:r w:rsidRPr="00093C91">
        <w:t>PROGRAMA DE TRABAJO Y PROCEDIMIENTOS OPERATIVOS</w:t>
      </w:r>
    </w:p>
    <w:p w:rsidR="0079532D" w:rsidRPr="00093C91" w:rsidRDefault="0079532D" w:rsidP="0079532D">
      <w:pPr>
        <w:pStyle w:val="Heading2"/>
        <w:spacing w:after="200"/>
      </w:pPr>
      <w:r w:rsidRPr="00093C91">
        <w:t xml:space="preserve">MANDATO Y REGLAMENTO DEL GRUPO INTERGUBERNAMENTAL SOBRE FIBRAS DURAS Y EL GRUPO INTERGUBERNAMENTAL SOBRE EL YUTE, EL KENAF Y FIBRAS AFINES Y PERTINENCIA DE LOS MISMOS RESPECTO DEL MARCO DE OBJETIVOS ESTRATÉGICOS DE LA FAO </w:t>
      </w:r>
    </w:p>
    <w:p w:rsidR="00BF1A76" w:rsidRPr="00093C91" w:rsidRDefault="00BF1A76" w:rsidP="00BF1A76">
      <w:pPr>
        <w:pStyle w:val="BoxNewPara"/>
        <w:ind w:left="0" w:firstLine="0"/>
      </w:pPr>
      <w:r w:rsidRPr="00093C91">
        <w:t>La reunión conjunta tomó nota de que la aplicación de los objetivos estratégicos (OE) de la FAO para el siguiente bienio (2016-17) comenzaría el 1 de enero de 2016.</w:t>
      </w:r>
      <w:r w:rsidR="00093C91">
        <w:t xml:space="preserve"> </w:t>
      </w:r>
      <w:r w:rsidRPr="00093C91">
        <w:t>Esta reunión conjunta constituía una oportunidad de participar plenamente en la planificación y ejecución de los programas relativos al yute, el abacá, el bonote, el kenaf y el sisal mediante el establecimiento de prioridades respecto de las correspondientes necesidades, la fijación de metas alcanzables y la elaboración de planes de trabajo en consonancia con los OE de la Organización (documento CCP</w:t>
      </w:r>
      <w:proofErr w:type="gramStart"/>
      <w:r w:rsidRPr="00093C91">
        <w:t>:HF</w:t>
      </w:r>
      <w:proofErr w:type="gramEnd"/>
      <w:r w:rsidRPr="00093C91">
        <w:t>/JU 15/CRS </w:t>
      </w:r>
      <w:r w:rsidR="00D01355">
        <w:t xml:space="preserve">3 y </w:t>
      </w:r>
      <w:bookmarkStart w:id="4" w:name="_GoBack"/>
      <w:bookmarkEnd w:id="4"/>
      <w:r w:rsidR="00D01355">
        <w:t>4</w:t>
      </w:r>
      <w:r w:rsidRPr="00093C91">
        <w:t xml:space="preserve">). Los grupos examinaron sus mandatos con respecto a su pertinencia con miras a lograr los resultados previstos en los OE y reiteraron la necesidad de que los mandatos </w:t>
      </w:r>
      <w:r w:rsidRPr="00093C91">
        <w:lastRenderedPageBreak/>
        <w:t>(documento CCP</w:t>
      </w:r>
      <w:proofErr w:type="gramStart"/>
      <w:r w:rsidRPr="00093C91">
        <w:t>:HF</w:t>
      </w:r>
      <w:proofErr w:type="gramEnd"/>
      <w:r w:rsidRPr="00093C91">
        <w:t>/JU 00/7) fueran lo más amplios posible a fin de adaptarse a la evolución de los entornos. La reunión conjunta recomendó también que el Comité de Problemas de Productos Básicos (CCP) considerase la posibilidad de fusionar el Grupo Intergubernamental sobre Fibras Duras y el Grupo Intergubernamental sobre el Yute, el Kenaf y Fibras Afines con objeto de lograr una masa crítica, economías de escala y pertinencia política.</w:t>
      </w:r>
    </w:p>
    <w:p w:rsidR="0079532D" w:rsidRPr="00093C91" w:rsidRDefault="0079532D" w:rsidP="00BF1A76">
      <w:pPr>
        <w:pStyle w:val="Heading2"/>
        <w:spacing w:after="200"/>
      </w:pPr>
      <w:r w:rsidRPr="00093C91">
        <w:t xml:space="preserve">PLAN DE ACCIÓN INTERGUBERNAMENTAL </w:t>
      </w:r>
    </w:p>
    <w:p w:rsidR="0079532D" w:rsidRPr="00093C91" w:rsidRDefault="00A22CDD" w:rsidP="0079532D">
      <w:pPr>
        <w:pStyle w:val="BoxNewPara"/>
        <w:ind w:left="0" w:firstLine="0"/>
      </w:pPr>
      <w:r w:rsidRPr="00093C91">
        <w:t>La reunión conjunta expresó su acuerdo con las prioridades propuestas en el marco del tema IV.B del programa, concretamente la elaboración de políticas y análisis, la investigación y el desarrollo, y sistemas de desarrollo sostenible, incluidas normas y previsiones a medio plazo.</w:t>
      </w:r>
    </w:p>
    <w:p w:rsidR="0079532D" w:rsidRPr="00093C91" w:rsidRDefault="0079532D" w:rsidP="0079532D">
      <w:pPr>
        <w:pStyle w:val="Heading1"/>
        <w:spacing w:after="200"/>
      </w:pPr>
      <w:r w:rsidRPr="00093C91">
        <w:t>OTROS ASUNTOS</w:t>
      </w:r>
    </w:p>
    <w:p w:rsidR="00240A29" w:rsidRPr="00093C91" w:rsidRDefault="00240A29" w:rsidP="00240A29">
      <w:pPr>
        <w:pStyle w:val="BoxNewPara"/>
        <w:ind w:left="0" w:firstLine="0"/>
      </w:pPr>
      <w:r w:rsidRPr="00093C91">
        <w:t xml:space="preserve">No se debatieron otros asuntos. </w:t>
      </w:r>
    </w:p>
    <w:p w:rsidR="0079532D" w:rsidRPr="00093C91" w:rsidRDefault="0079532D" w:rsidP="0079532D">
      <w:pPr>
        <w:pStyle w:val="Heading2"/>
        <w:spacing w:after="200"/>
      </w:pPr>
      <w:r w:rsidRPr="00093C91">
        <w:t>ASUNTOS VARIOS</w:t>
      </w:r>
    </w:p>
    <w:p w:rsidR="0079532D" w:rsidRPr="00093C91" w:rsidRDefault="0079532D" w:rsidP="0079532D">
      <w:pPr>
        <w:pStyle w:val="Heading2"/>
        <w:spacing w:after="200"/>
      </w:pPr>
      <w:r w:rsidRPr="00093C91">
        <w:t>FECHA Y LUGAR DE LA SIGUIENTE REUNIÓN CONJUNTA DEL GRUPO INTERGUBERNAMENTAL SOBRE FIBRAS DURAS Y EL GRUPO INTERGUBERNAMENTAL SOBRE EL YUTE, EL KENAF Y FIBRAS AFINES</w:t>
      </w:r>
    </w:p>
    <w:p w:rsidR="00240A29" w:rsidRPr="00093C91" w:rsidRDefault="00240A29" w:rsidP="00240A29">
      <w:pPr>
        <w:pStyle w:val="Heading3"/>
      </w:pPr>
    </w:p>
    <w:p w:rsidR="00DC60D2" w:rsidRPr="00093C91" w:rsidRDefault="00240A29" w:rsidP="00012386">
      <w:pPr>
        <w:pStyle w:val="BoxNewPara"/>
        <w:ind w:left="0" w:firstLine="0"/>
      </w:pPr>
      <w:r w:rsidRPr="00093C91">
        <w:t>La reunión conjunta acordó que el Director General decidiera la fecha y el lugar de la siguiente reunión del Grupo Intergubernamental sobre Fibras Duras y el Grupo Intergubernamental sobre el Yute, el Kenaf y Fibras Afines en colaboración con la Presidenta.</w:t>
      </w:r>
    </w:p>
    <w:p w:rsidR="00A71F71" w:rsidRPr="00093C91" w:rsidRDefault="00A71F71">
      <w:pPr>
        <w:spacing w:line="276" w:lineRule="auto"/>
        <w:rPr>
          <w:rFonts w:eastAsia="Calibri"/>
        </w:rPr>
      </w:pPr>
      <w:r w:rsidRPr="00093C91">
        <w:br w:type="page"/>
      </w:r>
    </w:p>
    <w:p w:rsidR="00A71F71" w:rsidRPr="00093C91" w:rsidRDefault="00A71F71" w:rsidP="00A71F71">
      <w:pPr>
        <w:pStyle w:val="BoxNewPara"/>
        <w:numPr>
          <w:ilvl w:val="0"/>
          <w:numId w:val="0"/>
        </w:numPr>
        <w:ind w:left="720" w:hanging="720"/>
        <w:jc w:val="right"/>
        <w:rPr>
          <w:rStyle w:val="Strong"/>
          <w:sz w:val="28"/>
          <w:szCs w:val="28"/>
        </w:rPr>
      </w:pPr>
      <w:r w:rsidRPr="00093C91">
        <w:rPr>
          <w:rStyle w:val="Strong"/>
          <w:sz w:val="28"/>
        </w:rPr>
        <w:lastRenderedPageBreak/>
        <w:t>APÉNDICE 1</w:t>
      </w:r>
    </w:p>
    <w:p w:rsidR="00A71F71" w:rsidRPr="00093C91" w:rsidRDefault="00A71F71" w:rsidP="00A71F71">
      <w:pPr>
        <w:pStyle w:val="BoxNewPara"/>
        <w:numPr>
          <w:ilvl w:val="0"/>
          <w:numId w:val="0"/>
        </w:numPr>
        <w:ind w:left="720" w:hanging="720"/>
        <w:jc w:val="right"/>
        <w:rPr>
          <w:rStyle w:val="Strong"/>
        </w:rPr>
      </w:pPr>
    </w:p>
    <w:p w:rsidR="00A71F71" w:rsidRPr="00093C91" w:rsidRDefault="00A71F71" w:rsidP="00A71F71">
      <w:pPr>
        <w:pStyle w:val="BoxNewPara"/>
        <w:numPr>
          <w:ilvl w:val="0"/>
          <w:numId w:val="0"/>
        </w:numPr>
        <w:ind w:left="720" w:hanging="720"/>
        <w:jc w:val="center"/>
        <w:rPr>
          <w:rStyle w:val="Strong"/>
          <w:sz w:val="28"/>
          <w:szCs w:val="28"/>
        </w:rPr>
      </w:pPr>
      <w:r w:rsidRPr="00093C91">
        <w:rPr>
          <w:rStyle w:val="Strong"/>
          <w:sz w:val="28"/>
        </w:rPr>
        <w:t>INFORME DE LA 19</w:t>
      </w:r>
      <w:proofErr w:type="gramStart"/>
      <w:r w:rsidRPr="00093C91">
        <w:rPr>
          <w:rStyle w:val="Strong"/>
          <w:sz w:val="28"/>
        </w:rPr>
        <w:t>.ª</w:t>
      </w:r>
      <w:proofErr w:type="gramEnd"/>
      <w:r w:rsidRPr="00093C91">
        <w:rPr>
          <w:rStyle w:val="Strong"/>
          <w:sz w:val="28"/>
        </w:rPr>
        <w:t xml:space="preserve"> REUNIÓN DEL SUBGRUPO DE PAÍSES PRODUCTORES DE SISAL Y HENEQUÉN</w:t>
      </w:r>
    </w:p>
    <w:p w:rsidR="00A71F71" w:rsidRPr="00093C91" w:rsidRDefault="00A71F71" w:rsidP="00A71F71">
      <w:pPr>
        <w:pStyle w:val="BoxNewPara"/>
        <w:numPr>
          <w:ilvl w:val="0"/>
          <w:numId w:val="0"/>
        </w:numPr>
        <w:ind w:left="720" w:hanging="720"/>
        <w:jc w:val="center"/>
        <w:rPr>
          <w:rStyle w:val="Strong"/>
        </w:rPr>
      </w:pPr>
    </w:p>
    <w:p w:rsidR="00A71F71" w:rsidRPr="00093C91" w:rsidRDefault="00A71F71" w:rsidP="00A71F71">
      <w:pPr>
        <w:pStyle w:val="NumberedHeading"/>
      </w:pPr>
      <w:r w:rsidRPr="00093C91">
        <w:t>ELECCIÓN DEL PRESIDENTE Y EL VICEPRESIDENTE</w:t>
      </w:r>
    </w:p>
    <w:p w:rsidR="00A71F71" w:rsidRPr="00093C91" w:rsidRDefault="00A71F71" w:rsidP="00A71F71">
      <w:pPr>
        <w:pStyle w:val="NewPara"/>
        <w:numPr>
          <w:ilvl w:val="0"/>
          <w:numId w:val="20"/>
        </w:numPr>
        <w:spacing w:before="120" w:after="0"/>
      </w:pPr>
      <w:r w:rsidRPr="00093C91">
        <w:t>El Subgrupo de Países Productores de Sisal y Henequén celebró su 19</w:t>
      </w:r>
      <w:proofErr w:type="gramStart"/>
      <w:r w:rsidRPr="00093C91">
        <w:t>.ª</w:t>
      </w:r>
      <w:proofErr w:type="gramEnd"/>
      <w:r w:rsidRPr="00093C91">
        <w:t> reunión en Bogotá (Colombia) el 25 de noviembre de 2015. Asistieron a la reunión delegados del Brasil, de Colombia, de Kenya y de la República Unida de Tanzanía. También asistió un observador de la Asociación del Sisal de Londres.</w:t>
      </w:r>
    </w:p>
    <w:p w:rsidR="00A71F71" w:rsidRPr="00093C91" w:rsidRDefault="00A71F71" w:rsidP="00A71F71">
      <w:pPr>
        <w:pStyle w:val="NewPara"/>
        <w:numPr>
          <w:ilvl w:val="0"/>
          <w:numId w:val="20"/>
        </w:numPr>
        <w:spacing w:before="120" w:after="0"/>
      </w:pPr>
      <w:r w:rsidRPr="00093C91">
        <w:t>Se eligió al Sr. Salum Shamte (República Unida de Tanzanía) como Presidente y al Sr. Wilson Andrade (Brasil) como Vicepresidente.</w:t>
      </w:r>
    </w:p>
    <w:p w:rsidR="00A71F71" w:rsidRPr="00093C91" w:rsidRDefault="00A71F71" w:rsidP="00A71F71">
      <w:pPr>
        <w:pStyle w:val="NumberedHeading"/>
      </w:pPr>
      <w:r w:rsidRPr="00093C91">
        <w:t>APROBACIÓN DEL PROGRAMA PROVISIONAL</w:t>
      </w:r>
    </w:p>
    <w:p w:rsidR="00A71F71" w:rsidRPr="00093C91" w:rsidRDefault="00A71F71" w:rsidP="00A71F71">
      <w:pPr>
        <w:pStyle w:val="NewPara"/>
        <w:numPr>
          <w:ilvl w:val="0"/>
          <w:numId w:val="20"/>
        </w:numPr>
        <w:spacing w:before="120" w:after="0"/>
      </w:pPr>
      <w:r w:rsidRPr="00093C91">
        <w:t>El Subgrupo aprobó el programa provisional presentado por la Secretaría.</w:t>
      </w:r>
    </w:p>
    <w:p w:rsidR="00A71F71" w:rsidRPr="00093C91" w:rsidRDefault="00A71F71" w:rsidP="00A71F71">
      <w:pPr>
        <w:pStyle w:val="NumberedHeading"/>
      </w:pPr>
      <w:r w:rsidRPr="00093C91">
        <w:t>ASUNTOS QUE EL SUBGRUPO DEBE EXAMINAR Y PRESENTAR AL GRUPO</w:t>
      </w:r>
    </w:p>
    <w:p w:rsidR="00A71F71" w:rsidRPr="00093C91" w:rsidRDefault="00A71F71" w:rsidP="00A71F71">
      <w:pPr>
        <w:pStyle w:val="NewPara"/>
        <w:numPr>
          <w:ilvl w:val="0"/>
          <w:numId w:val="20"/>
        </w:numPr>
        <w:spacing w:before="120" w:after="0"/>
      </w:pPr>
      <w:r w:rsidRPr="00093C91">
        <w:t>Cada delegación proporcionó un examen de los últimos acontecimientos en el subsector del sisal. La Secretaría tomó nota de ellos y los incorporará en la revisión de la situación actual y las perspectivas del mercado. En concreto, el Subgrupo señaló que los precios del sisal se mantenían firmes y que se preveía un modesto crecimiento debido al aumento de la demanda, en especial en el sector de la construcción, y a la insuficiencia continuada de la oferta en el Brasil en relación con la demanda.</w:t>
      </w:r>
    </w:p>
    <w:p w:rsidR="00A71F71" w:rsidRPr="00093C91" w:rsidRDefault="00A71F71" w:rsidP="00A71F71">
      <w:pPr>
        <w:pStyle w:val="NewPara"/>
        <w:numPr>
          <w:ilvl w:val="0"/>
          <w:numId w:val="0"/>
        </w:numPr>
        <w:spacing w:before="120" w:after="0"/>
      </w:pPr>
    </w:p>
    <w:p w:rsidR="00A71F71" w:rsidRPr="00093C91" w:rsidRDefault="00A71F71" w:rsidP="00A71F71">
      <w:pPr>
        <w:pStyle w:val="NewPara"/>
        <w:numPr>
          <w:ilvl w:val="0"/>
          <w:numId w:val="20"/>
        </w:numPr>
        <w:rPr>
          <w:rFonts w:cs="Times New Roman"/>
        </w:rPr>
      </w:pPr>
      <w:r w:rsidRPr="00093C91">
        <w:t>La demanda de fibra de sisal procedente del Brasil y de África ha venido siendo superior a la producción desde la última reunión del Subgrupo, lo que ha empujado los precios hasta niveles sin precedentes. El Subgrupo convino en que el aumento continuado de los precios tendría consecuencias negativas para algunos usos finales y sería perjudicial para el sector del sisal en su conjunto.</w:t>
      </w:r>
    </w:p>
    <w:p w:rsidR="00A71F71" w:rsidRPr="00093C91" w:rsidRDefault="00A71F71" w:rsidP="00A71F71">
      <w:pPr>
        <w:pStyle w:val="NewPara"/>
        <w:numPr>
          <w:ilvl w:val="0"/>
          <w:numId w:val="20"/>
        </w:numPr>
      </w:pPr>
      <w:r w:rsidRPr="00093C91">
        <w:t> Desde mediados de 2015, la demanda de fibra de sisal procedente del Brasil principalmente por parte de China ha caído y este hecho, unido a las fluctuaciones del tipo de cambio del real respecto al dólar estadounidense, ha influido negativamente en el nivel de precios de todas las calidades del Brasil. Es difícil predecir hasta cuándo seguirá influyendo el desplome del mercado nacional chino, que ha absorbido una parte importante de las exportaciones de sisal en bruto desde el Brasil, pero los precios han bajado con respecto a los altos niveles que alcanzaron durante los seis primeros meses de 2015. </w:t>
      </w:r>
    </w:p>
    <w:p w:rsidR="00A71F71" w:rsidRPr="00093C91" w:rsidRDefault="00A71F71" w:rsidP="00A71F71">
      <w:pPr>
        <w:pStyle w:val="NewPara"/>
        <w:numPr>
          <w:ilvl w:val="0"/>
          <w:numId w:val="20"/>
        </w:numPr>
      </w:pPr>
      <w:r w:rsidRPr="00093C91">
        <w:t>El mercado africano de sisal sigue siendo firme y por el momento no es posible predecir si la reducción del precio en el Brasil podría tener repercusiones en el mercado africano. Como la fibra de cada región se utiliza para usos finales totalmente distintos, es posible que los precios en el mercado africano se mantengan en los actuales niveles elevados, si bien es probable que no aumenten mucho más.</w:t>
      </w:r>
    </w:p>
    <w:p w:rsidR="00A71F71" w:rsidRPr="00093C91" w:rsidRDefault="00A71F71" w:rsidP="00E04D15">
      <w:pPr>
        <w:pStyle w:val="NumberedHeading"/>
        <w:keepLines/>
      </w:pPr>
      <w:r w:rsidRPr="00093C91">
        <w:lastRenderedPageBreak/>
        <w:t>TENDENCIAS DE LOS PRECIOS DE LA FIBRA DE SISAL</w:t>
      </w:r>
    </w:p>
    <w:p w:rsidR="00A71F71" w:rsidRPr="00093C91" w:rsidRDefault="00A71F71" w:rsidP="00E04D15">
      <w:pPr>
        <w:pStyle w:val="NewPara"/>
        <w:keepNext/>
        <w:keepLines/>
        <w:numPr>
          <w:ilvl w:val="0"/>
          <w:numId w:val="20"/>
        </w:numPr>
        <w:spacing w:before="120" w:after="0"/>
      </w:pPr>
      <w:r w:rsidRPr="00093C91">
        <w:t>Los delegados reiteraron la importancia del Subgrupo a fin de ayudar a los países productores a llegar a una posición común con vistas al establecimiento de precios indicativos. Sin embargo, dado que la iniciativa se ha interpretado indebidamente como “pacto de fijación de precios”, el Subgrupo decidió que se reformulara como “pronóstico de las tendencias de los precios”.</w:t>
      </w:r>
    </w:p>
    <w:p w:rsidR="00A71F71" w:rsidRPr="00093C91" w:rsidRDefault="00A71F71" w:rsidP="00A71F71">
      <w:pPr>
        <w:pStyle w:val="NewPara"/>
        <w:numPr>
          <w:ilvl w:val="0"/>
          <w:numId w:val="0"/>
        </w:numPr>
        <w:spacing w:before="120" w:after="0"/>
      </w:pPr>
    </w:p>
    <w:p w:rsidR="00A71F71" w:rsidRPr="00093C91" w:rsidRDefault="00A71F71" w:rsidP="00A71F71">
      <w:pPr>
        <w:pStyle w:val="NewPara"/>
        <w:numPr>
          <w:ilvl w:val="0"/>
          <w:numId w:val="20"/>
        </w:numPr>
        <w:spacing w:before="120" w:after="0"/>
      </w:pPr>
      <w:r w:rsidRPr="00093C91">
        <w:t>El Subgrupo pronosticó las siguientes tendencias de los precios:</w:t>
      </w:r>
    </w:p>
    <w:p w:rsidR="00A71F71" w:rsidRPr="00093C91" w:rsidRDefault="00A71F71" w:rsidP="00A71F71">
      <w:pPr>
        <w:pStyle w:val="BulletList"/>
        <w:numPr>
          <w:ilvl w:val="0"/>
          <w:numId w:val="19"/>
        </w:numPr>
        <w:ind w:left="714" w:hanging="357"/>
      </w:pPr>
      <w:r w:rsidRPr="00093C91">
        <w:t>fibras de tipo 3 del Brasil, entre 1 400 USD y 1 500 USD por tonelada f.o.b. en Salvador de Bahía;</w:t>
      </w:r>
    </w:p>
    <w:p w:rsidR="00A71F71" w:rsidRPr="00093C91" w:rsidRDefault="00A71F71" w:rsidP="00A71F71">
      <w:pPr>
        <w:pStyle w:val="BulletList"/>
        <w:numPr>
          <w:ilvl w:val="0"/>
          <w:numId w:val="19"/>
        </w:numPr>
        <w:ind w:left="714" w:hanging="357"/>
      </w:pPr>
      <w:r w:rsidRPr="00093C91">
        <w:t>fibra UG del África oriental, entre 1 900 USD y 2 150 USD por tonelada f.o.b. Si bien esta es la escala de precios, algunos tipos de sisal que se venden especialmente al sector de la construcción han llegado a alcanzar los 2 300 USD por tonelada.</w:t>
      </w:r>
    </w:p>
    <w:p w:rsidR="00A71F71" w:rsidRPr="00093C91" w:rsidRDefault="00A71F71" w:rsidP="00A71F71">
      <w:pPr>
        <w:pStyle w:val="NumberedHeading"/>
      </w:pPr>
      <w:r w:rsidRPr="00093C91">
        <w:t>OTROS ASUNTOS, CON INCLUSIÓN DE LA FECHA Y EL LUGAR DE LA PRÓXIMA REUNIÓN</w:t>
      </w:r>
    </w:p>
    <w:p w:rsidR="00A71F71" w:rsidRPr="00093C91" w:rsidRDefault="00A71F71" w:rsidP="00A71F71">
      <w:pPr>
        <w:pStyle w:val="NewPara"/>
        <w:numPr>
          <w:ilvl w:val="0"/>
          <w:numId w:val="20"/>
        </w:numPr>
        <w:spacing w:before="120" w:after="0" w:line="276" w:lineRule="auto"/>
      </w:pPr>
      <w:r w:rsidRPr="00093C91">
        <w:t>El Subgrupo recomendó que su 20</w:t>
      </w:r>
      <w:proofErr w:type="gramStart"/>
      <w:r w:rsidRPr="00093C91">
        <w:t>.ª</w:t>
      </w:r>
      <w:proofErr w:type="gramEnd"/>
      <w:r w:rsidRPr="00093C91">
        <w:t> reunión se celebrase en el mismo lugar que la 39.ª reunión del Grupo Intergubernamental sobre Fibras Duras e inmediatamente antes de esta, posiblemente en 2017.</w:t>
      </w:r>
    </w:p>
    <w:p w:rsidR="00A71F71" w:rsidRPr="00093C91" w:rsidRDefault="00A71F71" w:rsidP="00A71F71">
      <w:pPr>
        <w:pStyle w:val="BoxNewPara"/>
        <w:numPr>
          <w:ilvl w:val="0"/>
          <w:numId w:val="0"/>
        </w:numPr>
        <w:ind w:left="720" w:hanging="720"/>
        <w:rPr>
          <w:rStyle w:val="Strong"/>
          <w:b w:val="0"/>
        </w:rPr>
      </w:pPr>
    </w:p>
    <w:sectPr w:rsidR="00A71F71" w:rsidRPr="00093C91" w:rsidSect="00012386">
      <w:headerReference w:type="even" r:id="rId9"/>
      <w:headerReference w:type="default" r:id="rId10"/>
      <w:headerReference w:type="first" r:id="rId11"/>
      <w:footerReference w:type="first" r:id="rId12"/>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89" w:rsidRDefault="00DF3789">
      <w:pPr>
        <w:spacing w:after="0"/>
      </w:pPr>
      <w:r>
        <w:separator/>
      </w:r>
    </w:p>
  </w:endnote>
  <w:endnote w:type="continuationSeparator" w:id="0">
    <w:p w:rsidR="00DF3789" w:rsidRDefault="00DF37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panose1 w:val="00000000000000000000"/>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0C" w:rsidRPr="009C0B0C" w:rsidRDefault="00012386" w:rsidP="003F76E2">
    <w:bookmarkStart w:id="11" w:name="FooterInformationBookmark"/>
    <w:r>
      <w:t xml:space="preserve"> </w:t>
    </w:r>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89" w:rsidRDefault="00DF3789">
      <w:pPr>
        <w:spacing w:after="0"/>
      </w:pPr>
      <w:r>
        <w:separator/>
      </w:r>
    </w:p>
  </w:footnote>
  <w:footnote w:type="continuationSeparator" w:id="0">
    <w:p w:rsidR="00DF3789" w:rsidRDefault="00DF37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BA673D" w:rsidP="001A0BFF">
    <w:pPr>
      <w:pStyle w:val="Underlined"/>
    </w:pPr>
    <w:r>
      <w:fldChar w:fldCharType="begin"/>
    </w:r>
    <w:r w:rsidR="00012386">
      <w:instrText xml:space="preserve"> PAGE  \* Arabic  \* MERGEFORMAT </w:instrText>
    </w:r>
    <w:r>
      <w:fldChar w:fldCharType="separate"/>
    </w:r>
    <w:r w:rsidR="00D01355">
      <w:rPr>
        <w:noProof/>
      </w:rPr>
      <w:t>4</w:t>
    </w:r>
    <w:r>
      <w:rPr>
        <w:noProof/>
      </w:rPr>
      <w:fldChar w:fldCharType="end"/>
    </w:r>
    <w:r>
      <w:ptab w:relativeTo="margin" w:alignment="right" w:leader="none"/>
    </w:r>
    <w:r>
      <w:t xml:space="preserve"> </w:t>
    </w:r>
    <w:bookmarkStart w:id="5" w:name="EvenIdentificationBookmark"/>
    <w:r>
      <w:t>CCP:HF/JU 15/Informe</w:t>
    </w:r>
    <w:bookmarkEnd w:id="5"/>
  </w:p>
  <w:p w:rsidR="003F76E2" w:rsidRPr="00502C1C" w:rsidRDefault="00D01355" w:rsidP="00502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2F38B1" w:rsidP="001A0BFF">
    <w:pPr>
      <w:pStyle w:val="Underlined"/>
    </w:pPr>
    <w:bookmarkStart w:id="6" w:name="OddIdentificationBookmark"/>
    <w:r>
      <w:t>CCP:HF/JU 15/Informe</w:t>
    </w:r>
    <w:bookmarkEnd w:id="6"/>
    <w:r>
      <w:ptab w:relativeTo="margin" w:alignment="right" w:leader="none"/>
    </w:r>
    <w:r w:rsidR="00BA673D">
      <w:fldChar w:fldCharType="begin"/>
    </w:r>
    <w:r w:rsidR="00012386">
      <w:instrText xml:space="preserve"> PAGE  \* Arabic  \* MERGEFORMAT </w:instrText>
    </w:r>
    <w:r w:rsidR="00BA673D">
      <w:fldChar w:fldCharType="separate"/>
    </w:r>
    <w:r w:rsidR="00D01355">
      <w:rPr>
        <w:noProof/>
      </w:rPr>
      <w:t>5</w:t>
    </w:r>
    <w:r w:rsidR="00BA673D">
      <w:rPr>
        <w:noProof/>
      </w:rPr>
      <w:fldChar w:fldCharType="end"/>
    </w:r>
  </w:p>
  <w:p w:rsidR="001A0BFF" w:rsidRPr="00502C1C" w:rsidRDefault="00D01355" w:rsidP="00502C1C">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E" w:rsidRPr="00734C44" w:rsidRDefault="00012386" w:rsidP="00734C44">
    <w:pPr>
      <w:pStyle w:val="LanguageSymbol"/>
      <w:framePr w:wrap="around"/>
    </w:pPr>
    <w:bookmarkStart w:id="7" w:name="LanguageSymbolBookmark"/>
    <w:r>
      <w:t>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rsidTr="001918B1">
      <w:trPr>
        <w:jc w:val="center"/>
      </w:trPr>
      <w:tc>
        <w:tcPr>
          <w:tcW w:w="2500" w:type="pct"/>
          <w:noWrap/>
          <w:tcMar>
            <w:left w:w="0" w:type="dxa"/>
          </w:tcMar>
        </w:tcPr>
        <w:p w:rsidR="008E01CD" w:rsidRDefault="00B618A7" w:rsidP="00F2216D">
          <w:bookmarkStart w:id="8" w:name="PublicationDateBookmark"/>
          <w:bookmarkEnd w:id="7"/>
          <w:r>
            <w:t xml:space="preserve">Diciembre de 2015 </w:t>
          </w:r>
          <w:bookmarkEnd w:id="8"/>
        </w:p>
      </w:tc>
      <w:tc>
        <w:tcPr>
          <w:tcW w:w="2500" w:type="pct"/>
          <w:noWrap/>
          <w:tcMar>
            <w:right w:w="0" w:type="dxa"/>
          </w:tcMar>
        </w:tcPr>
        <w:p w:rsidR="008E01CD" w:rsidRDefault="0078197B" w:rsidP="00B618A7">
          <w:pPr>
            <w:jc w:val="right"/>
          </w:pPr>
          <w:bookmarkStart w:id="9" w:name="FirstCoverIdentificationBookmark"/>
          <w:r>
            <w:t>CCP:HF/JU 15/Informe</w:t>
          </w:r>
          <w:bookmarkEnd w:id="9"/>
        </w:p>
      </w:tc>
    </w:tr>
  </w:tbl>
  <w:p w:rsidR="00AE4D6E" w:rsidRPr="008E01CD" w:rsidRDefault="00D01355" w:rsidP="008E01CD">
    <w:pPr>
      <w:pBdr>
        <w:bottom w:val="single" w:sz="12" w:space="0" w:color="auto"/>
      </w:pBdr>
      <w:contextualSpacing/>
      <w:rPr>
        <w:sz w:val="4"/>
      </w:rPr>
    </w:pPr>
  </w:p>
  <w:p w:rsidR="00DF0451" w:rsidRDefault="00012386" w:rsidP="008E01CD">
    <w:pPr>
      <w:jc w:val="center"/>
    </w:pPr>
    <w:bookmarkStart w:id="10" w:name="LogoBookmark"/>
    <w:r>
      <w:rPr>
        <w:noProof/>
        <w:lang w:val="en-GB" w:eastAsia="en-GB" w:bidi="ar-SA"/>
      </w:rPr>
      <w:drawing>
        <wp:inline distT="0" distB="0" distL="0" distR="0" wp14:anchorId="0DDAA803" wp14:editId="186C3B9B">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2EFC26D2"/>
    <w:multiLevelType w:val="multilevel"/>
    <w:tmpl w:val="E33623AE"/>
    <w:lvl w:ilvl="0">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98A2726"/>
    <w:multiLevelType w:val="hybridMultilevel"/>
    <w:tmpl w:val="2118D630"/>
    <w:lvl w:ilvl="0" w:tplc="3CC02650">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3">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5">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7">
    <w:nsid w:val="74B51E03"/>
    <w:multiLevelType w:val="hybridMultilevel"/>
    <w:tmpl w:val="2118D630"/>
    <w:lvl w:ilvl="0" w:tplc="3CC02650">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num w:numId="1">
    <w:abstractNumId w:val="0"/>
  </w:num>
  <w:num w:numId="2">
    <w:abstractNumId w:val="3"/>
  </w:num>
  <w:num w:numId="3">
    <w:abstractNumId w:val="5"/>
  </w:num>
  <w:num w:numId="4">
    <w:abstractNumId w:val="7"/>
  </w:num>
  <w:num w:numId="5">
    <w:abstractNumId w:val="6"/>
  </w:num>
  <w:num w:numId="6">
    <w:abstractNumId w:val="5"/>
  </w:num>
  <w:num w:numId="7">
    <w:abstractNumId w:val="2"/>
  </w:num>
  <w:num w:numId="8">
    <w:abstractNumId w:val="5"/>
  </w:num>
  <w:num w:numId="9">
    <w:abstractNumId w:val="1"/>
  </w:num>
  <w:num w:numId="10">
    <w:abstractNumId w:val="5"/>
  </w:num>
  <w:num w:numId="11">
    <w:abstractNumId w:val="5"/>
  </w:num>
  <w:num w:numId="12">
    <w:abstractNumId w:val="0"/>
  </w:num>
  <w:num w:numId="13">
    <w:abstractNumId w:val="5"/>
  </w:num>
  <w:num w:numId="14">
    <w:abstractNumId w:val="5"/>
  </w:num>
  <w:num w:numId="15">
    <w:abstractNumId w:val="5"/>
  </w:num>
  <w:num w:numId="16">
    <w:abstractNumId w:val="0"/>
  </w:num>
  <w:num w:numId="17">
    <w:abstractNumId w:val="0"/>
  </w:num>
  <w:num w:numId="18">
    <w:abstractNumId w:val="5"/>
  </w:num>
  <w:num w:numId="19">
    <w:abstractNumId w:val="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93C91"/>
    <w:rsid w:val="000C0883"/>
    <w:rsid w:val="000D7D3B"/>
    <w:rsid w:val="000E0955"/>
    <w:rsid w:val="00112F80"/>
    <w:rsid w:val="001327A5"/>
    <w:rsid w:val="0017701B"/>
    <w:rsid w:val="00180F2F"/>
    <w:rsid w:val="00193844"/>
    <w:rsid w:val="001A5FFE"/>
    <w:rsid w:val="001B44C3"/>
    <w:rsid w:val="001C2281"/>
    <w:rsid w:val="00236950"/>
    <w:rsid w:val="00240A29"/>
    <w:rsid w:val="00270AAC"/>
    <w:rsid w:val="002A192E"/>
    <w:rsid w:val="002F38B1"/>
    <w:rsid w:val="0036490B"/>
    <w:rsid w:val="00374FD5"/>
    <w:rsid w:val="003D7A58"/>
    <w:rsid w:val="00422991"/>
    <w:rsid w:val="004337E1"/>
    <w:rsid w:val="004859DD"/>
    <w:rsid w:val="004A028E"/>
    <w:rsid w:val="004A2478"/>
    <w:rsid w:val="00550E3C"/>
    <w:rsid w:val="005640C0"/>
    <w:rsid w:val="005B4535"/>
    <w:rsid w:val="005D12FF"/>
    <w:rsid w:val="005E5E43"/>
    <w:rsid w:val="00642FFA"/>
    <w:rsid w:val="0065200C"/>
    <w:rsid w:val="00665EC2"/>
    <w:rsid w:val="006801D0"/>
    <w:rsid w:val="00681ED9"/>
    <w:rsid w:val="006E2712"/>
    <w:rsid w:val="006F4AC9"/>
    <w:rsid w:val="00701D7D"/>
    <w:rsid w:val="00780964"/>
    <w:rsid w:val="0078197B"/>
    <w:rsid w:val="0079532D"/>
    <w:rsid w:val="007A13C4"/>
    <w:rsid w:val="0083552C"/>
    <w:rsid w:val="00857D15"/>
    <w:rsid w:val="008A383E"/>
    <w:rsid w:val="008C0C72"/>
    <w:rsid w:val="00910C38"/>
    <w:rsid w:val="00935080"/>
    <w:rsid w:val="00946DAA"/>
    <w:rsid w:val="00970A4A"/>
    <w:rsid w:val="009D3260"/>
    <w:rsid w:val="00A00718"/>
    <w:rsid w:val="00A0348E"/>
    <w:rsid w:val="00A22CDD"/>
    <w:rsid w:val="00A71F71"/>
    <w:rsid w:val="00AA1601"/>
    <w:rsid w:val="00B618A7"/>
    <w:rsid w:val="00B83AF6"/>
    <w:rsid w:val="00BA673D"/>
    <w:rsid w:val="00BE2F48"/>
    <w:rsid w:val="00BF1A76"/>
    <w:rsid w:val="00C80879"/>
    <w:rsid w:val="00CB6143"/>
    <w:rsid w:val="00CF04F2"/>
    <w:rsid w:val="00D01355"/>
    <w:rsid w:val="00D11858"/>
    <w:rsid w:val="00D12DB4"/>
    <w:rsid w:val="00D5308B"/>
    <w:rsid w:val="00DA2951"/>
    <w:rsid w:val="00DC60D2"/>
    <w:rsid w:val="00DE1B33"/>
    <w:rsid w:val="00DF3789"/>
    <w:rsid w:val="00E04D15"/>
    <w:rsid w:val="00E54538"/>
    <w:rsid w:val="00E965BB"/>
    <w:rsid w:val="00EB00DA"/>
    <w:rsid w:val="00F63B0E"/>
    <w:rsid w:val="00F86BC7"/>
    <w:rsid w:val="00FD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s-ES"/>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s-ES"/>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s-ES"/>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s-ES"/>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s-ES"/>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s-ES"/>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s-ES"/>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s-ES"/>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s-ES"/>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s-ES"/>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s-ES"/>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s-ES"/>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s-ES"/>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s-ES"/>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s-ES"/>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s-ES"/>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s-ES"/>
    </w:rPr>
  </w:style>
  <w:style w:type="paragraph" w:customStyle="1" w:styleId="NewPara">
    <w:name w:val="NewPara"/>
    <w:basedOn w:val="ListParagraph"/>
    <w:link w:val="NewParaChar"/>
    <w:qFormat/>
    <w:rsid w:val="00422991"/>
    <w:pPr>
      <w:numPr>
        <w:numId w:val="5"/>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s-ES"/>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s-ES"/>
    </w:rPr>
  </w:style>
  <w:style w:type="paragraph" w:customStyle="1" w:styleId="NumberedHeading">
    <w:name w:val="NumberedHeading"/>
    <w:basedOn w:val="Normal"/>
    <w:next w:val="Heading2"/>
    <w:link w:val="NumberedHeadingChar"/>
    <w:qFormat/>
    <w:rsid w:val="00A71F71"/>
    <w:pPr>
      <w:keepNext/>
      <w:numPr>
        <w:numId w:val="21"/>
      </w:numPr>
      <w:spacing w:before="240" w:after="0"/>
      <w:jc w:val="center"/>
    </w:pPr>
    <w:rPr>
      <w:rFonts w:ascii="Times New Roman Bold" w:eastAsia="Calibri" w:hAnsi="Times New Roman Bold"/>
      <w:b/>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s-ES"/>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s-ES"/>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s-ES"/>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s-ES"/>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s-ES"/>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s-ES"/>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s-ES"/>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s-ES"/>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s-ES"/>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s-ES"/>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s-ES"/>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s-ES"/>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s-ES"/>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s-ES"/>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s-ES"/>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s-ES"/>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s-ES"/>
    </w:rPr>
  </w:style>
  <w:style w:type="paragraph" w:customStyle="1" w:styleId="NewPara">
    <w:name w:val="NewPara"/>
    <w:basedOn w:val="ListParagraph"/>
    <w:link w:val="NewParaChar"/>
    <w:qFormat/>
    <w:rsid w:val="00422991"/>
    <w:pPr>
      <w:numPr>
        <w:numId w:val="5"/>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s-ES"/>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s-ES"/>
    </w:rPr>
  </w:style>
  <w:style w:type="paragraph" w:customStyle="1" w:styleId="NumberedHeading">
    <w:name w:val="NumberedHeading"/>
    <w:basedOn w:val="Normal"/>
    <w:next w:val="Heading2"/>
    <w:link w:val="NumberedHeadingChar"/>
    <w:qFormat/>
    <w:rsid w:val="00A71F71"/>
    <w:pPr>
      <w:keepNext/>
      <w:numPr>
        <w:numId w:val="21"/>
      </w:numPr>
      <w:spacing w:before="240" w:after="0"/>
      <w:jc w:val="center"/>
    </w:pPr>
    <w:rPr>
      <w:rFonts w:ascii="Times New Roman Bold" w:eastAsia="Calibri" w:hAnsi="Times New Roman Bold"/>
      <w:b/>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588E-E1D0-4A17-A45E-ADAA90F9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3</cp:revision>
  <dcterms:created xsi:type="dcterms:W3CDTF">2015-12-30T10:14:00Z</dcterms:created>
  <dcterms:modified xsi:type="dcterms:W3CDTF">2016-01-08T10:35:00Z</dcterms:modified>
</cp:coreProperties>
</file>