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386" w:rsidRPr="0073685B" w:rsidRDefault="00012386" w:rsidP="00D75971">
      <w:pPr>
        <w:pStyle w:val="Hidden"/>
      </w:pPr>
    </w:p>
    <w:p w:rsidR="00012386" w:rsidRPr="003F76E2" w:rsidRDefault="00012386" w:rsidP="00D75971">
      <w:pPr>
        <w:pStyle w:val="DocTitle"/>
      </w:pPr>
      <w:bookmarkStart w:id="0" w:name="CoverBookmark"/>
      <w:bookmarkStart w:id="1" w:name="CoverTitleBookmark"/>
      <w:r>
        <w:rPr>
          <w:smallCaps/>
        </w:rPr>
        <w:t>Committee on Co</w:t>
      </w:r>
      <w:r w:rsidR="0078197B">
        <w:rPr>
          <w:smallCaps/>
        </w:rPr>
        <w:t>mmodity Problem</w:t>
      </w:r>
      <w:r>
        <w:rPr>
          <w:smallCaps/>
        </w:rPr>
        <w:t>s</w:t>
      </w:r>
    </w:p>
    <w:bookmarkEnd w:id="1" w:displacedByCustomXml="next"/>
    <w:bookmarkEnd w:id="0" w:displacedByCustomXml="next"/>
    <w:sdt>
      <w:sdtPr>
        <w:alias w:val="Meeting Information"/>
        <w:tag w:val="Meeting Information"/>
        <w:id w:val="8308208"/>
      </w:sdtPr>
      <w:sdtEndPr/>
      <w:sdtContent>
        <w:p w:rsidR="002116A8" w:rsidRDefault="002116A8" w:rsidP="002116A8">
          <w:pPr>
            <w:pStyle w:val="MeetingInfo"/>
          </w:pPr>
          <w:r w:rsidRPr="00F56629">
            <w:t xml:space="preserve">INTERGOVERNMENTAL GROUP ON </w:t>
          </w:r>
          <w:r>
            <w:t>TEA</w:t>
          </w:r>
        </w:p>
        <w:p w:rsidR="002116A8" w:rsidRDefault="002116A8" w:rsidP="002116A8">
          <w:pPr>
            <w:pStyle w:val="MeetingInfo"/>
          </w:pPr>
          <w:r>
            <w:t>Twenty-second Session</w:t>
          </w:r>
        </w:p>
        <w:p w:rsidR="002116A8" w:rsidRDefault="00C867A0" w:rsidP="002116A8">
          <w:pPr>
            <w:pStyle w:val="MeetingInfo"/>
          </w:pPr>
          <w:proofErr w:type="spellStart"/>
          <w:r>
            <w:t>Naivasha</w:t>
          </w:r>
          <w:proofErr w:type="spellEnd"/>
          <w:r>
            <w:t>, Kenya, 25-27 May 2016</w:t>
          </w:r>
        </w:p>
        <w:p w:rsidR="002116A8" w:rsidRPr="00F56629" w:rsidRDefault="002116A8" w:rsidP="002116A8">
          <w:pPr>
            <w:pStyle w:val="MeetingInfo"/>
          </w:pPr>
          <w:r>
            <w:t>THE EFFECTS OF MAXIMUM RESIDUE LEVELS IN TEA ON INTERNATIONAL TEA TRADE</w:t>
          </w:r>
        </w:p>
      </w:sdtContent>
    </w:sdt>
    <w:p w:rsidR="002116A8" w:rsidRDefault="002116A8" w:rsidP="002116A8">
      <w:pPr>
        <w:pStyle w:val="Heading1"/>
        <w:spacing w:after="200"/>
        <w:ind w:left="1" w:firstLine="0"/>
      </w:pPr>
      <w:r w:rsidRPr="0073685B">
        <w:t xml:space="preserve">  </w:t>
      </w:r>
      <w:bookmarkStart w:id="2" w:name="SummaryBoxBookmark"/>
      <w:r w:rsidRPr="0073685B">
        <w:t xml:space="preserve"> </w:t>
      </w:r>
      <w:bookmarkEnd w:id="2"/>
      <w:r w:rsidRPr="0073685B">
        <w:t xml:space="preserve"> </w:t>
      </w:r>
      <w:bookmarkStart w:id="3" w:name="TableOfContentsRangeBookmark"/>
      <w:r w:rsidRPr="0073685B">
        <w:t xml:space="preserve"> </w:t>
      </w:r>
      <w:bookmarkEnd w:id="3"/>
      <w:r w:rsidRPr="00F56629">
        <w:t>INTRODUCTION</w:t>
      </w:r>
    </w:p>
    <w:p w:rsidR="002116A8" w:rsidRDefault="002116A8" w:rsidP="002116A8">
      <w:pPr>
        <w:pStyle w:val="NewPara"/>
      </w:pPr>
      <w:r>
        <w:t xml:space="preserve">At its last Session, the Intergovernmental Group on Tea (IGG/Tea) </w:t>
      </w:r>
      <w:r w:rsidRPr="00FE7120">
        <w:t xml:space="preserve">examined the implications of </w:t>
      </w:r>
      <w:r>
        <w:t>maximum residue levels (</w:t>
      </w:r>
      <w:r w:rsidRPr="00FE7120">
        <w:t>MRLs</w:t>
      </w:r>
      <w:r>
        <w:t>)</w:t>
      </w:r>
      <w:r w:rsidRPr="00FE7120">
        <w:t xml:space="preserve"> on tea trade</w:t>
      </w:r>
      <w:r>
        <w:t xml:space="preserve"> with the help of document CCP</w:t>
      </w:r>
      <w:proofErr w:type="gramStart"/>
      <w:r>
        <w:t>:TE</w:t>
      </w:r>
      <w:proofErr w:type="gramEnd"/>
      <w:r>
        <w:t xml:space="preserve"> 14/3 that was prepared by the Secretariat. The Group </w:t>
      </w:r>
      <w:proofErr w:type="gramStart"/>
      <w:r>
        <w:t>concurred</w:t>
      </w:r>
      <w:proofErr w:type="gramEnd"/>
      <w:r>
        <w:t xml:space="preserve"> that </w:t>
      </w:r>
      <w:r w:rsidRPr="00FE7120">
        <w:t xml:space="preserve">MRL standards </w:t>
      </w:r>
      <w:r>
        <w:t xml:space="preserve">could have a substantial </w:t>
      </w:r>
      <w:r w:rsidRPr="00FE7120">
        <w:t>deterring</w:t>
      </w:r>
      <w:r>
        <w:t xml:space="preserve"> effect on </w:t>
      </w:r>
      <w:r w:rsidRPr="00FE7120">
        <w:t>trade</w:t>
      </w:r>
      <w:r>
        <w:t xml:space="preserve"> flows</w:t>
      </w:r>
      <w:r w:rsidRPr="00FE7120">
        <w:t xml:space="preserve"> when exporters are unable to comply with them</w:t>
      </w:r>
      <w:r>
        <w:t xml:space="preserve"> and/or when MRLs are fixed at various levels at the discretion of tea importing countries</w:t>
      </w:r>
      <w:r w:rsidRPr="00FE7120">
        <w:t>.</w:t>
      </w:r>
      <w:r>
        <w:t xml:space="preserve"> </w:t>
      </w:r>
      <w:r w:rsidRPr="00FE7120">
        <w:t>In response to the Group’s request for further detailed studies</w:t>
      </w:r>
      <w:r>
        <w:t>,</w:t>
      </w:r>
      <w:r w:rsidRPr="00FE7120">
        <w:t xml:space="preserve"> the Secretariat</w:t>
      </w:r>
      <w:r>
        <w:t xml:space="preserve"> </w:t>
      </w:r>
      <w:r w:rsidRPr="00FE7120">
        <w:t xml:space="preserve">produced </w:t>
      </w:r>
      <w:r w:rsidR="001F46A9">
        <w:t xml:space="preserve">this </w:t>
      </w:r>
      <w:r w:rsidRPr="00FE7120">
        <w:t xml:space="preserve">document </w:t>
      </w:r>
      <w:r w:rsidR="001F46A9">
        <w:t>(</w:t>
      </w:r>
      <w:r w:rsidRPr="00FE7120">
        <w:t>CCP</w:t>
      </w:r>
      <w:proofErr w:type="gramStart"/>
      <w:r w:rsidRPr="00FE7120">
        <w:t>:TE</w:t>
      </w:r>
      <w:proofErr w:type="gramEnd"/>
      <w:r w:rsidRPr="00FE7120">
        <w:t xml:space="preserve"> 16/2</w:t>
      </w:r>
      <w:r w:rsidR="001F46A9">
        <w:t>)</w:t>
      </w:r>
      <w:r w:rsidRPr="00FE7120">
        <w:t xml:space="preserve"> </w:t>
      </w:r>
      <w:r>
        <w:t xml:space="preserve">examining the </w:t>
      </w:r>
      <w:r w:rsidRPr="00FE7120">
        <w:t xml:space="preserve">impact of MRLs </w:t>
      </w:r>
      <w:r>
        <w:t>on tea trade, including an empirical comparison between the effects of MRLs standards and import tariff rates</w:t>
      </w:r>
      <w:r w:rsidRPr="00FE7120">
        <w:t xml:space="preserve"> on tea trade</w:t>
      </w:r>
      <w:r>
        <w:t>.</w:t>
      </w:r>
    </w:p>
    <w:p w:rsidR="002116A8" w:rsidRDefault="002116A8" w:rsidP="002116A8">
      <w:pPr>
        <w:pStyle w:val="NewPara"/>
      </w:pPr>
      <w:r>
        <w:t>Since the 1990s, there has been much concern over the increase in tea food safety standards and their impact on international trade. As Figure 1 shows, while average import tariff rates applied to tea have declined since 1996, the number of sanitary and phytosanitary (SPS) notifications relevant to MRLs in tea has grown signi</w:t>
      </w:r>
      <w:r w:rsidR="001F46A9">
        <w:t>ficantly. Studies show that MRL</w:t>
      </w:r>
      <w:r>
        <w:t xml:space="preserve"> measures on tea established by importing countries added to trade costs faced by exporters, and in several instances led to significant declines in </w:t>
      </w:r>
      <w:r w:rsidRPr="003F4A0E">
        <w:t xml:space="preserve">trade flows (Sun </w:t>
      </w:r>
      <w:r>
        <w:t xml:space="preserve">et </w:t>
      </w:r>
      <w:r w:rsidRPr="003F4A0E">
        <w:t>al</w:t>
      </w:r>
      <w:r>
        <w:t>.</w:t>
      </w:r>
      <w:r w:rsidRPr="003F4A0E">
        <w:t xml:space="preserve"> 2007, </w:t>
      </w:r>
      <w:proofErr w:type="spellStart"/>
      <w:r w:rsidRPr="003F4A0E">
        <w:t>Gu</w:t>
      </w:r>
      <w:proofErr w:type="spellEnd"/>
      <w:r w:rsidRPr="003F4A0E">
        <w:t xml:space="preserve"> and </w:t>
      </w:r>
      <w:proofErr w:type="spellStart"/>
      <w:r w:rsidRPr="003F4A0E">
        <w:t>Niu</w:t>
      </w:r>
      <w:proofErr w:type="spellEnd"/>
      <w:r w:rsidRPr="003F4A0E">
        <w:t xml:space="preserve"> 2007 and Wei </w:t>
      </w:r>
      <w:r w:rsidRPr="002116A8">
        <w:rPr>
          <w:i/>
        </w:rPr>
        <w:t>et al</w:t>
      </w:r>
      <w:r>
        <w:t>.</w:t>
      </w:r>
      <w:r w:rsidRPr="003F4A0E">
        <w:t xml:space="preserve"> 2012). Other studies </w:t>
      </w:r>
      <w:r>
        <w:t xml:space="preserve">highlighted </w:t>
      </w:r>
      <w:r w:rsidRPr="003F4A0E">
        <w:t>that, in general, food safety standards impacted negatively developing countries’ exports of agricultural products to developed countries (</w:t>
      </w:r>
      <w:proofErr w:type="spellStart"/>
      <w:r w:rsidRPr="003F4A0E">
        <w:t>Disdier</w:t>
      </w:r>
      <w:proofErr w:type="spellEnd"/>
      <w:r w:rsidRPr="003F4A0E">
        <w:t xml:space="preserve"> </w:t>
      </w:r>
      <w:r>
        <w:rPr>
          <w:i/>
        </w:rPr>
        <w:t>et a</w:t>
      </w:r>
      <w:r w:rsidRPr="002116A8">
        <w:rPr>
          <w:i/>
        </w:rPr>
        <w:t>l</w:t>
      </w:r>
      <w:r>
        <w:t>.</w:t>
      </w:r>
      <w:r w:rsidRPr="003F4A0E">
        <w:t xml:space="preserve"> 2008).</w:t>
      </w:r>
    </w:p>
    <w:p w:rsidR="002116A8" w:rsidRDefault="002116A8" w:rsidP="002116A8">
      <w:pPr>
        <w:pStyle w:val="NewPara"/>
      </w:pPr>
      <w:r>
        <w:t xml:space="preserve">MRLs are </w:t>
      </w:r>
      <w:r w:rsidRPr="003F4A0E">
        <w:t>applied by all major te</w:t>
      </w:r>
      <w:r>
        <w:t xml:space="preserve">a importing </w:t>
      </w:r>
      <w:r w:rsidR="001F46A9" w:rsidRPr="003F4A0E">
        <w:t xml:space="preserve">developed </w:t>
      </w:r>
      <w:r>
        <w:t>countries, although</w:t>
      </w:r>
      <w:r w:rsidRPr="003F4A0E">
        <w:t xml:space="preserve"> a number of tea producing</w:t>
      </w:r>
      <w:r>
        <w:t xml:space="preserve"> and exporting countries have begun setting their own residue limits on tea (e.g. China, India, Kenya and Sri Lanka). These limits are equivalent to those established by Codex Alimentarius. The  Working Group (WG) on MRLs of the IGG/Tea, which includes tea producing and exporting countries, has played a critical role in advancing the world tea economy towards fixing MRLs for tea and reducing cost of compliance, by generating data from trials conducted nationally by their tea research institutes. These MRLs trial data are submitted to the Codex Committee on Pesticide Residues (CCPR) for adoption and chemical registration. </w:t>
      </w:r>
      <w:r w:rsidRPr="00A02C9F">
        <w:t xml:space="preserve">There are now 17 pesticides registered by </w:t>
      </w:r>
      <w:r w:rsidR="00380DEA">
        <w:t xml:space="preserve">Codex </w:t>
      </w:r>
      <w:r w:rsidR="001F46A9">
        <w:t xml:space="preserve">following submission of </w:t>
      </w:r>
      <w:r w:rsidRPr="00A02C9F">
        <w:t>their MRLs by the WG.</w:t>
      </w:r>
    </w:p>
    <w:p w:rsidR="002116A8" w:rsidRDefault="002116A8" w:rsidP="002116A8">
      <w:pPr>
        <w:pStyle w:val="NewPara"/>
        <w:numPr>
          <w:ilvl w:val="0"/>
          <w:numId w:val="0"/>
        </w:numPr>
      </w:pPr>
    </w:p>
    <w:p w:rsidR="002116A8" w:rsidRPr="00E41B7C" w:rsidRDefault="002116A8" w:rsidP="002116A8">
      <w:pPr>
        <w:pStyle w:val="SummaryBoxTitle"/>
      </w:pPr>
      <w:proofErr w:type="gramStart"/>
      <w:r w:rsidRPr="00E41B7C">
        <w:lastRenderedPageBreak/>
        <w:t>Figure 1.</w:t>
      </w:r>
      <w:proofErr w:type="gramEnd"/>
      <w:r w:rsidRPr="00E41B7C">
        <w:t xml:space="preserve"> Average </w:t>
      </w:r>
      <w:r w:rsidR="001F46A9">
        <w:t xml:space="preserve">Applied </w:t>
      </w:r>
      <w:r w:rsidRPr="00E41B7C">
        <w:t>Tariff Rate for selected countries</w:t>
      </w:r>
      <w:r w:rsidRPr="001F46A9">
        <w:rPr>
          <w:vertAlign w:val="superscript"/>
        </w:rPr>
        <w:t>1/</w:t>
      </w:r>
      <w:r w:rsidRPr="00E41B7C">
        <w:t xml:space="preserve"> and Notifications (MRLs) on tea</w:t>
      </w:r>
    </w:p>
    <w:p w:rsidR="002116A8" w:rsidRPr="00E41B7C" w:rsidRDefault="002116A8" w:rsidP="002116A8">
      <w:r w:rsidRPr="00E41B7C">
        <w:rPr>
          <w:noProof/>
          <w:lang w:eastAsia="en-GB"/>
        </w:rPr>
        <w:drawing>
          <wp:inline distT="0" distB="0" distL="0" distR="0" wp14:anchorId="7A67E944" wp14:editId="7F6CBC6D">
            <wp:extent cx="5050384" cy="2553005"/>
            <wp:effectExtent l="19050" t="0" r="16916"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116A8" w:rsidRDefault="002116A8" w:rsidP="002116A8">
      <w:pPr>
        <w:rPr>
          <w:sz w:val="18"/>
          <w:szCs w:val="18"/>
        </w:rPr>
      </w:pPr>
      <w:r w:rsidRPr="002116A8">
        <w:rPr>
          <w:sz w:val="18"/>
          <w:szCs w:val="18"/>
        </w:rPr>
        <w:t xml:space="preserve">1/ Countries included are Canada, China, Egypt, EU, Japan, Morocco, Pakistan, Russian Federation, United States, Saudi     Arabia, </w:t>
      </w:r>
      <w:proofErr w:type="gramStart"/>
      <w:r w:rsidRPr="002116A8">
        <w:rPr>
          <w:sz w:val="18"/>
          <w:szCs w:val="18"/>
        </w:rPr>
        <w:t>South</w:t>
      </w:r>
      <w:proofErr w:type="gramEnd"/>
      <w:r w:rsidRPr="002116A8">
        <w:rPr>
          <w:sz w:val="18"/>
          <w:szCs w:val="18"/>
        </w:rPr>
        <w:t xml:space="preserve"> Africa.</w:t>
      </w:r>
      <w:r>
        <w:rPr>
          <w:sz w:val="18"/>
          <w:szCs w:val="18"/>
        </w:rPr>
        <w:br/>
      </w:r>
      <w:r w:rsidRPr="002116A8">
        <w:rPr>
          <w:sz w:val="18"/>
          <w:szCs w:val="18"/>
        </w:rPr>
        <w:t>Source:  WITS and WTO</w:t>
      </w:r>
    </w:p>
    <w:p w:rsidR="002116A8" w:rsidRDefault="002116A8" w:rsidP="002116A8">
      <w:pPr>
        <w:pStyle w:val="NewPara"/>
      </w:pPr>
      <w:r>
        <w:t>This document discusses some of the main issues related to MRLs in tea and their likely impact on trade flows by reviewing available empirical literature and recent trade patterns. The study then uses a gravity model to measure the effect of MRLs on tea export</w:t>
      </w:r>
      <w:r w:rsidR="006338E4">
        <w:t>s</w:t>
      </w:r>
      <w:r>
        <w:t>, taking China as a case study. Using the results from the estimated model, we assess the impact of MRLs on tea trade in terms of import tariff rate equivalent. The next section reviews the literature, while the third and fourth sections</w:t>
      </w:r>
      <w:r w:rsidR="006338E4">
        <w:t xml:space="preserve"> present</w:t>
      </w:r>
      <w:r>
        <w:t xml:space="preserve"> the methodological approach and results, respectively.</w:t>
      </w:r>
    </w:p>
    <w:p w:rsidR="002116A8" w:rsidRDefault="002116A8" w:rsidP="002116A8">
      <w:pPr>
        <w:pStyle w:val="Heading1"/>
        <w:spacing w:after="200"/>
        <w:ind w:left="1" w:firstLine="0"/>
      </w:pPr>
      <w:r w:rsidRPr="0073685B">
        <w:t xml:space="preserve">     </w:t>
      </w:r>
      <w:r>
        <w:t>LITERATURE REVIEW OF MRLs IN TEA AND THEIR TRADE IMPACT</w:t>
      </w:r>
    </w:p>
    <w:p w:rsidR="002116A8" w:rsidRDefault="002116A8" w:rsidP="002116A8">
      <w:pPr>
        <w:pStyle w:val="NewPara"/>
      </w:pPr>
      <w:r>
        <w:t xml:space="preserve">As Figure 1 illustrates, the number of notifications increased significantly between 1996 and 2014, and these were often concerned with fixing MRLs of various pesticides applied in tea production. </w:t>
      </w:r>
      <w:r w:rsidR="006338E4">
        <w:t xml:space="preserve">It seems that </w:t>
      </w:r>
      <w:r>
        <w:t xml:space="preserve">the number of regulated pesticides </w:t>
      </w:r>
      <w:r w:rsidR="006338E4">
        <w:t xml:space="preserve">has </w:t>
      </w:r>
      <w:r>
        <w:t>implication</w:t>
      </w:r>
      <w:r w:rsidR="006338E4">
        <w:t xml:space="preserve">s for </w:t>
      </w:r>
      <w:r>
        <w:t>trade</w:t>
      </w:r>
      <w:r w:rsidR="006338E4">
        <w:t xml:space="preserve"> in tea</w:t>
      </w:r>
      <w:r>
        <w:t>. For example, the number of regulated pesticides in the EU rose from 63 in 1999 to 185 in 2004, which was concomitant with a decline in China’s tea export</w:t>
      </w:r>
      <w:r w:rsidR="006338E4">
        <w:t>s</w:t>
      </w:r>
      <w:r>
        <w:t xml:space="preserve"> to the EU during the same period. Tea imports into the EU stabilised afterwards at a lower level, be</w:t>
      </w:r>
      <w:r w:rsidR="006338E4">
        <w:t xml:space="preserve">fore rising between the period </w:t>
      </w:r>
      <w:r>
        <w:t>of 2006 and 2008</w:t>
      </w:r>
      <w:r w:rsidRPr="003F4A0E">
        <w:t>.</w:t>
      </w:r>
      <w:r>
        <w:t xml:space="preserve"> </w:t>
      </w:r>
      <w:r w:rsidRPr="003F4A0E">
        <w:t>An increase in the EU regulated pesticides to 227 in 2007</w:t>
      </w:r>
      <w:r>
        <w:t xml:space="preserve"> </w:t>
      </w:r>
      <w:r w:rsidRPr="003F4A0E">
        <w:t>may have contributed to a decline in tea imports into the EU in 2009. However</w:t>
      </w:r>
      <w:r>
        <w:t xml:space="preserve">, imports begun to rise again from 2010 to reach their highest level in 2015. Similarly, in 2006, Japan introduced new regulations for 273 pesticides under a food safety standards </w:t>
      </w:r>
      <w:r w:rsidRPr="003F4A0E">
        <w:t>referred to as</w:t>
      </w:r>
      <w:r>
        <w:t xml:space="preserve"> the</w:t>
      </w:r>
      <w:r w:rsidRPr="003F4A0E">
        <w:t xml:space="preserve"> “Positive </w:t>
      </w:r>
      <w:r>
        <w:t>L</w:t>
      </w:r>
      <w:r w:rsidRPr="003F4A0E">
        <w:t xml:space="preserve">ist </w:t>
      </w:r>
      <w:r>
        <w:t>S</w:t>
      </w:r>
      <w:r w:rsidRPr="003F4A0E">
        <w:t>ystem”. Subsequently</w:t>
      </w:r>
      <w:r>
        <w:t>, China’s export</w:t>
      </w:r>
      <w:r w:rsidR="006338E4">
        <w:t>s to Japan fell by 43 </w:t>
      </w:r>
      <w:r>
        <w:t>percent in 2009, in comparison to 2005, and continued to remain relatively low up to 2015, when they represented 47 perc</w:t>
      </w:r>
      <w:r w:rsidR="006338E4">
        <w:t>ent of their 2006 level. Also, t</w:t>
      </w:r>
      <w:r>
        <w:t xml:space="preserve">he Republic of Korea introduced new regulations for 22 pesticides in 2006, which was </w:t>
      </w:r>
      <w:r w:rsidR="008A2EF5">
        <w:t xml:space="preserve">followed by </w:t>
      </w:r>
      <w:r>
        <w:t>a 73 percent decline in tea volumes shipped from China the following year. Imports fell further between 2008 and 2015, when they were 90 percent, on average, lower than in 2006.</w:t>
      </w:r>
    </w:p>
    <w:p w:rsidR="002116A8" w:rsidRDefault="002116A8" w:rsidP="002116A8">
      <w:pPr>
        <w:pStyle w:val="NewPara"/>
      </w:pPr>
      <w:r>
        <w:t xml:space="preserve">As the discussion above demonstrates, a broad survey of MRLs in tea seems to be associated with changes in trade flows, at least in the case of China and a number of its trading partners. A review of the literature showed that studies that looked at the impact of MRLs on tea trade typically applied a gravity model approach to </w:t>
      </w:r>
      <w:r w:rsidR="008A2EF5">
        <w:t xml:space="preserve">empirically </w:t>
      </w:r>
      <w:r>
        <w:t xml:space="preserve">establish the relationship between MRLs and changes in trade patterns. Often the gravity equation accounted for key variables likely to have had an impact on tea </w:t>
      </w:r>
      <w:r>
        <w:lastRenderedPageBreak/>
        <w:t>export from one country (often China) to the main destination markets (</w:t>
      </w:r>
      <w:proofErr w:type="spellStart"/>
      <w:r>
        <w:t>e.g</w:t>
      </w:r>
      <w:proofErr w:type="spellEnd"/>
      <w:r>
        <w:t xml:space="preserve"> EU, Japan, </w:t>
      </w:r>
      <w:proofErr w:type="spellStart"/>
      <w:r>
        <w:t>etc</w:t>
      </w:r>
      <w:proofErr w:type="spellEnd"/>
      <w:r>
        <w:t xml:space="preserve">), over time. Typically, estimation issues that came up with this type of approach were </w:t>
      </w:r>
      <w:proofErr w:type="gramStart"/>
      <w:r>
        <w:t>related  to</w:t>
      </w:r>
      <w:proofErr w:type="gramEnd"/>
      <w:r>
        <w:t xml:space="preserve"> endogeneity and </w:t>
      </w:r>
      <w:r w:rsidRPr="00C4058B">
        <w:t>high covariance amongst</w:t>
      </w:r>
      <w:r>
        <w:t xml:space="preserve"> explanatory variables. To address some of these empirical issues, the gravity specification was generally estimated based on a fixed-effects model approach that controlled for fixed factors (e.g. distance between markets, preferences, </w:t>
      </w:r>
      <w:proofErr w:type="spellStart"/>
      <w:r>
        <w:t>etc</w:t>
      </w:r>
      <w:proofErr w:type="spellEnd"/>
      <w:r>
        <w:t>). Variables that were included explicitly in the equation consisted of values for MRLs for specific pesticides, dummy variables to account for the years when MRLs measures on tea were introduced, distance between markets, import tariff rates, and GDP per capita.</w:t>
      </w:r>
    </w:p>
    <w:p w:rsidR="002116A8" w:rsidRDefault="002116A8" w:rsidP="002116A8">
      <w:pPr>
        <w:pStyle w:val="NewPara"/>
      </w:pPr>
      <w:r>
        <w:t xml:space="preserve">A gravity model approach was </w:t>
      </w:r>
      <w:r w:rsidRPr="00C4058B">
        <w:t>applied by Chen et al. (2008) to look at the impact of MRLs on China’s vegetable exports. Results showed that food safety standards applied by destination markets had a negative and statistically significant effect</w:t>
      </w:r>
      <w:r>
        <w:t xml:space="preserve"> </w:t>
      </w:r>
      <w:r w:rsidRPr="00C4058B">
        <w:t>on exports of agricultural products from China. Their findings also demonstrated that food safety standards had a larger effect on trade than import tariffs. Similarly, Wei et al. (2012) found that MRLs significantly reduced tea exports from China, while</w:t>
      </w:r>
      <w:r>
        <w:t>,</w:t>
      </w:r>
      <w:r w:rsidRPr="00C4058B">
        <w:t xml:space="preserve"> using both importer and exporter regulations in the form of similarity index, Drogue and De Maria (2012) found that differences in MRLs regulations deterred fruit trade. Likewise, </w:t>
      </w:r>
      <w:proofErr w:type="spellStart"/>
      <w:r w:rsidRPr="00C4058B">
        <w:t>Xiong</w:t>
      </w:r>
      <w:proofErr w:type="spellEnd"/>
      <w:r w:rsidRPr="00C4058B">
        <w:t xml:space="preserve"> and </w:t>
      </w:r>
      <w:proofErr w:type="spellStart"/>
      <w:r w:rsidRPr="00C4058B">
        <w:t>Beghin</w:t>
      </w:r>
      <w:proofErr w:type="spellEnd"/>
      <w:r w:rsidRPr="00C4058B">
        <w:t xml:space="preserve"> (2014) used a gravity model approach to investigate the impact of MRLs on import demand of members</w:t>
      </w:r>
      <w:r w:rsidRPr="00C45FCD">
        <w:t xml:space="preserve"> of the Organization for Economic Cooperation and Development (OECD)</w:t>
      </w:r>
      <w:r>
        <w:t xml:space="preserve">. They found that </w:t>
      </w:r>
      <w:r w:rsidRPr="00C45FCD">
        <w:t xml:space="preserve">MRLs </w:t>
      </w:r>
      <w:r>
        <w:t xml:space="preserve">had a negative effect on </w:t>
      </w:r>
      <w:r w:rsidRPr="00C45FCD">
        <w:t>non-compliant export suppl</w:t>
      </w:r>
      <w:r>
        <w:t xml:space="preserve">ies, but at the same time, stimulated import demand as </w:t>
      </w:r>
      <w:r w:rsidRPr="00C45FCD">
        <w:t>consumer</w:t>
      </w:r>
      <w:r>
        <w:t xml:space="preserve">s’ perception regarding tea safety issues improved. The study also revealed that </w:t>
      </w:r>
      <w:r w:rsidRPr="00C45FCD">
        <w:t xml:space="preserve">the least developed countries (LDCs) were </w:t>
      </w:r>
      <w:r>
        <w:t xml:space="preserve">the most affected by </w:t>
      </w:r>
      <w:r w:rsidRPr="00C45FCD">
        <w:t xml:space="preserve">MRLs </w:t>
      </w:r>
      <w:r>
        <w:t xml:space="preserve">regulations </w:t>
      </w:r>
      <w:r w:rsidRPr="00C45FCD">
        <w:t>than</w:t>
      </w:r>
      <w:r>
        <w:t xml:space="preserve"> exporters </w:t>
      </w:r>
      <w:r w:rsidRPr="00C45FCD">
        <w:t>from the developed</w:t>
      </w:r>
      <w:r>
        <w:t xml:space="preserve"> countries.</w:t>
      </w:r>
    </w:p>
    <w:p w:rsidR="002116A8" w:rsidRDefault="002116A8" w:rsidP="002116A8">
      <w:pPr>
        <w:pStyle w:val="NewPara"/>
      </w:pPr>
      <w:r>
        <w:t>Overall, empirical evidence highlighted the negative relationship that pr</w:t>
      </w:r>
      <w:r w:rsidR="005103C9">
        <w:t>evails between increases in MRL</w:t>
      </w:r>
      <w:r>
        <w:t xml:space="preserve"> standards and tea trade, at least in the short run. These studies, however, did not address some of the </w:t>
      </w:r>
      <w:r w:rsidRPr="003A1032">
        <w:t>possible long-term implications, such as whether MRLs standards d</w:t>
      </w:r>
      <w:r>
        <w:t xml:space="preserve">id </w:t>
      </w:r>
      <w:r w:rsidRPr="003A1032">
        <w:t>ultimately enhance tea consumption, which may help offset some of the negative trade effects incurred in the short-term.</w:t>
      </w:r>
    </w:p>
    <w:p w:rsidR="002116A8" w:rsidRDefault="002116A8" w:rsidP="002116A8">
      <w:pPr>
        <w:pStyle w:val="Heading1"/>
        <w:spacing w:after="200"/>
        <w:ind w:left="1" w:firstLine="0"/>
      </w:pPr>
      <w:r w:rsidRPr="0073685B">
        <w:t xml:space="preserve">     </w:t>
      </w:r>
      <w:r>
        <w:t>METHODOLOGICAL APPROACH</w:t>
      </w:r>
    </w:p>
    <w:p w:rsidR="002116A8" w:rsidRDefault="002116A8" w:rsidP="002116A8">
      <w:pPr>
        <w:pStyle w:val="NewPara"/>
      </w:pPr>
      <w:r>
        <w:t>In orde</w:t>
      </w:r>
      <w:r w:rsidR="005103C9">
        <w:t>r to explore the effects of MRL</w:t>
      </w:r>
      <w:r>
        <w:t xml:space="preserve"> standards of pesticides on international tea trade, </w:t>
      </w:r>
      <w:r w:rsidR="005103C9">
        <w:t xml:space="preserve">the present </w:t>
      </w:r>
      <w:r>
        <w:t xml:space="preserve">study used a gravity model applied to tea exports from China. We selected </w:t>
      </w:r>
      <w:proofErr w:type="gramStart"/>
      <w:r>
        <w:t xml:space="preserve">China </w:t>
      </w:r>
      <w:r w:rsidRPr="00595A25">
        <w:t xml:space="preserve"> </w:t>
      </w:r>
      <w:r>
        <w:t>as</w:t>
      </w:r>
      <w:proofErr w:type="gramEnd"/>
      <w:r>
        <w:t xml:space="preserve"> a follow up to the </w:t>
      </w:r>
      <w:r w:rsidRPr="00FE7120">
        <w:t>Group’s request for further</w:t>
      </w:r>
      <w:r>
        <w:t xml:space="preserve"> country case</w:t>
      </w:r>
      <w:r w:rsidRPr="00FE7120">
        <w:t xml:space="preserve"> studies</w:t>
      </w:r>
      <w:r>
        <w:t xml:space="preserve"> on the impact of MRLs on tea trade. China is also the world’s leading producer and exporter of tea. The estimated model was also emplo</w:t>
      </w:r>
      <w:r w:rsidR="005103C9">
        <w:t>yed to assess the impact of MRL</w:t>
      </w:r>
      <w:r>
        <w:t xml:space="preserve"> standards converted </w:t>
      </w:r>
      <w:r w:rsidR="005103C9">
        <w:t>in</w:t>
      </w:r>
      <w:r>
        <w:t xml:space="preserve">to import tariff rate equivalent. The gravity model used </w:t>
      </w:r>
      <w:r w:rsidR="005103C9">
        <w:t xml:space="preserve">in the analysis </w:t>
      </w:r>
      <w:r>
        <w:t>was specified as:</w:t>
      </w:r>
    </w:p>
    <w:p w:rsidR="002116A8" w:rsidRDefault="001B0625" w:rsidP="002116A8">
      <w:pPr>
        <w:pStyle w:val="NewPara"/>
        <w:numPr>
          <w:ilvl w:val="0"/>
          <w:numId w:val="0"/>
        </w:numPr>
        <w:rPr>
          <w:rFonts w:eastAsiaTheme="minorEastAsia"/>
        </w:rPr>
      </w:pPr>
      <m:oMath>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sSub>
                  <m:sSubPr>
                    <m:ctrlPr>
                      <w:rPr>
                        <w:rFonts w:ascii="Cambria Math" w:hAnsi="Cambria Math"/>
                      </w:rPr>
                    </m:ctrlPr>
                  </m:sSubPr>
                  <m:e>
                    <m:r>
                      <w:rPr>
                        <w:rFonts w:ascii="Cambria Math" w:hAnsi="Cambria Math"/>
                      </w:rPr>
                      <m:t>Exp</m:t>
                    </m:r>
                  </m:e>
                  <m:sub>
                    <m:r>
                      <w:rPr>
                        <w:rFonts w:ascii="Cambria Math" w:hAnsi="Cambria Math"/>
                      </w:rPr>
                      <m:t>it</m:t>
                    </m:r>
                  </m:sub>
                </m:sSub>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1</m:t>
            </m:r>
          </m:sub>
        </m:sSub>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sSub>
                  <m:sSubPr>
                    <m:ctrlPr>
                      <w:rPr>
                        <w:rFonts w:ascii="Cambria Math" w:hAnsi="Cambria Math"/>
                      </w:rPr>
                    </m:ctrlPr>
                  </m:sSubPr>
                  <m:e>
                    <m:r>
                      <w:rPr>
                        <w:rFonts w:ascii="Cambria Math" w:hAnsi="Cambria Math"/>
                      </w:rPr>
                      <m:t>GDP</m:t>
                    </m:r>
                  </m:e>
                  <m:sub>
                    <m:r>
                      <w:rPr>
                        <w:rFonts w:ascii="Cambria Math" w:hAnsi="Cambria Math"/>
                      </w:rPr>
                      <m:t>it</m:t>
                    </m:r>
                  </m:sub>
                </m:sSub>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2</m:t>
            </m:r>
          </m:sub>
        </m:sSub>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sSub>
                  <m:sSubPr>
                    <m:ctrlPr>
                      <w:rPr>
                        <w:rFonts w:ascii="Cambria Math" w:hAnsi="Cambria Math"/>
                      </w:rPr>
                    </m:ctrlPr>
                  </m:sSubPr>
                  <m:e>
                    <m:r>
                      <w:rPr>
                        <w:rFonts w:ascii="Cambria Math" w:hAnsi="Cambria Math"/>
                      </w:rPr>
                      <m:t>Prod</m:t>
                    </m:r>
                  </m:e>
                  <m:sub>
                    <m:r>
                      <w:rPr>
                        <w:rFonts w:ascii="Cambria Math" w:hAnsi="Cambria Math"/>
                      </w:rPr>
                      <m:t>t</m:t>
                    </m:r>
                    <m:r>
                      <m:rPr>
                        <m:sty m:val="p"/>
                      </m:rPr>
                      <w:rPr>
                        <w:rFonts w:ascii="Cambria Math" w:hAnsi="Cambria Math"/>
                      </w:rPr>
                      <m:t>-1</m:t>
                    </m:r>
                  </m:sub>
                </m:sSub>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3</m:t>
            </m:r>
          </m:sub>
        </m:sSub>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sSub>
                  <m:sSubPr>
                    <m:ctrlPr>
                      <w:rPr>
                        <w:rFonts w:ascii="Cambria Math" w:hAnsi="Cambria Math"/>
                      </w:rPr>
                    </m:ctrlPr>
                  </m:sSubPr>
                  <m:e>
                    <m:r>
                      <w:rPr>
                        <w:rFonts w:ascii="Cambria Math" w:hAnsi="Cambria Math"/>
                      </w:rPr>
                      <m:t>tar</m:t>
                    </m:r>
                  </m:e>
                  <m:sub>
                    <m:r>
                      <w:rPr>
                        <w:rFonts w:ascii="Cambria Math" w:hAnsi="Cambria Math"/>
                      </w:rPr>
                      <m:t>it</m:t>
                    </m:r>
                  </m:sub>
                </m:sSub>
                <m:r>
                  <m:rPr>
                    <m:sty m:val="p"/>
                  </m:rPr>
                  <w:rPr>
                    <w:rFonts w:ascii="Cambria Math" w:hAnsi="Cambria Math"/>
                  </w:rPr>
                  <m:t>+1</m:t>
                </m:r>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4</m:t>
            </m:r>
          </m:sub>
        </m:sSub>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sSub>
                  <m:sSubPr>
                    <m:ctrlPr>
                      <w:rPr>
                        <w:rFonts w:ascii="Cambria Math" w:hAnsi="Cambria Math"/>
                      </w:rPr>
                    </m:ctrlPr>
                  </m:sSubPr>
                  <m:e>
                    <m:r>
                      <w:rPr>
                        <w:rFonts w:ascii="Cambria Math" w:hAnsi="Cambria Math"/>
                      </w:rPr>
                      <m:t>Dist</m:t>
                    </m:r>
                  </m:e>
                  <m:sub>
                    <m:r>
                      <w:rPr>
                        <w:rFonts w:ascii="Cambria Math" w:hAnsi="Cambria Math"/>
                      </w:rPr>
                      <m:t>i</m:t>
                    </m:r>
                  </m:sub>
                </m:sSub>
              </m:e>
            </m:d>
          </m:e>
        </m:func>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                        </m:t>
            </m:r>
            <m:r>
              <w:rPr>
                <w:rFonts w:ascii="Cambria Math" w:hAnsi="Cambria Math"/>
              </w:rPr>
              <m:t>α</m:t>
            </m:r>
          </m:e>
          <m:sub>
            <m:r>
              <m:rPr>
                <m:sty m:val="p"/>
              </m:rPr>
              <w:rPr>
                <w:rFonts w:ascii="Cambria Math" w:hAnsi="Cambria Math"/>
              </w:rPr>
              <m:t>5</m:t>
            </m:r>
          </m:sub>
        </m:sSub>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sSub>
                  <m:sSubPr>
                    <m:ctrlPr>
                      <w:rPr>
                        <w:rFonts w:ascii="Cambria Math" w:hAnsi="Cambria Math"/>
                      </w:rPr>
                    </m:ctrlPr>
                  </m:sSubPr>
                  <m:e>
                    <m:r>
                      <w:rPr>
                        <w:rFonts w:ascii="Cambria Math" w:hAnsi="Cambria Math"/>
                      </w:rPr>
                      <m:t>END</m:t>
                    </m:r>
                  </m:e>
                  <m:sub>
                    <m:r>
                      <w:rPr>
                        <w:rFonts w:ascii="Cambria Math" w:hAnsi="Cambria Math"/>
                      </w:rPr>
                      <m:t>it</m:t>
                    </m:r>
                  </m:sub>
                </m:sSub>
              </m:e>
            </m:d>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6</m:t>
                </m:r>
              </m:sub>
            </m:sSub>
            <m:sSub>
              <m:sSubPr>
                <m:ctrlPr>
                  <w:rPr>
                    <w:rFonts w:ascii="Cambria Math" w:hAnsi="Cambria Math"/>
                  </w:rPr>
                </m:ctrlPr>
              </m:sSubPr>
              <m:e>
                <m:r>
                  <w:rPr>
                    <w:rFonts w:ascii="Cambria Math" w:hAnsi="Cambria Math"/>
                  </w:rPr>
                  <m:t>D</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it</m:t>
                </m:r>
              </m:sub>
            </m:sSub>
          </m:e>
        </m:func>
      </m:oMath>
      <w:r w:rsidR="002116A8">
        <w:rPr>
          <w:rFonts w:eastAsiaTheme="minorEastAsia"/>
        </w:rPr>
        <w:tab/>
      </w:r>
      <w:r w:rsidR="002116A8">
        <w:rPr>
          <w:rFonts w:eastAsiaTheme="minorEastAsia"/>
        </w:rPr>
        <w:tab/>
      </w:r>
      <w:r w:rsidR="002116A8">
        <w:rPr>
          <w:rFonts w:eastAsiaTheme="minorEastAsia"/>
        </w:rPr>
        <w:tab/>
      </w:r>
      <w:r w:rsidR="002116A8">
        <w:rPr>
          <w:rFonts w:eastAsiaTheme="minorEastAsia"/>
        </w:rPr>
        <w:tab/>
      </w:r>
      <w:r w:rsidR="002116A8">
        <w:rPr>
          <w:rFonts w:eastAsiaTheme="minorEastAsia"/>
        </w:rPr>
        <w:tab/>
      </w:r>
      <w:r w:rsidR="002116A8">
        <w:rPr>
          <w:rFonts w:eastAsiaTheme="minorEastAsia"/>
        </w:rPr>
        <w:tab/>
      </w:r>
      <w:r w:rsidR="002116A8">
        <w:rPr>
          <w:rFonts w:eastAsiaTheme="minorEastAsia"/>
        </w:rPr>
        <w:tab/>
        <w:t>(1)</w:t>
      </w:r>
    </w:p>
    <w:p w:rsidR="002116A8" w:rsidRPr="002116A8" w:rsidRDefault="002116A8" w:rsidP="002116A8">
      <w:pPr>
        <w:pStyle w:val="NewPara"/>
        <w:numPr>
          <w:ilvl w:val="0"/>
          <w:numId w:val="0"/>
        </w:numPr>
        <w:rPr>
          <w:rFonts w:eastAsiaTheme="minorEastAsia"/>
          <w:szCs w:val="24"/>
        </w:rPr>
      </w:pPr>
      <w:proofErr w:type="gramStart"/>
      <w:r>
        <w:rPr>
          <w:rFonts w:eastAsiaTheme="minorEastAsia"/>
          <w:szCs w:val="24"/>
        </w:rPr>
        <w:t>where</w:t>
      </w:r>
      <w:proofErr w:type="gramEnd"/>
      <w:r>
        <w:rPr>
          <w:rFonts w:eastAsiaTheme="minorEastAsia"/>
          <w:szCs w:val="24"/>
        </w:rPr>
        <w:t xml:space="preserve"> </w:t>
      </w:r>
      <w:proofErr w:type="spellStart"/>
      <w:r w:rsidRPr="00A67531">
        <w:rPr>
          <w:rFonts w:eastAsiaTheme="minorEastAsia"/>
          <w:i/>
          <w:iCs/>
          <w:szCs w:val="24"/>
        </w:rPr>
        <w:t>i</w:t>
      </w:r>
      <w:proofErr w:type="spellEnd"/>
      <w:r>
        <w:rPr>
          <w:rFonts w:eastAsiaTheme="minorEastAsia"/>
          <w:szCs w:val="24"/>
        </w:rPr>
        <w:t xml:space="preserve"> refers to the importing country of China’s tea and t stands for year t. The </w:t>
      </w:r>
      <m:oMath>
        <m:r>
          <w:rPr>
            <w:rFonts w:ascii="Cambria Math" w:eastAsiaTheme="minorEastAsia" w:hAnsi="Cambria Math"/>
            <w:szCs w:val="24"/>
          </w:rPr>
          <m:t>α</m:t>
        </m:r>
      </m:oMath>
      <w:r>
        <w:rPr>
          <w:rFonts w:eastAsiaTheme="minorEastAsia"/>
          <w:szCs w:val="24"/>
        </w:rPr>
        <w:t xml:space="preserve"> terms are the coefficients to be estimated, while </w:t>
      </w:r>
      <m:oMath>
        <m:sSub>
          <m:sSubPr>
            <m:ctrlPr>
              <w:rPr>
                <w:rFonts w:ascii="Cambria Math" w:eastAsiaTheme="minorEastAsia" w:hAnsi="Cambria Math"/>
                <w:i/>
                <w:szCs w:val="24"/>
              </w:rPr>
            </m:ctrlPr>
          </m:sSubPr>
          <m:e>
            <m:r>
              <w:rPr>
                <w:rFonts w:ascii="Cambria Math" w:eastAsiaTheme="minorEastAsia" w:hAnsi="Cambria Math"/>
                <w:szCs w:val="24"/>
              </w:rPr>
              <m:t>ε</m:t>
            </m:r>
          </m:e>
          <m:sub>
            <m:r>
              <w:rPr>
                <w:rFonts w:ascii="Cambria Math" w:eastAsiaTheme="minorEastAsia" w:hAnsi="Cambria Math"/>
                <w:szCs w:val="24"/>
              </w:rPr>
              <m:t>it</m:t>
            </m:r>
          </m:sub>
        </m:sSub>
      </m:oMath>
      <w:r>
        <w:rPr>
          <w:rFonts w:eastAsiaTheme="minorEastAsia"/>
          <w:szCs w:val="24"/>
        </w:rPr>
        <w:t xml:space="preserve"> is the error term that is assumed to be normally distributed with mean zero. Equation (1) stipulates that export value of tea from China to country </w:t>
      </w:r>
      <w:proofErr w:type="spellStart"/>
      <w:r>
        <w:rPr>
          <w:rFonts w:eastAsiaTheme="minorEastAsia"/>
          <w:szCs w:val="24"/>
        </w:rPr>
        <w:t>i</w:t>
      </w:r>
      <w:proofErr w:type="spellEnd"/>
      <w:r>
        <w:rPr>
          <w:rFonts w:eastAsiaTheme="minorEastAsia"/>
          <w:szCs w:val="24"/>
        </w:rPr>
        <w:t xml:space="preserve"> in year t is a function of a set of explanatory variables </w:t>
      </w:r>
      <w:r w:rsidRPr="00EA4CDA">
        <w:rPr>
          <w:rFonts w:eastAsiaTheme="minorEastAsia"/>
          <w:szCs w:val="24"/>
        </w:rPr>
        <w:t>and an idiosyncratic</w:t>
      </w:r>
      <w:r>
        <w:rPr>
          <w:rFonts w:eastAsiaTheme="minorEastAsia"/>
          <w:szCs w:val="24"/>
        </w:rPr>
        <w:t xml:space="preserve"> error term that captures all the other variables that do not consistently </w:t>
      </w:r>
      <w:r w:rsidRPr="00C4058B">
        <w:rPr>
          <w:rFonts w:eastAsiaTheme="minorEastAsia"/>
          <w:szCs w:val="24"/>
        </w:rPr>
        <w:t>affect the dependant variable</w:t>
      </w:r>
      <w:r>
        <w:rPr>
          <w:rFonts w:eastAsiaTheme="minorEastAsia"/>
          <w:szCs w:val="24"/>
        </w:rPr>
        <w:t xml:space="preserve"> (i.e. tea exports from China). The first explanatory variable,</w:t>
      </w:r>
      <m:oMath>
        <m:sSub>
          <m:sSubPr>
            <m:ctrlPr>
              <w:rPr>
                <w:rFonts w:ascii="Cambria Math" w:hAnsi="Cambria Math"/>
                <w:i/>
                <w:szCs w:val="24"/>
              </w:rPr>
            </m:ctrlPr>
          </m:sSubPr>
          <m:e>
            <m:r>
              <w:rPr>
                <w:rFonts w:ascii="Cambria Math" w:hAnsi="Cambria Math"/>
                <w:szCs w:val="24"/>
              </w:rPr>
              <m:t xml:space="preserve"> GDP</m:t>
            </m:r>
          </m:e>
          <m:sub>
            <m:r>
              <w:rPr>
                <w:rFonts w:ascii="Cambria Math" w:hAnsi="Cambria Math"/>
                <w:szCs w:val="24"/>
              </w:rPr>
              <m:t>it</m:t>
            </m:r>
          </m:sub>
        </m:sSub>
      </m:oMath>
      <w:proofErr w:type="gramStart"/>
      <w:r>
        <w:rPr>
          <w:rFonts w:eastAsiaTheme="minorEastAsia"/>
          <w:szCs w:val="24"/>
        </w:rPr>
        <w:t xml:space="preserve"> ,</w:t>
      </w:r>
      <w:proofErr w:type="gramEnd"/>
      <w:r>
        <w:rPr>
          <w:rFonts w:eastAsiaTheme="minorEastAsia"/>
          <w:szCs w:val="24"/>
        </w:rPr>
        <w:t xml:space="preserve"> stands for gross domestic product of country </w:t>
      </w:r>
      <w:proofErr w:type="spellStart"/>
      <w:r w:rsidRPr="00734094">
        <w:rPr>
          <w:rFonts w:eastAsiaTheme="minorEastAsia"/>
          <w:i/>
          <w:iCs/>
          <w:szCs w:val="24"/>
        </w:rPr>
        <w:t>i</w:t>
      </w:r>
      <w:proofErr w:type="spellEnd"/>
      <w:r>
        <w:rPr>
          <w:rFonts w:eastAsiaTheme="minorEastAsia"/>
          <w:szCs w:val="24"/>
        </w:rPr>
        <w:t xml:space="preserve"> in year t, and it captures the purchasing power of the importing country. The estimated coefficient </w:t>
      </w:r>
      <m:oMath>
        <m:sSub>
          <m:sSubPr>
            <m:ctrlPr>
              <w:rPr>
                <w:rFonts w:ascii="Cambria Math" w:hAnsi="Cambria Math"/>
                <w:i/>
                <w:szCs w:val="24"/>
              </w:rPr>
            </m:ctrlPr>
          </m:sSubPr>
          <m:e>
            <m:r>
              <w:rPr>
                <w:rFonts w:ascii="Cambria Math" w:hAnsi="Cambria Math"/>
                <w:szCs w:val="24"/>
              </w:rPr>
              <m:t>α</m:t>
            </m:r>
          </m:e>
          <m:sub>
            <m:r>
              <w:rPr>
                <w:rFonts w:ascii="Cambria Math" w:hAnsi="Cambria Math"/>
                <w:szCs w:val="24"/>
              </w:rPr>
              <m:t>1</m:t>
            </m:r>
          </m:sub>
        </m:sSub>
      </m:oMath>
      <w:r>
        <w:rPr>
          <w:rFonts w:eastAsiaTheme="minorEastAsia"/>
          <w:szCs w:val="24"/>
        </w:rPr>
        <w:t xml:space="preserve"> is expected to </w:t>
      </w:r>
      <w:r w:rsidR="005103C9">
        <w:rPr>
          <w:rFonts w:eastAsiaTheme="minorEastAsia"/>
          <w:szCs w:val="24"/>
        </w:rPr>
        <w:t xml:space="preserve">have </w:t>
      </w:r>
      <w:r>
        <w:rPr>
          <w:rFonts w:eastAsiaTheme="minorEastAsia"/>
          <w:szCs w:val="24"/>
        </w:rPr>
        <w:t xml:space="preserve">a </w:t>
      </w:r>
      <w:r w:rsidR="00380DEA">
        <w:rPr>
          <w:rFonts w:eastAsiaTheme="minorEastAsia"/>
          <w:szCs w:val="24"/>
        </w:rPr>
        <w:t xml:space="preserve">positive </w:t>
      </w:r>
      <w:r>
        <w:rPr>
          <w:rFonts w:eastAsiaTheme="minorEastAsia"/>
          <w:szCs w:val="24"/>
        </w:rPr>
        <w:t xml:space="preserve">value, as an increase in </w:t>
      </w:r>
      <w:r w:rsidR="005103C9">
        <w:rPr>
          <w:rFonts w:eastAsiaTheme="minorEastAsia"/>
          <w:szCs w:val="24"/>
        </w:rPr>
        <w:t xml:space="preserve">the </w:t>
      </w:r>
      <w:r>
        <w:rPr>
          <w:rFonts w:eastAsiaTheme="minorEastAsia"/>
          <w:szCs w:val="24"/>
        </w:rPr>
        <w:t xml:space="preserve">GDP </w:t>
      </w:r>
      <w:r w:rsidR="005103C9">
        <w:rPr>
          <w:rFonts w:eastAsiaTheme="minorEastAsia"/>
          <w:szCs w:val="24"/>
        </w:rPr>
        <w:t xml:space="preserve">of the importing country should normally have a positive effect on tea exports from China. </w:t>
      </w:r>
      <w:r>
        <w:rPr>
          <w:rFonts w:eastAsiaTheme="minorEastAsia"/>
          <w:szCs w:val="24"/>
        </w:rPr>
        <w:t>The next variable</w:t>
      </w:r>
      <w:proofErr w:type="gramStart"/>
      <w:r>
        <w:rPr>
          <w:rFonts w:eastAsiaTheme="minorEastAsia"/>
          <w:szCs w:val="24"/>
        </w:rPr>
        <w:t xml:space="preserve">, </w:t>
      </w:r>
      <w:proofErr w:type="gramEnd"/>
      <m:oMath>
        <m:sSub>
          <m:sSubPr>
            <m:ctrlPr>
              <w:rPr>
                <w:rFonts w:ascii="Cambria Math" w:hAnsi="Cambria Math"/>
                <w:i/>
                <w:szCs w:val="24"/>
              </w:rPr>
            </m:ctrlPr>
          </m:sSubPr>
          <m:e>
            <m:r>
              <w:rPr>
                <w:rFonts w:ascii="Cambria Math" w:hAnsi="Cambria Math"/>
                <w:szCs w:val="24"/>
              </w:rPr>
              <m:t>Prod</m:t>
            </m:r>
          </m:e>
          <m:sub>
            <m:r>
              <w:rPr>
                <w:rFonts w:ascii="Cambria Math" w:hAnsi="Cambria Math"/>
                <w:szCs w:val="24"/>
              </w:rPr>
              <m:t>t-1</m:t>
            </m:r>
          </m:sub>
        </m:sSub>
      </m:oMath>
      <w:r>
        <w:rPr>
          <w:rFonts w:eastAsiaTheme="minorEastAsia"/>
          <w:szCs w:val="24"/>
        </w:rPr>
        <w:t xml:space="preserve">, denotes China’s production of tea lagged by </w:t>
      </w:r>
      <w:r w:rsidR="00380DEA">
        <w:rPr>
          <w:rFonts w:eastAsiaTheme="minorEastAsia"/>
          <w:szCs w:val="24"/>
        </w:rPr>
        <w:t>one</w:t>
      </w:r>
      <w:r>
        <w:rPr>
          <w:rFonts w:eastAsiaTheme="minorEastAsia"/>
          <w:szCs w:val="24"/>
        </w:rPr>
        <w:t xml:space="preserve"> year. It is lagged to avoid any potential endogeneity issue that usually arises in these cases, especially when export values for the current period may influence China’s production in the current year. </w:t>
      </w:r>
    </w:p>
    <w:p w:rsidR="002116A8" w:rsidRPr="002116A8" w:rsidRDefault="002116A8" w:rsidP="002116A8">
      <w:pPr>
        <w:pStyle w:val="NewPara"/>
      </w:pPr>
      <w:r w:rsidRPr="002116A8">
        <w:lastRenderedPageBreak/>
        <w:t>The next variable</w:t>
      </w:r>
      <w:proofErr w:type="gramStart"/>
      <w:r w:rsidRPr="002116A8">
        <w:t xml:space="preserve">, </w:t>
      </w:r>
      <w:proofErr w:type="gramEnd"/>
      <m:oMath>
        <m:sSub>
          <m:sSubPr>
            <m:ctrlPr>
              <w:rPr>
                <w:rFonts w:ascii="Cambria Math" w:hAnsi="Cambria Math"/>
              </w:rPr>
            </m:ctrlPr>
          </m:sSubPr>
          <m:e>
            <m:r>
              <w:rPr>
                <w:rFonts w:ascii="Cambria Math" w:hAnsi="Cambria Math"/>
              </w:rPr>
              <m:t>tar</m:t>
            </m:r>
          </m:e>
          <m:sub>
            <m:r>
              <w:rPr>
                <w:rFonts w:ascii="Cambria Math" w:hAnsi="Cambria Math"/>
              </w:rPr>
              <m:t>it</m:t>
            </m:r>
          </m:sub>
        </m:sSub>
      </m:oMath>
      <w:r w:rsidRPr="002116A8">
        <w:t xml:space="preserve">, refers to average import tariffs on tea applied by country </w:t>
      </w:r>
      <w:proofErr w:type="spellStart"/>
      <w:r w:rsidRPr="002116A8">
        <w:t>i</w:t>
      </w:r>
      <w:proofErr w:type="spellEnd"/>
      <w:r w:rsidRPr="002116A8">
        <w:t xml:space="preserve"> in year t.</w:t>
      </w:r>
      <w:r w:rsidRPr="002116A8">
        <w:rPr>
          <w:rFonts w:eastAsiaTheme="minorEastAsia"/>
          <w:szCs w:val="24"/>
        </w:rPr>
        <w:t xml:space="preserve"> We add a value of 1 to the tariff values since equation (1) is specified in double-log form, and some tariff rates applied to tea have a 0 value. </w:t>
      </w:r>
      <m:oMath>
        <m:sSub>
          <m:sSubPr>
            <m:ctrlPr>
              <w:rPr>
                <w:rFonts w:ascii="Cambria Math" w:hAnsi="Cambria Math"/>
                <w:i/>
                <w:szCs w:val="24"/>
              </w:rPr>
            </m:ctrlPr>
          </m:sSubPr>
          <m:e>
            <m:r>
              <w:rPr>
                <w:rFonts w:ascii="Cambria Math" w:hAnsi="Cambria Math"/>
                <w:szCs w:val="24"/>
              </w:rPr>
              <m:t>Dist</m:t>
            </m:r>
          </m:e>
          <m:sub>
            <m:r>
              <w:rPr>
                <w:rFonts w:ascii="Cambria Math" w:hAnsi="Cambria Math"/>
                <w:szCs w:val="24"/>
              </w:rPr>
              <m:t>i</m:t>
            </m:r>
          </m:sub>
        </m:sSub>
      </m:oMath>
      <w:r w:rsidRPr="002116A8">
        <w:rPr>
          <w:rFonts w:eastAsiaTheme="minorEastAsia"/>
          <w:szCs w:val="24"/>
        </w:rPr>
        <w:t xml:space="preserve"> </w:t>
      </w:r>
      <w:proofErr w:type="gramStart"/>
      <w:r w:rsidRPr="002116A8">
        <w:rPr>
          <w:rFonts w:eastAsiaTheme="minorEastAsia"/>
          <w:szCs w:val="24"/>
        </w:rPr>
        <w:t>stands</w:t>
      </w:r>
      <w:proofErr w:type="gramEnd"/>
      <w:r w:rsidRPr="002116A8">
        <w:rPr>
          <w:rFonts w:eastAsiaTheme="minorEastAsia"/>
          <w:szCs w:val="24"/>
        </w:rPr>
        <w:t xml:space="preserve"> for distance between China and the importing country </w:t>
      </w:r>
      <w:proofErr w:type="spellStart"/>
      <w:r w:rsidRPr="002116A8">
        <w:rPr>
          <w:rFonts w:eastAsiaTheme="minorEastAsia"/>
          <w:szCs w:val="24"/>
        </w:rPr>
        <w:t>i</w:t>
      </w:r>
      <w:proofErr w:type="spellEnd"/>
      <w:r w:rsidRPr="002116A8">
        <w:rPr>
          <w:rFonts w:eastAsiaTheme="minorEastAsia"/>
          <w:szCs w:val="24"/>
        </w:rPr>
        <w:t>. Distance between origin and destination is one of the main explanatory variables in gravity models as proposed by Tinbergen (1962). The greater the distance between two trading partners</w:t>
      </w:r>
      <w:r w:rsidR="005103C9">
        <w:rPr>
          <w:rFonts w:eastAsiaTheme="minorEastAsia"/>
          <w:szCs w:val="24"/>
        </w:rPr>
        <w:t>,</w:t>
      </w:r>
      <w:r w:rsidRPr="002116A8">
        <w:rPr>
          <w:rFonts w:eastAsiaTheme="minorEastAsia"/>
          <w:szCs w:val="24"/>
        </w:rPr>
        <w:t xml:space="preserve"> the less dynamic the trade flows. Hence, the estimated coefficient attached to the variable </w:t>
      </w:r>
      <m:oMath>
        <m:sSub>
          <m:sSubPr>
            <m:ctrlPr>
              <w:rPr>
                <w:rFonts w:ascii="Cambria Math" w:hAnsi="Cambria Math"/>
                <w:i/>
                <w:szCs w:val="24"/>
              </w:rPr>
            </m:ctrlPr>
          </m:sSubPr>
          <m:e>
            <m:r>
              <w:rPr>
                <w:rFonts w:ascii="Cambria Math" w:hAnsi="Cambria Math"/>
                <w:szCs w:val="24"/>
              </w:rPr>
              <m:t>Dist</m:t>
            </m:r>
          </m:e>
          <m:sub>
            <m:r>
              <w:rPr>
                <w:rFonts w:ascii="Cambria Math" w:hAnsi="Cambria Math"/>
                <w:szCs w:val="24"/>
              </w:rPr>
              <m:t>i</m:t>
            </m:r>
          </m:sub>
        </m:sSub>
      </m:oMath>
      <w:r w:rsidRPr="002116A8">
        <w:rPr>
          <w:rFonts w:eastAsiaTheme="minorEastAsia"/>
          <w:szCs w:val="24"/>
        </w:rPr>
        <w:t xml:space="preserve"> is expected to be negative. </w:t>
      </w:r>
    </w:p>
    <w:p w:rsidR="002116A8" w:rsidRPr="002116A8" w:rsidRDefault="002116A8" w:rsidP="002116A8">
      <w:pPr>
        <w:pStyle w:val="NewPara"/>
      </w:pPr>
      <w:r w:rsidRPr="002116A8">
        <w:rPr>
          <w:rFonts w:eastAsiaTheme="minorEastAsia"/>
          <w:szCs w:val="24"/>
        </w:rPr>
        <w:t xml:space="preserve">In order to evaluate the effect of MRLs, we used two different explanatory variables. The first one, </w:t>
      </w:r>
      <m:oMath>
        <m:sSub>
          <m:sSubPr>
            <m:ctrlPr>
              <w:rPr>
                <w:rFonts w:ascii="Cambria Math" w:hAnsi="Cambria Math"/>
                <w:i/>
                <w:szCs w:val="24"/>
              </w:rPr>
            </m:ctrlPr>
          </m:sSubPr>
          <m:e>
            <m:r>
              <w:rPr>
                <w:rFonts w:ascii="Cambria Math" w:hAnsi="Cambria Math"/>
                <w:szCs w:val="24"/>
              </w:rPr>
              <m:t>END</m:t>
            </m:r>
          </m:e>
          <m:sub>
            <m:r>
              <w:rPr>
                <w:rFonts w:ascii="Cambria Math" w:hAnsi="Cambria Math"/>
                <w:szCs w:val="24"/>
              </w:rPr>
              <m:t>it</m:t>
            </m:r>
          </m:sub>
        </m:sSub>
      </m:oMath>
      <w:r w:rsidRPr="002116A8">
        <w:rPr>
          <w:rFonts w:eastAsiaTheme="minorEastAsia"/>
          <w:szCs w:val="24"/>
        </w:rPr>
        <w:t xml:space="preserve">, estimates the effect of MRL of </w:t>
      </w:r>
      <w:proofErr w:type="spellStart"/>
      <w:r w:rsidRPr="002116A8">
        <w:rPr>
          <w:rFonts w:eastAsiaTheme="minorEastAsia"/>
          <w:szCs w:val="24"/>
        </w:rPr>
        <w:t>endosulfane</w:t>
      </w:r>
      <w:proofErr w:type="spellEnd"/>
      <w:r w:rsidRPr="002116A8">
        <w:rPr>
          <w:rFonts w:eastAsiaTheme="minorEastAsia"/>
          <w:szCs w:val="24"/>
        </w:rPr>
        <w:t xml:space="preserve"> applied by importing country </w:t>
      </w:r>
      <w:proofErr w:type="spellStart"/>
      <w:r w:rsidRPr="002116A8">
        <w:rPr>
          <w:rFonts w:eastAsiaTheme="minorEastAsia"/>
          <w:szCs w:val="24"/>
        </w:rPr>
        <w:t>i</w:t>
      </w:r>
      <w:proofErr w:type="spellEnd"/>
      <w:r w:rsidRPr="002116A8">
        <w:rPr>
          <w:rFonts w:eastAsiaTheme="minorEastAsia"/>
          <w:szCs w:val="24"/>
        </w:rPr>
        <w:t xml:space="preserve"> in year t. </w:t>
      </w:r>
      <w:proofErr w:type="spellStart"/>
      <w:r w:rsidR="00380DEA">
        <w:rPr>
          <w:rFonts w:eastAsiaTheme="minorEastAsia"/>
          <w:szCs w:val="24"/>
        </w:rPr>
        <w:t>E</w:t>
      </w:r>
      <w:r w:rsidRPr="002116A8">
        <w:rPr>
          <w:rFonts w:eastAsiaTheme="minorEastAsia"/>
          <w:szCs w:val="24"/>
        </w:rPr>
        <w:t>ndosulfane</w:t>
      </w:r>
      <w:proofErr w:type="spellEnd"/>
      <w:r w:rsidRPr="002116A8">
        <w:rPr>
          <w:rFonts w:eastAsiaTheme="minorEastAsia"/>
          <w:szCs w:val="24"/>
        </w:rPr>
        <w:t xml:space="preserve"> </w:t>
      </w:r>
      <w:r w:rsidR="00380DEA">
        <w:rPr>
          <w:rFonts w:eastAsiaTheme="minorEastAsia"/>
          <w:szCs w:val="24"/>
        </w:rPr>
        <w:t xml:space="preserve">was chosen </w:t>
      </w:r>
      <w:r w:rsidRPr="002116A8">
        <w:rPr>
          <w:rFonts w:eastAsiaTheme="minorEastAsia"/>
          <w:szCs w:val="24"/>
        </w:rPr>
        <w:t xml:space="preserve">because changes in MRLs for that chemical were available for the countries covered by the analysis and over the sample period (1995-2015), and this was not the case for other chemicals. The estimated parameter is anticipated to take a positive value, such that an increase in the limit, for example from 0.01 ppm to 30 ppm, is positively associated with an increase in export of tea from China. The second variable that captures the effect of MRLs, </w:t>
      </w:r>
      <w:proofErr w:type="gramStart"/>
      <w:r w:rsidRPr="002116A8">
        <w:rPr>
          <w:rFonts w:eastAsiaTheme="minorEastAsia"/>
          <w:szCs w:val="24"/>
        </w:rPr>
        <w:t xml:space="preserve">is </w:t>
      </w:r>
      <m:oMath>
        <m:sSub>
          <m:sSubPr>
            <m:ctrlPr>
              <w:rPr>
                <w:rFonts w:ascii="Cambria Math" w:hAnsi="Cambria Math"/>
                <w:i/>
                <w:szCs w:val="24"/>
              </w:rPr>
            </m:ctrlPr>
          </m:sSubPr>
          <m:e>
            <w:proofErr w:type="gramEnd"/>
            <m:r>
              <w:rPr>
                <w:rFonts w:ascii="Cambria Math" w:hAnsi="Cambria Math"/>
                <w:szCs w:val="24"/>
              </w:rPr>
              <m:t>D</m:t>
            </m:r>
          </m:e>
          <m:sub>
            <m:r>
              <w:rPr>
                <w:rFonts w:ascii="Cambria Math" w:hAnsi="Cambria Math"/>
                <w:szCs w:val="24"/>
              </w:rPr>
              <m:t>it</m:t>
            </m:r>
          </m:sub>
        </m:sSub>
      </m:oMath>
      <w:r w:rsidRPr="002116A8">
        <w:rPr>
          <w:rFonts w:eastAsiaTheme="minorEastAsia"/>
          <w:szCs w:val="24"/>
        </w:rPr>
        <w:t xml:space="preserve"> , which is a dummy that accounts for the introduction of regulations that expand the coverage of regulated pesticides by country </w:t>
      </w:r>
      <w:proofErr w:type="spellStart"/>
      <w:r w:rsidRPr="002116A8">
        <w:rPr>
          <w:rFonts w:eastAsiaTheme="minorEastAsia"/>
          <w:szCs w:val="24"/>
        </w:rPr>
        <w:t>i</w:t>
      </w:r>
      <w:proofErr w:type="spellEnd"/>
      <w:r w:rsidRPr="002116A8">
        <w:rPr>
          <w:rFonts w:eastAsiaTheme="minorEastAsia"/>
          <w:szCs w:val="24"/>
        </w:rPr>
        <w:t xml:space="preserve"> in year t, as described in section 2. The variable takes on the value of </w:t>
      </w:r>
      <w:r w:rsidR="005103C9">
        <w:rPr>
          <w:rFonts w:eastAsiaTheme="minorEastAsia"/>
          <w:szCs w:val="24"/>
        </w:rPr>
        <w:t xml:space="preserve">one </w:t>
      </w:r>
      <w:r w:rsidRPr="002116A8">
        <w:rPr>
          <w:rFonts w:eastAsiaTheme="minorEastAsia"/>
          <w:szCs w:val="24"/>
        </w:rPr>
        <w:t xml:space="preserve">the year when the regulations are introduced and afterwards, and </w:t>
      </w:r>
      <w:r w:rsidR="005103C9">
        <w:rPr>
          <w:rFonts w:eastAsiaTheme="minorEastAsia"/>
          <w:szCs w:val="24"/>
        </w:rPr>
        <w:t>zero</w:t>
      </w:r>
      <w:r w:rsidRPr="002116A8">
        <w:rPr>
          <w:rFonts w:eastAsiaTheme="minorEastAsia"/>
          <w:szCs w:val="24"/>
        </w:rPr>
        <w:t xml:space="preserve"> otherwise. The estimated coefficient on the dummy is expected to be negative, that is an increase in the coverage of regulated pesticides leads to a decline in tea exports from China. </w:t>
      </w:r>
    </w:p>
    <w:p w:rsidR="002116A8" w:rsidRPr="002116A8" w:rsidRDefault="002116A8" w:rsidP="002116A8">
      <w:pPr>
        <w:pStyle w:val="NewPara"/>
      </w:pPr>
      <w:r w:rsidRPr="002116A8">
        <w:rPr>
          <w:rFonts w:eastAsiaTheme="minorEastAsia"/>
          <w:szCs w:val="24"/>
        </w:rPr>
        <w:t xml:space="preserve">Data used for the analysis were drawn from various sources. GDP values were from the World Development Indicators (WDI) of the </w:t>
      </w:r>
      <w:r w:rsidR="005103C9">
        <w:rPr>
          <w:rFonts w:eastAsiaTheme="minorEastAsia"/>
          <w:szCs w:val="24"/>
        </w:rPr>
        <w:t>World B</w:t>
      </w:r>
      <w:r w:rsidRPr="002116A8">
        <w:rPr>
          <w:rFonts w:eastAsiaTheme="minorEastAsia"/>
          <w:szCs w:val="24"/>
        </w:rPr>
        <w:t xml:space="preserve">ank. Tea production </w:t>
      </w:r>
      <w:r w:rsidR="005103C9">
        <w:rPr>
          <w:rFonts w:eastAsiaTheme="minorEastAsia"/>
          <w:szCs w:val="24"/>
        </w:rPr>
        <w:t xml:space="preserve">data </w:t>
      </w:r>
      <w:r w:rsidRPr="002116A8">
        <w:rPr>
          <w:rFonts w:eastAsiaTheme="minorEastAsia"/>
          <w:szCs w:val="24"/>
        </w:rPr>
        <w:t xml:space="preserve">were extracted from the </w:t>
      </w:r>
      <w:r w:rsidR="00380DEA">
        <w:rPr>
          <w:rFonts w:eastAsiaTheme="minorEastAsia"/>
          <w:szCs w:val="24"/>
        </w:rPr>
        <w:t xml:space="preserve">IGG/Tea </w:t>
      </w:r>
      <w:r w:rsidRPr="002116A8">
        <w:rPr>
          <w:rFonts w:eastAsiaTheme="minorEastAsia"/>
          <w:szCs w:val="24"/>
        </w:rPr>
        <w:t xml:space="preserve">database, while export of China by destination were </w:t>
      </w:r>
      <w:r w:rsidR="00380DEA">
        <w:rPr>
          <w:rFonts w:eastAsiaTheme="minorEastAsia"/>
          <w:szCs w:val="24"/>
        </w:rPr>
        <w:t xml:space="preserve">taken </w:t>
      </w:r>
      <w:r w:rsidRPr="002116A8">
        <w:rPr>
          <w:rFonts w:eastAsiaTheme="minorEastAsia"/>
          <w:szCs w:val="24"/>
        </w:rPr>
        <w:t xml:space="preserve">from </w:t>
      </w:r>
      <w:r w:rsidR="00380DEA">
        <w:rPr>
          <w:rFonts w:eastAsiaTheme="minorEastAsia"/>
          <w:szCs w:val="24"/>
        </w:rPr>
        <w:t xml:space="preserve">the </w:t>
      </w:r>
      <w:r w:rsidRPr="002116A8">
        <w:rPr>
          <w:rFonts w:eastAsiaTheme="minorEastAsia"/>
          <w:szCs w:val="24"/>
        </w:rPr>
        <w:t xml:space="preserve">Global Trade Information System (GTIS). Tariff rates applied by major importing countries were from the World Integrated Trade Solutions (WITS) of the World Bank. Values for MRLs of </w:t>
      </w:r>
      <w:proofErr w:type="spellStart"/>
      <w:r w:rsidRPr="002116A8">
        <w:rPr>
          <w:rFonts w:eastAsiaTheme="minorEastAsia"/>
          <w:szCs w:val="24"/>
        </w:rPr>
        <w:t>endosulfane</w:t>
      </w:r>
      <w:proofErr w:type="spellEnd"/>
      <w:r w:rsidRPr="002116A8">
        <w:rPr>
          <w:rFonts w:eastAsiaTheme="minorEastAsia"/>
          <w:szCs w:val="24"/>
        </w:rPr>
        <w:t xml:space="preserve"> were drawn from various sources, including the FAO </w:t>
      </w:r>
      <w:r w:rsidR="00380DEA">
        <w:rPr>
          <w:rFonts w:eastAsiaTheme="minorEastAsia"/>
          <w:szCs w:val="24"/>
        </w:rPr>
        <w:t>Codex</w:t>
      </w:r>
      <w:r w:rsidRPr="002116A8">
        <w:rPr>
          <w:rFonts w:eastAsiaTheme="minorEastAsia"/>
          <w:szCs w:val="24"/>
        </w:rPr>
        <w:t xml:space="preserve"> database on pesticides. The coverage of regulated pesticides was based on various policy documents and literature review. Both China’s tea export values and GDP values were deflated using the United States consumer price index (CPI). The analysis carried out for this study covered the period between 1995 and 2015 and was limited to the major importers of China’s tea that had an established database for MRLs in tea. These include</w:t>
      </w:r>
      <w:r w:rsidR="00380DEA">
        <w:rPr>
          <w:rFonts w:eastAsiaTheme="minorEastAsia"/>
          <w:szCs w:val="24"/>
        </w:rPr>
        <w:t xml:space="preserve">d: Canada, the EU, Japan, </w:t>
      </w:r>
      <w:r w:rsidRPr="002116A8">
        <w:rPr>
          <w:rFonts w:eastAsiaTheme="minorEastAsia"/>
          <w:szCs w:val="24"/>
        </w:rPr>
        <w:t xml:space="preserve">Korea </w:t>
      </w:r>
      <w:r w:rsidR="00380DEA">
        <w:rPr>
          <w:rFonts w:eastAsiaTheme="minorEastAsia"/>
          <w:szCs w:val="24"/>
        </w:rPr>
        <w:t>(</w:t>
      </w:r>
      <w:r w:rsidRPr="002116A8">
        <w:rPr>
          <w:rFonts w:eastAsiaTheme="minorEastAsia"/>
          <w:szCs w:val="24"/>
        </w:rPr>
        <w:t>Republic of</w:t>
      </w:r>
      <w:r w:rsidR="00380DEA">
        <w:rPr>
          <w:rFonts w:eastAsiaTheme="minorEastAsia"/>
          <w:szCs w:val="24"/>
        </w:rPr>
        <w:t>)</w:t>
      </w:r>
      <w:r w:rsidRPr="002116A8">
        <w:rPr>
          <w:rFonts w:eastAsiaTheme="minorEastAsia"/>
          <w:szCs w:val="24"/>
        </w:rPr>
        <w:t xml:space="preserve"> and the United States.   </w:t>
      </w:r>
    </w:p>
    <w:p w:rsidR="002116A8" w:rsidRDefault="002116A8" w:rsidP="002116A8">
      <w:pPr>
        <w:pStyle w:val="NewPara"/>
      </w:pPr>
      <w:r>
        <w:t xml:space="preserve">The gravity model as specified in equation 1 was estimated using two estimation methods: ordinary least squares (OLS) and country fixed-effect approach (FE). OLS often gives results that are inconsistent when estimating a gravity model, mainly because of the covariance that often occurs between the error term and the explanatory variables due to omitted variable bias. Country fixed-effect model, however, addresses the issue of omitted variable bias by controlling </w:t>
      </w:r>
      <w:r w:rsidRPr="00926D9C">
        <w:t>for country</w:t>
      </w:r>
      <w:r>
        <w:t xml:space="preserve"> specific variables that do not vary over time such as preferences, geography, and distance (Anderson and van </w:t>
      </w:r>
      <w:proofErr w:type="spellStart"/>
      <w:r>
        <w:t>Wincoop</w:t>
      </w:r>
      <w:proofErr w:type="spellEnd"/>
      <w:r>
        <w:t xml:space="preserve">, 2003), as these become correlated with the explanatory variables if included in the error term. The estimated coefficients reported </w:t>
      </w:r>
      <w:r w:rsidR="005103C9">
        <w:t xml:space="preserve">in </w:t>
      </w:r>
      <w:r>
        <w:t xml:space="preserve">this study </w:t>
      </w:r>
      <w:r w:rsidR="005103C9">
        <w:t xml:space="preserve">are those </w:t>
      </w:r>
      <w:r>
        <w:t xml:space="preserve">obtained </w:t>
      </w:r>
      <w:r w:rsidR="005103C9">
        <w:t xml:space="preserve">from </w:t>
      </w:r>
      <w:r>
        <w:t xml:space="preserve">the fixed-effect model, as the results were more robust than those </w:t>
      </w:r>
      <w:r w:rsidR="005103C9">
        <w:t>obtained using the OLS method</w:t>
      </w:r>
      <w:r>
        <w:t xml:space="preserve">. </w:t>
      </w:r>
    </w:p>
    <w:p w:rsidR="002116A8" w:rsidRDefault="002116A8" w:rsidP="002116A8">
      <w:pPr>
        <w:pStyle w:val="Heading1"/>
        <w:spacing w:after="200"/>
        <w:ind w:left="1" w:firstLine="0"/>
      </w:pPr>
      <w:r>
        <w:t>SUMMARY OF MAIN FINDINGS</w:t>
      </w:r>
    </w:p>
    <w:p w:rsidR="002116A8" w:rsidRDefault="002116A8" w:rsidP="002116A8">
      <w:pPr>
        <w:pStyle w:val="NewPara"/>
      </w:pPr>
      <w:r w:rsidRPr="00022A4A">
        <w:t>Results of the fixed-effect estimation are reported in table 1. All the coefficients had the expected sign</w:t>
      </w:r>
      <w:r w:rsidR="00357295">
        <w:t>s</w:t>
      </w:r>
      <w:r w:rsidRPr="00022A4A">
        <w:t xml:space="preserve"> and were generally significant at the 5 percent level, with the exception of the variable </w:t>
      </w:r>
      <w:r>
        <w:t>D</w:t>
      </w:r>
      <w:r w:rsidRPr="00022A4A">
        <w:t>2007_EU. For example, the estimated coefficient for GDP</w:t>
      </w:r>
      <w:r>
        <w:t>, a proxy for per capita income</w:t>
      </w:r>
      <w:r w:rsidRPr="00022A4A">
        <w:t>, was statistically significant and positively associated with export</w:t>
      </w:r>
      <w:r w:rsidR="00357295">
        <w:t xml:space="preserve"> demand</w:t>
      </w:r>
      <w:r w:rsidRPr="00022A4A">
        <w:t>, and it indicated that a 1 percent increase in real GDP would lead to, on average, an increase of 1.01 percent of China’s tea export. Similarly, a 1 percent rise in tea production in China in the previous year, le</w:t>
      </w:r>
      <w:r w:rsidR="00357295">
        <w:t>a</w:t>
      </w:r>
      <w:r w:rsidRPr="00022A4A">
        <w:t>d</w:t>
      </w:r>
      <w:r w:rsidR="00357295">
        <w:t>s</w:t>
      </w:r>
      <w:r w:rsidRPr="00022A4A">
        <w:t xml:space="preserve"> to a 0.67 percent increase in tea export f</w:t>
      </w:r>
      <w:r>
        <w:t xml:space="preserve">rom </w:t>
      </w:r>
      <w:r w:rsidRPr="00022A4A">
        <w:t>China in the current year.</w:t>
      </w:r>
      <w:r w:rsidR="00357295">
        <w:t xml:space="preserve"> Another variable of interest i</w:t>
      </w:r>
      <w:r w:rsidRPr="00022A4A">
        <w:t>s the t</w:t>
      </w:r>
      <w:r w:rsidR="00357295">
        <w:t>ea import tariff. Results show</w:t>
      </w:r>
      <w:r w:rsidRPr="00022A4A">
        <w:t xml:space="preserve"> that a 1 percent hike in the imp</w:t>
      </w:r>
      <w:r>
        <w:t>o</w:t>
      </w:r>
      <w:r w:rsidRPr="00022A4A">
        <w:t xml:space="preserve">rt tariff rates applied by the major tea importing </w:t>
      </w:r>
      <w:r w:rsidRPr="00022A4A">
        <w:lastRenderedPageBreak/>
        <w:t xml:space="preserve">countries translates into a 0.46 decline in </w:t>
      </w:r>
      <w:r>
        <w:t xml:space="preserve">China’s tea </w:t>
      </w:r>
      <w:r w:rsidRPr="00022A4A">
        <w:t>export</w:t>
      </w:r>
      <w:r w:rsidR="00357295">
        <w:t>s</w:t>
      </w:r>
      <w:r w:rsidRPr="00022A4A">
        <w:t>.</w:t>
      </w:r>
      <w:r>
        <w:t xml:space="preserve"> The minor impact reflects the fact that most of the main importing countries have no, or relatively low, import tariffs on tea.</w:t>
      </w:r>
      <w:r w:rsidRPr="00022A4A">
        <w:t xml:space="preserve"> </w:t>
      </w:r>
    </w:p>
    <w:p w:rsidR="002116A8" w:rsidRDefault="002116A8" w:rsidP="002116A8">
      <w:pPr>
        <w:pStyle w:val="NewPara"/>
      </w:pPr>
      <w:r w:rsidRPr="00022A4A">
        <w:t xml:space="preserve">For the purpose of this study, the most </w:t>
      </w:r>
      <w:r w:rsidR="00357295">
        <w:t xml:space="preserve">relevant </w:t>
      </w:r>
      <w:r w:rsidRPr="00022A4A">
        <w:t xml:space="preserve">results </w:t>
      </w:r>
      <w:r w:rsidR="00357295">
        <w:t xml:space="preserve">are </w:t>
      </w:r>
      <w:r w:rsidRPr="00022A4A">
        <w:t>those obtained f</w:t>
      </w:r>
      <w:r w:rsidR="00357295">
        <w:t xml:space="preserve">or the variables that account </w:t>
      </w:r>
      <w:r w:rsidRPr="00022A4A">
        <w:t xml:space="preserve">for the impact of food safety regulations on tea trade. We first started by looking at the </w:t>
      </w:r>
      <w:proofErr w:type="gramStart"/>
      <w:r w:rsidR="00380DEA">
        <w:t xml:space="preserve">variable </w:t>
      </w:r>
      <w:proofErr w:type="gramEnd"/>
      <m:oMath>
        <m:sSub>
          <m:sSubPr>
            <m:ctrlPr>
              <w:rPr>
                <w:rFonts w:ascii="Cambria Math" w:hAnsi="Cambria Math"/>
              </w:rPr>
            </m:ctrlPr>
          </m:sSubPr>
          <m:e>
            <m:r>
              <m:rPr>
                <m:sty m:val="p"/>
              </m:rPr>
              <w:rPr>
                <w:rFonts w:ascii="Cambria Math" w:hAnsi="Cambria Math"/>
              </w:rPr>
              <m:t>END</m:t>
            </m:r>
          </m:e>
          <m:sub>
            <m:r>
              <m:rPr>
                <m:sty m:val="p"/>
              </m:rPr>
              <w:rPr>
                <w:rFonts w:ascii="Cambria Math" w:hAnsi="Cambria Math"/>
              </w:rPr>
              <m:t>it</m:t>
            </m:r>
          </m:sub>
        </m:sSub>
      </m:oMath>
      <w:r w:rsidRPr="00022A4A">
        <w:t>, which accounted for the effect of MRLs set for endosulfane. The estimated coefficient based on the FE approach showed that it was positively associated with China’s export</w:t>
      </w:r>
      <w:r w:rsidR="00357295">
        <w:t>s of tea at the 5 </w:t>
      </w:r>
      <w:r w:rsidRPr="00022A4A">
        <w:t xml:space="preserve">percent </w:t>
      </w:r>
      <w:r w:rsidR="00357295">
        <w:t xml:space="preserve">significance </w:t>
      </w:r>
      <w:r w:rsidRPr="00022A4A">
        <w:t xml:space="preserve">level. That is a 1 percent increase in MRL for </w:t>
      </w:r>
      <w:proofErr w:type="spellStart"/>
      <w:r w:rsidRPr="00022A4A">
        <w:t>endosulfane</w:t>
      </w:r>
      <w:proofErr w:type="spellEnd"/>
      <w:r w:rsidRPr="00022A4A">
        <w:t xml:space="preserve"> translates into a 0.02 percent increase in export of tea. For example, if limits on </w:t>
      </w:r>
      <w:proofErr w:type="spellStart"/>
      <w:r w:rsidRPr="00022A4A">
        <w:t>endosulfane</w:t>
      </w:r>
      <w:proofErr w:type="spellEnd"/>
      <w:r w:rsidRPr="00022A4A">
        <w:t xml:space="preserve"> were relaxed and set at 30</w:t>
      </w:r>
      <w:r>
        <w:t xml:space="preserve"> </w:t>
      </w:r>
      <w:r w:rsidRPr="00022A4A">
        <w:t>ppm instead of 20</w:t>
      </w:r>
      <w:r>
        <w:t xml:space="preserve"> </w:t>
      </w:r>
      <w:r w:rsidRPr="00022A4A">
        <w:t>ppm, which corresponds to a 50 percent rise, then tea export</w:t>
      </w:r>
      <w:r>
        <w:t xml:space="preserve"> value</w:t>
      </w:r>
      <w:r w:rsidRPr="00022A4A">
        <w:t>s from China would go up by 1 percent. This supp</w:t>
      </w:r>
      <w:r w:rsidR="00357295">
        <w:t xml:space="preserve">orts </w:t>
      </w:r>
      <w:bookmarkStart w:id="4" w:name="_GoBack"/>
      <w:bookmarkEnd w:id="4"/>
      <w:r w:rsidRPr="00022A4A">
        <w:t>one of the hypotheses of the study that c</w:t>
      </w:r>
      <w:r w:rsidR="001B0625">
        <w:t xml:space="preserve">hanges in MRL on </w:t>
      </w:r>
      <w:proofErr w:type="spellStart"/>
      <w:r w:rsidR="001B0625">
        <w:t>endosulfane</w:t>
      </w:r>
      <w:proofErr w:type="spellEnd"/>
      <w:r w:rsidR="001B0625">
        <w:t xml:space="preserve"> have</w:t>
      </w:r>
      <w:r w:rsidRPr="00022A4A">
        <w:t xml:space="preserve"> an effect on tea trade.</w:t>
      </w:r>
      <w:r>
        <w:t xml:space="preserve"> </w:t>
      </w:r>
      <w:r w:rsidRPr="00A70EAC">
        <w:t xml:space="preserve">Note that this estimate applies only to </w:t>
      </w:r>
      <w:proofErr w:type="spellStart"/>
      <w:r w:rsidRPr="00A70EAC">
        <w:t>endosulfane</w:t>
      </w:r>
      <w:proofErr w:type="spellEnd"/>
      <w:r w:rsidRPr="00A70EAC">
        <w:t xml:space="preserve">. Generally, MRLs in tea apply to other chemicals as well, and their effect is cumulative. Wei </w:t>
      </w:r>
      <w:r w:rsidRPr="00357295">
        <w:rPr>
          <w:i/>
        </w:rPr>
        <w:t>et al</w:t>
      </w:r>
      <w:r w:rsidRPr="00A70EAC">
        <w:t xml:space="preserve">. 2012 found that a 1 percent </w:t>
      </w:r>
      <w:r w:rsidR="001B0625">
        <w:t xml:space="preserve">decrease in default value </w:t>
      </w:r>
      <w:r w:rsidRPr="00A70EAC">
        <w:t xml:space="preserve">in MRLs of </w:t>
      </w:r>
      <w:proofErr w:type="spellStart"/>
      <w:r w:rsidRPr="00A70EAC">
        <w:t>fenvalerate</w:t>
      </w:r>
      <w:proofErr w:type="spellEnd"/>
      <w:r w:rsidRPr="00A70EAC">
        <w:t xml:space="preserve"> is likely to lead to a 0.18 percent decline in China’s tea export value. Therefore, if MRLs of </w:t>
      </w:r>
      <w:proofErr w:type="spellStart"/>
      <w:r w:rsidRPr="00A70EAC">
        <w:t>endosulfane</w:t>
      </w:r>
      <w:proofErr w:type="spellEnd"/>
      <w:r w:rsidRPr="00A70EAC">
        <w:t xml:space="preserve"> and </w:t>
      </w:r>
      <w:proofErr w:type="spellStart"/>
      <w:r w:rsidRPr="00A70EAC">
        <w:t>fenvalerate</w:t>
      </w:r>
      <w:proofErr w:type="spellEnd"/>
      <w:r w:rsidRPr="00A70EAC">
        <w:t xml:space="preserve"> were to become more stringent changing from 30 ppm to 0.01 ppm,</w:t>
      </w:r>
      <w:r>
        <w:t xml:space="preserve"> for example,</w:t>
      </w:r>
      <w:r w:rsidRPr="00A70EAC">
        <w:t xml:space="preserve"> then China’s tea export value would decline by 20 percent (i.e. (0.02+0.18)*(-99.96)). </w:t>
      </w:r>
    </w:p>
    <w:p w:rsidR="002116A8" w:rsidRDefault="002116A8" w:rsidP="002116A8">
      <w:pPr>
        <w:pStyle w:val="NewPara"/>
      </w:pPr>
      <w:r w:rsidRPr="00022A4A">
        <w:t>Likewise, the estim</w:t>
      </w:r>
      <w:r w:rsidR="00782B99">
        <w:t>ated coefficients that account</w:t>
      </w:r>
      <w:r w:rsidRPr="00022A4A">
        <w:t xml:space="preserve"> for the introduction of regulations that expand the coverage of regulated pesticides by importing countries </w:t>
      </w:r>
      <w:r w:rsidR="00782B99">
        <w:t xml:space="preserve">are </w:t>
      </w:r>
      <w:r w:rsidRPr="00022A4A">
        <w:t>all statistically significant and negatively associated with China’s tea export. For example, the introduction of MRLs on a number of pesticides in 2001 and 2003</w:t>
      </w:r>
      <w:r>
        <w:t xml:space="preserve"> by the EU</w:t>
      </w:r>
      <w:r w:rsidRPr="00022A4A">
        <w:t xml:space="preserve"> had a negative effect on the dependent variable. On the contrary, the expansion of regulated pesticides in 2007 by the EU did not have a significant effect on China’s tea export, probably because most of the relevant pesticides were already covered by the regulated lists in 2001 and 2003. Also, the estimated coefficient to account for an expansion on the coverage of regulated pesticides introduced by Japan in 2006 was negatively associated with China’s tea export</w:t>
      </w:r>
      <w:r w:rsidR="00782B99">
        <w:t>s</w:t>
      </w:r>
      <w:r w:rsidRPr="00022A4A">
        <w:t xml:space="preserve"> and statistically significant at the 5 percent level.</w:t>
      </w:r>
    </w:p>
    <w:p w:rsidR="002116A8" w:rsidRDefault="002116A8" w:rsidP="002116A8">
      <w:pPr>
        <w:pStyle w:val="NewPara"/>
      </w:pPr>
      <w:r w:rsidRPr="008568AB">
        <w:t>On the basis of the regression results, we measured the import tariff equivalent</w:t>
      </w:r>
      <w:r>
        <w:t xml:space="preserve"> </w:t>
      </w:r>
      <w:r w:rsidRPr="008568AB">
        <w:t xml:space="preserve">of a change in food safety standards. </w:t>
      </w:r>
      <w:r>
        <w:t xml:space="preserve">The import tariff equivalent tells us by how much import tariffs on tea would have to increase to yield the same effect of </w:t>
      </w:r>
      <w:r w:rsidRPr="008568AB">
        <w:t xml:space="preserve">tighter MRLs on </w:t>
      </w:r>
      <w:proofErr w:type="spellStart"/>
      <w:r w:rsidRPr="008568AB">
        <w:t>endosulfane</w:t>
      </w:r>
      <w:proofErr w:type="spellEnd"/>
      <w:r>
        <w:t xml:space="preserve">. </w:t>
      </w:r>
      <w:r w:rsidRPr="008568AB">
        <w:t xml:space="preserve">For the purpose of illustration, we took the change in MRL of </w:t>
      </w:r>
      <w:proofErr w:type="spellStart"/>
      <w:r w:rsidRPr="008568AB">
        <w:t>endosulfane</w:t>
      </w:r>
      <w:proofErr w:type="spellEnd"/>
      <w:r w:rsidRPr="008568AB">
        <w:t xml:space="preserve"> in tea introduced by the EU, when limits </w:t>
      </w:r>
      <w:r>
        <w:t xml:space="preserve">changed </w:t>
      </w:r>
      <w:r w:rsidRPr="008568AB">
        <w:t>from 30</w:t>
      </w:r>
      <w:r>
        <w:t xml:space="preserve"> ppm in 2004 to 0.01 ppm in 2005</w:t>
      </w:r>
      <w:r w:rsidRPr="008568AB">
        <w:t xml:space="preserve">, corresponding to a 99.96 percent decline. Given the estimated elasticity of export with respect to </w:t>
      </w:r>
      <w:proofErr w:type="spellStart"/>
      <w:r w:rsidRPr="008568AB">
        <w:t>endosulfane</w:t>
      </w:r>
      <w:proofErr w:type="spellEnd"/>
      <w:r w:rsidRPr="008568AB">
        <w:t xml:space="preserve"> of 0.02, </w:t>
      </w:r>
      <w:r>
        <w:t xml:space="preserve">the percentage change in China’s tea export equivalent to a 99.96 percent decline in MRL of </w:t>
      </w:r>
      <w:proofErr w:type="spellStart"/>
      <w:r>
        <w:t>endosulfane</w:t>
      </w:r>
      <w:proofErr w:type="spellEnd"/>
      <w:r>
        <w:t xml:space="preserve"> is equal to -1.99 percent. Given the estimated</w:t>
      </w:r>
      <w:r w:rsidRPr="008568AB">
        <w:t xml:space="preserve"> elasticity of export with respect to </w:t>
      </w:r>
      <w:r w:rsidRPr="00C941B9">
        <w:t>tariff of 0.46, as reported in table 1, the change from 30 ppm to 0.01 ppm, was equivalent to a 4.32 percentage</w:t>
      </w:r>
      <w:r w:rsidRPr="008568AB">
        <w:t xml:space="preserve"> point </w:t>
      </w:r>
      <w:r>
        <w:t xml:space="preserve">increase </w:t>
      </w:r>
      <w:r w:rsidRPr="008568AB">
        <w:t>in import tariff</w:t>
      </w:r>
      <w:r>
        <w:t xml:space="preserve"> (i.e. -1.99/-0.46)</w:t>
      </w:r>
      <w:r w:rsidRPr="008568AB">
        <w:t>.</w:t>
      </w:r>
      <w:r>
        <w:t xml:space="preserve"> In other words, the effect of </w:t>
      </w:r>
      <w:r w:rsidRPr="008568AB">
        <w:t xml:space="preserve">tighter MRLs on </w:t>
      </w:r>
      <w:proofErr w:type="spellStart"/>
      <w:r w:rsidRPr="008568AB">
        <w:t>endosulfane</w:t>
      </w:r>
      <w:proofErr w:type="spellEnd"/>
      <w:r w:rsidRPr="008568AB">
        <w:t>, from 30</w:t>
      </w:r>
      <w:r>
        <w:t xml:space="preserve"> </w:t>
      </w:r>
      <w:r w:rsidRPr="008568AB">
        <w:t xml:space="preserve">ppm to 0.01 ppm, was equivalent </w:t>
      </w:r>
      <w:r w:rsidRPr="00C941B9">
        <w:t>to a 4.32 percentage</w:t>
      </w:r>
      <w:r w:rsidRPr="008568AB">
        <w:t xml:space="preserve"> point increase in import tariff rate applied to China’s export of tea by the EU. </w:t>
      </w:r>
      <w:r>
        <w:t xml:space="preserve">The corresponding effect on trade was a decline by about 2 percentage point of tea export value for China. </w:t>
      </w:r>
    </w:p>
    <w:p w:rsidR="00782B99" w:rsidRDefault="00782B99">
      <w:pPr>
        <w:spacing w:line="276" w:lineRule="auto"/>
        <w:rPr>
          <w:b/>
          <w:bCs/>
        </w:rPr>
      </w:pPr>
      <w:r>
        <w:rPr>
          <w:b/>
          <w:bCs/>
        </w:rPr>
        <w:br w:type="page"/>
      </w:r>
    </w:p>
    <w:p w:rsidR="002116A8" w:rsidRDefault="002116A8" w:rsidP="002116A8">
      <w:pPr>
        <w:ind w:firstLine="720"/>
        <w:jc w:val="center"/>
        <w:rPr>
          <w:rFonts w:ascii="Arial" w:hAnsi="Arial" w:cs="Arial"/>
          <w:sz w:val="16"/>
          <w:szCs w:val="16"/>
          <w:lang w:val="en-US"/>
        </w:rPr>
      </w:pPr>
      <w:proofErr w:type="gramStart"/>
      <w:r w:rsidRPr="0031391B">
        <w:rPr>
          <w:b/>
          <w:bCs/>
        </w:rPr>
        <w:lastRenderedPageBreak/>
        <w:t>Table 1.</w:t>
      </w:r>
      <w:proofErr w:type="gramEnd"/>
      <w:r w:rsidRPr="0031391B">
        <w:rPr>
          <w:b/>
          <w:bCs/>
        </w:rPr>
        <w:t xml:space="preserve"> </w:t>
      </w:r>
      <w:r>
        <w:rPr>
          <w:b/>
          <w:bCs/>
        </w:rPr>
        <w:t>Estimated r</w:t>
      </w:r>
      <w:r w:rsidRPr="0031391B">
        <w:rPr>
          <w:b/>
          <w:bCs/>
        </w:rPr>
        <w:t xml:space="preserve">esults </w:t>
      </w:r>
      <w:r>
        <w:rPr>
          <w:b/>
          <w:bCs/>
        </w:rPr>
        <w:t>for the gravity model</w:t>
      </w:r>
    </w:p>
    <w:tbl>
      <w:tblPr>
        <w:tblW w:w="6474" w:type="dxa"/>
        <w:jc w:val="center"/>
        <w:tblInd w:w="97" w:type="dxa"/>
        <w:tblLook w:val="04A0" w:firstRow="1" w:lastRow="0" w:firstColumn="1" w:lastColumn="0" w:noHBand="0" w:noVBand="1"/>
      </w:tblPr>
      <w:tblGrid>
        <w:gridCol w:w="1805"/>
        <w:gridCol w:w="1167"/>
        <w:gridCol w:w="1168"/>
        <w:gridCol w:w="1167"/>
        <w:gridCol w:w="1167"/>
      </w:tblGrid>
      <w:tr w:rsidR="002116A8" w:rsidRPr="0031391B" w:rsidTr="00B0550E">
        <w:trPr>
          <w:trHeight w:val="278"/>
          <w:jc w:val="center"/>
        </w:trPr>
        <w:tc>
          <w:tcPr>
            <w:tcW w:w="1805" w:type="dxa"/>
            <w:tcBorders>
              <w:top w:val="nil"/>
              <w:left w:val="nil"/>
              <w:bottom w:val="single" w:sz="4" w:space="0" w:color="auto"/>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Variable</w:t>
            </w:r>
          </w:p>
        </w:tc>
        <w:tc>
          <w:tcPr>
            <w:tcW w:w="1167" w:type="dxa"/>
            <w:tcBorders>
              <w:top w:val="nil"/>
              <w:left w:val="nil"/>
              <w:bottom w:val="single" w:sz="4" w:space="0" w:color="auto"/>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Coefficient</w:t>
            </w:r>
          </w:p>
        </w:tc>
        <w:tc>
          <w:tcPr>
            <w:tcW w:w="1167" w:type="dxa"/>
            <w:tcBorders>
              <w:top w:val="nil"/>
              <w:left w:val="nil"/>
              <w:bottom w:val="single" w:sz="4" w:space="0" w:color="auto"/>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Std. Error</w:t>
            </w:r>
          </w:p>
        </w:tc>
        <w:tc>
          <w:tcPr>
            <w:tcW w:w="1167" w:type="dxa"/>
            <w:tcBorders>
              <w:top w:val="nil"/>
              <w:left w:val="nil"/>
              <w:bottom w:val="single" w:sz="4" w:space="0" w:color="auto"/>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t-Statistic</w:t>
            </w:r>
          </w:p>
        </w:tc>
        <w:tc>
          <w:tcPr>
            <w:tcW w:w="1167" w:type="dxa"/>
            <w:tcBorders>
              <w:top w:val="nil"/>
              <w:left w:val="nil"/>
              <w:bottom w:val="single" w:sz="4" w:space="0" w:color="auto"/>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Prob.  </w:t>
            </w:r>
          </w:p>
        </w:tc>
      </w:tr>
      <w:tr w:rsidR="002116A8" w:rsidRPr="0031391B" w:rsidTr="00B0550E">
        <w:trPr>
          <w:trHeight w:val="278"/>
          <w:jc w:val="center"/>
        </w:trPr>
        <w:tc>
          <w:tcPr>
            <w:tcW w:w="1805"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LOG(GDP)</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1.012881</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0.144351</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7.016815</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w:t>
            </w:r>
          </w:p>
        </w:tc>
      </w:tr>
      <w:tr w:rsidR="002116A8" w:rsidRPr="0031391B" w:rsidTr="00B0550E">
        <w:trPr>
          <w:trHeight w:val="278"/>
          <w:jc w:val="center"/>
        </w:trPr>
        <w:tc>
          <w:tcPr>
            <w:tcW w:w="1805"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LOG(QP(-1))</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0.672366</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0.071504</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9.403265</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w:t>
            </w:r>
          </w:p>
        </w:tc>
      </w:tr>
      <w:tr w:rsidR="002116A8" w:rsidRPr="0031391B" w:rsidTr="00B0550E">
        <w:trPr>
          <w:trHeight w:val="278"/>
          <w:jc w:val="center"/>
        </w:trPr>
        <w:tc>
          <w:tcPr>
            <w:tcW w:w="1805"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D2001_EU</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-0.555289</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0.131109</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-4.235309</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0.0001</w:t>
            </w:r>
          </w:p>
        </w:tc>
      </w:tr>
      <w:tr w:rsidR="002116A8" w:rsidRPr="0031391B" w:rsidTr="00B0550E">
        <w:trPr>
          <w:trHeight w:val="278"/>
          <w:jc w:val="center"/>
        </w:trPr>
        <w:tc>
          <w:tcPr>
            <w:tcW w:w="1805"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D2003_EU</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-0.439346</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0.140421</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-3.128768</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0.0024</w:t>
            </w:r>
          </w:p>
        </w:tc>
      </w:tr>
      <w:tr w:rsidR="002116A8" w:rsidRPr="0031391B" w:rsidTr="00B0550E">
        <w:trPr>
          <w:trHeight w:val="278"/>
          <w:jc w:val="center"/>
        </w:trPr>
        <w:tc>
          <w:tcPr>
            <w:tcW w:w="1805"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D2007_EU</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-0.035615</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0.065191</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-0.546317</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0.5862</w:t>
            </w:r>
          </w:p>
        </w:tc>
      </w:tr>
      <w:tr w:rsidR="002116A8" w:rsidRPr="0031391B" w:rsidTr="00B0550E">
        <w:trPr>
          <w:trHeight w:val="278"/>
          <w:jc w:val="center"/>
        </w:trPr>
        <w:tc>
          <w:tcPr>
            <w:tcW w:w="1805"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D2006_JPN</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-0.667629</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0.125166</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-5.333938</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w:t>
            </w:r>
          </w:p>
        </w:tc>
      </w:tr>
      <w:tr w:rsidR="002116A8" w:rsidRPr="0031391B" w:rsidTr="00B0550E">
        <w:trPr>
          <w:trHeight w:val="278"/>
          <w:jc w:val="center"/>
        </w:trPr>
        <w:tc>
          <w:tcPr>
            <w:tcW w:w="1805"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LOG(TARIFF+1)</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-0.459657</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0.22648</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-2.029571</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0.0455</w:t>
            </w:r>
          </w:p>
        </w:tc>
      </w:tr>
      <w:tr w:rsidR="002116A8" w:rsidRPr="0031391B" w:rsidTr="00B0550E">
        <w:trPr>
          <w:trHeight w:val="278"/>
          <w:jc w:val="center"/>
        </w:trPr>
        <w:tc>
          <w:tcPr>
            <w:tcW w:w="1805"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LOG(ENDO)</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0.021035</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0.00848</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2.480635</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0.015</w:t>
            </w:r>
          </w:p>
        </w:tc>
      </w:tr>
      <w:tr w:rsidR="002116A8" w:rsidRPr="0031391B" w:rsidTr="00B0550E">
        <w:trPr>
          <w:trHeight w:val="278"/>
          <w:jc w:val="center"/>
        </w:trPr>
        <w:tc>
          <w:tcPr>
            <w:tcW w:w="1805" w:type="dxa"/>
            <w:tcBorders>
              <w:top w:val="nil"/>
              <w:left w:val="nil"/>
              <w:bottom w:val="single" w:sz="4" w:space="0" w:color="auto"/>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C</w:t>
            </w:r>
          </w:p>
        </w:tc>
        <w:tc>
          <w:tcPr>
            <w:tcW w:w="1167" w:type="dxa"/>
            <w:tcBorders>
              <w:top w:val="nil"/>
              <w:left w:val="nil"/>
              <w:bottom w:val="single" w:sz="4" w:space="0" w:color="auto"/>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-16.38823</w:t>
            </w:r>
          </w:p>
        </w:tc>
        <w:tc>
          <w:tcPr>
            <w:tcW w:w="1167" w:type="dxa"/>
            <w:tcBorders>
              <w:top w:val="nil"/>
              <w:left w:val="nil"/>
              <w:bottom w:val="single" w:sz="4" w:space="0" w:color="auto"/>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3.951989</w:t>
            </w:r>
          </w:p>
        </w:tc>
        <w:tc>
          <w:tcPr>
            <w:tcW w:w="1167" w:type="dxa"/>
            <w:tcBorders>
              <w:top w:val="nil"/>
              <w:left w:val="nil"/>
              <w:bottom w:val="single" w:sz="4" w:space="0" w:color="auto"/>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-4.146832</w:t>
            </w:r>
          </w:p>
        </w:tc>
        <w:tc>
          <w:tcPr>
            <w:tcW w:w="1167" w:type="dxa"/>
            <w:tcBorders>
              <w:top w:val="nil"/>
              <w:left w:val="nil"/>
              <w:bottom w:val="single" w:sz="4" w:space="0" w:color="auto"/>
              <w:right w:val="nil"/>
            </w:tcBorders>
            <w:shd w:val="clear" w:color="auto" w:fill="auto"/>
            <w:noWrap/>
            <w:vAlign w:val="bottom"/>
            <w:hideMark/>
          </w:tcPr>
          <w:p w:rsidR="002116A8" w:rsidRPr="0031391B" w:rsidRDefault="002116A8" w:rsidP="00B0550E">
            <w:pPr>
              <w:spacing w:after="0"/>
              <w:jc w:val="center"/>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0.0001</w:t>
            </w:r>
          </w:p>
        </w:tc>
      </w:tr>
      <w:tr w:rsidR="002116A8" w:rsidRPr="0031391B" w:rsidTr="00B0550E">
        <w:trPr>
          <w:trHeight w:val="278"/>
          <w:jc w:val="center"/>
        </w:trPr>
        <w:tc>
          <w:tcPr>
            <w:tcW w:w="1805"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Effects Specification</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p>
        </w:tc>
      </w:tr>
      <w:tr w:rsidR="002116A8" w:rsidRPr="0031391B" w:rsidTr="00B0550E">
        <w:trPr>
          <w:trHeight w:val="278"/>
          <w:jc w:val="center"/>
        </w:trPr>
        <w:tc>
          <w:tcPr>
            <w:tcW w:w="4140" w:type="dxa"/>
            <w:gridSpan w:val="3"/>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Cross-section fixed (dummy variables)</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p>
        </w:tc>
      </w:tr>
      <w:tr w:rsidR="002116A8" w:rsidRPr="0031391B" w:rsidTr="00B0550E">
        <w:trPr>
          <w:trHeight w:val="278"/>
          <w:jc w:val="center"/>
        </w:trPr>
        <w:tc>
          <w:tcPr>
            <w:tcW w:w="1805"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Adjusted R-squared</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right"/>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0.988115</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p>
        </w:tc>
      </w:tr>
      <w:tr w:rsidR="002116A8" w:rsidRPr="0031391B" w:rsidTr="00B0550E">
        <w:trPr>
          <w:trHeight w:val="278"/>
          <w:jc w:val="center"/>
        </w:trPr>
        <w:tc>
          <w:tcPr>
            <w:tcW w:w="1805"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F-statistic</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jc w:val="right"/>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686.9151</w:t>
            </w: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p>
        </w:tc>
        <w:tc>
          <w:tcPr>
            <w:tcW w:w="1167" w:type="dxa"/>
            <w:tcBorders>
              <w:top w:val="nil"/>
              <w:left w:val="nil"/>
              <w:bottom w:val="nil"/>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p>
        </w:tc>
      </w:tr>
      <w:tr w:rsidR="002116A8" w:rsidRPr="0031391B" w:rsidTr="00B0550E">
        <w:trPr>
          <w:trHeight w:val="278"/>
          <w:jc w:val="center"/>
        </w:trPr>
        <w:tc>
          <w:tcPr>
            <w:tcW w:w="1805" w:type="dxa"/>
            <w:tcBorders>
              <w:top w:val="nil"/>
              <w:left w:val="nil"/>
              <w:bottom w:val="single" w:sz="4" w:space="0" w:color="auto"/>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proofErr w:type="spellStart"/>
            <w:r w:rsidRPr="0031391B">
              <w:rPr>
                <w:rFonts w:ascii="Calibri" w:eastAsia="Times New Roman" w:hAnsi="Calibri" w:cs="Times New Roman"/>
                <w:color w:val="000000"/>
                <w:sz w:val="18"/>
                <w:szCs w:val="18"/>
                <w:lang w:val="en-US"/>
              </w:rPr>
              <w:t>Prob</w:t>
            </w:r>
            <w:proofErr w:type="spellEnd"/>
            <w:r w:rsidRPr="0031391B">
              <w:rPr>
                <w:rFonts w:ascii="Calibri" w:eastAsia="Times New Roman" w:hAnsi="Calibri" w:cs="Times New Roman"/>
                <w:color w:val="000000"/>
                <w:sz w:val="18"/>
                <w:szCs w:val="18"/>
                <w:lang w:val="en-US"/>
              </w:rPr>
              <w:t>(F-statistic)</w:t>
            </w:r>
          </w:p>
        </w:tc>
        <w:tc>
          <w:tcPr>
            <w:tcW w:w="1167" w:type="dxa"/>
            <w:tcBorders>
              <w:top w:val="nil"/>
              <w:left w:val="nil"/>
              <w:bottom w:val="single" w:sz="4" w:space="0" w:color="auto"/>
              <w:right w:val="nil"/>
            </w:tcBorders>
            <w:shd w:val="clear" w:color="auto" w:fill="auto"/>
            <w:noWrap/>
            <w:vAlign w:val="bottom"/>
            <w:hideMark/>
          </w:tcPr>
          <w:p w:rsidR="002116A8" w:rsidRPr="0031391B" w:rsidRDefault="002116A8" w:rsidP="00B0550E">
            <w:pPr>
              <w:spacing w:after="0"/>
              <w:jc w:val="right"/>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0</w:t>
            </w:r>
          </w:p>
        </w:tc>
        <w:tc>
          <w:tcPr>
            <w:tcW w:w="1167" w:type="dxa"/>
            <w:tcBorders>
              <w:top w:val="nil"/>
              <w:left w:val="nil"/>
              <w:bottom w:val="single" w:sz="4" w:space="0" w:color="auto"/>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 </w:t>
            </w:r>
          </w:p>
        </w:tc>
        <w:tc>
          <w:tcPr>
            <w:tcW w:w="1167" w:type="dxa"/>
            <w:tcBorders>
              <w:top w:val="nil"/>
              <w:left w:val="nil"/>
              <w:bottom w:val="single" w:sz="4" w:space="0" w:color="auto"/>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 </w:t>
            </w:r>
          </w:p>
        </w:tc>
        <w:tc>
          <w:tcPr>
            <w:tcW w:w="1167" w:type="dxa"/>
            <w:tcBorders>
              <w:top w:val="nil"/>
              <w:left w:val="nil"/>
              <w:bottom w:val="single" w:sz="4" w:space="0" w:color="auto"/>
              <w:right w:val="nil"/>
            </w:tcBorders>
            <w:shd w:val="clear" w:color="auto" w:fill="auto"/>
            <w:noWrap/>
            <w:vAlign w:val="bottom"/>
            <w:hideMark/>
          </w:tcPr>
          <w:p w:rsidR="002116A8" w:rsidRPr="0031391B" w:rsidRDefault="002116A8" w:rsidP="00B0550E">
            <w:pPr>
              <w:spacing w:after="0"/>
              <w:rPr>
                <w:rFonts w:ascii="Calibri" w:eastAsia="Times New Roman" w:hAnsi="Calibri" w:cs="Times New Roman"/>
                <w:color w:val="000000"/>
                <w:sz w:val="18"/>
                <w:szCs w:val="18"/>
                <w:lang w:val="en-US"/>
              </w:rPr>
            </w:pPr>
            <w:r w:rsidRPr="0031391B">
              <w:rPr>
                <w:rFonts w:ascii="Calibri" w:eastAsia="Times New Roman" w:hAnsi="Calibri" w:cs="Times New Roman"/>
                <w:color w:val="000000"/>
                <w:sz w:val="18"/>
                <w:szCs w:val="18"/>
                <w:lang w:val="en-US"/>
              </w:rPr>
              <w:t> </w:t>
            </w:r>
          </w:p>
        </w:tc>
      </w:tr>
    </w:tbl>
    <w:p w:rsidR="002116A8" w:rsidRPr="00782B99" w:rsidRDefault="002116A8" w:rsidP="002116A8">
      <w:pPr>
        <w:jc w:val="both"/>
        <w:rPr>
          <w:rFonts w:ascii="Arial" w:hAnsi="Arial" w:cs="Arial"/>
          <w:iCs/>
          <w:sz w:val="16"/>
          <w:szCs w:val="16"/>
          <w:lang w:val="en-US"/>
        </w:rPr>
      </w:pPr>
      <w:r>
        <w:rPr>
          <w:rFonts w:ascii="Arial" w:hAnsi="Arial" w:cs="Arial"/>
          <w:sz w:val="16"/>
          <w:szCs w:val="16"/>
          <w:lang w:val="en-US"/>
        </w:rPr>
        <w:t xml:space="preserve">                            </w:t>
      </w:r>
      <w:r w:rsidRPr="00782B99">
        <w:rPr>
          <w:rFonts w:ascii="Arial" w:hAnsi="Arial" w:cs="Arial"/>
          <w:iCs/>
          <w:sz w:val="16"/>
          <w:szCs w:val="16"/>
          <w:lang w:val="en-US"/>
        </w:rPr>
        <w:t>Source</w:t>
      </w:r>
      <w:r w:rsidR="00782B99" w:rsidRPr="00782B99">
        <w:rPr>
          <w:rFonts w:ascii="Arial" w:hAnsi="Arial" w:cs="Arial"/>
          <w:iCs/>
          <w:sz w:val="16"/>
          <w:szCs w:val="16"/>
          <w:lang w:val="en-US"/>
        </w:rPr>
        <w:t>: Secretariat of the FAO IGG on T</w:t>
      </w:r>
      <w:r w:rsidRPr="00782B99">
        <w:rPr>
          <w:rFonts w:ascii="Arial" w:hAnsi="Arial" w:cs="Arial"/>
          <w:iCs/>
          <w:sz w:val="16"/>
          <w:szCs w:val="16"/>
          <w:lang w:val="en-US"/>
        </w:rPr>
        <w:t>ea</w:t>
      </w:r>
      <w:r w:rsidR="00782B99">
        <w:rPr>
          <w:rFonts w:ascii="Arial" w:hAnsi="Arial" w:cs="Arial"/>
          <w:iCs/>
          <w:sz w:val="16"/>
          <w:szCs w:val="16"/>
          <w:lang w:val="en-US"/>
        </w:rPr>
        <w:t>.</w:t>
      </w:r>
    </w:p>
    <w:p w:rsidR="002116A8" w:rsidRDefault="002116A8" w:rsidP="002116A8">
      <w:pPr>
        <w:pStyle w:val="NewPara"/>
      </w:pPr>
      <w:r>
        <w:t xml:space="preserve"> The analysis on </w:t>
      </w:r>
      <w:proofErr w:type="spellStart"/>
      <w:r>
        <w:t>endosulfane</w:t>
      </w:r>
      <w:proofErr w:type="spellEnd"/>
      <w:r>
        <w:t xml:space="preserve"> also revealed that if the EU and Japan were to fix MRLs for </w:t>
      </w:r>
      <w:proofErr w:type="spellStart"/>
      <w:r>
        <w:t>endosulfane</w:t>
      </w:r>
      <w:proofErr w:type="spellEnd"/>
      <w:r>
        <w:t xml:space="preserve"> at the C</w:t>
      </w:r>
      <w:r w:rsidR="00380DEA">
        <w:t>odex</w:t>
      </w:r>
      <w:r>
        <w:t xml:space="preserve"> level, which would correspond to moving from a limit of 30 ppm to the C</w:t>
      </w:r>
      <w:r w:rsidR="00380DEA">
        <w:t>odex</w:t>
      </w:r>
      <w:r>
        <w:t xml:space="preserve"> fixed limit of 10 ppm, tea export from China would fall by an estimated 1.33 percentage point.</w:t>
      </w:r>
    </w:p>
    <w:p w:rsidR="002116A8" w:rsidRPr="002116A8" w:rsidRDefault="002116A8" w:rsidP="002116A8">
      <w:pPr>
        <w:pStyle w:val="NewPara"/>
      </w:pPr>
      <w:r>
        <w:t xml:space="preserve">Results of the estimated gravity model also showed that </w:t>
      </w:r>
      <w:r w:rsidRPr="002116A8">
        <w:rPr>
          <w:rFonts w:eastAsiaTheme="minorEastAsia"/>
          <w:szCs w:val="24"/>
        </w:rPr>
        <w:t xml:space="preserve">the introduction of policies that expand the coverage of regulated pesticides by country </w:t>
      </w:r>
      <w:proofErr w:type="spellStart"/>
      <w:r w:rsidRPr="002116A8">
        <w:rPr>
          <w:rFonts w:eastAsiaTheme="minorEastAsia"/>
          <w:szCs w:val="24"/>
        </w:rPr>
        <w:t>i</w:t>
      </w:r>
      <w:proofErr w:type="spellEnd"/>
      <w:r w:rsidRPr="002116A8">
        <w:rPr>
          <w:rFonts w:eastAsiaTheme="minorEastAsia"/>
          <w:szCs w:val="24"/>
        </w:rPr>
        <w:t xml:space="preserve"> in year t, captured through the dummy </w:t>
      </w:r>
      <w:proofErr w:type="gramStart"/>
      <w:r w:rsidRPr="002116A8">
        <w:rPr>
          <w:rFonts w:eastAsiaTheme="minorEastAsia"/>
          <w:szCs w:val="24"/>
        </w:rPr>
        <w:t xml:space="preserve">variable </w:t>
      </w:r>
      <m:oMath>
        <m:sSub>
          <m:sSubPr>
            <m:ctrlPr>
              <w:rPr>
                <w:rFonts w:ascii="Cambria Math" w:hAnsi="Cambria Math"/>
                <w:i/>
                <w:szCs w:val="24"/>
              </w:rPr>
            </m:ctrlPr>
          </m:sSubPr>
          <m:e>
            <w:proofErr w:type="gramEnd"/>
            <m:r>
              <w:rPr>
                <w:rFonts w:ascii="Cambria Math" w:hAnsi="Cambria Math"/>
                <w:szCs w:val="24"/>
              </w:rPr>
              <m:t>D</m:t>
            </m:r>
          </m:e>
          <m:sub>
            <m:r>
              <w:rPr>
                <w:rFonts w:ascii="Cambria Math" w:hAnsi="Cambria Math"/>
                <w:szCs w:val="24"/>
              </w:rPr>
              <m:t>it</m:t>
            </m:r>
          </m:sub>
        </m:sSub>
      </m:oMath>
      <w:r w:rsidRPr="002116A8">
        <w:rPr>
          <w:rFonts w:eastAsiaTheme="minorEastAsia"/>
          <w:szCs w:val="24"/>
        </w:rPr>
        <w:t xml:space="preserve"> , as described in section 3, had a negative impact on China’s tea export</w:t>
      </w:r>
      <w:r w:rsidR="00782B99">
        <w:rPr>
          <w:rFonts w:eastAsiaTheme="minorEastAsia"/>
          <w:szCs w:val="24"/>
        </w:rPr>
        <w:t>s</w:t>
      </w:r>
      <w:r w:rsidRPr="002116A8">
        <w:rPr>
          <w:rFonts w:eastAsiaTheme="minorEastAsia"/>
          <w:szCs w:val="24"/>
        </w:rPr>
        <w:t>. For example, the introduction by the EU of new regulations expanding the coverage of regulated pesticides in 2001 and 2003 had a statistically significant negative effect on China’s tea export value. Similarly, the estimated coefficient on the dummy corresponding to the coverage of regulated pesticide introduced by Japan in 2006 had a negative and statistically significant effect on tea export</w:t>
      </w:r>
      <w:r w:rsidR="00782B99">
        <w:rPr>
          <w:rFonts w:eastAsiaTheme="minorEastAsia"/>
          <w:szCs w:val="24"/>
        </w:rPr>
        <w:t>s</w:t>
      </w:r>
      <w:r w:rsidRPr="002116A8">
        <w:rPr>
          <w:rFonts w:eastAsiaTheme="minorEastAsia"/>
          <w:szCs w:val="24"/>
        </w:rPr>
        <w:t xml:space="preserve"> from China. </w:t>
      </w:r>
    </w:p>
    <w:p w:rsidR="002116A8" w:rsidRDefault="002116A8" w:rsidP="002116A8">
      <w:pPr>
        <w:pStyle w:val="Heading1"/>
        <w:spacing w:after="200"/>
        <w:ind w:left="1" w:firstLine="0"/>
      </w:pPr>
      <w:r>
        <w:t>CONCLUSIONS</w:t>
      </w:r>
    </w:p>
    <w:p w:rsidR="002116A8" w:rsidRPr="002116A8" w:rsidRDefault="002116A8" w:rsidP="002116A8">
      <w:pPr>
        <w:pStyle w:val="NewPara"/>
      </w:pPr>
      <w:r w:rsidRPr="002116A8">
        <w:rPr>
          <w:rFonts w:eastAsiaTheme="minorEastAsia"/>
          <w:szCs w:val="24"/>
        </w:rPr>
        <w:t xml:space="preserve">Non-tariff barriers (NTBs), including MRLs measures </w:t>
      </w:r>
      <w:r w:rsidR="00782B99">
        <w:rPr>
          <w:rFonts w:eastAsiaTheme="minorEastAsia"/>
          <w:szCs w:val="24"/>
        </w:rPr>
        <w:t xml:space="preserve">represents </w:t>
      </w:r>
      <w:r w:rsidRPr="002116A8">
        <w:rPr>
          <w:rFonts w:eastAsiaTheme="minorEastAsia"/>
          <w:szCs w:val="24"/>
        </w:rPr>
        <w:t>a major source of dispute amongst trading partners. The international tea market is no exception, as the debate on MRLs in tea has shown over the years. To sup</w:t>
      </w:r>
      <w:r w:rsidR="00782B99">
        <w:rPr>
          <w:rFonts w:eastAsiaTheme="minorEastAsia"/>
          <w:szCs w:val="24"/>
        </w:rPr>
        <w:t>plement the work of the IGG on T</w:t>
      </w:r>
      <w:r w:rsidRPr="002116A8">
        <w:rPr>
          <w:rFonts w:eastAsiaTheme="minorEastAsia"/>
          <w:szCs w:val="24"/>
        </w:rPr>
        <w:t xml:space="preserve">ea and its Working Group on MRLs, this study looked at some empirical evidence linking MRLs in tea and changes in export of tea from China. Using a gravity model that controlled for time invariant factors, the estimated fixed-effect model showed that MRLs of </w:t>
      </w:r>
      <w:proofErr w:type="spellStart"/>
      <w:r w:rsidRPr="002116A8">
        <w:rPr>
          <w:rFonts w:eastAsiaTheme="minorEastAsia"/>
          <w:szCs w:val="24"/>
        </w:rPr>
        <w:t>endosulfane</w:t>
      </w:r>
      <w:proofErr w:type="spellEnd"/>
      <w:r w:rsidRPr="002116A8">
        <w:rPr>
          <w:rFonts w:eastAsiaTheme="minorEastAsia"/>
          <w:szCs w:val="24"/>
        </w:rPr>
        <w:t xml:space="preserve"> in tea and the expansion in the coverage of regulated pesticides had a negative and statistically significant effect on China’s tea export</w:t>
      </w:r>
      <w:r w:rsidR="00782B99">
        <w:rPr>
          <w:rFonts w:eastAsiaTheme="minorEastAsia"/>
          <w:szCs w:val="24"/>
        </w:rPr>
        <w:t>s</w:t>
      </w:r>
      <w:r w:rsidRPr="002116A8">
        <w:rPr>
          <w:rFonts w:eastAsiaTheme="minorEastAsia"/>
          <w:szCs w:val="24"/>
        </w:rPr>
        <w:t xml:space="preserve">. The analysis also showed that tighter regulations introduced by the EU in 2001 with respect to MRLs for </w:t>
      </w:r>
      <w:proofErr w:type="spellStart"/>
      <w:r w:rsidRPr="002116A8">
        <w:rPr>
          <w:rFonts w:eastAsiaTheme="minorEastAsia"/>
          <w:szCs w:val="24"/>
        </w:rPr>
        <w:t>endosulfane</w:t>
      </w:r>
      <w:proofErr w:type="spellEnd"/>
      <w:r w:rsidRPr="002116A8">
        <w:rPr>
          <w:rFonts w:eastAsiaTheme="minorEastAsia"/>
          <w:szCs w:val="24"/>
        </w:rPr>
        <w:t xml:space="preserve">, changing from 30 ppm to 0.01 ppm, was equivalent to a 4.32 percentage point increase in import tariff rate applied to China’s tea export. This estimate applies to </w:t>
      </w:r>
      <w:proofErr w:type="spellStart"/>
      <w:r w:rsidRPr="002116A8">
        <w:rPr>
          <w:rFonts w:eastAsiaTheme="minorEastAsia"/>
          <w:szCs w:val="24"/>
        </w:rPr>
        <w:t>endosulfane</w:t>
      </w:r>
      <w:proofErr w:type="spellEnd"/>
      <w:r w:rsidRPr="002116A8">
        <w:rPr>
          <w:rFonts w:eastAsiaTheme="minorEastAsia"/>
          <w:szCs w:val="24"/>
        </w:rPr>
        <w:t xml:space="preserve"> only, so the import tariff equivalent value can be higher if the impact of other chemicals were to be taken into account. Similarly, the introduction by Japan in 2006 of tighter food safety standards as reflected in the “positive list system” had a negative and statistically significant impact on China’s tea </w:t>
      </w:r>
      <w:r w:rsidR="00782B99">
        <w:rPr>
          <w:rFonts w:eastAsiaTheme="minorEastAsia"/>
          <w:szCs w:val="24"/>
        </w:rPr>
        <w:t xml:space="preserve">sales to </w:t>
      </w:r>
      <w:r w:rsidRPr="002116A8">
        <w:rPr>
          <w:rFonts w:eastAsiaTheme="minorEastAsia"/>
          <w:szCs w:val="24"/>
        </w:rPr>
        <w:t xml:space="preserve">Japan. Hence, the empirical results obtained </w:t>
      </w:r>
      <w:r w:rsidR="00782B99">
        <w:rPr>
          <w:rFonts w:eastAsiaTheme="minorEastAsia"/>
          <w:szCs w:val="24"/>
        </w:rPr>
        <w:t>in</w:t>
      </w:r>
      <w:r w:rsidRPr="002116A8">
        <w:rPr>
          <w:rFonts w:eastAsiaTheme="minorEastAsia"/>
          <w:szCs w:val="24"/>
        </w:rPr>
        <w:t xml:space="preserve"> this study confirmed the hypothesis that changes in food safety measures do have an effect on tea trade.</w:t>
      </w:r>
    </w:p>
    <w:p w:rsidR="002116A8" w:rsidRPr="002116A8" w:rsidRDefault="002116A8" w:rsidP="002116A8">
      <w:pPr>
        <w:pStyle w:val="NewPara"/>
      </w:pPr>
      <w:r w:rsidRPr="002116A8">
        <w:rPr>
          <w:rFonts w:eastAsiaTheme="minorEastAsia"/>
          <w:szCs w:val="24"/>
        </w:rPr>
        <w:t xml:space="preserve">The fact </w:t>
      </w:r>
      <w:r w:rsidR="00782B99">
        <w:rPr>
          <w:rFonts w:eastAsiaTheme="minorEastAsia"/>
          <w:szCs w:val="24"/>
        </w:rPr>
        <w:t xml:space="preserve">that </w:t>
      </w:r>
      <w:r w:rsidR="00E64742">
        <w:rPr>
          <w:rFonts w:eastAsiaTheme="minorEastAsia"/>
          <w:szCs w:val="24"/>
        </w:rPr>
        <w:t xml:space="preserve">the estimated coefficient measuring </w:t>
      </w:r>
      <w:r w:rsidRPr="002116A8">
        <w:rPr>
          <w:rFonts w:eastAsiaTheme="minorEastAsia"/>
          <w:szCs w:val="24"/>
        </w:rPr>
        <w:t xml:space="preserve">the impact of MRLs for </w:t>
      </w:r>
      <w:proofErr w:type="spellStart"/>
      <w:r w:rsidRPr="002116A8">
        <w:rPr>
          <w:rFonts w:eastAsiaTheme="minorEastAsia"/>
          <w:szCs w:val="24"/>
        </w:rPr>
        <w:t>endosulfane</w:t>
      </w:r>
      <w:proofErr w:type="spellEnd"/>
      <w:r w:rsidRPr="002116A8">
        <w:rPr>
          <w:rFonts w:eastAsiaTheme="minorEastAsia"/>
          <w:szCs w:val="24"/>
        </w:rPr>
        <w:t xml:space="preserve"> on tea trade was relatively low was most likely a reflection of better compliance over the recent years by producing countries, in general, and China in particular. Trade data showed that tea quantities exported to the EU markets by China went up progressively generally after 2005. Better awareness of </w:t>
      </w:r>
      <w:r w:rsidRPr="002116A8">
        <w:rPr>
          <w:rFonts w:eastAsiaTheme="minorEastAsia"/>
          <w:szCs w:val="24"/>
        </w:rPr>
        <w:lastRenderedPageBreak/>
        <w:t xml:space="preserve">food safety standards by stakeholders and improved international cooperation, through the </w:t>
      </w:r>
      <w:r w:rsidR="00380DEA">
        <w:rPr>
          <w:rFonts w:eastAsiaTheme="minorEastAsia"/>
          <w:szCs w:val="24"/>
        </w:rPr>
        <w:t>IGG/Tea</w:t>
      </w:r>
      <w:r w:rsidRPr="002116A8">
        <w:rPr>
          <w:rFonts w:eastAsiaTheme="minorEastAsia"/>
          <w:szCs w:val="24"/>
        </w:rPr>
        <w:t xml:space="preserve"> and its Working Group on MRLs, were key to developing a common strategy on MRLs that would minimise trade costs and ensure consumer safety. Efforts should continue to focu</w:t>
      </w:r>
      <w:r w:rsidR="00E64742">
        <w:rPr>
          <w:rFonts w:eastAsiaTheme="minorEastAsia"/>
          <w:szCs w:val="24"/>
        </w:rPr>
        <w:t>s on reducing large gaps in MRL</w:t>
      </w:r>
      <w:r w:rsidRPr="002116A8">
        <w:rPr>
          <w:rFonts w:eastAsiaTheme="minorEastAsia"/>
          <w:szCs w:val="24"/>
        </w:rPr>
        <w:t xml:space="preserve"> values that prevail amongst tea trading partners, as well as enabling smallholder tea producers to comply with established food safety standards. Finally, countries are encouraged to provide the </w:t>
      </w:r>
      <w:r w:rsidR="00E64742">
        <w:rPr>
          <w:rFonts w:eastAsiaTheme="minorEastAsia"/>
          <w:szCs w:val="24"/>
        </w:rPr>
        <w:t xml:space="preserve">IGG/Tea </w:t>
      </w:r>
      <w:r w:rsidRPr="002116A8">
        <w:rPr>
          <w:rFonts w:eastAsiaTheme="minorEastAsia"/>
          <w:szCs w:val="24"/>
        </w:rPr>
        <w:t xml:space="preserve">Secretariat </w:t>
      </w:r>
      <w:r w:rsidR="00E64742">
        <w:rPr>
          <w:rFonts w:eastAsiaTheme="minorEastAsia"/>
          <w:szCs w:val="24"/>
        </w:rPr>
        <w:t xml:space="preserve">with </w:t>
      </w:r>
      <w:r w:rsidRPr="002116A8">
        <w:rPr>
          <w:rFonts w:eastAsiaTheme="minorEastAsia"/>
          <w:szCs w:val="24"/>
        </w:rPr>
        <w:t xml:space="preserve">data on changes in the values of MRLs over time for </w:t>
      </w:r>
      <w:proofErr w:type="spellStart"/>
      <w:r w:rsidRPr="002116A8">
        <w:rPr>
          <w:rFonts w:eastAsiaTheme="minorEastAsia"/>
          <w:szCs w:val="24"/>
        </w:rPr>
        <w:t>endosulfane</w:t>
      </w:r>
      <w:proofErr w:type="spellEnd"/>
      <w:r w:rsidRPr="002116A8">
        <w:rPr>
          <w:rFonts w:eastAsiaTheme="minorEastAsia"/>
          <w:szCs w:val="24"/>
        </w:rPr>
        <w:t xml:space="preserve"> and other chemicals to better measure the overall effect of MRLs on tea trade.  Also, member countries are requested to assist the Secretariat collect data on cost of compliance (production and export plus other costs to meet MRLs) to be able to assess the impact of MRLs on competitiveness.</w:t>
      </w:r>
    </w:p>
    <w:p w:rsidR="002116A8" w:rsidRDefault="002116A8" w:rsidP="002116A8">
      <w:pPr>
        <w:jc w:val="both"/>
        <w:rPr>
          <w:rFonts w:eastAsiaTheme="minorEastAsia"/>
          <w:b/>
          <w:bCs/>
          <w:szCs w:val="24"/>
        </w:rPr>
      </w:pPr>
    </w:p>
    <w:p w:rsidR="00380DEA" w:rsidRDefault="00380DEA" w:rsidP="002116A8">
      <w:pPr>
        <w:jc w:val="both"/>
        <w:rPr>
          <w:rFonts w:eastAsiaTheme="minorEastAsia"/>
          <w:b/>
          <w:bCs/>
          <w:szCs w:val="24"/>
        </w:rPr>
      </w:pPr>
    </w:p>
    <w:p w:rsidR="00380DEA" w:rsidRDefault="00380DEA" w:rsidP="002116A8">
      <w:pPr>
        <w:jc w:val="both"/>
        <w:rPr>
          <w:rFonts w:eastAsiaTheme="minorEastAsia"/>
          <w:b/>
          <w:bCs/>
          <w:szCs w:val="24"/>
        </w:rPr>
      </w:pPr>
    </w:p>
    <w:p w:rsidR="002116A8" w:rsidRDefault="002116A8" w:rsidP="002116A8">
      <w:pPr>
        <w:jc w:val="both"/>
        <w:rPr>
          <w:rFonts w:eastAsiaTheme="minorEastAsia"/>
          <w:b/>
          <w:bCs/>
          <w:szCs w:val="24"/>
        </w:rPr>
      </w:pPr>
      <w:r w:rsidRPr="00257E03">
        <w:rPr>
          <w:rFonts w:eastAsiaTheme="minorEastAsia"/>
          <w:b/>
          <w:bCs/>
          <w:szCs w:val="24"/>
        </w:rPr>
        <w:t>References</w:t>
      </w:r>
    </w:p>
    <w:p w:rsidR="002116A8" w:rsidRDefault="002116A8" w:rsidP="002116A8">
      <w:pPr>
        <w:jc w:val="both"/>
        <w:rPr>
          <w:rFonts w:eastAsiaTheme="minorEastAsia"/>
          <w:szCs w:val="24"/>
        </w:rPr>
      </w:pPr>
      <w:proofErr w:type="gramStart"/>
      <w:r>
        <w:rPr>
          <w:rFonts w:eastAsiaTheme="minorEastAsia"/>
          <w:szCs w:val="24"/>
        </w:rPr>
        <w:t xml:space="preserve">Anderson, J. and van </w:t>
      </w:r>
      <w:proofErr w:type="spellStart"/>
      <w:r>
        <w:rPr>
          <w:rFonts w:eastAsiaTheme="minorEastAsia"/>
          <w:szCs w:val="24"/>
        </w:rPr>
        <w:t>Wincoop</w:t>
      </w:r>
      <w:proofErr w:type="spellEnd"/>
      <w:r>
        <w:rPr>
          <w:rFonts w:eastAsiaTheme="minorEastAsia"/>
          <w:szCs w:val="24"/>
        </w:rPr>
        <w:t>, E. 2003.</w:t>
      </w:r>
      <w:proofErr w:type="gramEnd"/>
      <w:r>
        <w:rPr>
          <w:rFonts w:eastAsiaTheme="minorEastAsia"/>
          <w:szCs w:val="24"/>
        </w:rPr>
        <w:t xml:space="preserve"> Gravity with gravitas: A solution to the border puzzle. American Economic Review 93:170-192</w:t>
      </w:r>
    </w:p>
    <w:p w:rsidR="002116A8" w:rsidRDefault="002116A8" w:rsidP="002116A8">
      <w:pPr>
        <w:jc w:val="both"/>
        <w:rPr>
          <w:rFonts w:eastAsiaTheme="minorEastAsia"/>
          <w:szCs w:val="24"/>
        </w:rPr>
      </w:pPr>
      <w:r>
        <w:rPr>
          <w:rFonts w:eastAsiaTheme="minorEastAsia"/>
          <w:szCs w:val="24"/>
        </w:rPr>
        <w:t xml:space="preserve">Chen, C., Yang, J. and Findlay, C. 2008. </w:t>
      </w:r>
      <w:proofErr w:type="gramStart"/>
      <w:r>
        <w:rPr>
          <w:rFonts w:eastAsiaTheme="minorEastAsia"/>
          <w:szCs w:val="24"/>
        </w:rPr>
        <w:t>Measuring the Effect of Food Safety Standards on China’s Agricultural Exports.</w:t>
      </w:r>
      <w:proofErr w:type="gramEnd"/>
      <w:r>
        <w:rPr>
          <w:rFonts w:eastAsiaTheme="minorEastAsia"/>
          <w:szCs w:val="24"/>
        </w:rPr>
        <w:t xml:space="preserve"> Review of World Economics 144 (1): 83-106.</w:t>
      </w:r>
    </w:p>
    <w:p w:rsidR="002116A8" w:rsidRDefault="002116A8" w:rsidP="002116A8">
      <w:pPr>
        <w:jc w:val="both"/>
        <w:rPr>
          <w:rFonts w:eastAsiaTheme="minorEastAsia"/>
          <w:szCs w:val="24"/>
        </w:rPr>
      </w:pPr>
      <w:proofErr w:type="spellStart"/>
      <w:r w:rsidRPr="001B0625">
        <w:rPr>
          <w:rFonts w:eastAsiaTheme="minorEastAsia"/>
          <w:szCs w:val="24"/>
          <w:lang w:val="fr-FR"/>
        </w:rPr>
        <w:t>Disdier</w:t>
      </w:r>
      <w:proofErr w:type="spellEnd"/>
      <w:r w:rsidRPr="001B0625">
        <w:rPr>
          <w:rFonts w:eastAsiaTheme="minorEastAsia"/>
          <w:szCs w:val="24"/>
          <w:lang w:val="fr-FR"/>
        </w:rPr>
        <w:t xml:space="preserve">, A., </w:t>
      </w:r>
      <w:proofErr w:type="spellStart"/>
      <w:r w:rsidRPr="001B0625">
        <w:rPr>
          <w:rFonts w:eastAsiaTheme="minorEastAsia"/>
          <w:szCs w:val="24"/>
          <w:lang w:val="fr-FR"/>
        </w:rPr>
        <w:t>Fontagné</w:t>
      </w:r>
      <w:proofErr w:type="spellEnd"/>
      <w:r w:rsidRPr="001B0625">
        <w:rPr>
          <w:rFonts w:eastAsiaTheme="minorEastAsia"/>
          <w:szCs w:val="24"/>
          <w:lang w:val="fr-FR"/>
        </w:rPr>
        <w:t xml:space="preserve">, L. And </w:t>
      </w:r>
      <w:proofErr w:type="spellStart"/>
      <w:r w:rsidRPr="001B0625">
        <w:rPr>
          <w:rFonts w:eastAsiaTheme="minorEastAsia"/>
          <w:szCs w:val="24"/>
          <w:lang w:val="fr-FR"/>
        </w:rPr>
        <w:t>Mimouni</w:t>
      </w:r>
      <w:proofErr w:type="spellEnd"/>
      <w:r w:rsidRPr="001B0625">
        <w:rPr>
          <w:rFonts w:eastAsiaTheme="minorEastAsia"/>
          <w:szCs w:val="24"/>
          <w:lang w:val="fr-FR"/>
        </w:rPr>
        <w:t xml:space="preserve">, M. 2008. </w:t>
      </w:r>
      <w:r>
        <w:rPr>
          <w:rFonts w:eastAsiaTheme="minorEastAsia"/>
          <w:szCs w:val="24"/>
        </w:rPr>
        <w:t>The impact of regulations on agricultural trade: Evidence from the SPS and TBT agreements. American Journal of Agricultural Economics 90: 336-350.</w:t>
      </w:r>
    </w:p>
    <w:p w:rsidR="002116A8" w:rsidRDefault="002116A8" w:rsidP="002116A8">
      <w:pPr>
        <w:jc w:val="both"/>
        <w:rPr>
          <w:rFonts w:eastAsiaTheme="minorEastAsia"/>
          <w:szCs w:val="24"/>
        </w:rPr>
      </w:pPr>
      <w:proofErr w:type="gramStart"/>
      <w:r>
        <w:rPr>
          <w:rFonts w:eastAsiaTheme="minorEastAsia"/>
          <w:szCs w:val="24"/>
        </w:rPr>
        <w:t xml:space="preserve">Drogue, S. and </w:t>
      </w:r>
      <w:proofErr w:type="spellStart"/>
      <w:r>
        <w:rPr>
          <w:rFonts w:eastAsiaTheme="minorEastAsia"/>
          <w:szCs w:val="24"/>
        </w:rPr>
        <w:t>DeMaria</w:t>
      </w:r>
      <w:proofErr w:type="spellEnd"/>
      <w:r>
        <w:rPr>
          <w:rFonts w:eastAsiaTheme="minorEastAsia"/>
          <w:szCs w:val="24"/>
        </w:rPr>
        <w:t>, F. 2012.</w:t>
      </w:r>
      <w:proofErr w:type="gramEnd"/>
      <w:r>
        <w:rPr>
          <w:rFonts w:eastAsiaTheme="minorEastAsia"/>
          <w:szCs w:val="24"/>
        </w:rPr>
        <w:t xml:space="preserve"> Pesticide Residues and Trade, the Apple of Discord? Food Policy 37 (6): 641-649.</w:t>
      </w:r>
    </w:p>
    <w:p w:rsidR="002116A8" w:rsidRDefault="002116A8" w:rsidP="002116A8">
      <w:pPr>
        <w:jc w:val="both"/>
        <w:rPr>
          <w:rFonts w:eastAsiaTheme="minorEastAsia"/>
          <w:szCs w:val="24"/>
        </w:rPr>
      </w:pPr>
      <w:proofErr w:type="gramStart"/>
      <w:r>
        <w:rPr>
          <w:rFonts w:eastAsiaTheme="minorEastAsia"/>
          <w:szCs w:val="24"/>
        </w:rPr>
        <w:t xml:space="preserve">GU, G. and </w:t>
      </w:r>
      <w:proofErr w:type="spellStart"/>
      <w:r>
        <w:rPr>
          <w:rFonts w:eastAsiaTheme="minorEastAsia"/>
          <w:szCs w:val="24"/>
        </w:rPr>
        <w:t>Niu</w:t>
      </w:r>
      <w:proofErr w:type="spellEnd"/>
      <w:r>
        <w:rPr>
          <w:rFonts w:eastAsiaTheme="minorEastAsia"/>
          <w:szCs w:val="24"/>
        </w:rPr>
        <w:t>, X. 2007.</w:t>
      </w:r>
      <w:proofErr w:type="gramEnd"/>
      <w:r>
        <w:rPr>
          <w:rFonts w:eastAsiaTheme="minorEastAsia"/>
          <w:szCs w:val="24"/>
        </w:rPr>
        <w:t xml:space="preserve"> </w:t>
      </w:r>
      <w:proofErr w:type="gramStart"/>
      <w:r>
        <w:rPr>
          <w:rFonts w:eastAsiaTheme="minorEastAsia"/>
          <w:szCs w:val="24"/>
        </w:rPr>
        <w:t>Empirical study on the impacts of technical barrier to trade on international trade – Taking tea trade between China and Japan as an example.</w:t>
      </w:r>
      <w:proofErr w:type="gramEnd"/>
      <w:r>
        <w:rPr>
          <w:rFonts w:eastAsiaTheme="minorEastAsia"/>
          <w:szCs w:val="24"/>
        </w:rPr>
        <w:t xml:space="preserve"> Journal of International Trade 6:74-80.</w:t>
      </w:r>
    </w:p>
    <w:p w:rsidR="002116A8" w:rsidRDefault="002116A8" w:rsidP="002116A8">
      <w:pPr>
        <w:jc w:val="both"/>
        <w:rPr>
          <w:rFonts w:eastAsiaTheme="minorEastAsia"/>
          <w:szCs w:val="24"/>
        </w:rPr>
      </w:pPr>
      <w:r>
        <w:rPr>
          <w:rFonts w:eastAsiaTheme="minorEastAsia"/>
          <w:szCs w:val="24"/>
        </w:rPr>
        <w:t xml:space="preserve">Sun, D., Sun, W. and Zhou, J. 2007. </w:t>
      </w:r>
      <w:proofErr w:type="gramStart"/>
      <w:r>
        <w:rPr>
          <w:rFonts w:eastAsiaTheme="minorEastAsia"/>
          <w:szCs w:val="24"/>
        </w:rPr>
        <w:t>The impact of EU’s MRL standards on China’s tea exports.</w:t>
      </w:r>
      <w:proofErr w:type="gramEnd"/>
      <w:r>
        <w:rPr>
          <w:rFonts w:eastAsiaTheme="minorEastAsia"/>
          <w:szCs w:val="24"/>
        </w:rPr>
        <w:t xml:space="preserve"> Journal of Agricultural Technical Economics 1:63-71.  </w:t>
      </w:r>
    </w:p>
    <w:p w:rsidR="002116A8" w:rsidRDefault="002116A8" w:rsidP="002116A8">
      <w:pPr>
        <w:jc w:val="both"/>
        <w:rPr>
          <w:rFonts w:eastAsiaTheme="minorEastAsia"/>
          <w:szCs w:val="24"/>
        </w:rPr>
      </w:pPr>
      <w:proofErr w:type="spellStart"/>
      <w:r>
        <w:rPr>
          <w:rFonts w:eastAsiaTheme="minorEastAsia"/>
          <w:szCs w:val="24"/>
        </w:rPr>
        <w:t>Timbergen</w:t>
      </w:r>
      <w:proofErr w:type="spellEnd"/>
      <w:r>
        <w:rPr>
          <w:rFonts w:eastAsiaTheme="minorEastAsia"/>
          <w:szCs w:val="24"/>
        </w:rPr>
        <w:t xml:space="preserve">, J. 1962. </w:t>
      </w:r>
      <w:proofErr w:type="gramStart"/>
      <w:r>
        <w:rPr>
          <w:rFonts w:eastAsiaTheme="minorEastAsia"/>
          <w:szCs w:val="24"/>
        </w:rPr>
        <w:t>Shaping the world economy; Suggestions for an international economics policy.</w:t>
      </w:r>
      <w:proofErr w:type="gramEnd"/>
      <w:r>
        <w:rPr>
          <w:rFonts w:eastAsiaTheme="minorEastAsia"/>
          <w:szCs w:val="24"/>
        </w:rPr>
        <w:t xml:space="preserve"> New York: Twentieth Century Fund.</w:t>
      </w:r>
    </w:p>
    <w:p w:rsidR="002116A8" w:rsidRPr="00257E03" w:rsidRDefault="002116A8" w:rsidP="002116A8">
      <w:pPr>
        <w:jc w:val="both"/>
        <w:rPr>
          <w:rFonts w:eastAsiaTheme="minorEastAsia"/>
          <w:szCs w:val="24"/>
        </w:rPr>
      </w:pPr>
      <w:r>
        <w:rPr>
          <w:rFonts w:eastAsiaTheme="minorEastAsia"/>
          <w:szCs w:val="24"/>
        </w:rPr>
        <w:t xml:space="preserve">Wei, G., Huang, J. and Yang, J. 2012. </w:t>
      </w:r>
      <w:proofErr w:type="gramStart"/>
      <w:r>
        <w:rPr>
          <w:rFonts w:eastAsiaTheme="minorEastAsia"/>
          <w:szCs w:val="24"/>
        </w:rPr>
        <w:t>The impacts of Food Safety Standards on China’s tea Exports.</w:t>
      </w:r>
      <w:proofErr w:type="gramEnd"/>
      <w:r>
        <w:rPr>
          <w:rFonts w:eastAsiaTheme="minorEastAsia"/>
          <w:szCs w:val="24"/>
        </w:rPr>
        <w:t xml:space="preserve"> China Economic Review 23 (2): 253-264.</w:t>
      </w:r>
    </w:p>
    <w:p w:rsidR="002116A8" w:rsidRDefault="002116A8" w:rsidP="002116A8">
      <w:pPr>
        <w:pStyle w:val="NewPara"/>
        <w:numPr>
          <w:ilvl w:val="0"/>
          <w:numId w:val="0"/>
        </w:numPr>
      </w:pPr>
      <w:proofErr w:type="spellStart"/>
      <w:r>
        <w:t>Xiong</w:t>
      </w:r>
      <w:proofErr w:type="spellEnd"/>
      <w:r>
        <w:t xml:space="preserve">, B. and </w:t>
      </w:r>
      <w:proofErr w:type="spellStart"/>
      <w:r>
        <w:t>Beghin</w:t>
      </w:r>
      <w:proofErr w:type="spellEnd"/>
      <w:r>
        <w:t xml:space="preserve">, J. 2014. </w:t>
      </w:r>
      <w:proofErr w:type="gramStart"/>
      <w:r>
        <w:t>Disentangling Demand-Enhancing and Trade-Cost Effects of Maximum Residue Regulations.</w:t>
      </w:r>
      <w:proofErr w:type="gramEnd"/>
      <w:r>
        <w:t xml:space="preserve"> Economic Inquiry 52 (3):1190-1203.</w:t>
      </w:r>
    </w:p>
    <w:p w:rsidR="002116A8" w:rsidRPr="002116A8" w:rsidRDefault="002116A8" w:rsidP="002116A8">
      <w:pPr>
        <w:rPr>
          <w:sz w:val="18"/>
          <w:szCs w:val="18"/>
        </w:rPr>
      </w:pPr>
    </w:p>
    <w:sectPr w:rsidR="002116A8" w:rsidRPr="002116A8" w:rsidSect="00012386">
      <w:headerReference w:type="even" r:id="rId10"/>
      <w:headerReference w:type="default" r:id="rId11"/>
      <w:headerReference w:type="first" r:id="rId12"/>
      <w:footerReference w:type="first" r:id="rId13"/>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143" w:rsidRDefault="00CB6143">
      <w:pPr>
        <w:spacing w:after="0"/>
      </w:pPr>
      <w:r>
        <w:separator/>
      </w:r>
    </w:p>
  </w:endnote>
  <w:endnote w:type="continuationSeparator" w:id="0">
    <w:p w:rsidR="00CB6143" w:rsidRDefault="00CB61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B0C" w:rsidRPr="009C0B0C" w:rsidRDefault="00012386" w:rsidP="003F76E2">
    <w:pPr>
      <w:rPr>
        <w:lang w:val="en-US"/>
      </w:rPr>
    </w:pPr>
    <w:bookmarkStart w:id="10" w:name="FooterInformationBookmark"/>
    <w:r>
      <w:rPr>
        <w:lang w:val="en-US"/>
      </w:rPr>
      <w:t xml:space="preserve"> </w:t>
    </w:r>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143" w:rsidRDefault="00CB6143">
      <w:pPr>
        <w:spacing w:after="0"/>
      </w:pPr>
      <w:r>
        <w:separator/>
      </w:r>
    </w:p>
  </w:footnote>
  <w:footnote w:type="continuationSeparator" w:id="0">
    <w:p w:rsidR="00CB6143" w:rsidRDefault="00CB614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C1C" w:rsidRPr="001A0BFF" w:rsidRDefault="00012386" w:rsidP="001A0BFF">
    <w:pPr>
      <w:pStyle w:val="Underlined"/>
    </w:pPr>
    <w:r>
      <w:fldChar w:fldCharType="begin"/>
    </w:r>
    <w:r>
      <w:instrText xml:space="preserve"> PAGE  \* Arabic  \* MERGEFORMAT </w:instrText>
    </w:r>
    <w:r>
      <w:fldChar w:fldCharType="separate"/>
    </w:r>
    <w:r w:rsidR="001B0625">
      <w:rPr>
        <w:noProof/>
      </w:rPr>
      <w:t>4</w:t>
    </w:r>
    <w:r>
      <w:rPr>
        <w:noProof/>
      </w:rPr>
      <w:fldChar w:fldCharType="end"/>
    </w:r>
    <w:r>
      <w:ptab w:relativeTo="margin" w:alignment="right" w:leader="none"/>
    </w:r>
    <w:r w:rsidRPr="00172E88">
      <w:t xml:space="preserve"> </w:t>
    </w:r>
    <w:bookmarkStart w:id="5" w:name="EvenIdentificationBookmark"/>
    <w:r w:rsidR="002F38B1">
      <w:t>CCP</w:t>
    </w:r>
    <w:proofErr w:type="gramStart"/>
    <w:r w:rsidR="002F38B1">
      <w:t>:</w:t>
    </w:r>
    <w:r w:rsidR="00380DEA">
      <w:t>TE</w:t>
    </w:r>
    <w:proofErr w:type="gramEnd"/>
    <w:r w:rsidR="00380DEA">
      <w:t xml:space="preserve"> 16/2</w:t>
    </w:r>
    <w:bookmarkEnd w:id="5"/>
  </w:p>
  <w:p w:rsidR="003F76E2" w:rsidRPr="00502C1C" w:rsidRDefault="001B0625" w:rsidP="00502C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C1C" w:rsidRPr="001A0BFF" w:rsidRDefault="002F38B1" w:rsidP="001A0BFF">
    <w:pPr>
      <w:pStyle w:val="Underlined"/>
    </w:pPr>
    <w:bookmarkStart w:id="6" w:name="OddIdentificationBookmark"/>
    <w:r>
      <w:t>CCP</w:t>
    </w:r>
    <w:proofErr w:type="gramStart"/>
    <w:r>
      <w:t>:</w:t>
    </w:r>
    <w:r w:rsidR="00380DEA">
      <w:t>TE</w:t>
    </w:r>
    <w:proofErr w:type="gramEnd"/>
    <w:r w:rsidR="00380DEA">
      <w:t xml:space="preserve"> 16/2</w:t>
    </w:r>
    <w:bookmarkEnd w:id="6"/>
    <w:r w:rsidR="00012386">
      <w:ptab w:relativeTo="margin" w:alignment="right" w:leader="none"/>
    </w:r>
    <w:r w:rsidR="00012386">
      <w:fldChar w:fldCharType="begin"/>
    </w:r>
    <w:r w:rsidR="00012386">
      <w:instrText xml:space="preserve"> PAGE  \* Arabic  \* MERGEFORMAT </w:instrText>
    </w:r>
    <w:r w:rsidR="00012386">
      <w:fldChar w:fldCharType="separate"/>
    </w:r>
    <w:r w:rsidR="001B0625">
      <w:rPr>
        <w:noProof/>
      </w:rPr>
      <w:t>5</w:t>
    </w:r>
    <w:r w:rsidR="00012386">
      <w:rPr>
        <w:noProof/>
      </w:rPr>
      <w:fldChar w:fldCharType="end"/>
    </w:r>
  </w:p>
  <w:p w:rsidR="001A0BFF" w:rsidRPr="00502C1C" w:rsidRDefault="001B0625" w:rsidP="00502C1C">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012386" w:rsidP="00734C44">
    <w:pPr>
      <w:pStyle w:val="LanguageSymbol"/>
      <w:framePr w:wrap="around"/>
    </w:pPr>
    <w:bookmarkStart w:id="7"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bookmarkEnd w:id="7"/>
        <w:p w:rsidR="008E01CD" w:rsidRDefault="001B0625" w:rsidP="00F2216D">
          <w:r>
            <w:t>May</w:t>
          </w:r>
          <w:r w:rsidR="00935B4C">
            <w:t xml:space="preserve"> 2016</w:t>
          </w:r>
        </w:p>
      </w:tc>
      <w:tc>
        <w:tcPr>
          <w:tcW w:w="2500" w:type="pct"/>
          <w:noWrap/>
          <w:tcMar>
            <w:right w:w="0" w:type="dxa"/>
          </w:tcMar>
        </w:tcPr>
        <w:p w:rsidR="008E01CD" w:rsidRDefault="002116A8" w:rsidP="002116A8">
          <w:pPr>
            <w:jc w:val="right"/>
          </w:pPr>
          <w:bookmarkStart w:id="8" w:name="FirstCoverIdentificationBookmark"/>
          <w:r>
            <w:t>CCP:TE</w:t>
          </w:r>
          <w:r w:rsidR="00935B4C">
            <w:t xml:space="preserve"> 16</w:t>
          </w:r>
          <w:r w:rsidR="0078197B">
            <w:t>/</w:t>
          </w:r>
          <w:bookmarkEnd w:id="8"/>
          <w:r>
            <w:t>2</w:t>
          </w:r>
        </w:p>
      </w:tc>
    </w:tr>
  </w:tbl>
  <w:p w:rsidR="00AE4D6E" w:rsidRPr="008E01CD" w:rsidRDefault="001B0625" w:rsidP="008E01CD">
    <w:pPr>
      <w:pBdr>
        <w:bottom w:val="single" w:sz="12" w:space="0" w:color="auto"/>
      </w:pBdr>
      <w:contextualSpacing/>
      <w:rPr>
        <w:sz w:val="4"/>
      </w:rPr>
    </w:pPr>
  </w:p>
  <w:p w:rsidR="00DF0451" w:rsidRDefault="00012386" w:rsidP="008E01CD">
    <w:pPr>
      <w:jc w:val="center"/>
    </w:pPr>
    <w:bookmarkStart w:id="9" w:name="LogoBookmark"/>
    <w:r>
      <w:rPr>
        <w:noProof/>
        <w:lang w:eastAsia="en-GB"/>
      </w:rPr>
      <w:drawing>
        <wp:inline distT="0" distB="0" distL="0" distR="0" wp14:anchorId="6581233F" wp14:editId="2632271E">
          <wp:extent cx="5760085" cy="7943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t xml:space="preserve">  </w: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6F4C482"/>
    <w:lvl w:ilvl="0">
      <w:start w:val="1"/>
      <w:numFmt w:val="upperRoman"/>
      <w:pStyle w:val="Heading1"/>
      <w:lvlText w:val="%1."/>
      <w:legacy w:legacy="1" w:legacySpace="0" w:legacyIndent="708"/>
      <w:lvlJc w:val="left"/>
      <w:pPr>
        <w:ind w:left="709" w:hanging="708"/>
      </w:pPr>
    </w:lvl>
    <w:lvl w:ilvl="1">
      <w:start w:val="1"/>
      <w:numFmt w:val="upperLetter"/>
      <w:pStyle w:val="Heading2"/>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
    <w:nsid w:val="2EFC26D2"/>
    <w:multiLevelType w:val="multilevel"/>
    <w:tmpl w:val="E33623AE"/>
    <w:lvl w:ilvl="0">
      <w:start w:val="1"/>
      <w:numFmt w:val="bullet"/>
      <w:lvlText w:val=""/>
      <w:lvlJc w:val="left"/>
      <w:pPr>
        <w:ind w:left="720" w:hanging="72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98A2726"/>
    <w:multiLevelType w:val="hybridMultilevel"/>
    <w:tmpl w:val="2118D630"/>
    <w:lvl w:ilvl="0" w:tplc="3CC02650">
      <w:start w:val="1"/>
      <w:numFmt w:val="lowerRoman"/>
      <w:lvlText w:val="%1)"/>
      <w:lvlJc w:val="left"/>
      <w:pPr>
        <w:ind w:left="1584" w:hanging="720"/>
      </w:pPr>
      <w:rPr>
        <w:rFonts w:hint="default"/>
      </w:r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3">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9F5649"/>
    <w:multiLevelType w:val="hybridMultilevel"/>
    <w:tmpl w:val="54501790"/>
    <w:lvl w:ilvl="0" w:tplc="0C600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pPr>
        <w:ind w:left="0" w:firstLine="0"/>
      </w:pPr>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6">
    <w:nsid w:val="5E440EC5"/>
    <w:multiLevelType w:val="hybridMultilevel"/>
    <w:tmpl w:val="84A8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4E7168"/>
    <w:multiLevelType w:val="multilevel"/>
    <w:tmpl w:val="68867E3A"/>
    <w:lvl w:ilvl="0">
      <w:start w:val="1"/>
      <w:numFmt w:val="decimal"/>
      <w:pStyle w:val="BoxNewPara"/>
      <w:lvlText w:val="%1."/>
      <w:lvlJc w:val="left"/>
      <w:pPr>
        <w:ind w:left="72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FFA4880"/>
    <w:multiLevelType w:val="multilevel"/>
    <w:tmpl w:val="9F1218F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9">
    <w:nsid w:val="74B51E03"/>
    <w:multiLevelType w:val="hybridMultilevel"/>
    <w:tmpl w:val="2118D630"/>
    <w:lvl w:ilvl="0" w:tplc="3CC02650">
      <w:start w:val="1"/>
      <w:numFmt w:val="lowerRoman"/>
      <w:lvlText w:val="%1)"/>
      <w:lvlJc w:val="left"/>
      <w:pPr>
        <w:ind w:left="1584" w:hanging="720"/>
      </w:pPr>
      <w:rPr>
        <w:rFonts w:hint="default"/>
      </w:r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num w:numId="1">
    <w:abstractNumId w:val="0"/>
  </w:num>
  <w:num w:numId="2">
    <w:abstractNumId w:val="3"/>
  </w:num>
  <w:num w:numId="3">
    <w:abstractNumId w:val="7"/>
  </w:num>
  <w:num w:numId="4">
    <w:abstractNumId w:val="9"/>
  </w:num>
  <w:num w:numId="5">
    <w:abstractNumId w:val="8"/>
  </w:num>
  <w:num w:numId="6">
    <w:abstractNumId w:val="7"/>
  </w:num>
  <w:num w:numId="7">
    <w:abstractNumId w:val="2"/>
  </w:num>
  <w:num w:numId="8">
    <w:abstractNumId w:val="7"/>
  </w:num>
  <w:num w:numId="9">
    <w:abstractNumId w:val="1"/>
  </w:num>
  <w:num w:numId="10">
    <w:abstractNumId w:val="7"/>
  </w:num>
  <w:num w:numId="11">
    <w:abstractNumId w:val="7"/>
  </w:num>
  <w:num w:numId="12">
    <w:abstractNumId w:val="0"/>
  </w:num>
  <w:num w:numId="13">
    <w:abstractNumId w:val="7"/>
  </w:num>
  <w:num w:numId="14">
    <w:abstractNumId w:val="7"/>
  </w:num>
  <w:num w:numId="15">
    <w:abstractNumId w:val="7"/>
  </w:num>
  <w:num w:numId="16">
    <w:abstractNumId w:val="0"/>
  </w:num>
  <w:num w:numId="17">
    <w:abstractNumId w:val="0"/>
  </w:num>
  <w:num w:numId="18">
    <w:abstractNumId w:val="7"/>
  </w:num>
  <w:num w:numId="19">
    <w:abstractNumId w:val="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6"/>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386"/>
    <w:rsid w:val="000019B1"/>
    <w:rsid w:val="00012386"/>
    <w:rsid w:val="00017069"/>
    <w:rsid w:val="000C0883"/>
    <w:rsid w:val="000C09D9"/>
    <w:rsid w:val="000E0955"/>
    <w:rsid w:val="00112F80"/>
    <w:rsid w:val="001327A5"/>
    <w:rsid w:val="0017701B"/>
    <w:rsid w:val="00180F2F"/>
    <w:rsid w:val="00193844"/>
    <w:rsid w:val="001A5FFE"/>
    <w:rsid w:val="001B0625"/>
    <w:rsid w:val="001B44C3"/>
    <w:rsid w:val="001C2281"/>
    <w:rsid w:val="001F46A9"/>
    <w:rsid w:val="002116A8"/>
    <w:rsid w:val="00240A29"/>
    <w:rsid w:val="00270AAC"/>
    <w:rsid w:val="002A192E"/>
    <w:rsid w:val="002F38B1"/>
    <w:rsid w:val="00357295"/>
    <w:rsid w:val="0036490B"/>
    <w:rsid w:val="00374FD5"/>
    <w:rsid w:val="00380DEA"/>
    <w:rsid w:val="003D7A58"/>
    <w:rsid w:val="00422991"/>
    <w:rsid w:val="004337E1"/>
    <w:rsid w:val="004859DD"/>
    <w:rsid w:val="004A028E"/>
    <w:rsid w:val="004A2478"/>
    <w:rsid w:val="005103C9"/>
    <w:rsid w:val="00550E3C"/>
    <w:rsid w:val="005640C0"/>
    <w:rsid w:val="005B4535"/>
    <w:rsid w:val="005D12FF"/>
    <w:rsid w:val="005E5E43"/>
    <w:rsid w:val="006338E4"/>
    <w:rsid w:val="00642FFA"/>
    <w:rsid w:val="0065200C"/>
    <w:rsid w:val="00665EC2"/>
    <w:rsid w:val="00681ED9"/>
    <w:rsid w:val="006E2712"/>
    <w:rsid w:val="006F4AC9"/>
    <w:rsid w:val="00701D7D"/>
    <w:rsid w:val="00780964"/>
    <w:rsid w:val="0078197B"/>
    <w:rsid w:val="00782B99"/>
    <w:rsid w:val="0079532D"/>
    <w:rsid w:val="007A13C4"/>
    <w:rsid w:val="0083552C"/>
    <w:rsid w:val="00857D15"/>
    <w:rsid w:val="008A2EF5"/>
    <w:rsid w:val="008A383E"/>
    <w:rsid w:val="008C0C72"/>
    <w:rsid w:val="008D1415"/>
    <w:rsid w:val="00910C38"/>
    <w:rsid w:val="00935080"/>
    <w:rsid w:val="00935B4C"/>
    <w:rsid w:val="00946DAA"/>
    <w:rsid w:val="00970A4A"/>
    <w:rsid w:val="009D3260"/>
    <w:rsid w:val="00A00718"/>
    <w:rsid w:val="00A22CDD"/>
    <w:rsid w:val="00A71F71"/>
    <w:rsid w:val="00AA1601"/>
    <w:rsid w:val="00B83AF6"/>
    <w:rsid w:val="00BE2F48"/>
    <w:rsid w:val="00BF1A76"/>
    <w:rsid w:val="00C80879"/>
    <w:rsid w:val="00C867A0"/>
    <w:rsid w:val="00CB6143"/>
    <w:rsid w:val="00CF04F2"/>
    <w:rsid w:val="00D11858"/>
    <w:rsid w:val="00D12DB4"/>
    <w:rsid w:val="00D5308B"/>
    <w:rsid w:val="00DA2951"/>
    <w:rsid w:val="00DA454E"/>
    <w:rsid w:val="00DC60D2"/>
    <w:rsid w:val="00DE1B33"/>
    <w:rsid w:val="00E54538"/>
    <w:rsid w:val="00E64742"/>
    <w:rsid w:val="00E965BB"/>
    <w:rsid w:val="00EB00DA"/>
    <w:rsid w:val="00F63B0E"/>
    <w:rsid w:val="00F86BC7"/>
    <w:rsid w:val="00FD0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5"/>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21"/>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5"/>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21"/>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7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oleObject" Target="file:///C:\Users\AMROUK\AppData\Local\Microsoft\Windows\Temporary%20Internet%20Files\Content.Outlook\W766MXK9\SPS%20notifications%20on%20te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903143863773873"/>
          <c:y val="7.9630765176976301E-2"/>
          <c:w val="0.64094237926275854"/>
          <c:h val="0.70636243573767998"/>
        </c:manualLayout>
      </c:layout>
      <c:lineChart>
        <c:grouping val="standard"/>
        <c:varyColors val="0"/>
        <c:ser>
          <c:idx val="0"/>
          <c:order val="0"/>
          <c:tx>
            <c:strRef>
              <c:f>'FINAL table and chart'!$A$27</c:f>
              <c:strCache>
                <c:ptCount val="1"/>
                <c:pt idx="0">
                  <c:v>Average Tariff</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'FINAL table and chart'!$B$15:$U$15</c:f>
              <c:numCache>
                <c:formatCode>General</c:formatCode>
                <c:ptCount val="20"/>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numCache>
            </c:numRef>
          </c:cat>
          <c:val>
            <c:numRef>
              <c:f>'FINAL table and chart'!$B$27:$U$27</c:f>
              <c:numCache>
                <c:formatCode>0.0</c:formatCode>
                <c:ptCount val="20"/>
                <c:pt idx="0">
                  <c:v>16.609090909090931</c:v>
                </c:pt>
                <c:pt idx="1">
                  <c:v>14.31818181818182</c:v>
                </c:pt>
                <c:pt idx="2">
                  <c:v>12.06</c:v>
                </c:pt>
                <c:pt idx="3">
                  <c:v>12.381818181818135</c:v>
                </c:pt>
                <c:pt idx="4">
                  <c:v>12.309090909090926</c:v>
                </c:pt>
                <c:pt idx="5">
                  <c:v>12.763636363636374</c:v>
                </c:pt>
                <c:pt idx="6">
                  <c:v>11.58909090909092</c:v>
                </c:pt>
                <c:pt idx="7">
                  <c:v>8.8163636363636346</c:v>
                </c:pt>
                <c:pt idx="8">
                  <c:v>8.3800000000000026</c:v>
                </c:pt>
                <c:pt idx="9">
                  <c:v>7.6436363636363618</c:v>
                </c:pt>
                <c:pt idx="10">
                  <c:v>7.2572727272727304</c:v>
                </c:pt>
                <c:pt idx="11">
                  <c:v>7.1436363636363618</c:v>
                </c:pt>
                <c:pt idx="12">
                  <c:v>7.1436363636363618</c:v>
                </c:pt>
                <c:pt idx="13">
                  <c:v>7.1436363636363618</c:v>
                </c:pt>
                <c:pt idx="14">
                  <c:v>7.1436363636363618</c:v>
                </c:pt>
                <c:pt idx="15">
                  <c:v>7.1436363636363618</c:v>
                </c:pt>
                <c:pt idx="16">
                  <c:v>7.1436363636363618</c:v>
                </c:pt>
                <c:pt idx="17">
                  <c:v>7.1436363636363618</c:v>
                </c:pt>
                <c:pt idx="18">
                  <c:v>5.6072727272727274</c:v>
                </c:pt>
                <c:pt idx="19">
                  <c:v>5.6072727272727274</c:v>
                </c:pt>
              </c:numCache>
            </c:numRef>
          </c:val>
          <c:smooth val="0"/>
        </c:ser>
        <c:dLbls>
          <c:showLegendKey val="0"/>
          <c:showVal val="0"/>
          <c:showCatName val="0"/>
          <c:showSerName val="0"/>
          <c:showPercent val="0"/>
          <c:showBubbleSize val="0"/>
        </c:dLbls>
        <c:marker val="1"/>
        <c:smooth val="0"/>
        <c:axId val="115560832"/>
        <c:axId val="115537792"/>
      </c:lineChart>
      <c:lineChart>
        <c:grouping val="standard"/>
        <c:varyColors val="0"/>
        <c:ser>
          <c:idx val="1"/>
          <c:order val="1"/>
          <c:tx>
            <c:strRef>
              <c:f>'FINAL table and chart'!$A$11</c:f>
              <c:strCache>
                <c:ptCount val="1"/>
                <c:pt idx="0">
                  <c:v>SPS Notifications</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cat>
            <c:numRef>
              <c:f>'FINAL table and chart'!$B$15:$U$15</c:f>
              <c:numCache>
                <c:formatCode>General</c:formatCode>
                <c:ptCount val="20"/>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numCache>
            </c:numRef>
          </c:cat>
          <c:val>
            <c:numRef>
              <c:f>'FINAL table and chart'!$B$11:$U$11</c:f>
              <c:numCache>
                <c:formatCode>General</c:formatCode>
                <c:ptCount val="20"/>
                <c:pt idx="0">
                  <c:v>2</c:v>
                </c:pt>
                <c:pt idx="1">
                  <c:v>1</c:v>
                </c:pt>
                <c:pt idx="2">
                  <c:v>1</c:v>
                </c:pt>
                <c:pt idx="3">
                  <c:v>2</c:v>
                </c:pt>
                <c:pt idx="4">
                  <c:v>1</c:v>
                </c:pt>
                <c:pt idx="5">
                  <c:v>3</c:v>
                </c:pt>
                <c:pt idx="6">
                  <c:v>0</c:v>
                </c:pt>
                <c:pt idx="7">
                  <c:v>3</c:v>
                </c:pt>
                <c:pt idx="8">
                  <c:v>6</c:v>
                </c:pt>
                <c:pt idx="9">
                  <c:v>5</c:v>
                </c:pt>
                <c:pt idx="10">
                  <c:v>7</c:v>
                </c:pt>
                <c:pt idx="11">
                  <c:v>8</c:v>
                </c:pt>
                <c:pt idx="12">
                  <c:v>9</c:v>
                </c:pt>
                <c:pt idx="13">
                  <c:v>8</c:v>
                </c:pt>
                <c:pt idx="14">
                  <c:v>13</c:v>
                </c:pt>
                <c:pt idx="15">
                  <c:v>7</c:v>
                </c:pt>
                <c:pt idx="16">
                  <c:v>5</c:v>
                </c:pt>
                <c:pt idx="17">
                  <c:v>12</c:v>
                </c:pt>
                <c:pt idx="18">
                  <c:v>24</c:v>
                </c:pt>
                <c:pt idx="19">
                  <c:v>25</c:v>
                </c:pt>
              </c:numCache>
            </c:numRef>
          </c:val>
          <c:smooth val="0"/>
        </c:ser>
        <c:dLbls>
          <c:showLegendKey val="0"/>
          <c:showVal val="0"/>
          <c:showCatName val="0"/>
          <c:showSerName val="0"/>
          <c:showPercent val="0"/>
          <c:showBubbleSize val="0"/>
        </c:dLbls>
        <c:marker val="1"/>
        <c:smooth val="0"/>
        <c:axId val="115572736"/>
        <c:axId val="115562368"/>
      </c:lineChart>
      <c:valAx>
        <c:axId val="115537792"/>
        <c:scaling>
          <c:orientation val="minMax"/>
        </c:scaling>
        <c:delete val="0"/>
        <c:axPos val="r"/>
        <c:title>
          <c:tx>
            <c:rich>
              <a:bodyPr rot="0" vert="horz" anchor="t" anchorCtr="1"/>
              <a:lstStyle/>
              <a:p>
                <a:pPr algn="ctr" rtl="0">
                  <a:defRPr lang="en-US" sz="800" b="0" i="0" u="none" strike="noStrike" kern="1200" baseline="0">
                    <a:solidFill>
                      <a:sysClr val="windowText" lastClr="000000"/>
                    </a:solidFill>
                    <a:latin typeface="+mn-lt"/>
                    <a:ea typeface="+mn-ea"/>
                    <a:cs typeface="+mn-cs"/>
                  </a:defRPr>
                </a:pPr>
                <a:r>
                  <a:rPr lang="en-US" sz="800" b="0" i="0" u="none" strike="noStrike" kern="1200" baseline="0">
                    <a:solidFill>
                      <a:sysClr val="windowText" lastClr="000000"/>
                    </a:solidFill>
                    <a:latin typeface="+mn-lt"/>
                    <a:ea typeface="+mn-ea"/>
                    <a:cs typeface="+mn-cs"/>
                  </a:rPr>
                  <a:t>Average tariff rate</a:t>
                </a:r>
              </a:p>
            </c:rich>
          </c:tx>
          <c:layout>
            <c:manualLayout>
              <c:xMode val="edge"/>
              <c:yMode val="edge"/>
              <c:x val="0.83527727792579765"/>
              <c:y val="8.8569744281738597E-2"/>
            </c:manualLayout>
          </c:layout>
          <c:overlay val="0"/>
        </c:title>
        <c:numFmt formatCode="0" sourceLinked="0"/>
        <c:majorTickMark val="in"/>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5560832"/>
        <c:crosses val="max"/>
        <c:crossBetween val="between"/>
      </c:valAx>
      <c:catAx>
        <c:axId val="1155608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5537792"/>
        <c:crosses val="autoZero"/>
        <c:auto val="1"/>
        <c:lblAlgn val="ctr"/>
        <c:lblOffset val="100"/>
        <c:noMultiLvlLbl val="0"/>
      </c:catAx>
      <c:valAx>
        <c:axId val="115562368"/>
        <c:scaling>
          <c:orientation val="minMax"/>
        </c:scaling>
        <c:delete val="0"/>
        <c:axPos val="l"/>
        <c:title>
          <c:tx>
            <c:rich>
              <a:bodyPr rot="0" vert="horz"/>
              <a:lstStyle/>
              <a:p>
                <a:pPr algn="ctr" rtl="0">
                  <a:defRPr lang="en-US" sz="800" b="0" i="0" u="none" strike="noStrike" kern="1200" baseline="0">
                    <a:solidFill>
                      <a:sysClr val="windowText" lastClr="000000"/>
                    </a:solidFill>
                    <a:latin typeface="+mn-lt"/>
                    <a:ea typeface="+mn-ea"/>
                    <a:cs typeface="+mn-cs"/>
                  </a:defRPr>
                </a:pPr>
                <a:r>
                  <a:rPr lang="en-US" sz="800" b="0" i="0" u="none" strike="noStrike" kern="1200" baseline="0">
                    <a:solidFill>
                      <a:sysClr val="windowText" lastClr="000000"/>
                    </a:solidFill>
                    <a:latin typeface="+mn-lt"/>
                    <a:ea typeface="+mn-ea"/>
                    <a:cs typeface="+mn-cs"/>
                  </a:rPr>
                  <a:t>Number of SPS notifications</a:t>
                </a:r>
              </a:p>
            </c:rich>
          </c:tx>
          <c:layout>
            <c:manualLayout>
              <c:xMode val="edge"/>
              <c:yMode val="edge"/>
              <c:x val="1.169253578723243E-3"/>
              <c:y val="9.4185477126415715E-2"/>
            </c:manualLayout>
          </c:layout>
          <c:overlay val="0"/>
        </c:title>
        <c:numFmt formatCode="General" sourceLinked="1"/>
        <c:majorTickMark val="in"/>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5572736"/>
        <c:crosses val="autoZero"/>
        <c:crossBetween val="between"/>
      </c:valAx>
      <c:catAx>
        <c:axId val="115572736"/>
        <c:scaling>
          <c:orientation val="minMax"/>
        </c:scaling>
        <c:delete val="1"/>
        <c:axPos val="b"/>
        <c:numFmt formatCode="General" sourceLinked="1"/>
        <c:majorTickMark val="out"/>
        <c:minorTickMark val="none"/>
        <c:tickLblPos val="none"/>
        <c:crossAx val="115562368"/>
        <c:crosses val="autoZero"/>
        <c:auto val="1"/>
        <c:lblAlgn val="ctr"/>
        <c:lblOffset val="100"/>
        <c:noMultiLvlLbl val="0"/>
      </c:catAx>
      <c:spPr>
        <a:noFill/>
        <a:ln>
          <a:solidFill>
            <a:schemeClr val="tx1">
              <a:lumMod val="15000"/>
              <a:lumOff val="85000"/>
            </a:schemeClr>
          </a:solidFill>
        </a:ln>
        <a:effectLst/>
      </c:spPr>
    </c:plotArea>
    <c:legend>
      <c:legendPos val="b"/>
      <c:layout>
        <c:manualLayout>
          <c:xMode val="edge"/>
          <c:yMode val="edge"/>
          <c:x val="0.21584524396254395"/>
          <c:y val="0.91183859245939392"/>
          <c:w val="0.56240463976565158"/>
          <c:h val="5.8527512306051896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944E2-5260-4386-9B8F-43CDD078F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3513</Words>
  <Characters>20026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23493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Giordano DiNicola (CPAM)</dc:creator>
  <cp:lastModifiedBy>Margarita Brattlof (EST)</cp:lastModifiedBy>
  <cp:revision>6</cp:revision>
  <dcterms:created xsi:type="dcterms:W3CDTF">2016-04-28T09:25:00Z</dcterms:created>
  <dcterms:modified xsi:type="dcterms:W3CDTF">2016-05-09T14:16:00Z</dcterms:modified>
</cp:coreProperties>
</file>