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A81F94">
      <w:pPr>
        <w:pStyle w:val="Hidden"/>
      </w:pPr>
    </w:p>
    <w:p w:rsidR="00012386" w:rsidRPr="003F76E2" w:rsidRDefault="00012386" w:rsidP="00A81F94">
      <w:pPr>
        <w:pStyle w:val="DocTitle"/>
      </w:pPr>
      <w:bookmarkStart w:id="0" w:name="CoverTitleBookmark"/>
      <w:bookmarkStart w:id="1" w:name="Cover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EndPr/>
      <w:sdtContent>
        <w:p w:rsidR="002116A8" w:rsidRDefault="002116A8" w:rsidP="002116A8">
          <w:pPr>
            <w:pStyle w:val="MeetingInfo"/>
          </w:pPr>
          <w:r w:rsidRPr="00F56629">
            <w:t xml:space="preserve">INTERGOVERNMENTAL GROUP ON </w:t>
          </w:r>
          <w:r>
            <w:t>TEA</w:t>
          </w:r>
        </w:p>
        <w:p w:rsidR="002116A8" w:rsidRDefault="002116A8" w:rsidP="002116A8">
          <w:pPr>
            <w:pStyle w:val="MeetingInfo"/>
          </w:pPr>
          <w:r>
            <w:t>Twenty-second Session</w:t>
          </w:r>
        </w:p>
        <w:p w:rsidR="002116A8" w:rsidRDefault="00C867A0" w:rsidP="002116A8">
          <w:pPr>
            <w:pStyle w:val="MeetingInfo"/>
          </w:pPr>
          <w:proofErr w:type="spellStart"/>
          <w:r>
            <w:t>Naivasha</w:t>
          </w:r>
          <w:proofErr w:type="spellEnd"/>
          <w:r>
            <w:t>, Kenya, 25-27 May 2016</w:t>
          </w:r>
        </w:p>
        <w:p w:rsidR="002116A8" w:rsidRPr="00F56629" w:rsidRDefault="000819F7" w:rsidP="002116A8">
          <w:pPr>
            <w:pStyle w:val="MeetingInfo"/>
          </w:pPr>
          <w:r>
            <w:t>POSSIBLE STRATEGIES TO ADDRESS SOCIO-ECONOMIC ADAPTATION POLICIES</w:t>
          </w:r>
        </w:p>
      </w:sdtContent>
    </w:sdt>
    <w:p w:rsidR="002116A8" w:rsidRDefault="002116A8" w:rsidP="002116A8">
      <w:pPr>
        <w:pStyle w:val="Heading1"/>
        <w:spacing w:after="200"/>
        <w:ind w:left="1" w:firstLine="0"/>
      </w:pPr>
      <w:r w:rsidRPr="00F56629">
        <w:t>INTRODUCTION</w:t>
      </w:r>
    </w:p>
    <w:p w:rsidR="002116A8" w:rsidRDefault="00EF4EA1" w:rsidP="002116A8">
      <w:pPr>
        <w:pStyle w:val="NewPara"/>
      </w:pPr>
      <w:r>
        <w:rPr>
          <w:szCs w:val="22"/>
          <w:lang w:val="en-US"/>
        </w:rPr>
        <w:t xml:space="preserve">At its </w:t>
      </w:r>
      <w:r w:rsidR="000819F7" w:rsidRPr="00B15AB9">
        <w:rPr>
          <w:szCs w:val="22"/>
          <w:lang w:val="en-US"/>
        </w:rPr>
        <w:t>last session in Bandung, Indonesia, in November 2014, the Intergovernmental Group on Tea (IGG/Tea)</w:t>
      </w:r>
      <w:r>
        <w:rPr>
          <w:szCs w:val="22"/>
          <w:lang w:val="en-US"/>
        </w:rPr>
        <w:t xml:space="preserve"> </w:t>
      </w:r>
      <w:r w:rsidR="000819F7" w:rsidRPr="00B15AB9">
        <w:rPr>
          <w:szCs w:val="22"/>
          <w:lang w:val="en-US"/>
        </w:rPr>
        <w:t>recognized that the current agricultural practices employed in tea cultivation, particularly intensive mono cropping, inefficient water and energy use, as well as intensive use of fertilizers and chemical pesticides</w:t>
      </w:r>
      <w:r>
        <w:rPr>
          <w:szCs w:val="22"/>
          <w:lang w:val="en-US"/>
        </w:rPr>
        <w:t>,</w:t>
      </w:r>
      <w:r w:rsidR="000819F7" w:rsidRPr="00B15AB9">
        <w:rPr>
          <w:szCs w:val="22"/>
          <w:lang w:val="en-US"/>
        </w:rPr>
        <w:t xml:space="preserve"> have contributed to greenhouse gas (GHG) emission</w:t>
      </w:r>
      <w:r>
        <w:rPr>
          <w:szCs w:val="22"/>
          <w:lang w:val="en-US"/>
        </w:rPr>
        <w:t>s</w:t>
      </w:r>
      <w:r w:rsidR="000819F7" w:rsidRPr="00B15AB9">
        <w:rPr>
          <w:szCs w:val="22"/>
          <w:lang w:val="en-US"/>
        </w:rPr>
        <w:t xml:space="preserve"> and climate change. The</w:t>
      </w:r>
      <w:r w:rsidR="000819F7" w:rsidRPr="00B15AB9">
        <w:rPr>
          <w:szCs w:val="22"/>
        </w:rPr>
        <w:t xml:space="preserve"> IGG/Tea tasked the Working Group on Climate Change (WGCC) to review the methodology used in assessing  the impact of climate change and to identify and suggest strategies to develop appropriate long term</w:t>
      </w:r>
      <w:r>
        <w:rPr>
          <w:szCs w:val="22"/>
        </w:rPr>
        <w:t xml:space="preserve"> responses</w:t>
      </w:r>
      <w:r w:rsidR="000819F7" w:rsidRPr="00B15AB9">
        <w:rPr>
          <w:szCs w:val="22"/>
        </w:rPr>
        <w:t xml:space="preserve"> for mitigation and/or adaptation. </w:t>
      </w:r>
      <w:r w:rsidR="00CA0F28">
        <w:rPr>
          <w:szCs w:val="22"/>
        </w:rPr>
        <w:t xml:space="preserve">The WGCC will be presenting its report on strategies to adapt to climate change as documented in its booklet that has been published entitled </w:t>
      </w:r>
      <w:r w:rsidR="00CA0F28">
        <w:rPr>
          <w:i/>
          <w:szCs w:val="22"/>
        </w:rPr>
        <w:t>Climate change adaptation in tea: technologies and practices</w:t>
      </w:r>
      <w:r w:rsidR="00CA0F28">
        <w:rPr>
          <w:rStyle w:val="FootnoteReference"/>
          <w:i/>
          <w:szCs w:val="22"/>
        </w:rPr>
        <w:footnoteReference w:id="1"/>
      </w:r>
      <w:r w:rsidR="00CA0F28">
        <w:rPr>
          <w:i/>
          <w:szCs w:val="22"/>
        </w:rPr>
        <w:t xml:space="preserve">. </w:t>
      </w:r>
      <w:r w:rsidR="000819F7" w:rsidRPr="00B15AB9">
        <w:rPr>
          <w:szCs w:val="22"/>
        </w:rPr>
        <w:t>To complement this initiative, the Secretariat has produced document CCP</w:t>
      </w:r>
      <w:proofErr w:type="gramStart"/>
      <w:r w:rsidR="000819F7" w:rsidRPr="00B15AB9">
        <w:rPr>
          <w:szCs w:val="22"/>
        </w:rPr>
        <w:t>:TE</w:t>
      </w:r>
      <w:proofErr w:type="gramEnd"/>
      <w:r w:rsidR="000819F7" w:rsidRPr="00B15AB9">
        <w:rPr>
          <w:szCs w:val="22"/>
        </w:rPr>
        <w:t xml:space="preserve"> 16/3 which proposes enabling socio-economic adaptation policies for consideration by delegates.</w:t>
      </w:r>
    </w:p>
    <w:p w:rsidR="002116A8" w:rsidRPr="000819F7" w:rsidRDefault="000819F7" w:rsidP="002116A8">
      <w:pPr>
        <w:pStyle w:val="NewPara"/>
      </w:pPr>
      <w:r w:rsidRPr="00B15AB9">
        <w:rPr>
          <w:szCs w:val="22"/>
        </w:rPr>
        <w:t xml:space="preserve">Achieving and maintaining </w:t>
      </w:r>
      <w:r w:rsidR="00EF4EA1">
        <w:rPr>
          <w:szCs w:val="22"/>
        </w:rPr>
        <w:t xml:space="preserve">inclusive </w:t>
      </w:r>
      <w:r w:rsidRPr="00B15AB9">
        <w:rPr>
          <w:szCs w:val="22"/>
        </w:rPr>
        <w:t xml:space="preserve">economic growth is the foundation for </w:t>
      </w:r>
      <w:r w:rsidR="00EF4EA1">
        <w:rPr>
          <w:szCs w:val="22"/>
        </w:rPr>
        <w:t xml:space="preserve">sustainable </w:t>
      </w:r>
      <w:r w:rsidRPr="00B15AB9">
        <w:rPr>
          <w:szCs w:val="22"/>
        </w:rPr>
        <w:t>development. Countries that are heavily reliant on the agriculture sector for th</w:t>
      </w:r>
      <w:r>
        <w:rPr>
          <w:szCs w:val="22"/>
        </w:rPr>
        <w:t xml:space="preserve">eir socio-economic development </w:t>
      </w:r>
      <w:r w:rsidRPr="00B15AB9">
        <w:rPr>
          <w:szCs w:val="22"/>
        </w:rPr>
        <w:t>have become vulnerable to the effects of climate change in recent decades as a consequence of GHG emission</w:t>
      </w:r>
      <w:r w:rsidR="00EF4EA1">
        <w:rPr>
          <w:szCs w:val="22"/>
        </w:rPr>
        <w:t>s</w:t>
      </w:r>
      <w:r w:rsidRPr="00B15AB9">
        <w:rPr>
          <w:szCs w:val="22"/>
        </w:rPr>
        <w:t xml:space="preserve">. In response to this phenomenon, development strategies are changing as governments adapt to the new reality and formulate policies and strategies that are aimed at achieving sustainability </w:t>
      </w:r>
      <w:r w:rsidR="00EF4EA1">
        <w:rPr>
          <w:szCs w:val="22"/>
        </w:rPr>
        <w:t xml:space="preserve">balanced across the economic, social and environmental dimensions </w:t>
      </w:r>
      <w:r w:rsidRPr="00B15AB9">
        <w:rPr>
          <w:szCs w:val="22"/>
        </w:rPr>
        <w:t>rather than maximising economic returns at all cost.</w:t>
      </w:r>
    </w:p>
    <w:p w:rsidR="000819F7" w:rsidRPr="000819F7" w:rsidRDefault="000819F7" w:rsidP="00CA0F28">
      <w:pPr>
        <w:pStyle w:val="NewPara"/>
      </w:pPr>
      <w:r w:rsidRPr="00B15AB9">
        <w:rPr>
          <w:szCs w:val="22"/>
        </w:rPr>
        <w:t>The new international framework on climate change that countries will now be expected to operate under, particularly to strengthen global response to sustainable development and poverty eradication</w:t>
      </w:r>
      <w:r w:rsidR="003559AF">
        <w:rPr>
          <w:szCs w:val="22"/>
        </w:rPr>
        <w:t>,</w:t>
      </w:r>
      <w:r w:rsidRPr="00B15AB9">
        <w:rPr>
          <w:szCs w:val="22"/>
        </w:rPr>
        <w:t xml:space="preserve"> is captured in Article 2 of the Paris Agreement</w:t>
      </w:r>
      <w:r w:rsidRPr="00B15AB9">
        <w:rPr>
          <w:rStyle w:val="FootnoteReference"/>
          <w:szCs w:val="22"/>
        </w:rPr>
        <w:footnoteReference w:id="2"/>
      </w:r>
      <w:r w:rsidRPr="00B15AB9">
        <w:rPr>
          <w:szCs w:val="22"/>
        </w:rPr>
        <w:t xml:space="preserve">, which, </w:t>
      </w:r>
      <w:r w:rsidRPr="00B15AB9">
        <w:rPr>
          <w:i/>
          <w:szCs w:val="22"/>
        </w:rPr>
        <w:t>inter alia</w:t>
      </w:r>
      <w:r w:rsidRPr="00B15AB9">
        <w:rPr>
          <w:szCs w:val="22"/>
        </w:rPr>
        <w:t>, include</w:t>
      </w:r>
      <w:r w:rsidR="003559AF">
        <w:rPr>
          <w:szCs w:val="22"/>
        </w:rPr>
        <w:t>s</w:t>
      </w:r>
      <w:r w:rsidRPr="00B15AB9">
        <w:rPr>
          <w:szCs w:val="22"/>
        </w:rPr>
        <w:t>:</w:t>
      </w:r>
    </w:p>
    <w:p w:rsidR="000819F7" w:rsidRPr="00B15AB9" w:rsidRDefault="00CA0F28" w:rsidP="00395022">
      <w:pPr>
        <w:pStyle w:val="NewPara"/>
        <w:numPr>
          <w:ilvl w:val="0"/>
          <w:numId w:val="6"/>
        </w:numPr>
      </w:pPr>
      <w:r>
        <w:t>“</w:t>
      </w:r>
      <w:r w:rsidR="000819F7" w:rsidRPr="00B15AB9">
        <w:t xml:space="preserve">Holding the increase in the global average temperature to well below 2°C above pre-industrial levels and pursuing efforts to limit the temperature increase to 1.5°C above pre-industrial levels, recognizing that this would significantly reduce the risks and impacts of climate change; </w:t>
      </w:r>
    </w:p>
    <w:p w:rsidR="000819F7" w:rsidRPr="00B15AB9" w:rsidRDefault="000819F7" w:rsidP="00395022">
      <w:pPr>
        <w:pStyle w:val="NewPara"/>
        <w:numPr>
          <w:ilvl w:val="0"/>
          <w:numId w:val="6"/>
        </w:numPr>
      </w:pPr>
      <w:r w:rsidRPr="00B15AB9">
        <w:lastRenderedPageBreak/>
        <w:t xml:space="preserve">Increasing the ability to adapt to the adverse impacts of climate change and foster climate resilience and low greenhouse gas emissions development, in a manner that does not threaten food production; and </w:t>
      </w:r>
    </w:p>
    <w:p w:rsidR="000819F7" w:rsidRPr="000819F7" w:rsidRDefault="000819F7" w:rsidP="00395022">
      <w:pPr>
        <w:pStyle w:val="NewPara"/>
        <w:numPr>
          <w:ilvl w:val="0"/>
          <w:numId w:val="6"/>
        </w:numPr>
        <w:autoSpaceDE w:val="0"/>
        <w:autoSpaceDN w:val="0"/>
        <w:adjustRightInd w:val="0"/>
        <w:rPr>
          <w:szCs w:val="22"/>
        </w:rPr>
      </w:pPr>
      <w:r w:rsidRPr="00B15AB9">
        <w:t xml:space="preserve">Making finance flows consistent with a pathway towards low greenhouse gas emissions and climate-resilient development. </w:t>
      </w:r>
      <w:r>
        <w:br/>
      </w:r>
      <w:r>
        <w:br/>
      </w:r>
      <w:r w:rsidRPr="000819F7">
        <w:rPr>
          <w:szCs w:val="22"/>
        </w:rPr>
        <w:t>[…]</w:t>
      </w:r>
      <w:r w:rsidRPr="000819F7">
        <w:rPr>
          <w:szCs w:val="22"/>
        </w:rPr>
        <w:tab/>
        <w:t>This Agreement will be implemented to reflect equity and the principle of common but differentiated responsibilities and respective capabilities, in the light of different national circumstances….”</w:t>
      </w:r>
    </w:p>
    <w:p w:rsidR="000819F7" w:rsidRPr="000819F7" w:rsidRDefault="000819F7" w:rsidP="002116A8">
      <w:pPr>
        <w:pStyle w:val="NewPara"/>
      </w:pPr>
      <w:r w:rsidRPr="00B15AB9">
        <w:rPr>
          <w:szCs w:val="22"/>
        </w:rPr>
        <w:t xml:space="preserve">The predecessor to the Paris Agreement, the Kyoto Protocol, was </w:t>
      </w:r>
      <w:r w:rsidR="00EF4EA1">
        <w:rPr>
          <w:szCs w:val="22"/>
        </w:rPr>
        <w:t>relatively inflexible</w:t>
      </w:r>
      <w:r w:rsidRPr="00B15AB9">
        <w:rPr>
          <w:szCs w:val="22"/>
        </w:rPr>
        <w:t xml:space="preserve">. While the signatories had the intention to address compliance costs, some of the commitments of the Kyoto Protocol were </w:t>
      </w:r>
      <w:r w:rsidR="00EF4EA1">
        <w:rPr>
          <w:szCs w:val="22"/>
        </w:rPr>
        <w:t xml:space="preserve">very challenging </w:t>
      </w:r>
      <w:r w:rsidRPr="00B15AB9">
        <w:rPr>
          <w:szCs w:val="22"/>
        </w:rPr>
        <w:t xml:space="preserve">to adhere to, resulting in </w:t>
      </w:r>
      <w:r w:rsidR="005245D3">
        <w:rPr>
          <w:szCs w:val="22"/>
        </w:rPr>
        <w:t xml:space="preserve">significant </w:t>
      </w:r>
      <w:r w:rsidRPr="00B15AB9">
        <w:rPr>
          <w:szCs w:val="22"/>
        </w:rPr>
        <w:t>increase</w:t>
      </w:r>
      <w:r w:rsidR="005245D3">
        <w:rPr>
          <w:szCs w:val="22"/>
        </w:rPr>
        <w:t>s</w:t>
      </w:r>
      <w:r w:rsidRPr="00B15AB9">
        <w:rPr>
          <w:szCs w:val="22"/>
        </w:rPr>
        <w:t xml:space="preserve"> </w:t>
      </w:r>
      <w:r w:rsidR="005245D3">
        <w:rPr>
          <w:szCs w:val="22"/>
        </w:rPr>
        <w:t xml:space="preserve">in </w:t>
      </w:r>
      <w:r w:rsidRPr="00B15AB9">
        <w:rPr>
          <w:szCs w:val="22"/>
        </w:rPr>
        <w:t>GHG emissions, rather than a decrease of 5 percent that was the expected target of the Protocol.</w:t>
      </w:r>
    </w:p>
    <w:p w:rsidR="000819F7" w:rsidRPr="000819F7" w:rsidRDefault="000819F7" w:rsidP="002116A8">
      <w:pPr>
        <w:pStyle w:val="NewPara"/>
      </w:pPr>
      <w:r w:rsidRPr="00B15AB9">
        <w:rPr>
          <w:szCs w:val="22"/>
        </w:rPr>
        <w:t>The Paris Agreement will</w:t>
      </w:r>
      <w:r w:rsidR="00EF4EA1">
        <w:rPr>
          <w:szCs w:val="22"/>
        </w:rPr>
        <w:t xml:space="preserve"> enter into force </w:t>
      </w:r>
      <w:r w:rsidRPr="00B15AB9">
        <w:rPr>
          <w:szCs w:val="22"/>
        </w:rPr>
        <w:t xml:space="preserve">after 55 countries </w:t>
      </w:r>
      <w:r w:rsidRPr="00B15AB9">
        <w:rPr>
          <w:szCs w:val="22"/>
          <w:lang w:val="en-US"/>
        </w:rPr>
        <w:t xml:space="preserve">that produce approximately </w:t>
      </w:r>
      <w:r w:rsidRPr="00B15AB9">
        <w:rPr>
          <w:szCs w:val="22"/>
        </w:rPr>
        <w:t xml:space="preserve">55 percent of the total GHG emissions have ratified it (UNFCCC). The target set for emission reduction by ratifying countries will be voluntary; hence no procedures will be put in place obliging a country to establish a fixed target by a specific date, and no sanctions will be applied to countries not meeting their targets. Nevertheless, while enforcements measures </w:t>
      </w:r>
      <w:r w:rsidR="00EF4EA1">
        <w:rPr>
          <w:szCs w:val="22"/>
        </w:rPr>
        <w:t>are not foreseen</w:t>
      </w:r>
      <w:r w:rsidRPr="00B15AB9">
        <w:rPr>
          <w:szCs w:val="22"/>
        </w:rPr>
        <w:t>, if a country does not meet its target, there is a plan to “name and encourage” (</w:t>
      </w:r>
      <w:proofErr w:type="spellStart"/>
      <w:r w:rsidRPr="00B15AB9">
        <w:rPr>
          <w:szCs w:val="22"/>
        </w:rPr>
        <w:t>Pásztor</w:t>
      </w:r>
      <w:proofErr w:type="spellEnd"/>
      <w:r w:rsidRPr="00B15AB9">
        <w:rPr>
          <w:szCs w:val="22"/>
        </w:rPr>
        <w:t>, UN Assistant Secretary-General on Climate Change).</w:t>
      </w:r>
    </w:p>
    <w:p w:rsidR="000819F7" w:rsidRDefault="000819F7" w:rsidP="002116A8">
      <w:pPr>
        <w:pStyle w:val="NewPara"/>
      </w:pPr>
      <w:r w:rsidRPr="00B15AB9">
        <w:rPr>
          <w:szCs w:val="22"/>
        </w:rPr>
        <w:t xml:space="preserve">Decisions on the adaptation measures to be implemented are </w:t>
      </w:r>
      <w:r w:rsidR="0087484B">
        <w:rPr>
          <w:szCs w:val="22"/>
        </w:rPr>
        <w:t xml:space="preserve">effective when </w:t>
      </w:r>
      <w:r w:rsidRPr="00B15AB9">
        <w:rPr>
          <w:szCs w:val="22"/>
        </w:rPr>
        <w:t xml:space="preserve">taken within the context of a wider society and political community (Burton and Lim, 2005). While all societies need to boost their adaptation measures, climate-related issues and alleviations are </w:t>
      </w:r>
      <w:r w:rsidR="00EF4EA1">
        <w:rPr>
          <w:szCs w:val="22"/>
        </w:rPr>
        <w:t xml:space="preserve">often </w:t>
      </w:r>
      <w:r w:rsidRPr="00B15AB9">
        <w:rPr>
          <w:szCs w:val="22"/>
        </w:rPr>
        <w:t>unique to specific areas, and they should thus be addressed at the local level</w:t>
      </w:r>
      <w:r w:rsidR="00EF4EA1">
        <w:rPr>
          <w:szCs w:val="22"/>
        </w:rPr>
        <w:t>. L</w:t>
      </w:r>
      <w:r w:rsidRPr="00B15AB9">
        <w:rPr>
          <w:szCs w:val="22"/>
        </w:rPr>
        <w:t>ocal farming knowledge can help pinpoint the appropriate adaption policies required. However, there are also commonalities</w:t>
      </w:r>
      <w:r w:rsidR="00EF4EA1">
        <w:rPr>
          <w:szCs w:val="22"/>
        </w:rPr>
        <w:t xml:space="preserve"> across</w:t>
      </w:r>
      <w:r w:rsidRPr="00B15AB9">
        <w:rPr>
          <w:szCs w:val="22"/>
        </w:rPr>
        <w:t xml:space="preserve"> regions and policymakers should encourage regional brainstorming dialogues and knowledge sharing. Moreover, much can also be done at the national and international level, such as</w:t>
      </w:r>
      <w:r w:rsidRPr="00B15AB9">
        <w:rPr>
          <w:rStyle w:val="FootnoteReference"/>
          <w:szCs w:val="22"/>
        </w:rPr>
        <w:footnoteReference w:id="3"/>
      </w:r>
      <w:r w:rsidRPr="00B15AB9">
        <w:rPr>
          <w:szCs w:val="22"/>
        </w:rPr>
        <w:t>:</w:t>
      </w:r>
    </w:p>
    <w:p w:rsidR="000819F7" w:rsidRPr="00B15AB9" w:rsidRDefault="000819F7" w:rsidP="000819F7">
      <w:pPr>
        <w:pStyle w:val="BoxBulletList"/>
      </w:pPr>
      <w:r w:rsidRPr="00B15AB9">
        <w:t>Disseminating adaptation measures</w:t>
      </w:r>
      <w:r w:rsidR="00EF4EA1">
        <w:t xml:space="preserve"> and lessons learned</w:t>
      </w:r>
      <w:r w:rsidRPr="00B15AB9">
        <w:t>;</w:t>
      </w:r>
    </w:p>
    <w:p w:rsidR="000819F7" w:rsidRPr="00B15AB9" w:rsidRDefault="000819F7" w:rsidP="000819F7">
      <w:pPr>
        <w:pStyle w:val="BoxBulletList"/>
      </w:pPr>
      <w:r w:rsidRPr="00B15AB9">
        <w:t xml:space="preserve">Incorporating adaptation measures in development </w:t>
      </w:r>
      <w:r w:rsidR="0087484B">
        <w:t>planning</w:t>
      </w:r>
      <w:r w:rsidRPr="00B15AB9">
        <w:t>; and</w:t>
      </w:r>
    </w:p>
    <w:p w:rsidR="00E7018D" w:rsidRPr="00451FF5" w:rsidRDefault="000819F7" w:rsidP="000819F7">
      <w:pPr>
        <w:pStyle w:val="BoxBulletList"/>
      </w:pPr>
      <w:r w:rsidRPr="00B15AB9">
        <w:t>Providing financial support for implementing adaptation measures.</w:t>
      </w:r>
    </w:p>
    <w:p w:rsidR="00E7018D" w:rsidRDefault="000819F7" w:rsidP="00E7018D">
      <w:pPr>
        <w:pStyle w:val="Heading1"/>
        <w:spacing w:after="200"/>
        <w:ind w:left="1" w:firstLine="0"/>
      </w:pPr>
      <w:r>
        <w:t>CLIMATE CHANGE AND TEA</w:t>
      </w:r>
    </w:p>
    <w:p w:rsidR="000819F7" w:rsidRDefault="000819F7" w:rsidP="000819F7">
      <w:pPr>
        <w:pStyle w:val="Heading2"/>
      </w:pPr>
      <w:r>
        <w:t>ADAPTATION</w:t>
      </w:r>
    </w:p>
    <w:p w:rsidR="000819F7" w:rsidRPr="000819F7" w:rsidRDefault="000819F7" w:rsidP="000819F7">
      <w:pPr>
        <w:pStyle w:val="Heading3"/>
      </w:pPr>
    </w:p>
    <w:p w:rsidR="00E7018D" w:rsidRPr="000819F7" w:rsidRDefault="000819F7" w:rsidP="002116A8">
      <w:pPr>
        <w:pStyle w:val="NewPara"/>
      </w:pPr>
      <w:r w:rsidRPr="00B15AB9">
        <w:rPr>
          <w:szCs w:val="22"/>
        </w:rPr>
        <w:t xml:space="preserve">Adaptation measures are increasingly being applied with the objective of </w:t>
      </w:r>
      <w:r w:rsidR="0087484B">
        <w:rPr>
          <w:szCs w:val="22"/>
        </w:rPr>
        <w:t xml:space="preserve">addressing </w:t>
      </w:r>
      <w:r w:rsidRPr="00B15AB9">
        <w:rPr>
          <w:szCs w:val="22"/>
        </w:rPr>
        <w:t>climate change.  In order to maintain their livelihood, tea sma</w:t>
      </w:r>
      <w:r w:rsidR="00FC04D3">
        <w:rPr>
          <w:szCs w:val="22"/>
        </w:rPr>
        <w:t>llholders are adapting to these</w:t>
      </w:r>
      <w:r w:rsidRPr="00B15AB9">
        <w:rPr>
          <w:szCs w:val="22"/>
        </w:rPr>
        <w:t xml:space="preserve"> changing climate measures. However, adaptation cannot be imposed across the board, because many tea growers do not understand the implications of climate change or lack the know-how to adopt good agricultural (tea-growing) practices, while others simply do not have the resources. Nevertheless, adaptation measures recommended by the WGCC include, </w:t>
      </w:r>
      <w:r w:rsidRPr="00B15AB9">
        <w:rPr>
          <w:i/>
          <w:szCs w:val="22"/>
        </w:rPr>
        <w:t>inter alia</w:t>
      </w:r>
      <w:r w:rsidRPr="00B15AB9">
        <w:rPr>
          <w:szCs w:val="22"/>
        </w:rPr>
        <w:t>:</w:t>
      </w:r>
    </w:p>
    <w:p w:rsidR="000819F7" w:rsidRPr="00B15AB9" w:rsidRDefault="000819F7" w:rsidP="000819F7">
      <w:pPr>
        <w:pStyle w:val="BoxBulletList"/>
      </w:pPr>
      <w:r w:rsidRPr="00B15AB9">
        <w:t>Replanting drought- and stress-resistant tea varieties;</w:t>
      </w:r>
    </w:p>
    <w:p w:rsidR="000819F7" w:rsidRPr="00B15AB9" w:rsidRDefault="000819F7" w:rsidP="000819F7">
      <w:pPr>
        <w:pStyle w:val="BoxBulletList"/>
      </w:pPr>
      <w:r w:rsidRPr="00B15AB9">
        <w:t>Planting shade trees to protect the tea bushes;</w:t>
      </w:r>
    </w:p>
    <w:p w:rsidR="000819F7" w:rsidRPr="00B15AB9" w:rsidRDefault="000819F7" w:rsidP="000819F7">
      <w:pPr>
        <w:pStyle w:val="BoxBulletList"/>
      </w:pPr>
      <w:r w:rsidRPr="00B15AB9">
        <w:lastRenderedPageBreak/>
        <w:t>Diversifying crop production in low-yielding, poor-soil tea areas with crops that do not require rich soil conditions for optimal growth;</w:t>
      </w:r>
    </w:p>
    <w:p w:rsidR="000819F7" w:rsidRPr="00B15AB9" w:rsidRDefault="000819F7" w:rsidP="000819F7">
      <w:pPr>
        <w:pStyle w:val="BoxBulletList"/>
      </w:pPr>
      <w:r w:rsidRPr="00B15AB9">
        <w:t>Improvements in efficient water management; and</w:t>
      </w:r>
    </w:p>
    <w:p w:rsidR="000819F7" w:rsidRPr="00B15AB9" w:rsidRDefault="000819F7" w:rsidP="000819F7">
      <w:pPr>
        <w:pStyle w:val="BoxBulletList"/>
      </w:pPr>
      <w:r w:rsidRPr="00B15AB9">
        <w:t xml:space="preserve">Investing in climate-resilient infrastructure, including, </w:t>
      </w:r>
      <w:r w:rsidRPr="00B15AB9">
        <w:rPr>
          <w:i/>
        </w:rPr>
        <w:t>inter alia</w:t>
      </w:r>
      <w:r w:rsidRPr="00B15AB9">
        <w:t>, dr</w:t>
      </w:r>
      <w:r w:rsidR="0087484B">
        <w:t xml:space="preserve">ainage and irrigations systems and </w:t>
      </w:r>
      <w:r w:rsidRPr="00B15AB9">
        <w:t>adapt national public infrastructure to climate change.</w:t>
      </w:r>
    </w:p>
    <w:p w:rsidR="000819F7" w:rsidRDefault="000819F7" w:rsidP="000819F7">
      <w:pPr>
        <w:pStyle w:val="Heading1"/>
        <w:spacing w:after="200"/>
        <w:ind w:left="1" w:firstLine="0"/>
      </w:pPr>
      <w:r>
        <w:t>POLICY</w:t>
      </w:r>
    </w:p>
    <w:p w:rsidR="000819F7" w:rsidRPr="000819F7" w:rsidRDefault="004114C6" w:rsidP="000819F7">
      <w:pPr>
        <w:pStyle w:val="Heading2"/>
      </w:pPr>
      <w:r>
        <w:t>MITIGATION, ADAPTATION AND RESIDUAL IMPACTS</w:t>
      </w:r>
      <w:r>
        <w:br/>
      </w:r>
    </w:p>
    <w:p w:rsidR="002116A8" w:rsidRPr="000819F7" w:rsidRDefault="000819F7" w:rsidP="002116A8">
      <w:pPr>
        <w:pStyle w:val="NewPara"/>
      </w:pPr>
      <w:r w:rsidRPr="00B15AB9">
        <w:rPr>
          <w:szCs w:val="22"/>
        </w:rPr>
        <w:t>Recalling the IPCC definition of mitigation (measures put in place to reduce human emissions of GHG at its source) and adaptation (measures introduced to reduce the vulnerability of social and biological systems to climate change effects), residual impacts refer to the effects of “climate change that would occur after adaptation” (IPCC Fourth Assessment Report). While it is generally agreed that climate change policies should support sustainable development, there are trade-offs involved in mitigation, adaptation and residual impacts. A major issue  facing “policy [decision] is [the] combination of short-term and long-term actions [that]…minimize the total costs of climate change…across mitigation, adaptation and residual climate impacts that society is either prepared or forced to tolerate…” (</w:t>
      </w:r>
      <w:r w:rsidRPr="00B15AB9">
        <w:rPr>
          <w:i/>
          <w:szCs w:val="22"/>
        </w:rPr>
        <w:t>ibid</w:t>
      </w:r>
      <w:r w:rsidRPr="00B15AB9">
        <w:rPr>
          <w:szCs w:val="22"/>
        </w:rPr>
        <w:t>).</w:t>
      </w:r>
    </w:p>
    <w:p w:rsidR="000819F7" w:rsidRPr="000819F7" w:rsidRDefault="000819F7" w:rsidP="002116A8">
      <w:pPr>
        <w:pStyle w:val="NewPara"/>
      </w:pPr>
      <w:r w:rsidRPr="00B15AB9">
        <w:rPr>
          <w:szCs w:val="22"/>
        </w:rPr>
        <w:t>Climate should be a factor in the design stage of new development plans. The IPCC indicated that “…indigenous peoples’ holistic view of community and environment are a major resource for adapting to climate change….” Therefore, policymakers should bear in mind that integrating traditional knowledge a</w:t>
      </w:r>
      <w:r w:rsidR="0087484B">
        <w:rPr>
          <w:szCs w:val="22"/>
        </w:rPr>
        <w:t>nd practices with new climate-smart</w:t>
      </w:r>
      <w:r w:rsidRPr="00B15AB9">
        <w:rPr>
          <w:szCs w:val="22"/>
        </w:rPr>
        <w:t xml:space="preserve"> technologies could be an important adaptation measure in designing infrastructure and developing new techniques. Furthermore, at the design stage of a new development, planners and designers should consider climate forecasts and projections.</w:t>
      </w:r>
    </w:p>
    <w:p w:rsidR="000819F7" w:rsidRPr="000819F7" w:rsidRDefault="000819F7" w:rsidP="002116A8">
      <w:pPr>
        <w:pStyle w:val="NewPara"/>
      </w:pPr>
      <w:r w:rsidRPr="00B15AB9">
        <w:rPr>
          <w:szCs w:val="22"/>
        </w:rPr>
        <w:t xml:space="preserve">Therefore, tea producing countries need to formulate appropriate policy responses for their tea sub-sectors in keeping with overall national climate change policies for mitigation and adaptation. To this end, taking Kenya as an example, projections indicate that the areas currently suitable for tea production will drop </w:t>
      </w:r>
      <w:r w:rsidR="00FC04D3">
        <w:rPr>
          <w:szCs w:val="22"/>
        </w:rPr>
        <w:t>significantly</w:t>
      </w:r>
      <w:r w:rsidRPr="00B15AB9">
        <w:rPr>
          <w:szCs w:val="22"/>
        </w:rPr>
        <w:t xml:space="preserve"> by 2050 as climate change would hamper optimal tea growth in some of the tea-growing regions</w:t>
      </w:r>
      <w:r w:rsidRPr="00B15AB9">
        <w:rPr>
          <w:rStyle w:val="FootnoteReference"/>
          <w:szCs w:val="22"/>
        </w:rPr>
        <w:footnoteReference w:id="4"/>
      </w:r>
      <w:r w:rsidRPr="00B15AB9">
        <w:rPr>
          <w:szCs w:val="22"/>
        </w:rPr>
        <w:t xml:space="preserve">. </w:t>
      </w:r>
      <w:r w:rsidR="00FC04D3">
        <w:rPr>
          <w:szCs w:val="22"/>
        </w:rPr>
        <w:t>Consequently</w:t>
      </w:r>
      <w:r w:rsidRPr="00B15AB9">
        <w:rPr>
          <w:szCs w:val="22"/>
        </w:rPr>
        <w:t>, in order to obtain the maximum growth rate of tea cultivation in Kenya, new land would have to be cleared in higher altitudes. In its struggle against climate change, the tea industry is taking measures to decrease its carbon footprint and is investing in efficient energy use at the tea factories (mitigation); drought- and stress-tolerant tea bushes are being planted (adaptation), but to be able to continue producing high quality tea, new land in higher altitudes would have to be cleared (residual impact). In other words, while Kenya is applying mitigati</w:t>
      </w:r>
      <w:r w:rsidR="0087484B">
        <w:rPr>
          <w:szCs w:val="22"/>
        </w:rPr>
        <w:t>o</w:t>
      </w:r>
      <w:r w:rsidRPr="00B15AB9">
        <w:rPr>
          <w:szCs w:val="22"/>
        </w:rPr>
        <w:t xml:space="preserve">n and adaptation measures, new land in higher altitudes </w:t>
      </w:r>
      <w:r w:rsidR="0087484B">
        <w:rPr>
          <w:szCs w:val="22"/>
        </w:rPr>
        <w:t xml:space="preserve">would </w:t>
      </w:r>
      <w:r w:rsidRPr="00B15AB9">
        <w:rPr>
          <w:szCs w:val="22"/>
        </w:rPr>
        <w:t xml:space="preserve">nevertheless be </w:t>
      </w:r>
      <w:r w:rsidR="004A785E">
        <w:rPr>
          <w:szCs w:val="22"/>
        </w:rPr>
        <w:t>required for optimum tea growth</w:t>
      </w:r>
      <w:r w:rsidRPr="00B15AB9">
        <w:rPr>
          <w:szCs w:val="22"/>
        </w:rPr>
        <w:t xml:space="preserve"> and that is the trade-off (residual impact) that society would</w:t>
      </w:r>
      <w:r w:rsidR="0087484B">
        <w:rPr>
          <w:szCs w:val="22"/>
        </w:rPr>
        <w:t xml:space="preserve"> need to address</w:t>
      </w:r>
      <w:r w:rsidRPr="00B15AB9">
        <w:rPr>
          <w:szCs w:val="22"/>
        </w:rPr>
        <w:t>.</w:t>
      </w:r>
    </w:p>
    <w:p w:rsidR="00395022" w:rsidRPr="00395022" w:rsidRDefault="004114C6" w:rsidP="00395022">
      <w:pPr>
        <w:pStyle w:val="Heading2"/>
      </w:pPr>
      <w:r w:rsidRPr="00395022">
        <w:t>STRENGTHENING RESEARCH AND DEVELOPMENT</w:t>
      </w:r>
    </w:p>
    <w:p w:rsidR="00395022" w:rsidRPr="00B15AB9" w:rsidRDefault="00395022" w:rsidP="00395022">
      <w:pPr>
        <w:rPr>
          <w:szCs w:val="22"/>
        </w:rPr>
      </w:pPr>
    </w:p>
    <w:p w:rsidR="000819F7" w:rsidRPr="00395022" w:rsidRDefault="00395022" w:rsidP="002116A8">
      <w:pPr>
        <w:pStyle w:val="NewPara"/>
      </w:pPr>
      <w:r w:rsidRPr="00B15AB9">
        <w:rPr>
          <w:szCs w:val="22"/>
        </w:rPr>
        <w:t>Adaptation policies supporting ongoing tea research efforts and extension services need to be strengthened as climate change is an on-going, iterative process. In order to support the livelihoods of smallholder tea growers and in formulating suitable adaptation measures, scientific research and development on climate change should continue to be high on the agenda of tea-producing countries.</w:t>
      </w:r>
    </w:p>
    <w:p w:rsidR="00395022" w:rsidRPr="00395022" w:rsidRDefault="00395022" w:rsidP="00395022">
      <w:pPr>
        <w:pStyle w:val="NewPara"/>
        <w:rPr>
          <w:szCs w:val="22"/>
        </w:rPr>
      </w:pPr>
      <w:r w:rsidRPr="00395022">
        <w:rPr>
          <w:szCs w:val="22"/>
        </w:rPr>
        <w:lastRenderedPageBreak/>
        <w:t xml:space="preserve">In response to reduced tea productivity caused by increases in </w:t>
      </w:r>
      <w:r w:rsidR="0087484B">
        <w:rPr>
          <w:szCs w:val="22"/>
        </w:rPr>
        <w:t>climate</w:t>
      </w:r>
      <w:r w:rsidRPr="00395022">
        <w:rPr>
          <w:szCs w:val="22"/>
        </w:rPr>
        <w:t xml:space="preserve">-induced phenomena (such as a rise in temperatures, prolonged drought and frequent heavy and torrential rains) and higher incidences of pests and diseases, research and development policies should aim to, </w:t>
      </w:r>
      <w:r w:rsidRPr="00395022">
        <w:rPr>
          <w:i/>
          <w:szCs w:val="22"/>
        </w:rPr>
        <w:t>inter alia</w:t>
      </w:r>
      <w:r w:rsidRPr="00395022">
        <w:rPr>
          <w:szCs w:val="22"/>
        </w:rPr>
        <w:t>:</w:t>
      </w:r>
    </w:p>
    <w:p w:rsidR="00395022" w:rsidRPr="00B15AB9" w:rsidRDefault="00395022" w:rsidP="00395022">
      <w:pPr>
        <w:pStyle w:val="BoxBulletList"/>
      </w:pPr>
      <w:r w:rsidRPr="00B15AB9">
        <w:t>Develop improved stress- and drought-tolerant tea varieties;</w:t>
      </w:r>
    </w:p>
    <w:p w:rsidR="00395022" w:rsidRPr="00B15AB9" w:rsidRDefault="00395022" w:rsidP="00395022">
      <w:pPr>
        <w:pStyle w:val="BoxBulletList"/>
      </w:pPr>
      <w:r w:rsidRPr="00B15AB9">
        <w:t>Improve integrated soil nutrient management and ecological pest management; and</w:t>
      </w:r>
    </w:p>
    <w:p w:rsidR="00395022" w:rsidRDefault="00395022" w:rsidP="00395022">
      <w:pPr>
        <w:pStyle w:val="BoxBulletList"/>
      </w:pPr>
      <w:r w:rsidRPr="00B15AB9">
        <w:t>Strengthen integrated water and land use planning.</w:t>
      </w:r>
    </w:p>
    <w:p w:rsidR="00395022" w:rsidRPr="00395022" w:rsidRDefault="004114C6" w:rsidP="00395022">
      <w:pPr>
        <w:pStyle w:val="Heading2"/>
      </w:pPr>
      <w:r>
        <w:t>WATER MANAGEMENT</w:t>
      </w:r>
      <w:r>
        <w:br/>
      </w:r>
    </w:p>
    <w:p w:rsidR="00395022" w:rsidRPr="00395022" w:rsidRDefault="004A785E" w:rsidP="00395022">
      <w:pPr>
        <w:pStyle w:val="NewPara"/>
        <w:rPr>
          <w:szCs w:val="22"/>
        </w:rPr>
      </w:pPr>
      <w:r>
        <w:rPr>
          <w:szCs w:val="22"/>
        </w:rPr>
        <w:t xml:space="preserve">Tea production requires </w:t>
      </w:r>
      <w:r w:rsidR="00395022" w:rsidRPr="00395022">
        <w:rPr>
          <w:szCs w:val="22"/>
        </w:rPr>
        <w:t xml:space="preserve">large </w:t>
      </w:r>
      <w:r>
        <w:rPr>
          <w:szCs w:val="22"/>
        </w:rPr>
        <w:t xml:space="preserve">quantities of </w:t>
      </w:r>
      <w:r w:rsidR="00395022" w:rsidRPr="00395022">
        <w:rPr>
          <w:szCs w:val="22"/>
        </w:rPr>
        <w:t xml:space="preserve">water. Therefore, </w:t>
      </w:r>
      <w:r w:rsidR="0087484B">
        <w:rPr>
          <w:szCs w:val="22"/>
        </w:rPr>
        <w:t xml:space="preserve">measures </w:t>
      </w:r>
      <w:r w:rsidR="00395022" w:rsidRPr="00395022">
        <w:rPr>
          <w:szCs w:val="22"/>
        </w:rPr>
        <w:t xml:space="preserve">to strengthen watershed management </w:t>
      </w:r>
      <w:r w:rsidR="0087484B">
        <w:rPr>
          <w:szCs w:val="22"/>
        </w:rPr>
        <w:t>are</w:t>
      </w:r>
      <w:r w:rsidR="00395022" w:rsidRPr="00395022">
        <w:rPr>
          <w:szCs w:val="22"/>
        </w:rPr>
        <w:t xml:space="preserve"> critical in implementing overall national climate change adaptation </w:t>
      </w:r>
      <w:r w:rsidR="0087484B">
        <w:rPr>
          <w:szCs w:val="22"/>
        </w:rPr>
        <w:t>policies</w:t>
      </w:r>
      <w:r w:rsidR="00395022" w:rsidRPr="00395022">
        <w:rPr>
          <w:szCs w:val="22"/>
        </w:rPr>
        <w:t xml:space="preserve">. These could include: </w:t>
      </w:r>
    </w:p>
    <w:p w:rsidR="00395022" w:rsidRPr="00B15AB9" w:rsidRDefault="00395022" w:rsidP="00395022">
      <w:pPr>
        <w:pStyle w:val="BoxBulletList"/>
      </w:pPr>
      <w:r w:rsidRPr="00B15AB9">
        <w:rPr>
          <w:lang w:val="en-US"/>
        </w:rPr>
        <w:t>Investments in rural infrastructure to improve drainage and irrigation;</w:t>
      </w:r>
    </w:p>
    <w:p w:rsidR="00395022" w:rsidRPr="00B15AB9" w:rsidRDefault="00395022" w:rsidP="00395022">
      <w:pPr>
        <w:pStyle w:val="BoxBulletList"/>
      </w:pPr>
      <w:r w:rsidRPr="00B15AB9">
        <w:t>Increasing</w:t>
      </w:r>
      <w:r w:rsidRPr="00B15AB9">
        <w:rPr>
          <w:lang w:val="en-US"/>
        </w:rPr>
        <w:t xml:space="preserve"> water storage capacity; </w:t>
      </w:r>
    </w:p>
    <w:p w:rsidR="00395022" w:rsidRPr="00B15AB9" w:rsidRDefault="00395022" w:rsidP="00395022">
      <w:pPr>
        <w:pStyle w:val="BoxBulletList"/>
      </w:pPr>
      <w:r>
        <w:rPr>
          <w:lang w:val="en-US"/>
        </w:rPr>
        <w:t>I</w:t>
      </w:r>
      <w:r w:rsidRPr="00B15AB9">
        <w:rPr>
          <w:lang w:val="en-US"/>
        </w:rPr>
        <w:t>mprove</w:t>
      </w:r>
      <w:r>
        <w:rPr>
          <w:lang w:val="en-US"/>
        </w:rPr>
        <w:t>d</w:t>
      </w:r>
      <w:r w:rsidRPr="00B15AB9">
        <w:rPr>
          <w:lang w:val="en-US"/>
        </w:rPr>
        <w:t xml:space="preserve"> washing techniques; </w:t>
      </w:r>
    </w:p>
    <w:p w:rsidR="00395022" w:rsidRPr="00B15AB9" w:rsidRDefault="00395022" w:rsidP="00395022">
      <w:pPr>
        <w:pStyle w:val="BoxBulletList"/>
      </w:pPr>
      <w:r>
        <w:t>B</w:t>
      </w:r>
      <w:r w:rsidRPr="00B15AB9">
        <w:t xml:space="preserve">etter recycling and more effective water management methods; </w:t>
      </w:r>
    </w:p>
    <w:p w:rsidR="00395022" w:rsidRPr="00B15AB9" w:rsidRDefault="00395022" w:rsidP="00395022">
      <w:pPr>
        <w:pStyle w:val="BoxBulletList"/>
      </w:pPr>
      <w:r>
        <w:t>P</w:t>
      </w:r>
      <w:r w:rsidRPr="00B15AB9">
        <w:t xml:space="preserve">romotion of </w:t>
      </w:r>
      <w:r w:rsidRPr="00B15AB9">
        <w:rPr>
          <w:lang w:val="en-US"/>
        </w:rPr>
        <w:t xml:space="preserve">efficient water use; and </w:t>
      </w:r>
    </w:p>
    <w:p w:rsidR="00946CD6" w:rsidRPr="004A785E" w:rsidRDefault="00395022" w:rsidP="004A785E">
      <w:pPr>
        <w:pStyle w:val="BoxBulletList"/>
      </w:pPr>
      <w:r>
        <w:rPr>
          <w:lang w:val="en-US"/>
        </w:rPr>
        <w:t>P</w:t>
      </w:r>
      <w:r w:rsidRPr="00B15AB9">
        <w:rPr>
          <w:lang w:val="en-US"/>
        </w:rPr>
        <w:t>ricing reforms to support efficient water use.</w:t>
      </w:r>
    </w:p>
    <w:p w:rsidR="00395022" w:rsidRPr="00395022" w:rsidRDefault="004114C6" w:rsidP="00395022">
      <w:pPr>
        <w:pStyle w:val="Heading2"/>
      </w:pPr>
      <w:r w:rsidRPr="00395022">
        <w:t>CROP DIVERSIFICATION</w:t>
      </w:r>
      <w:r>
        <w:br/>
      </w:r>
    </w:p>
    <w:p w:rsidR="00395022" w:rsidRPr="004114C6" w:rsidRDefault="00395022" w:rsidP="00395022">
      <w:pPr>
        <w:pStyle w:val="NewPara"/>
        <w:rPr>
          <w:lang w:val="en-US"/>
        </w:rPr>
      </w:pPr>
      <w:r w:rsidRPr="004114C6">
        <w:rPr>
          <w:lang w:val="en-US"/>
        </w:rPr>
        <w:t>When smallholders are dependent on only one crop, their livelihoods are more vulnerable and</w:t>
      </w:r>
      <w:r w:rsidRPr="004114C6">
        <w:rPr>
          <w:szCs w:val="22"/>
          <w:lang w:val="en-US"/>
        </w:rPr>
        <w:t xml:space="preserve"> susceptible to the negative impacts of cl</w:t>
      </w:r>
      <w:r w:rsidR="004A785E">
        <w:rPr>
          <w:szCs w:val="22"/>
          <w:lang w:val="en-US"/>
        </w:rPr>
        <w:t xml:space="preserve">imate change. Therefore, </w:t>
      </w:r>
      <w:r w:rsidR="0087484B">
        <w:rPr>
          <w:szCs w:val="22"/>
          <w:lang w:val="en-US"/>
        </w:rPr>
        <w:t xml:space="preserve">adaptation measures that could strengthen the resilience of tea smallholders </w:t>
      </w:r>
      <w:r w:rsidRPr="004114C6">
        <w:rPr>
          <w:szCs w:val="22"/>
          <w:lang w:val="en-US"/>
        </w:rPr>
        <w:t>include :</w:t>
      </w:r>
    </w:p>
    <w:p w:rsidR="00395022" w:rsidRPr="00B15AB9" w:rsidRDefault="00395022" w:rsidP="004114C6">
      <w:pPr>
        <w:pStyle w:val="BoxBulletList"/>
        <w:rPr>
          <w:lang w:val="en-US"/>
        </w:rPr>
      </w:pPr>
      <w:r w:rsidRPr="00B15AB9">
        <w:rPr>
          <w:lang w:val="en-US"/>
        </w:rPr>
        <w:t>Crop diversification to improve economic returns and lessen the risks entailed if tea crops fail,  as smallholders are no longer dependent on just one crop for their</w:t>
      </w:r>
      <w:r w:rsidR="0087484B">
        <w:rPr>
          <w:lang w:val="en-US"/>
        </w:rPr>
        <w:t xml:space="preserve"> livelihood</w:t>
      </w:r>
      <w:r w:rsidRPr="00B15AB9">
        <w:rPr>
          <w:lang w:val="en-US"/>
        </w:rPr>
        <w:t>; and</w:t>
      </w:r>
    </w:p>
    <w:p w:rsidR="00946CD6" w:rsidRPr="00395022" w:rsidRDefault="00395022" w:rsidP="004114C6">
      <w:pPr>
        <w:pStyle w:val="BoxBulletList"/>
      </w:pPr>
      <w:r w:rsidRPr="00B15AB9">
        <w:rPr>
          <w:lang w:val="en-US"/>
        </w:rPr>
        <w:t xml:space="preserve">Intercropping with tree crops, such as rubber. The added value of the rubber tree is that it provides shade </w:t>
      </w:r>
      <w:r w:rsidR="0087484B">
        <w:rPr>
          <w:lang w:val="en-US"/>
        </w:rPr>
        <w:t xml:space="preserve">that is vital for </w:t>
      </w:r>
      <w:r w:rsidRPr="00B15AB9">
        <w:rPr>
          <w:lang w:val="en-US"/>
        </w:rPr>
        <w:t>tea bushes during rising temperatures, and also reduces water loss. In addition, rubber trees could be tapped for their latex to be sold to rubber traders and in the process contribute to the overall income of the smallholder household.</w:t>
      </w:r>
      <w:r w:rsidR="004114C6">
        <w:rPr>
          <w:lang w:val="en-US"/>
        </w:rPr>
        <w:br/>
      </w:r>
    </w:p>
    <w:p w:rsidR="00395022" w:rsidRPr="004114C6" w:rsidRDefault="004114C6" w:rsidP="00395022">
      <w:pPr>
        <w:pStyle w:val="NewPara"/>
      </w:pPr>
      <w:r w:rsidRPr="00B15AB9">
        <w:rPr>
          <w:szCs w:val="22"/>
          <w:lang w:val="en-US"/>
        </w:rPr>
        <w:t>Crop diversification schemes could be developed by governments as a strategy to promote food and nutrition security of the small</w:t>
      </w:r>
      <w:r w:rsidR="0087484B">
        <w:rPr>
          <w:szCs w:val="22"/>
          <w:lang w:val="en-US"/>
        </w:rPr>
        <w:t>holder</w:t>
      </w:r>
      <w:r w:rsidRPr="00B15AB9">
        <w:rPr>
          <w:szCs w:val="22"/>
          <w:lang w:val="en-US"/>
        </w:rPr>
        <w:t xml:space="preserve"> tea growers.</w:t>
      </w:r>
    </w:p>
    <w:p w:rsidR="004114C6" w:rsidRPr="004114C6" w:rsidRDefault="004114C6" w:rsidP="00395022">
      <w:pPr>
        <w:pStyle w:val="NewPara"/>
      </w:pPr>
      <w:r w:rsidRPr="00B15AB9">
        <w:rPr>
          <w:szCs w:val="22"/>
        </w:rPr>
        <w:t xml:space="preserve">Because tea </w:t>
      </w:r>
      <w:r w:rsidR="0087484B">
        <w:rPr>
          <w:szCs w:val="22"/>
        </w:rPr>
        <w:t xml:space="preserve">growers </w:t>
      </w:r>
      <w:r w:rsidRPr="00B15AB9">
        <w:rPr>
          <w:szCs w:val="22"/>
        </w:rPr>
        <w:t xml:space="preserve">have planted their land exclusively to tea, some farmers are facing food insecurity as their productivity </w:t>
      </w:r>
      <w:r w:rsidR="0087484B">
        <w:rPr>
          <w:szCs w:val="22"/>
        </w:rPr>
        <w:t xml:space="preserve">is declining </w:t>
      </w:r>
      <w:r w:rsidRPr="00B15AB9">
        <w:rPr>
          <w:szCs w:val="22"/>
        </w:rPr>
        <w:t>as a result of climate</w:t>
      </w:r>
      <w:r w:rsidR="0087484B">
        <w:rPr>
          <w:szCs w:val="22"/>
        </w:rPr>
        <w:t xml:space="preserve"> change</w:t>
      </w:r>
      <w:r w:rsidRPr="00B15AB9">
        <w:rPr>
          <w:szCs w:val="22"/>
        </w:rPr>
        <w:t>, the effects of which are put</w:t>
      </w:r>
      <w:r w:rsidR="0087484B">
        <w:rPr>
          <w:szCs w:val="22"/>
        </w:rPr>
        <w:t>ting stress on tea plants and affecting</w:t>
      </w:r>
      <w:r w:rsidRPr="00B15AB9">
        <w:rPr>
          <w:szCs w:val="22"/>
        </w:rPr>
        <w:t xml:space="preserve"> tea quality. Hence, some tea smallholders are being further challenged with low returns from their produce, which </w:t>
      </w:r>
      <w:r w:rsidR="0087484B">
        <w:rPr>
          <w:szCs w:val="22"/>
        </w:rPr>
        <w:t xml:space="preserve">are </w:t>
      </w:r>
      <w:r w:rsidRPr="00B15AB9">
        <w:rPr>
          <w:szCs w:val="22"/>
        </w:rPr>
        <w:t xml:space="preserve">jeopardizing their food security. Poor smallholder tea growers could enhance their food security and improve their </w:t>
      </w:r>
      <w:r w:rsidR="0087484B">
        <w:rPr>
          <w:szCs w:val="22"/>
        </w:rPr>
        <w:t xml:space="preserve">own </w:t>
      </w:r>
      <w:r w:rsidRPr="00B15AB9">
        <w:rPr>
          <w:szCs w:val="22"/>
        </w:rPr>
        <w:t xml:space="preserve">nutrition by farming crops that can thrive in harsher climates, such as certain varieties of pulses. This could also provide higher economic benefits that could help them address the negative impacts of climate change. </w:t>
      </w:r>
      <w:r w:rsidR="0087484B">
        <w:rPr>
          <w:szCs w:val="22"/>
        </w:rPr>
        <w:t xml:space="preserve">Strategies </w:t>
      </w:r>
      <w:r w:rsidRPr="00B15AB9">
        <w:rPr>
          <w:szCs w:val="22"/>
        </w:rPr>
        <w:t xml:space="preserve">could be developed </w:t>
      </w:r>
      <w:r w:rsidR="0087484B">
        <w:rPr>
          <w:szCs w:val="22"/>
        </w:rPr>
        <w:t>to provide</w:t>
      </w:r>
      <w:r w:rsidRPr="00B15AB9">
        <w:rPr>
          <w:szCs w:val="22"/>
        </w:rPr>
        <w:t xml:space="preserve"> technical, financial and institutional support to tea smallholders, including capacity training in adaptation measures, such as utilizing improved agricultural techniques, diversification and livestock ownership.</w:t>
      </w:r>
    </w:p>
    <w:p w:rsidR="004114C6" w:rsidRPr="004114C6" w:rsidRDefault="004114C6" w:rsidP="00395022">
      <w:pPr>
        <w:pStyle w:val="NewPara"/>
      </w:pPr>
      <w:r w:rsidRPr="00B15AB9">
        <w:rPr>
          <w:szCs w:val="22"/>
          <w:lang w:val="en-US"/>
        </w:rPr>
        <w:t xml:space="preserve">Other policy considerations to counter the effects of mono-cropping </w:t>
      </w:r>
      <w:r>
        <w:rPr>
          <w:szCs w:val="22"/>
          <w:lang w:val="en-US"/>
        </w:rPr>
        <w:t xml:space="preserve">are </w:t>
      </w:r>
      <w:r w:rsidR="0087484B">
        <w:rPr>
          <w:szCs w:val="22"/>
          <w:lang w:val="en-US"/>
        </w:rPr>
        <w:t>sustainable land-</w:t>
      </w:r>
      <w:r w:rsidRPr="00B15AB9">
        <w:rPr>
          <w:szCs w:val="22"/>
          <w:lang w:val="en-US"/>
        </w:rPr>
        <w:t xml:space="preserve">use </w:t>
      </w:r>
      <w:r w:rsidR="0087484B">
        <w:rPr>
          <w:szCs w:val="22"/>
          <w:lang w:val="en-US"/>
        </w:rPr>
        <w:t>policies that limit</w:t>
      </w:r>
      <w:r w:rsidRPr="00B15AB9">
        <w:rPr>
          <w:szCs w:val="22"/>
          <w:lang w:val="en-US"/>
        </w:rPr>
        <w:t xml:space="preserve"> soil degradation. Mono-cropping </w:t>
      </w:r>
      <w:r w:rsidR="0087484B">
        <w:rPr>
          <w:szCs w:val="22"/>
          <w:lang w:val="en-US"/>
        </w:rPr>
        <w:t xml:space="preserve">often leads to </w:t>
      </w:r>
      <w:r w:rsidRPr="00B15AB9">
        <w:rPr>
          <w:szCs w:val="22"/>
          <w:lang w:val="en-US"/>
        </w:rPr>
        <w:t xml:space="preserve">soil degradation and </w:t>
      </w:r>
      <w:r w:rsidR="0087484B">
        <w:rPr>
          <w:szCs w:val="22"/>
          <w:lang w:val="en-US"/>
        </w:rPr>
        <w:t xml:space="preserve">increased </w:t>
      </w:r>
      <w:r w:rsidRPr="00B15AB9">
        <w:rPr>
          <w:szCs w:val="22"/>
          <w:lang w:val="en-US"/>
        </w:rPr>
        <w:t>vulnerability to pests.  Fertilizer is applied to remedy the loss of soil nutrients</w:t>
      </w:r>
      <w:r w:rsidR="0087484B">
        <w:rPr>
          <w:szCs w:val="22"/>
          <w:lang w:val="en-US"/>
        </w:rPr>
        <w:t xml:space="preserve"> which can be </w:t>
      </w:r>
      <w:r w:rsidRPr="00B15AB9">
        <w:rPr>
          <w:szCs w:val="22"/>
          <w:lang w:val="en-US"/>
        </w:rPr>
        <w:t xml:space="preserve">highly polluting as runoff accumulates in rivers, lakes and </w:t>
      </w:r>
      <w:r w:rsidR="0087484B">
        <w:rPr>
          <w:szCs w:val="22"/>
          <w:lang w:val="en-US"/>
        </w:rPr>
        <w:t>aquifers</w:t>
      </w:r>
      <w:r w:rsidRPr="00B15AB9">
        <w:rPr>
          <w:szCs w:val="22"/>
          <w:lang w:val="en-US"/>
        </w:rPr>
        <w:t xml:space="preserve">. Excessive use of fertilizer </w:t>
      </w:r>
      <w:r w:rsidR="0087484B">
        <w:rPr>
          <w:szCs w:val="22"/>
          <w:lang w:val="en-US"/>
        </w:rPr>
        <w:t xml:space="preserve">also </w:t>
      </w:r>
      <w:r w:rsidRPr="00B15AB9">
        <w:rPr>
          <w:szCs w:val="22"/>
          <w:lang w:val="en-US"/>
        </w:rPr>
        <w:t xml:space="preserve">causes soil microbes to produce high levels of the GHG nitrous oxide. Pesticides, which are </w:t>
      </w:r>
      <w:r w:rsidR="0087484B">
        <w:rPr>
          <w:szCs w:val="22"/>
          <w:lang w:val="en-US"/>
        </w:rPr>
        <w:t>highly contaminating</w:t>
      </w:r>
      <w:r w:rsidRPr="00B15AB9">
        <w:rPr>
          <w:szCs w:val="22"/>
          <w:lang w:val="en-US"/>
        </w:rPr>
        <w:t>, are applied to kill certain pests, but they also affect other unintended</w:t>
      </w:r>
      <w:r w:rsidR="0087484B">
        <w:rPr>
          <w:szCs w:val="22"/>
          <w:lang w:val="en-US"/>
        </w:rPr>
        <w:t xml:space="preserve"> species</w:t>
      </w:r>
      <w:r w:rsidRPr="00B15AB9">
        <w:rPr>
          <w:szCs w:val="22"/>
          <w:lang w:val="en-US"/>
        </w:rPr>
        <w:t xml:space="preserve"> as well, </w:t>
      </w:r>
      <w:r w:rsidR="0087484B">
        <w:rPr>
          <w:szCs w:val="22"/>
          <w:lang w:val="en-US"/>
        </w:rPr>
        <w:t>affecting the ecological balance</w:t>
      </w:r>
      <w:r w:rsidRPr="00B15AB9">
        <w:rPr>
          <w:szCs w:val="22"/>
          <w:lang w:val="en-US"/>
        </w:rPr>
        <w:t>. Excessive fertilizer and pesticide use must be addressed at the source, and developing tougher regulatory schemes could be a way to tackle this issue. Fertilizer and pesticide policies could aim at creating awareness of the issues at hand; promote improved products and technologies to enhance efficient fertilizer and pesticide use; and support agricultural research and development on improved fertilizer and pesticide use.</w:t>
      </w:r>
    </w:p>
    <w:p w:rsidR="006A1985" w:rsidRDefault="004114C6" w:rsidP="004114C6">
      <w:pPr>
        <w:pStyle w:val="Heading2"/>
      </w:pPr>
      <w:r>
        <w:t>CARBON FOOTPRINTING</w:t>
      </w:r>
    </w:p>
    <w:p w:rsidR="004114C6" w:rsidRPr="004114C6" w:rsidRDefault="004114C6" w:rsidP="004114C6">
      <w:pPr>
        <w:pStyle w:val="Heading3"/>
      </w:pPr>
    </w:p>
    <w:p w:rsidR="006A1985" w:rsidRPr="004114C6" w:rsidRDefault="004114C6" w:rsidP="006A1985">
      <w:pPr>
        <w:pStyle w:val="NewPara"/>
      </w:pPr>
      <w:r w:rsidRPr="00B15AB9">
        <w:rPr>
          <w:szCs w:val="22"/>
        </w:rPr>
        <w:t xml:space="preserve">The carbon footprint of a product, whereby companies quantify the total amount of GHGs that are emitted from the production of their produce, is becoming more in demand by consumers. With carbon </w:t>
      </w:r>
      <w:proofErr w:type="spellStart"/>
      <w:r w:rsidRPr="00B15AB9">
        <w:rPr>
          <w:szCs w:val="22"/>
        </w:rPr>
        <w:t>footprinting</w:t>
      </w:r>
      <w:proofErr w:type="spellEnd"/>
      <w:r w:rsidRPr="00B15AB9">
        <w:rPr>
          <w:szCs w:val="22"/>
        </w:rPr>
        <w:t>, a large number of standards and initiatives are also on the rise and meeting those standards can prove quite costly for smallholder</w:t>
      </w:r>
      <w:r w:rsidR="0087484B">
        <w:rPr>
          <w:szCs w:val="22"/>
        </w:rPr>
        <w:t>s</w:t>
      </w:r>
      <w:r w:rsidRPr="00B15AB9">
        <w:rPr>
          <w:szCs w:val="22"/>
        </w:rPr>
        <w:t>.</w:t>
      </w:r>
    </w:p>
    <w:p w:rsidR="004114C6" w:rsidRPr="004114C6" w:rsidRDefault="004114C6" w:rsidP="006A1985">
      <w:pPr>
        <w:pStyle w:val="NewPara"/>
      </w:pPr>
      <w:r w:rsidRPr="00B15AB9">
        <w:rPr>
          <w:szCs w:val="22"/>
        </w:rPr>
        <w:t xml:space="preserve">Policy measures which could be adopted to meet these carbon footprint standards include providing incentives for tea growers to move away from producing conventional tea, shifting more towards organic tea production. However, a major </w:t>
      </w:r>
      <w:r w:rsidR="0087484B">
        <w:rPr>
          <w:szCs w:val="22"/>
        </w:rPr>
        <w:t xml:space="preserve">discouraging </w:t>
      </w:r>
      <w:r w:rsidRPr="00B15AB9">
        <w:rPr>
          <w:szCs w:val="22"/>
        </w:rPr>
        <w:t>factor in moving to organic tea production is the decline in productivity</w:t>
      </w:r>
      <w:r w:rsidR="0087484B">
        <w:rPr>
          <w:szCs w:val="22"/>
        </w:rPr>
        <w:t>. U</w:t>
      </w:r>
      <w:r w:rsidRPr="00B15AB9">
        <w:rPr>
          <w:szCs w:val="22"/>
        </w:rPr>
        <w:t>nless there is a price premium that could compensate for the loss in productivity then in many countries this becomes a constraint in converting to organic tea production. Hence, policy support is needed in developing and promoting organic tea production to boost export markets, protect the environment, develop the local market and improve smallholders’ livelihoods. Polic</w:t>
      </w:r>
      <w:r w:rsidR="0087484B">
        <w:rPr>
          <w:szCs w:val="22"/>
        </w:rPr>
        <w:t>ies</w:t>
      </w:r>
      <w:r w:rsidRPr="00B15AB9">
        <w:rPr>
          <w:szCs w:val="22"/>
        </w:rPr>
        <w:t xml:space="preserve"> could include devising a market mechanism, such as compulsory product labelling, to guarantee premium prices for organic tea. Other policies could focus on setting carbon budgets and investing in low carbon technologies.</w:t>
      </w:r>
    </w:p>
    <w:p w:rsidR="004114C6" w:rsidRDefault="004114C6" w:rsidP="004114C6">
      <w:pPr>
        <w:pStyle w:val="Heading2"/>
      </w:pPr>
      <w:r>
        <w:t>ACCESS TO CREDIT</w:t>
      </w:r>
      <w:r>
        <w:br/>
      </w:r>
    </w:p>
    <w:p w:rsidR="006A1985" w:rsidRPr="004114C6" w:rsidRDefault="004114C6" w:rsidP="006A1985">
      <w:pPr>
        <w:pStyle w:val="NewPara"/>
      </w:pPr>
      <w:r w:rsidRPr="00B15AB9">
        <w:rPr>
          <w:szCs w:val="22"/>
          <w:lang w:val="en-US"/>
        </w:rPr>
        <w:t xml:space="preserve">A major constraint to efficient tea production and to adopting adaptation measures by smallholders is their </w:t>
      </w:r>
      <w:r w:rsidR="00296525">
        <w:rPr>
          <w:szCs w:val="22"/>
          <w:lang w:val="en-US"/>
        </w:rPr>
        <w:t xml:space="preserve">limited </w:t>
      </w:r>
      <w:r w:rsidRPr="00B15AB9">
        <w:rPr>
          <w:szCs w:val="22"/>
          <w:lang w:val="en-US"/>
        </w:rPr>
        <w:t xml:space="preserve">access to credit at an affordable servicing rate. Their situation is </w:t>
      </w:r>
      <w:r w:rsidR="00296525">
        <w:rPr>
          <w:szCs w:val="22"/>
          <w:lang w:val="en-US"/>
        </w:rPr>
        <w:t xml:space="preserve">often </w:t>
      </w:r>
      <w:r w:rsidRPr="00B15AB9">
        <w:rPr>
          <w:szCs w:val="22"/>
          <w:lang w:val="en-US"/>
        </w:rPr>
        <w:t xml:space="preserve">exacerbated because they do not own assets that could be used for collateral. </w:t>
      </w:r>
      <w:r w:rsidRPr="00B15AB9">
        <w:rPr>
          <w:szCs w:val="22"/>
        </w:rPr>
        <w:t>This in turn makes it difficul</w:t>
      </w:r>
      <w:r w:rsidR="00296525">
        <w:rPr>
          <w:szCs w:val="22"/>
        </w:rPr>
        <w:t xml:space="preserve">t for them to purchase quality inputs to improve productivity in </w:t>
      </w:r>
      <w:r w:rsidRPr="00B15AB9">
        <w:rPr>
          <w:szCs w:val="22"/>
        </w:rPr>
        <w:t>sustainable manner.</w:t>
      </w:r>
    </w:p>
    <w:p w:rsidR="004114C6" w:rsidRPr="004114C6" w:rsidRDefault="004114C6" w:rsidP="004114C6">
      <w:pPr>
        <w:pStyle w:val="NewPara"/>
      </w:pPr>
      <w:r w:rsidRPr="00B15AB9">
        <w:rPr>
          <w:szCs w:val="22"/>
          <w:lang w:val="en-US"/>
        </w:rPr>
        <w:t xml:space="preserve">Therefore, government policies are required to improve access to credit by tea smallholders.  As a first step, policy instruments could be quickly deployed to encourage/enable the establishment and efficient functioning of </w:t>
      </w:r>
      <w:r w:rsidRPr="00B15AB9">
        <w:rPr>
          <w:i/>
          <w:szCs w:val="22"/>
          <w:lang w:val="en-US"/>
        </w:rPr>
        <w:t>micro credit</w:t>
      </w:r>
      <w:r w:rsidRPr="00B15AB9">
        <w:rPr>
          <w:szCs w:val="22"/>
          <w:lang w:val="en-US"/>
        </w:rPr>
        <w:t xml:space="preserve"> schemes. In the mid to longer term, enabling policies (including guarantees) to provide credit through mainstream lending institutions would be essential. These developments should go hand in hand with the essential institutional set up required, including the legal instruments required for smallholder land ownership which could be used as collateral, as well as legal producer entities such as cooperatives to facilitate micro credit schemes and reduce unit cost of agricultural inputs</w:t>
      </w:r>
      <w:r>
        <w:rPr>
          <w:szCs w:val="22"/>
          <w:lang w:val="en-US"/>
        </w:rPr>
        <w:t>.</w:t>
      </w:r>
    </w:p>
    <w:p w:rsidR="004114C6" w:rsidRPr="000819F7" w:rsidRDefault="004114C6" w:rsidP="004114C6">
      <w:pPr>
        <w:pStyle w:val="Heading1"/>
        <w:spacing w:after="200"/>
        <w:ind w:left="1" w:firstLine="0"/>
      </w:pPr>
      <w:r>
        <w:t>CONCLUSIONS</w:t>
      </w:r>
    </w:p>
    <w:p w:rsidR="004114C6" w:rsidRPr="004114C6" w:rsidRDefault="004114C6" w:rsidP="004114C6">
      <w:pPr>
        <w:pStyle w:val="NewPara"/>
      </w:pPr>
      <w:r w:rsidRPr="00B15AB9">
        <w:rPr>
          <w:szCs w:val="22"/>
          <w:lang w:val="en-US"/>
        </w:rPr>
        <w:t xml:space="preserve">Climate change brings with it many challenges, and because of its importance to </w:t>
      </w:r>
      <w:proofErr w:type="spellStart"/>
      <w:r w:rsidRPr="00B15AB9">
        <w:rPr>
          <w:szCs w:val="22"/>
          <w:lang w:val="en-US"/>
        </w:rPr>
        <w:t>sustainabil</w:t>
      </w:r>
      <w:r w:rsidR="00296525">
        <w:rPr>
          <w:szCs w:val="22"/>
          <w:lang w:val="en-US"/>
        </w:rPr>
        <w:t>e</w:t>
      </w:r>
      <w:proofErr w:type="spellEnd"/>
      <w:r w:rsidRPr="00B15AB9">
        <w:rPr>
          <w:szCs w:val="22"/>
          <w:lang w:val="en-US"/>
        </w:rPr>
        <w:t xml:space="preserve"> of human development and poverty eradication, 195 countries have </w:t>
      </w:r>
      <w:r w:rsidR="00796E50">
        <w:rPr>
          <w:szCs w:val="22"/>
          <w:lang w:val="en-US"/>
        </w:rPr>
        <w:t xml:space="preserve">adopted and 177 countries have signed </w:t>
      </w:r>
      <w:bookmarkStart w:id="2" w:name="_GoBack"/>
      <w:bookmarkEnd w:id="2"/>
      <w:r w:rsidRPr="00B15AB9">
        <w:rPr>
          <w:szCs w:val="22"/>
          <w:lang w:val="en-US"/>
        </w:rPr>
        <w:t>the Paris Agreement to show their</w:t>
      </w:r>
      <w:r w:rsidR="00296525">
        <w:rPr>
          <w:szCs w:val="22"/>
          <w:lang w:val="en-US"/>
        </w:rPr>
        <w:t xml:space="preserve"> commitment</w:t>
      </w:r>
      <w:r w:rsidRPr="00B15AB9">
        <w:rPr>
          <w:szCs w:val="22"/>
          <w:lang w:val="en-US"/>
        </w:rPr>
        <w:t xml:space="preserve"> and solidarity to tackle these challenges.</w:t>
      </w:r>
    </w:p>
    <w:p w:rsidR="004114C6" w:rsidRPr="00B15AB9" w:rsidRDefault="004114C6" w:rsidP="004114C6">
      <w:pPr>
        <w:rPr>
          <w:szCs w:val="22"/>
        </w:rPr>
      </w:pPr>
      <w:r w:rsidRPr="00B15AB9">
        <w:rPr>
          <w:szCs w:val="22"/>
        </w:rPr>
        <w:t xml:space="preserve">Adaptation measures that the tea industry currently undertakes include, </w:t>
      </w:r>
      <w:r w:rsidRPr="00B15AB9">
        <w:rPr>
          <w:i/>
          <w:szCs w:val="22"/>
        </w:rPr>
        <w:t>inter alia</w:t>
      </w:r>
      <w:r w:rsidRPr="00B15AB9">
        <w:rPr>
          <w:szCs w:val="22"/>
        </w:rPr>
        <w:t>:</w:t>
      </w:r>
    </w:p>
    <w:p w:rsidR="004114C6" w:rsidRPr="00B15AB9" w:rsidRDefault="004114C6" w:rsidP="004114C6">
      <w:pPr>
        <w:pStyle w:val="BoxBulletList"/>
      </w:pPr>
      <w:r w:rsidRPr="00B15AB9">
        <w:t>Replanting drought- and stress-resistant tea varieties;</w:t>
      </w:r>
    </w:p>
    <w:p w:rsidR="004114C6" w:rsidRPr="00B15AB9" w:rsidRDefault="004114C6" w:rsidP="004114C6">
      <w:pPr>
        <w:pStyle w:val="BoxBulletList"/>
      </w:pPr>
      <w:r w:rsidRPr="00B15AB9">
        <w:t>Planting shade trees to protect the tea bushes;</w:t>
      </w:r>
    </w:p>
    <w:p w:rsidR="004114C6" w:rsidRPr="00B15AB9" w:rsidRDefault="004114C6" w:rsidP="004114C6">
      <w:pPr>
        <w:pStyle w:val="BoxBulletList"/>
      </w:pPr>
      <w:r w:rsidRPr="00B15AB9">
        <w:t>Diversifying crop production in low-yielding, poor-soil tea areas with crops that do not require rich soil conditions for optimal growth;</w:t>
      </w:r>
    </w:p>
    <w:p w:rsidR="004114C6" w:rsidRPr="00B15AB9" w:rsidRDefault="004114C6" w:rsidP="004114C6">
      <w:pPr>
        <w:pStyle w:val="BoxBulletList"/>
      </w:pPr>
      <w:r w:rsidRPr="00B15AB9">
        <w:t>Improvements in efficient water management; and</w:t>
      </w:r>
    </w:p>
    <w:p w:rsidR="004114C6" w:rsidRPr="004114C6" w:rsidRDefault="004114C6" w:rsidP="004114C6">
      <w:pPr>
        <w:pStyle w:val="BoxBulletList"/>
      </w:pPr>
      <w:r w:rsidRPr="00B15AB9">
        <w:lastRenderedPageBreak/>
        <w:t xml:space="preserve">Investing in climate-resilient infrastructure, including, </w:t>
      </w:r>
      <w:r w:rsidRPr="00B15AB9">
        <w:rPr>
          <w:i/>
        </w:rPr>
        <w:t>inter alia</w:t>
      </w:r>
      <w:r w:rsidRPr="00B15AB9">
        <w:t>, drainage and irrigations systems</w:t>
      </w:r>
      <w:r w:rsidR="00296525">
        <w:t xml:space="preserve"> and</w:t>
      </w:r>
      <w:r w:rsidRPr="00B15AB9">
        <w:t xml:space="preserve"> adapt national public infrastructure to climate change.</w:t>
      </w:r>
      <w:r>
        <w:br/>
      </w:r>
    </w:p>
    <w:p w:rsidR="00EE566A" w:rsidRPr="00B15AB9" w:rsidRDefault="00EE566A" w:rsidP="00BC197D">
      <w:pPr>
        <w:pStyle w:val="NewPara"/>
        <w:rPr>
          <w:szCs w:val="22"/>
        </w:rPr>
      </w:pPr>
      <w:r w:rsidRPr="00B15AB9">
        <w:rPr>
          <w:szCs w:val="22"/>
        </w:rPr>
        <w:t>While climate-related issues and solutions are unique to specific areas, commonalities throughout various regions also exist. Policymakers should encourage knowledge sharing, and the following can be done at the national and international levels:</w:t>
      </w:r>
    </w:p>
    <w:p w:rsidR="00296525" w:rsidRPr="00B15AB9" w:rsidRDefault="00296525" w:rsidP="00296525">
      <w:pPr>
        <w:pStyle w:val="BoxBulletList"/>
      </w:pPr>
      <w:r w:rsidRPr="00B15AB9">
        <w:t>Disseminating adaptation measures</w:t>
      </w:r>
      <w:r>
        <w:t xml:space="preserve"> and lessons learned</w:t>
      </w:r>
      <w:r w:rsidRPr="00B15AB9">
        <w:t>;</w:t>
      </w:r>
    </w:p>
    <w:p w:rsidR="00296525" w:rsidRPr="00B15AB9" w:rsidRDefault="00296525" w:rsidP="00296525">
      <w:pPr>
        <w:pStyle w:val="BoxBulletList"/>
      </w:pPr>
      <w:r w:rsidRPr="00B15AB9">
        <w:t xml:space="preserve">Incorporating adaptation measures in development </w:t>
      </w:r>
      <w:r>
        <w:t>planning</w:t>
      </w:r>
      <w:r w:rsidRPr="00B15AB9">
        <w:t>; and</w:t>
      </w:r>
    </w:p>
    <w:p w:rsidR="00296525" w:rsidRPr="00451FF5" w:rsidRDefault="00296525" w:rsidP="00296525">
      <w:pPr>
        <w:pStyle w:val="BoxBulletList"/>
      </w:pPr>
      <w:r w:rsidRPr="00B15AB9">
        <w:t>Providing financial support for implementing adaptation measures.</w:t>
      </w:r>
    </w:p>
    <w:p w:rsidR="004114C6" w:rsidRPr="00EE566A" w:rsidRDefault="004114C6" w:rsidP="00296525">
      <w:pPr>
        <w:pStyle w:val="BoxBulletList"/>
        <w:numPr>
          <w:ilvl w:val="0"/>
          <w:numId w:val="0"/>
        </w:numPr>
      </w:pPr>
    </w:p>
    <w:p w:rsidR="00EE566A" w:rsidRDefault="00EE566A" w:rsidP="00EE566A">
      <w:pPr>
        <w:pStyle w:val="NewPara"/>
      </w:pPr>
      <w:r>
        <w:t xml:space="preserve">When </w:t>
      </w:r>
      <w:r w:rsidR="00296525">
        <w:t xml:space="preserve">designing and </w:t>
      </w:r>
      <w:r>
        <w:t xml:space="preserve">adopting policies on diversification, countries </w:t>
      </w:r>
      <w:r w:rsidR="00296525">
        <w:t xml:space="preserve">should take into consideration </w:t>
      </w:r>
      <w:r>
        <w:t xml:space="preserve">that conversion to organic tea by smallholders might be too </w:t>
      </w:r>
      <w:r w:rsidR="00296525">
        <w:t>drastic</w:t>
      </w:r>
      <w:r>
        <w:t xml:space="preserve"> a step as productivity </w:t>
      </w:r>
      <w:r w:rsidR="00296525">
        <w:t>c</w:t>
      </w:r>
      <w:r>
        <w:t xml:space="preserve">ould decline significantly, negatively impacting their returns. </w:t>
      </w:r>
      <w:r w:rsidR="00296525">
        <w:t>P</w:t>
      </w:r>
      <w:r>
        <w:t>erhaps green farming could be an intermediate step</w:t>
      </w:r>
      <w:r w:rsidR="00296525">
        <w:t>, as</w:t>
      </w:r>
      <w:r>
        <w:t xml:space="preserve"> this form of agriculture could be adopted by using, for example, “green” fertilizers, such as manure.</w:t>
      </w:r>
    </w:p>
    <w:p w:rsidR="00EE566A" w:rsidRDefault="00EE566A" w:rsidP="00EE566A">
      <w:pPr>
        <w:pStyle w:val="NewPara"/>
      </w:pPr>
      <w:r>
        <w:t xml:space="preserve">In adopting research and development </w:t>
      </w:r>
      <w:r w:rsidR="00296525">
        <w:t xml:space="preserve">plans </w:t>
      </w:r>
      <w:r>
        <w:t>on improved stress- and drought-tolerant tea varieties and good agricultural practices (GAPs), countries should ensure that the improvements do not come at the expense of productivity.</w:t>
      </w:r>
    </w:p>
    <w:p w:rsidR="00EE566A" w:rsidRDefault="00EE566A" w:rsidP="00EE566A">
      <w:pPr>
        <w:pStyle w:val="NewPara"/>
      </w:pPr>
      <w:r>
        <w:t xml:space="preserve">In developing policies on water management, it is imperative that countries </w:t>
      </w:r>
      <w:r w:rsidR="00296525">
        <w:t xml:space="preserve">recognize </w:t>
      </w:r>
      <w:r>
        <w:t>the</w:t>
      </w:r>
      <w:r w:rsidR="00296525">
        <w:t xml:space="preserve"> need to sustain national water</w:t>
      </w:r>
      <w:r>
        <w:t xml:space="preserve">sheds. As for developing irrigation facilities, countries </w:t>
      </w:r>
      <w:r w:rsidR="00296525">
        <w:t xml:space="preserve">should recall </w:t>
      </w:r>
      <w:r>
        <w:t>the need to develop appropriate drainage systems to enhance the efficiency of the irrigation system.</w:t>
      </w:r>
    </w:p>
    <w:p w:rsidR="00EE566A" w:rsidRDefault="00EE566A" w:rsidP="00EE566A">
      <w:pPr>
        <w:pStyle w:val="NewPara"/>
      </w:pPr>
      <w:r>
        <w:t xml:space="preserve">Given the demand for information on carbon </w:t>
      </w:r>
      <w:proofErr w:type="spellStart"/>
      <w:r>
        <w:t>footprinting</w:t>
      </w:r>
      <w:proofErr w:type="spellEnd"/>
      <w:r>
        <w:t xml:space="preserve"> by consumers, appropriate standards and labelling should be adopted, </w:t>
      </w:r>
      <w:r w:rsidR="00296525">
        <w:t xml:space="preserve">consistent with international standards and labelling schemes </w:t>
      </w:r>
      <w:r>
        <w:t>and accompanied by effective promotional campaigns.</w:t>
      </w:r>
    </w:p>
    <w:p w:rsidR="00EE566A" w:rsidRDefault="00EE566A" w:rsidP="00EE566A">
      <w:pPr>
        <w:pStyle w:val="NewPara"/>
      </w:pPr>
      <w:r>
        <w:t xml:space="preserve">Finally, for adaptation </w:t>
      </w:r>
      <w:r w:rsidR="00296525">
        <w:t xml:space="preserve">measures </w:t>
      </w:r>
      <w:r>
        <w:t xml:space="preserve">to be effectively implemented by smallholders, </w:t>
      </w:r>
      <w:r w:rsidR="00296525">
        <w:t xml:space="preserve">ensuring adequate </w:t>
      </w:r>
      <w:r>
        <w:t>access to credit</w:t>
      </w:r>
      <w:r w:rsidR="00296525">
        <w:t xml:space="preserve"> is essential. E</w:t>
      </w:r>
      <w:r w:rsidR="004C1BF9">
        <w:t xml:space="preserve">nabling policies </w:t>
      </w:r>
      <w:r w:rsidR="00296525">
        <w:t xml:space="preserve">should </w:t>
      </w:r>
      <w:r w:rsidR="004C1BF9">
        <w:t>be a priority for governments.</w:t>
      </w:r>
    </w:p>
    <w:p w:rsidR="004C1BF9" w:rsidRPr="004114C6" w:rsidRDefault="004C1BF9" w:rsidP="004C1BF9">
      <w:pPr>
        <w:pStyle w:val="NewPara"/>
        <w:numPr>
          <w:ilvl w:val="0"/>
          <w:numId w:val="0"/>
        </w:numPr>
      </w:pPr>
    </w:p>
    <w:sectPr w:rsidR="004C1BF9" w:rsidRPr="004114C6" w:rsidSect="00140F94">
      <w:headerReference w:type="even" r:id="rId9"/>
      <w:headerReference w:type="default" r:id="rId10"/>
      <w:headerReference w:type="first" r:id="rId11"/>
      <w:footerReference w:type="first" r:id="rId12"/>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9F7" w:rsidRDefault="000819F7">
      <w:pPr>
        <w:spacing w:after="0"/>
      </w:pPr>
      <w:r>
        <w:separator/>
      </w:r>
    </w:p>
  </w:endnote>
  <w:endnote w:type="continuationSeparator" w:id="0">
    <w:p w:rsidR="000819F7" w:rsidRDefault="000819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F7" w:rsidRPr="009C0B0C" w:rsidRDefault="000819F7" w:rsidP="00A81F94">
    <w:pPr>
      <w:rPr>
        <w:lang w:val="en-US"/>
      </w:rPr>
    </w:pPr>
    <w:bookmarkStart w:id="8" w:name="FooterInformationBookmark"/>
    <w:r>
      <w:rPr>
        <w:lang w:val="en-US"/>
      </w:rPr>
      <w:t xml:space="preserve"> </w:t>
    </w:r>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9F7" w:rsidRDefault="000819F7">
      <w:pPr>
        <w:spacing w:after="0"/>
      </w:pPr>
      <w:r>
        <w:separator/>
      </w:r>
    </w:p>
  </w:footnote>
  <w:footnote w:type="continuationSeparator" w:id="0">
    <w:p w:rsidR="000819F7" w:rsidRDefault="000819F7">
      <w:pPr>
        <w:spacing w:after="0"/>
      </w:pPr>
      <w:r>
        <w:continuationSeparator/>
      </w:r>
    </w:p>
  </w:footnote>
  <w:footnote w:id="1">
    <w:p w:rsidR="00CA0F28" w:rsidRPr="00CA0F28" w:rsidRDefault="00CA0F28">
      <w:pPr>
        <w:pStyle w:val="FootnoteText"/>
      </w:pPr>
      <w:r>
        <w:rPr>
          <w:rStyle w:val="FootnoteReference"/>
        </w:rPr>
        <w:footnoteRef/>
      </w:r>
      <w:r>
        <w:t xml:space="preserve"> The booklet will be uploaded on the IGG/Tea website once endorsed by Group after the 22</w:t>
      </w:r>
      <w:r w:rsidRPr="00CA0F28">
        <w:rPr>
          <w:vertAlign w:val="superscript"/>
        </w:rPr>
        <w:t>nd</w:t>
      </w:r>
      <w:r>
        <w:t xml:space="preserve"> Session (</w:t>
      </w:r>
      <w:hyperlink r:id="rId1" w:history="1">
        <w:r w:rsidRPr="003B0046">
          <w:rPr>
            <w:rStyle w:val="Hyperlink"/>
          </w:rPr>
          <w:t>http://www.fao.org/economic/est/est-commodities/tea/tea-meetings/tea22/en/</w:t>
        </w:r>
      </w:hyperlink>
      <w:r>
        <w:t xml:space="preserve">). </w:t>
      </w:r>
    </w:p>
  </w:footnote>
  <w:footnote w:id="2">
    <w:p w:rsidR="000819F7" w:rsidRPr="00B15AB9" w:rsidRDefault="000819F7" w:rsidP="000819F7">
      <w:pPr>
        <w:pStyle w:val="FootnoteText"/>
        <w:rPr>
          <w:lang w:val="en-US"/>
        </w:rPr>
      </w:pPr>
      <w:r>
        <w:rPr>
          <w:rStyle w:val="FootnoteReference"/>
        </w:rPr>
        <w:footnoteRef/>
      </w:r>
      <w:r>
        <w:t xml:space="preserve"> On 12 December 2015, the 195 countries participating in the 21</w:t>
      </w:r>
      <w:r w:rsidRPr="0004241F">
        <w:rPr>
          <w:vertAlign w:val="superscript"/>
        </w:rPr>
        <w:t>st</w:t>
      </w:r>
      <w:r>
        <w:t xml:space="preserve"> Conference of Parties (COP21) agreed by consensus to the so-called Paris Agreement which aimed at reducing </w:t>
      </w:r>
      <w:r w:rsidRPr="0004241F">
        <w:t>GHG emissions.</w:t>
      </w:r>
    </w:p>
  </w:footnote>
  <w:footnote w:id="3">
    <w:p w:rsidR="000819F7" w:rsidRPr="000819F7" w:rsidRDefault="000819F7" w:rsidP="000819F7">
      <w:pPr>
        <w:autoSpaceDE w:val="0"/>
        <w:autoSpaceDN w:val="0"/>
        <w:adjustRightInd w:val="0"/>
        <w:rPr>
          <w:rFonts w:cs="Times New Roman"/>
          <w:sz w:val="20"/>
          <w:szCs w:val="20"/>
        </w:rPr>
      </w:pPr>
      <w:r>
        <w:rPr>
          <w:rStyle w:val="FootnoteReference"/>
        </w:rPr>
        <w:footnoteRef/>
      </w:r>
      <w:r w:rsidRPr="0004241F">
        <w:rPr>
          <w:lang w:val="de-DE"/>
        </w:rPr>
        <w:t xml:space="preserve"> </w:t>
      </w:r>
      <w:r w:rsidRPr="000819F7">
        <w:rPr>
          <w:rFonts w:cs="Times New Roman"/>
          <w:sz w:val="20"/>
          <w:szCs w:val="20"/>
          <w:lang w:val="de-DE"/>
        </w:rPr>
        <w:t xml:space="preserve">Deutsche Gesellschaft für Technische Zusammenarbeit (GTZ) and Rosegrant, M.W.; Ewing, M.; Yohe, G; Burton, I.; Huq, S.; Valmonte-Santos, R. (2008). </w:t>
      </w:r>
      <w:proofErr w:type="gramStart"/>
      <w:r w:rsidRPr="000819F7">
        <w:rPr>
          <w:rFonts w:cs="Times New Roman"/>
          <w:i/>
          <w:sz w:val="20"/>
          <w:szCs w:val="20"/>
        </w:rPr>
        <w:t>Climate Change and Agriculture – Threats and Opportunities</w:t>
      </w:r>
      <w:r w:rsidRPr="000819F7">
        <w:rPr>
          <w:rFonts w:cs="Times New Roman"/>
          <w:sz w:val="20"/>
          <w:szCs w:val="20"/>
        </w:rPr>
        <w:t>.</w:t>
      </w:r>
      <w:proofErr w:type="gramEnd"/>
      <w:r w:rsidRPr="000819F7">
        <w:rPr>
          <w:rFonts w:cs="Times New Roman"/>
          <w:sz w:val="20"/>
          <w:szCs w:val="20"/>
        </w:rPr>
        <w:t xml:space="preserve"> 2013, pp. 25-27.</w:t>
      </w:r>
    </w:p>
  </w:footnote>
  <w:footnote w:id="4">
    <w:p w:rsidR="000819F7" w:rsidRPr="004A785E" w:rsidRDefault="000819F7" w:rsidP="00FC04D3">
      <w:pPr>
        <w:autoSpaceDE w:val="0"/>
        <w:autoSpaceDN w:val="0"/>
        <w:spacing w:after="0"/>
        <w:rPr>
          <w:rFonts w:cs="Times New Roman"/>
          <w:szCs w:val="22"/>
          <w:lang w:val="en-US"/>
        </w:rPr>
      </w:pPr>
      <w:r w:rsidRPr="004A785E">
        <w:rPr>
          <w:rStyle w:val="FootnoteReference"/>
          <w:rFonts w:cs="Times New Roman"/>
        </w:rPr>
        <w:footnoteRef/>
      </w:r>
      <w:r w:rsidRPr="004A785E">
        <w:rPr>
          <w:rFonts w:cs="Times New Roman"/>
        </w:rPr>
        <w:t xml:space="preserve"> </w:t>
      </w:r>
      <w:proofErr w:type="gramStart"/>
      <w:r w:rsidRPr="004A785E">
        <w:rPr>
          <w:rFonts w:cs="Times New Roman"/>
          <w:b/>
          <w:bCs/>
          <w:sz w:val="20"/>
        </w:rPr>
        <w:t>CIAT.</w:t>
      </w:r>
      <w:proofErr w:type="gramEnd"/>
      <w:r w:rsidRPr="004A785E">
        <w:rPr>
          <w:rFonts w:cs="Times New Roman"/>
          <w:b/>
          <w:bCs/>
          <w:sz w:val="20"/>
        </w:rPr>
        <w:t xml:space="preserve"> </w:t>
      </w:r>
      <w:r w:rsidRPr="004A785E">
        <w:rPr>
          <w:rFonts w:cs="Times New Roman"/>
          <w:sz w:val="20"/>
        </w:rPr>
        <w:t xml:space="preserve">2011. </w:t>
      </w:r>
      <w:r w:rsidRPr="004A785E">
        <w:rPr>
          <w:rFonts w:cs="Times New Roman"/>
          <w:i/>
          <w:sz w:val="20"/>
        </w:rPr>
        <w:t xml:space="preserve">Future Climate Scenarios for Kenya’s Tea Growing Areas. </w:t>
      </w:r>
      <w:proofErr w:type="gramStart"/>
      <w:r w:rsidRPr="004A785E">
        <w:rPr>
          <w:rFonts w:cs="Times New Roman"/>
          <w:i/>
          <w:sz w:val="20"/>
        </w:rPr>
        <w:t>A report.</w:t>
      </w:r>
      <w:proofErr w:type="gramEnd"/>
      <w:r w:rsidR="00FC04D3" w:rsidRPr="004A785E">
        <w:rPr>
          <w:rFonts w:cs="Times New Roman"/>
          <w:sz w:val="20"/>
        </w:rPr>
        <w:t xml:space="preserve"> </w:t>
      </w:r>
      <w:proofErr w:type="gramStart"/>
      <w:r w:rsidRPr="004A785E">
        <w:rPr>
          <w:rFonts w:cs="Times New Roman"/>
          <w:sz w:val="20"/>
        </w:rPr>
        <w:t>International Center for Tropical Agriculture.</w:t>
      </w:r>
      <w:proofErr w:type="gramEnd"/>
    </w:p>
    <w:p w:rsidR="000819F7" w:rsidRPr="005E2914" w:rsidRDefault="000819F7" w:rsidP="000819F7">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F7" w:rsidRPr="001A0BFF" w:rsidRDefault="000819F7" w:rsidP="00A81F94">
    <w:pPr>
      <w:pStyle w:val="Underlined"/>
    </w:pPr>
    <w:r>
      <w:fldChar w:fldCharType="begin"/>
    </w:r>
    <w:r>
      <w:instrText xml:space="preserve"> PAGE  \* Arabic  \* MERGEFORMAT </w:instrText>
    </w:r>
    <w:r>
      <w:fldChar w:fldCharType="separate"/>
    </w:r>
    <w:r w:rsidR="00796E50">
      <w:rPr>
        <w:noProof/>
      </w:rPr>
      <w:t>6</w:t>
    </w:r>
    <w:r>
      <w:rPr>
        <w:noProof/>
      </w:rPr>
      <w:fldChar w:fldCharType="end"/>
    </w:r>
    <w:r>
      <w:ptab w:relativeTo="margin" w:alignment="right" w:leader="none"/>
    </w:r>
    <w:r w:rsidRPr="00172E88">
      <w:t xml:space="preserve"> </w:t>
    </w:r>
    <w:bookmarkStart w:id="3" w:name="EvenIdentificationBookmark"/>
    <w:r>
      <w:t>CCP</w:t>
    </w:r>
    <w:proofErr w:type="gramStart"/>
    <w:r>
      <w:t>:TE</w:t>
    </w:r>
    <w:proofErr w:type="gramEnd"/>
    <w:r>
      <w:t xml:space="preserve"> 16/</w:t>
    </w:r>
    <w:bookmarkEnd w:id="3"/>
    <w:r>
      <w:t>3</w:t>
    </w:r>
  </w:p>
  <w:p w:rsidR="000819F7" w:rsidRPr="00502C1C" w:rsidRDefault="000819F7" w:rsidP="00A81F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F7" w:rsidRPr="001A0BFF" w:rsidRDefault="000819F7" w:rsidP="00A81F94">
    <w:pPr>
      <w:pStyle w:val="Underlined"/>
    </w:pPr>
    <w:bookmarkStart w:id="4" w:name="OddIdentificationBookmark"/>
    <w:r>
      <w:t>CCP</w:t>
    </w:r>
    <w:proofErr w:type="gramStart"/>
    <w:r>
      <w:t>:TE</w:t>
    </w:r>
    <w:proofErr w:type="gramEnd"/>
    <w:r>
      <w:t xml:space="preserve"> 16/Inf.2</w:t>
    </w:r>
    <w:bookmarkEnd w:id="4"/>
    <w:r>
      <w:ptab w:relativeTo="margin" w:alignment="right" w:leader="none"/>
    </w:r>
    <w:r>
      <w:fldChar w:fldCharType="begin"/>
    </w:r>
    <w:r>
      <w:instrText xml:space="preserve"> PAGE  \* Arabic  \* MERGEFORMAT </w:instrText>
    </w:r>
    <w:r>
      <w:fldChar w:fldCharType="separate"/>
    </w:r>
    <w:r w:rsidR="00796E50">
      <w:rPr>
        <w:noProof/>
      </w:rPr>
      <w:t>5</w:t>
    </w:r>
    <w:r>
      <w:rPr>
        <w:noProof/>
      </w:rPr>
      <w:fldChar w:fldCharType="end"/>
    </w:r>
  </w:p>
  <w:p w:rsidR="000819F7" w:rsidRPr="00502C1C" w:rsidRDefault="000819F7" w:rsidP="00A81F94">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F7" w:rsidRPr="00734C44" w:rsidRDefault="000819F7" w:rsidP="00A81F94">
    <w:pPr>
      <w:pStyle w:val="LanguageSymbol"/>
      <w:framePr w:wrap="around"/>
    </w:pPr>
    <w:bookmarkStart w:id="5"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0819F7" w:rsidTr="00A81F94">
      <w:trPr>
        <w:jc w:val="center"/>
      </w:trPr>
      <w:tc>
        <w:tcPr>
          <w:tcW w:w="2500" w:type="pct"/>
          <w:noWrap/>
          <w:tcMar>
            <w:left w:w="0" w:type="dxa"/>
          </w:tcMar>
        </w:tcPr>
        <w:bookmarkEnd w:id="5"/>
        <w:p w:rsidR="000819F7" w:rsidRDefault="000819F7" w:rsidP="00A81F94">
          <w:r>
            <w:t>May 2016</w:t>
          </w:r>
        </w:p>
      </w:tc>
      <w:tc>
        <w:tcPr>
          <w:tcW w:w="2500" w:type="pct"/>
          <w:noWrap/>
          <w:tcMar>
            <w:right w:w="0" w:type="dxa"/>
          </w:tcMar>
        </w:tcPr>
        <w:p w:rsidR="000819F7" w:rsidRDefault="000819F7" w:rsidP="000819F7">
          <w:pPr>
            <w:jc w:val="right"/>
          </w:pPr>
          <w:bookmarkStart w:id="6" w:name="FirstCoverIdentificationBookmark"/>
          <w:r>
            <w:t>CCP:TE 16/</w:t>
          </w:r>
          <w:bookmarkEnd w:id="6"/>
          <w:r>
            <w:t>3</w:t>
          </w:r>
        </w:p>
      </w:tc>
    </w:tr>
  </w:tbl>
  <w:p w:rsidR="000819F7" w:rsidRPr="008E01CD" w:rsidRDefault="000819F7" w:rsidP="00A81F94">
    <w:pPr>
      <w:pBdr>
        <w:bottom w:val="single" w:sz="12" w:space="0" w:color="auto"/>
      </w:pBdr>
      <w:contextualSpacing/>
      <w:rPr>
        <w:sz w:val="4"/>
      </w:rPr>
    </w:pPr>
  </w:p>
  <w:p w:rsidR="000819F7" w:rsidRDefault="000819F7" w:rsidP="00A81F94">
    <w:pPr>
      <w:jc w:val="center"/>
    </w:pPr>
    <w:bookmarkStart w:id="7" w:name="LogoBookmark"/>
    <w:r>
      <w:rPr>
        <w:noProof/>
        <w:lang w:eastAsia="en-GB"/>
      </w:rPr>
      <w:drawing>
        <wp:inline distT="0" distB="0" distL="0" distR="0" wp14:anchorId="409AE32C" wp14:editId="1109F21E">
          <wp:extent cx="5760085" cy="7943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A2D157F"/>
    <w:multiLevelType w:val="multilevel"/>
    <w:tmpl w:val="9EB4FDE2"/>
    <w:lvl w:ilvl="0">
      <w:start w:val="1"/>
      <w:numFmt w:val="lowerLetter"/>
      <w:lvlText w:val="%1)"/>
      <w:lvlJc w:val="left"/>
      <w:pPr>
        <w:ind w:left="0" w:firstLine="0"/>
      </w:pPr>
      <w:rPr>
        <w:rFonts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2">
    <w:nsid w:val="0E65761D"/>
    <w:multiLevelType w:val="hybridMultilevel"/>
    <w:tmpl w:val="B330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B13B4"/>
    <w:multiLevelType w:val="hybridMultilevel"/>
    <w:tmpl w:val="4C28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6">
    <w:nsid w:val="5B825D2D"/>
    <w:multiLevelType w:val="hybridMultilevel"/>
    <w:tmpl w:val="A76A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9">
    <w:nsid w:val="75267C03"/>
    <w:multiLevelType w:val="multilevel"/>
    <w:tmpl w:val="9AB243E4"/>
    <w:lvl w:ilvl="0">
      <w:start w:val="1"/>
      <w:numFmt w:val="bullet"/>
      <w:lvlText w:val=""/>
      <w:lvlJc w:val="left"/>
      <w:pPr>
        <w:ind w:left="0" w:firstLine="0"/>
      </w:pPr>
      <w:rPr>
        <w:rFonts w:ascii="Symbol" w:hAnsi="Symbol"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0"/>
  </w:num>
  <w:num w:numId="2">
    <w:abstractNumId w:val="4"/>
  </w:num>
  <w:num w:numId="3">
    <w:abstractNumId w:val="7"/>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0"/>
  </w:num>
  <w:num w:numId="9">
    <w:abstractNumId w:val="2"/>
  </w:num>
  <w:num w:numId="10">
    <w:abstractNumId w:val="3"/>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19F7"/>
    <w:rsid w:val="00082DE1"/>
    <w:rsid w:val="000907F2"/>
    <w:rsid w:val="000B2AB9"/>
    <w:rsid w:val="000C0883"/>
    <w:rsid w:val="000C09D9"/>
    <w:rsid w:val="000E0955"/>
    <w:rsid w:val="000F6FB0"/>
    <w:rsid w:val="00112F80"/>
    <w:rsid w:val="001327A5"/>
    <w:rsid w:val="00140F94"/>
    <w:rsid w:val="0017701B"/>
    <w:rsid w:val="00180F2F"/>
    <w:rsid w:val="00193844"/>
    <w:rsid w:val="001A5FFE"/>
    <w:rsid w:val="001B44C3"/>
    <w:rsid w:val="001C2281"/>
    <w:rsid w:val="002116A8"/>
    <w:rsid w:val="0022343E"/>
    <w:rsid w:val="00240A29"/>
    <w:rsid w:val="00270AAC"/>
    <w:rsid w:val="00296525"/>
    <w:rsid w:val="002A192E"/>
    <w:rsid w:val="002E5E82"/>
    <w:rsid w:val="002F38B1"/>
    <w:rsid w:val="002F7BCB"/>
    <w:rsid w:val="003559AF"/>
    <w:rsid w:val="0036490B"/>
    <w:rsid w:val="00374FD5"/>
    <w:rsid w:val="00380DEA"/>
    <w:rsid w:val="00395022"/>
    <w:rsid w:val="003D7A58"/>
    <w:rsid w:val="004114C6"/>
    <w:rsid w:val="00422991"/>
    <w:rsid w:val="004337E1"/>
    <w:rsid w:val="004859DD"/>
    <w:rsid w:val="004A028E"/>
    <w:rsid w:val="004A2478"/>
    <w:rsid w:val="004A785E"/>
    <w:rsid w:val="004B710E"/>
    <w:rsid w:val="004C1BF9"/>
    <w:rsid w:val="004C5CAF"/>
    <w:rsid w:val="005245D3"/>
    <w:rsid w:val="00550E3C"/>
    <w:rsid w:val="005640C0"/>
    <w:rsid w:val="005B4535"/>
    <w:rsid w:val="005D12FF"/>
    <w:rsid w:val="005E58CB"/>
    <w:rsid w:val="005E5E43"/>
    <w:rsid w:val="00642FFA"/>
    <w:rsid w:val="00645246"/>
    <w:rsid w:val="0065200C"/>
    <w:rsid w:val="00665EC2"/>
    <w:rsid w:val="00681ED9"/>
    <w:rsid w:val="006A1985"/>
    <w:rsid w:val="006E2227"/>
    <w:rsid w:val="006E2712"/>
    <w:rsid w:val="006F4AC9"/>
    <w:rsid w:val="00701D7D"/>
    <w:rsid w:val="007571D8"/>
    <w:rsid w:val="00780964"/>
    <w:rsid w:val="0078197B"/>
    <w:rsid w:val="0079532D"/>
    <w:rsid w:val="00796E50"/>
    <w:rsid w:val="007A13C4"/>
    <w:rsid w:val="0083552C"/>
    <w:rsid w:val="00857D15"/>
    <w:rsid w:val="0087484B"/>
    <w:rsid w:val="00876E75"/>
    <w:rsid w:val="00880F56"/>
    <w:rsid w:val="008A383E"/>
    <w:rsid w:val="008C0C72"/>
    <w:rsid w:val="008D1415"/>
    <w:rsid w:val="00910C38"/>
    <w:rsid w:val="00935080"/>
    <w:rsid w:val="00935B4C"/>
    <w:rsid w:val="00946CD6"/>
    <w:rsid w:val="00946DAA"/>
    <w:rsid w:val="00970A4A"/>
    <w:rsid w:val="009D3260"/>
    <w:rsid w:val="00A00718"/>
    <w:rsid w:val="00A22CDD"/>
    <w:rsid w:val="00A42FCD"/>
    <w:rsid w:val="00A62EF4"/>
    <w:rsid w:val="00A71F71"/>
    <w:rsid w:val="00A81F94"/>
    <w:rsid w:val="00AA1601"/>
    <w:rsid w:val="00B14BF8"/>
    <w:rsid w:val="00B83AF6"/>
    <w:rsid w:val="00BC197D"/>
    <w:rsid w:val="00BE2F48"/>
    <w:rsid w:val="00BF1A76"/>
    <w:rsid w:val="00C22613"/>
    <w:rsid w:val="00C80879"/>
    <w:rsid w:val="00C867A0"/>
    <w:rsid w:val="00CA0F28"/>
    <w:rsid w:val="00CB6143"/>
    <w:rsid w:val="00CF04F2"/>
    <w:rsid w:val="00D11858"/>
    <w:rsid w:val="00D12DB4"/>
    <w:rsid w:val="00D35A9F"/>
    <w:rsid w:val="00D5308B"/>
    <w:rsid w:val="00DA2951"/>
    <w:rsid w:val="00DA454E"/>
    <w:rsid w:val="00DB032E"/>
    <w:rsid w:val="00DC60D2"/>
    <w:rsid w:val="00DE1B33"/>
    <w:rsid w:val="00E1379E"/>
    <w:rsid w:val="00E54538"/>
    <w:rsid w:val="00E7018D"/>
    <w:rsid w:val="00E965BB"/>
    <w:rsid w:val="00EB00DA"/>
    <w:rsid w:val="00EE566A"/>
    <w:rsid w:val="00EF4EA1"/>
    <w:rsid w:val="00F33270"/>
    <w:rsid w:val="00F63B0E"/>
    <w:rsid w:val="00F86BC7"/>
    <w:rsid w:val="00F93408"/>
    <w:rsid w:val="00FC04D3"/>
    <w:rsid w:val="00FD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99"/>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semiHidden/>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character" w:styleId="FollowedHyperlink">
    <w:name w:val="FollowedHyperlink"/>
    <w:basedOn w:val="DefaultParagraphFont"/>
    <w:uiPriority w:val="99"/>
    <w:semiHidden/>
    <w:unhideWhenUsed/>
    <w:rsid w:val="00796E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99"/>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semiHidden/>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character" w:styleId="FollowedHyperlink">
    <w:name w:val="FollowedHyperlink"/>
    <w:basedOn w:val="DefaultParagraphFont"/>
    <w:uiPriority w:val="99"/>
    <w:semiHidden/>
    <w:unhideWhenUsed/>
    <w:rsid w:val="00796E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283312402">
      <w:bodyDiv w:val="1"/>
      <w:marLeft w:val="0"/>
      <w:marRight w:val="0"/>
      <w:marTop w:val="0"/>
      <w:marBottom w:val="0"/>
      <w:divBdr>
        <w:top w:val="none" w:sz="0" w:space="0" w:color="auto"/>
        <w:left w:val="none" w:sz="0" w:space="0" w:color="auto"/>
        <w:bottom w:val="none" w:sz="0" w:space="0" w:color="auto"/>
        <w:right w:val="none" w:sz="0" w:space="0" w:color="auto"/>
      </w:divBdr>
    </w:div>
    <w:div w:id="778724350">
      <w:bodyDiv w:val="1"/>
      <w:marLeft w:val="0"/>
      <w:marRight w:val="0"/>
      <w:marTop w:val="0"/>
      <w:marBottom w:val="0"/>
      <w:divBdr>
        <w:top w:val="none" w:sz="0" w:space="0" w:color="auto"/>
        <w:left w:val="none" w:sz="0" w:space="0" w:color="auto"/>
        <w:bottom w:val="none" w:sz="0" w:space="0" w:color="auto"/>
        <w:right w:val="none" w:sz="0" w:space="0" w:color="auto"/>
      </w:divBdr>
    </w:div>
    <w:div w:id="1808234417">
      <w:bodyDiv w:val="1"/>
      <w:marLeft w:val="0"/>
      <w:marRight w:val="0"/>
      <w:marTop w:val="0"/>
      <w:marBottom w:val="0"/>
      <w:divBdr>
        <w:top w:val="none" w:sz="0" w:space="0" w:color="auto"/>
        <w:left w:val="none" w:sz="0" w:space="0" w:color="auto"/>
        <w:bottom w:val="none" w:sz="0" w:space="0" w:color="auto"/>
        <w:right w:val="none" w:sz="0" w:space="0" w:color="auto"/>
      </w:divBdr>
    </w:div>
    <w:div w:id="19498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economic/est/est-commodities/tea/tea-meetings/tea22/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48585-50E6-41DD-A48F-4A6B6A0F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Giordano DiNicola (CPAM)</dc:creator>
  <cp:lastModifiedBy>Margarita Brattlof (EST)</cp:lastModifiedBy>
  <cp:revision>12</cp:revision>
  <dcterms:created xsi:type="dcterms:W3CDTF">2016-05-03T07:40:00Z</dcterms:created>
  <dcterms:modified xsi:type="dcterms:W3CDTF">2016-05-13T09:41:00Z</dcterms:modified>
</cp:coreProperties>
</file>