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86" w:rsidRPr="0073685B" w:rsidRDefault="00012386" w:rsidP="00D75971">
      <w:pPr>
        <w:pStyle w:val="Hidden"/>
      </w:pPr>
    </w:p>
    <w:p w:rsidR="00012386" w:rsidRPr="003F76E2" w:rsidRDefault="00012386" w:rsidP="00D75971">
      <w:pPr>
        <w:pStyle w:val="DocTitle"/>
      </w:pPr>
      <w:bookmarkStart w:id="0" w:name="CoverTitleBookmark"/>
      <w:bookmarkStart w:id="1" w:name="CoverBookmark"/>
      <w:r>
        <w:rPr>
          <w:smallCaps/>
        </w:rPr>
        <w:t>Committee on Co</w:t>
      </w:r>
      <w:r w:rsidR="0078197B">
        <w:rPr>
          <w:smallCaps/>
        </w:rPr>
        <w:t>mmodity Problem</w:t>
      </w:r>
      <w:r>
        <w:rPr>
          <w:smallCaps/>
        </w:rPr>
        <w:t>s</w:t>
      </w:r>
    </w:p>
    <w:bookmarkEnd w:id="0"/>
    <w:p w:rsidR="00012386" w:rsidRDefault="008D1415" w:rsidP="00D75971">
      <w:pPr>
        <w:pStyle w:val="MeetingInfo"/>
      </w:pPr>
      <w:r>
        <w:t xml:space="preserve">REPORT OF THE </w:t>
      </w:r>
      <w:r w:rsidR="006849F9">
        <w:t xml:space="preserve">TWENTY-SECOND SESSION OF THE </w:t>
      </w:r>
      <w:r w:rsidR="0078197B">
        <w:t xml:space="preserve">INTERGOVERNMENTAL GROUP ON </w:t>
      </w:r>
      <w:r w:rsidR="006849F9">
        <w:t>TEA</w:t>
      </w:r>
    </w:p>
    <w:p w:rsidR="00012386" w:rsidRDefault="006849F9" w:rsidP="00D75971">
      <w:pPr>
        <w:pStyle w:val="MeetingInfo"/>
      </w:pPr>
      <w:r>
        <w:t>Naivasha, Kenya, 25-27 May 2016</w:t>
      </w:r>
    </w:p>
    <w:p w:rsidR="00017069" w:rsidRDefault="00012386" w:rsidP="00017069">
      <w:pPr>
        <w:pStyle w:val="Heading1"/>
      </w:pPr>
      <w:r w:rsidRPr="0073685B">
        <w:t xml:space="preserve"> </w:t>
      </w:r>
      <w:bookmarkEnd w:id="1"/>
      <w:r w:rsidRPr="0073685B">
        <w:t xml:space="preserve"> </w:t>
      </w:r>
      <w:bookmarkStart w:id="2" w:name="SummaryBoxBookmark"/>
      <w:r w:rsidRPr="0073685B">
        <w:t xml:space="preserve"> </w:t>
      </w:r>
      <w:bookmarkEnd w:id="2"/>
      <w:r w:rsidRPr="0073685B">
        <w:t xml:space="preserve"> </w:t>
      </w:r>
      <w:bookmarkStart w:id="3" w:name="TableOfContentsRangeBookmark"/>
      <w:r w:rsidRPr="0073685B">
        <w:t xml:space="preserve"> </w:t>
      </w:r>
      <w:bookmarkEnd w:id="3"/>
      <w:r w:rsidR="00017069">
        <w:t>INTRODUCTION</w:t>
      </w:r>
    </w:p>
    <w:p w:rsidR="00017069" w:rsidRDefault="00017069" w:rsidP="002A192E">
      <w:pPr>
        <w:pStyle w:val="BoxNewPara"/>
        <w:ind w:left="0" w:firstLine="0"/>
      </w:pPr>
      <w:r w:rsidRPr="00063D23">
        <w:t>T</w:t>
      </w:r>
      <w:r>
        <w:t xml:space="preserve">he </w:t>
      </w:r>
      <w:r w:rsidR="006849F9">
        <w:t xml:space="preserve">Twenty-second </w:t>
      </w:r>
      <w:r w:rsidRPr="00063D23">
        <w:t xml:space="preserve">Session of the Intergovernmental Group on </w:t>
      </w:r>
      <w:r w:rsidR="006849F9">
        <w:t xml:space="preserve">Tea (IGG/Tea) </w:t>
      </w:r>
      <w:r w:rsidRPr="00063D23">
        <w:t xml:space="preserve">was held on </w:t>
      </w:r>
      <w:r>
        <w:t xml:space="preserve">25-27 </w:t>
      </w:r>
      <w:r w:rsidR="006849F9">
        <w:t xml:space="preserve">May 2016 in Naivasha, Kenya. </w:t>
      </w:r>
      <w:r w:rsidRPr="00063D23">
        <w:t xml:space="preserve">It was attended by </w:t>
      </w:r>
      <w:r w:rsidR="009F43BA">
        <w:t>9</w:t>
      </w:r>
      <w:r w:rsidR="005569C7">
        <w:t>2</w:t>
      </w:r>
      <w:r w:rsidR="009F43BA">
        <w:t xml:space="preserve"> </w:t>
      </w:r>
      <w:r w:rsidRPr="00063D23">
        <w:t xml:space="preserve">delegates from the following member countries: </w:t>
      </w:r>
      <w:r w:rsidR="006849F9">
        <w:t xml:space="preserve">Burundi, Canada, China, Germany, India, Indonesia, Japan, Kenya, Malawi, </w:t>
      </w:r>
      <w:r w:rsidR="00AC1284">
        <w:t>Morocco, Sri </w:t>
      </w:r>
      <w:bookmarkStart w:id="4" w:name="_GoBack"/>
      <w:bookmarkEnd w:id="4"/>
      <w:r w:rsidR="006849F9">
        <w:t xml:space="preserve">Lanka and the United Kingdom. </w:t>
      </w:r>
      <w:r w:rsidRPr="00063D23">
        <w:t xml:space="preserve">Observers attended from the </w:t>
      </w:r>
      <w:r w:rsidR="006849F9">
        <w:t xml:space="preserve">International Standards Organization (ISO), the </w:t>
      </w:r>
      <w:r>
        <w:t xml:space="preserve">International </w:t>
      </w:r>
      <w:r w:rsidR="006849F9">
        <w:t>Tea Committee (ITC) and Tea and Herbal Infusions Europe</w:t>
      </w:r>
      <w:r w:rsidRPr="00063D23">
        <w:t>.</w:t>
      </w:r>
      <w:r w:rsidR="00240F2E">
        <w:t xml:space="preserve"> The list of delegates was distributed as document CCP</w:t>
      </w:r>
      <w:proofErr w:type="gramStart"/>
      <w:r w:rsidR="00240F2E">
        <w:t>:TE</w:t>
      </w:r>
      <w:proofErr w:type="gramEnd"/>
      <w:r w:rsidR="00240F2E">
        <w:t xml:space="preserve"> 16/Inf.3.</w:t>
      </w:r>
    </w:p>
    <w:p w:rsidR="00017069" w:rsidRDefault="00665EC2" w:rsidP="002A192E">
      <w:pPr>
        <w:pStyle w:val="BoxNewPara"/>
        <w:ind w:left="0" w:firstLine="0"/>
      </w:pPr>
      <w:r>
        <w:t>The session was inaugurated by</w:t>
      </w:r>
      <w:r w:rsidR="0068330F">
        <w:t xml:space="preserve"> </w:t>
      </w:r>
      <w:r w:rsidR="00233BE9">
        <w:t xml:space="preserve">Mr </w:t>
      </w:r>
      <w:r w:rsidR="0068330F">
        <w:t xml:space="preserve">Willy </w:t>
      </w:r>
      <w:proofErr w:type="spellStart"/>
      <w:r w:rsidR="0068330F">
        <w:t>Bett</w:t>
      </w:r>
      <w:proofErr w:type="spellEnd"/>
      <w:r w:rsidR="0068330F">
        <w:t>, Cabinet Secretary, Ministry of Agriculture, Livestock and Fisheries</w:t>
      </w:r>
      <w:r>
        <w:t xml:space="preserve">. </w:t>
      </w:r>
      <w:r w:rsidR="00233BE9">
        <w:t xml:space="preserve">Mr </w:t>
      </w:r>
      <w:r w:rsidR="008C51A4">
        <w:t xml:space="preserve">Stanley </w:t>
      </w:r>
      <w:proofErr w:type="spellStart"/>
      <w:r w:rsidR="008C51A4">
        <w:t>Chepkwony</w:t>
      </w:r>
      <w:proofErr w:type="spellEnd"/>
      <w:r w:rsidR="008C51A4">
        <w:t xml:space="preserve">, County Executive Committee Member for Agriculture, Livestock and Fisheries, </w:t>
      </w:r>
      <w:proofErr w:type="spellStart"/>
      <w:r w:rsidR="008C51A4">
        <w:t>Nakuru</w:t>
      </w:r>
      <w:proofErr w:type="spellEnd"/>
      <w:r w:rsidR="008C51A4">
        <w:t xml:space="preserve"> County,</w:t>
      </w:r>
      <w:r w:rsidR="00233BE9">
        <w:t xml:space="preserve"> delivered a speech on behalf of </w:t>
      </w:r>
      <w:r w:rsidR="008C51A4">
        <w:t xml:space="preserve">the </w:t>
      </w:r>
      <w:r w:rsidR="00233BE9">
        <w:t xml:space="preserve">Governor of </w:t>
      </w:r>
      <w:proofErr w:type="spellStart"/>
      <w:r w:rsidR="008C51A4">
        <w:t>Nakuru</w:t>
      </w:r>
      <w:proofErr w:type="spellEnd"/>
      <w:r w:rsidR="008C51A4">
        <w:t xml:space="preserve"> County, His Excellency </w:t>
      </w:r>
      <w:proofErr w:type="spellStart"/>
      <w:r w:rsidR="008C51A4">
        <w:t>Kinuthia</w:t>
      </w:r>
      <w:proofErr w:type="spellEnd"/>
      <w:r w:rsidR="008C51A4">
        <w:t xml:space="preserve"> </w:t>
      </w:r>
      <w:proofErr w:type="spellStart"/>
      <w:r w:rsidR="008C51A4">
        <w:t>Mbugua</w:t>
      </w:r>
      <w:proofErr w:type="spellEnd"/>
      <w:r w:rsidR="008C51A4">
        <w:t>.</w:t>
      </w:r>
      <w:r w:rsidR="00233BE9">
        <w:t xml:space="preserve"> </w:t>
      </w:r>
      <w:r w:rsidR="00017069">
        <w:t>T</w:t>
      </w:r>
      <w:r w:rsidR="00017069" w:rsidRPr="00063D23">
        <w:t xml:space="preserve">he opening statement was </w:t>
      </w:r>
      <w:r w:rsidR="00017069">
        <w:t xml:space="preserve">delivered by Mr </w:t>
      </w:r>
      <w:r w:rsidR="006849F9">
        <w:t>Kaison Chang, Secretary, IGG/Tea</w:t>
      </w:r>
      <w:r w:rsidR="00017069">
        <w:t xml:space="preserve">, </w:t>
      </w:r>
      <w:r w:rsidR="00017069" w:rsidRPr="00063D23">
        <w:t xml:space="preserve">on </w:t>
      </w:r>
      <w:r w:rsidR="00017069">
        <w:t xml:space="preserve">behalf of the Director-General. </w:t>
      </w:r>
    </w:p>
    <w:p w:rsidR="00017069" w:rsidRDefault="00017069" w:rsidP="002A192E">
      <w:pPr>
        <w:pStyle w:val="BoxNewPara"/>
        <w:ind w:left="0" w:firstLine="0"/>
      </w:pPr>
      <w:r w:rsidRPr="00063D23">
        <w:t>The Meeting elected</w:t>
      </w:r>
      <w:r>
        <w:t xml:space="preserve"> M</w:t>
      </w:r>
      <w:r w:rsidR="006849F9">
        <w:t xml:space="preserve">r Johnson </w:t>
      </w:r>
      <w:proofErr w:type="spellStart"/>
      <w:r w:rsidR="00715348">
        <w:t>Irungu</w:t>
      </w:r>
      <w:proofErr w:type="spellEnd"/>
      <w:r w:rsidR="00785259">
        <w:t xml:space="preserve"> </w:t>
      </w:r>
      <w:proofErr w:type="spellStart"/>
      <w:r w:rsidR="00785259">
        <w:t>Waithaka</w:t>
      </w:r>
      <w:proofErr w:type="spellEnd"/>
      <w:r w:rsidR="00715348">
        <w:t xml:space="preserve"> </w:t>
      </w:r>
      <w:r w:rsidR="006849F9">
        <w:t>(Kenya)</w:t>
      </w:r>
      <w:r>
        <w:t xml:space="preserve"> as Chairperson, Mr </w:t>
      </w:r>
      <w:r w:rsidR="006849F9">
        <w:t>Katsuyuki Yoshida (Japan)</w:t>
      </w:r>
      <w:r>
        <w:t xml:space="preserve"> </w:t>
      </w:r>
      <w:r w:rsidRPr="00063D23">
        <w:t>as First Vice-Chairperson and</w:t>
      </w:r>
      <w:r>
        <w:t xml:space="preserve"> Mr </w:t>
      </w:r>
      <w:r w:rsidR="006849F9">
        <w:t>Du Jianbin (China)</w:t>
      </w:r>
      <w:r>
        <w:t xml:space="preserve"> as Second Vice</w:t>
      </w:r>
      <w:r>
        <w:noBreakHyphen/>
      </w:r>
      <w:r w:rsidRPr="00063D23">
        <w:t>Chairperson.</w:t>
      </w:r>
    </w:p>
    <w:p w:rsidR="00017069" w:rsidRDefault="00017069" w:rsidP="002A192E">
      <w:pPr>
        <w:pStyle w:val="BoxNewPara"/>
        <w:ind w:left="0" w:firstLine="0"/>
      </w:pPr>
      <w:r w:rsidRPr="00063D23">
        <w:t>The Meeting adopted the Provisional Agenda CCP</w:t>
      </w:r>
      <w:proofErr w:type="gramStart"/>
      <w:r w:rsidRPr="00063D23">
        <w:t>:</w:t>
      </w:r>
      <w:r w:rsidR="006849F9">
        <w:t>TE</w:t>
      </w:r>
      <w:proofErr w:type="gramEnd"/>
      <w:r w:rsidR="006849F9">
        <w:t xml:space="preserve"> 16/1 </w:t>
      </w:r>
      <w:r>
        <w:t>and the Provisional Timetable CCP:</w:t>
      </w:r>
      <w:r w:rsidR="006849F9">
        <w:t>TE 16/Inf.1</w:t>
      </w:r>
      <w:r>
        <w:t>.</w:t>
      </w:r>
    </w:p>
    <w:p w:rsidR="00017069" w:rsidRDefault="00017069" w:rsidP="002A192E">
      <w:pPr>
        <w:pStyle w:val="Heading1"/>
        <w:ind w:left="0" w:firstLine="0"/>
      </w:pPr>
      <w:r w:rsidRPr="0010595A">
        <w:t>ECONOMIC</w:t>
      </w:r>
      <w:r>
        <w:t xml:space="preserve"> </w:t>
      </w:r>
      <w:smartTag w:uri="urn:schemas-microsoft-com:office:smarttags" w:element="stockticker">
        <w:r w:rsidRPr="0010595A">
          <w:t>AND</w:t>
        </w:r>
      </w:smartTag>
      <w:r w:rsidRPr="0010595A">
        <w:t xml:space="preserve"> POLICY ISSUES</w:t>
      </w:r>
    </w:p>
    <w:p w:rsidR="00017069" w:rsidRDefault="00017069" w:rsidP="00017069">
      <w:pPr>
        <w:pStyle w:val="Heading2"/>
      </w:pPr>
      <w:r>
        <w:t xml:space="preserve">CURRENT MARKET SITUATION </w:t>
      </w:r>
      <w:smartTag w:uri="urn:schemas-microsoft-com:office:smarttags" w:element="stockticker">
        <w:r>
          <w:t>AND</w:t>
        </w:r>
      </w:smartTag>
      <w:r>
        <w:t xml:space="preserve"> MEDIUM TERM OUTLOOK</w:t>
      </w:r>
    </w:p>
    <w:p w:rsidR="009753AB" w:rsidRDefault="009753AB" w:rsidP="009753AB">
      <w:pPr>
        <w:pStyle w:val="BoxNewPara"/>
        <w:ind w:left="0" w:firstLine="0"/>
      </w:pPr>
      <w:r w:rsidRPr="009F7951">
        <w:t>The Group reviewed the current market situation and medium term outlook to 2024 for tea with the assistance of document: CCP</w:t>
      </w:r>
      <w:proofErr w:type="gramStart"/>
      <w:r w:rsidRPr="009F7951">
        <w:t>:TE</w:t>
      </w:r>
      <w:proofErr w:type="gramEnd"/>
      <w:r w:rsidRPr="009F7951">
        <w:t xml:space="preserve"> 16/Inf.2. </w:t>
      </w:r>
    </w:p>
    <w:p w:rsidR="009753AB" w:rsidRPr="009753AB" w:rsidRDefault="009753AB" w:rsidP="009753AB">
      <w:pPr>
        <w:pStyle w:val="BoxNewPara"/>
        <w:ind w:left="0" w:firstLine="0"/>
      </w:pPr>
      <w:r w:rsidRPr="009753AB">
        <w:rPr>
          <w:rFonts w:cs="Times New Roman"/>
          <w:color w:val="000000" w:themeColor="text1"/>
          <w:szCs w:val="22"/>
          <w:lang w:eastAsia="en-GB"/>
        </w:rPr>
        <w:t>The Group noted that world tea production in 2014 increased by 1.2 percent to 5.13 million tonnes while consumption increased by 2.4 percent to 4.95 million tonnes, leaving a surplus in supply of 180 000 tonnes, at 2013 prices, which was the reason for the 5.3 percent decline</w:t>
      </w:r>
      <w:r w:rsidR="00DD7896">
        <w:rPr>
          <w:rFonts w:cs="Times New Roman"/>
          <w:color w:val="000000" w:themeColor="text1"/>
          <w:szCs w:val="22"/>
          <w:lang w:eastAsia="en-GB"/>
        </w:rPr>
        <w:t xml:space="preserve"> in the FAO Composite Tea Price</w:t>
      </w:r>
      <w:r w:rsidRPr="009753AB">
        <w:rPr>
          <w:rFonts w:cs="Times New Roman"/>
          <w:color w:val="000000" w:themeColor="text1"/>
          <w:szCs w:val="22"/>
          <w:lang w:eastAsia="en-GB"/>
        </w:rPr>
        <w:t>.</w:t>
      </w:r>
      <w:r>
        <w:rPr>
          <w:rFonts w:cs="Times New Roman"/>
          <w:color w:val="000000" w:themeColor="text1"/>
          <w:szCs w:val="22"/>
          <w:lang w:eastAsia="en-GB"/>
        </w:rPr>
        <w:t xml:space="preserve"> </w:t>
      </w:r>
    </w:p>
    <w:p w:rsidR="009753AB" w:rsidRPr="009F7951" w:rsidRDefault="009753AB" w:rsidP="009753AB">
      <w:pPr>
        <w:pStyle w:val="BoxNewPara"/>
        <w:ind w:left="0" w:firstLine="0"/>
      </w:pPr>
      <w:r w:rsidRPr="009753AB">
        <w:rPr>
          <w:rFonts w:cs="Times New Roman"/>
          <w:color w:val="000000" w:themeColor="text1"/>
          <w:szCs w:val="22"/>
          <w:lang w:eastAsia="en-GB"/>
        </w:rPr>
        <w:t>Export volumes declined by 2.4 percent in 2014 to 1.73 million tonnes and export values were USD 5.61 billion, 4 percent less than 2013. Nevertheless, export revenues contributed significantly to financing food import bills of tea exporting countries</w:t>
      </w:r>
      <w:r w:rsidR="00DD7896">
        <w:rPr>
          <w:rFonts w:cs="Times New Roman"/>
          <w:color w:val="000000" w:themeColor="text1"/>
          <w:szCs w:val="22"/>
          <w:lang w:eastAsia="en-GB"/>
        </w:rPr>
        <w:t xml:space="preserve">, such as </w:t>
      </w:r>
      <w:r w:rsidRPr="009753AB">
        <w:rPr>
          <w:rFonts w:cs="Times New Roman"/>
          <w:color w:val="000000" w:themeColor="text1"/>
          <w:szCs w:val="22"/>
          <w:lang w:eastAsia="en-GB"/>
        </w:rPr>
        <w:t xml:space="preserve">Kenya and Sri Lanka </w:t>
      </w:r>
      <w:r w:rsidR="00DD7896">
        <w:rPr>
          <w:rFonts w:cs="Times New Roman"/>
          <w:color w:val="000000" w:themeColor="text1"/>
          <w:szCs w:val="22"/>
          <w:lang w:eastAsia="en-GB"/>
        </w:rPr>
        <w:t xml:space="preserve">where export earnings </w:t>
      </w:r>
      <w:r w:rsidRPr="009753AB">
        <w:rPr>
          <w:rFonts w:cs="Times New Roman"/>
          <w:color w:val="000000" w:themeColor="text1"/>
          <w:szCs w:val="22"/>
          <w:lang w:eastAsia="en-GB"/>
        </w:rPr>
        <w:t xml:space="preserve">financed more than 60 percent of their food import bills. </w:t>
      </w:r>
    </w:p>
    <w:p w:rsidR="00E562C8" w:rsidRPr="005A1242" w:rsidRDefault="00E562C8" w:rsidP="00E562C8">
      <w:pPr>
        <w:pStyle w:val="Heading2"/>
        <w:spacing w:after="200"/>
        <w:ind w:left="1" w:firstLine="0"/>
      </w:pPr>
      <w:r>
        <w:lastRenderedPageBreak/>
        <w:t>MARKET DEVELOPMENTS IN SELECTED COUNTRIES</w:t>
      </w:r>
    </w:p>
    <w:p w:rsidR="009753AB" w:rsidRPr="009753AB" w:rsidRDefault="009753AB" w:rsidP="009753AB">
      <w:pPr>
        <w:pStyle w:val="BoxNewPara"/>
        <w:ind w:left="0" w:firstLine="0"/>
        <w:rPr>
          <w:rFonts w:cs="Times New Roman"/>
          <w:color w:val="000000" w:themeColor="text1"/>
          <w:szCs w:val="22"/>
          <w:lang w:eastAsia="en-GB"/>
        </w:rPr>
      </w:pPr>
      <w:r w:rsidRPr="009753AB">
        <w:rPr>
          <w:rFonts w:cs="Times New Roman"/>
          <w:color w:val="000000" w:themeColor="text1"/>
          <w:szCs w:val="22"/>
          <w:lang w:eastAsia="en-GB"/>
        </w:rPr>
        <w:t>The Group appreciated presentations made by Kenya, China, India, Indonesia and Sri Lanka which provided detailed insights on market developments at the country level.</w:t>
      </w:r>
    </w:p>
    <w:p w:rsidR="009753AB" w:rsidRDefault="009753AB" w:rsidP="00B2022F">
      <w:pPr>
        <w:pStyle w:val="BoxNewPara"/>
        <w:ind w:left="0" w:firstLine="0"/>
      </w:pPr>
      <w:r w:rsidRPr="009753AB">
        <w:rPr>
          <w:rFonts w:cs="Times New Roman"/>
          <w:color w:val="000000" w:themeColor="text1"/>
          <w:szCs w:val="22"/>
          <w:lang w:eastAsia="en-GB"/>
        </w:rPr>
        <w:t xml:space="preserve">Delegates sought clarification and agreed that coordinated efforts to address the demand/supply balance at sustainable price levels were required. These could include the implementation of minimum quality standards; a coordinated international generic promotion programme; value-addition initiatives, including at cottage industry level; </w:t>
      </w:r>
      <w:r w:rsidR="00CA6AE6">
        <w:rPr>
          <w:rFonts w:cs="Times New Roman"/>
          <w:color w:val="000000" w:themeColor="text1"/>
          <w:szCs w:val="22"/>
          <w:lang w:eastAsia="en-GB"/>
        </w:rPr>
        <w:t xml:space="preserve">product </w:t>
      </w:r>
      <w:r w:rsidRPr="009753AB">
        <w:rPr>
          <w:rFonts w:cs="Times New Roman"/>
          <w:color w:val="000000" w:themeColor="text1"/>
          <w:szCs w:val="22"/>
          <w:lang w:eastAsia="en-GB"/>
        </w:rPr>
        <w:t xml:space="preserve">diversification and market segmentation; and producers should coordinate these efforts through the International Tea Producer Forum. Hence, countries that had not ratified their membership </w:t>
      </w:r>
      <w:r w:rsidR="00CA6AE6">
        <w:rPr>
          <w:rFonts w:cs="Times New Roman"/>
          <w:color w:val="000000" w:themeColor="text1"/>
          <w:szCs w:val="22"/>
          <w:lang w:eastAsia="en-GB"/>
        </w:rPr>
        <w:t xml:space="preserve">agreement </w:t>
      </w:r>
      <w:r w:rsidRPr="009753AB">
        <w:rPr>
          <w:rFonts w:cs="Times New Roman"/>
          <w:color w:val="000000" w:themeColor="text1"/>
          <w:szCs w:val="22"/>
          <w:lang w:eastAsia="en-GB"/>
        </w:rPr>
        <w:t>should do so at their earliest convenience.</w:t>
      </w:r>
    </w:p>
    <w:p w:rsidR="001E1A75" w:rsidRDefault="001E1A75" w:rsidP="001E1A75">
      <w:pPr>
        <w:pStyle w:val="Heading1"/>
        <w:ind w:left="0" w:firstLine="0"/>
      </w:pPr>
      <w:r>
        <w:t>FACTORS AFFECTING DEMAND AND SUPPLY</w:t>
      </w:r>
    </w:p>
    <w:p w:rsidR="001E1A75" w:rsidRDefault="001E1A75" w:rsidP="001E1A75">
      <w:pPr>
        <w:pStyle w:val="Heading2"/>
        <w:rPr>
          <w:sz w:val="22"/>
          <w:szCs w:val="22"/>
        </w:rPr>
      </w:pPr>
      <w:r w:rsidRPr="001E1A75">
        <w:rPr>
          <w:sz w:val="22"/>
          <w:szCs w:val="22"/>
        </w:rPr>
        <w:t>IMPACT OF DEMAND SIDE FACTORS ON THE GLOBAL TEA ECONOMY</w:t>
      </w:r>
    </w:p>
    <w:p w:rsidR="001E1A75" w:rsidRDefault="009B1007" w:rsidP="001E1A75">
      <w:pPr>
        <w:pStyle w:val="BoxNewPara"/>
        <w:ind w:left="0" w:firstLine="0"/>
      </w:pPr>
      <w:r>
        <w:t>The Group examined the implications of MRLs on tea trade with the assistance of document CCP</w:t>
      </w:r>
      <w:proofErr w:type="gramStart"/>
      <w:r>
        <w:t>:TE</w:t>
      </w:r>
      <w:proofErr w:type="gramEnd"/>
      <w:r>
        <w:t xml:space="preserve"> 16/2. The Group noted the results of the study that was based on the gravity model and which showed that MRL</w:t>
      </w:r>
      <w:r w:rsidR="00CA6AE6">
        <w:t xml:space="preserve"> standards have had a negative impact </w:t>
      </w:r>
      <w:r>
        <w:t xml:space="preserve">on tea trade. The case study used in the analysis highlighted that MRLs imposed by major importing </w:t>
      </w:r>
      <w:r w:rsidR="00174558">
        <w:t xml:space="preserve">countries </w:t>
      </w:r>
      <w:r>
        <w:t xml:space="preserve">had have a negative impact on China’s exports of tea. </w:t>
      </w:r>
    </w:p>
    <w:p w:rsidR="009B1007" w:rsidRDefault="009B1007" w:rsidP="001E1A75">
      <w:pPr>
        <w:pStyle w:val="BoxNewPara"/>
        <w:ind w:left="0" w:firstLine="0"/>
      </w:pPr>
      <w:r>
        <w:t xml:space="preserve">A delegate </w:t>
      </w:r>
      <w:r w:rsidR="00BC0564">
        <w:t xml:space="preserve">suggested updating the </w:t>
      </w:r>
      <w:r>
        <w:t xml:space="preserve">information </w:t>
      </w:r>
      <w:r w:rsidR="00BC0564">
        <w:t xml:space="preserve">on MRLs </w:t>
      </w:r>
      <w:r>
        <w:t xml:space="preserve">of </w:t>
      </w:r>
      <w:proofErr w:type="spellStart"/>
      <w:r>
        <w:t>endosulfan</w:t>
      </w:r>
      <w:proofErr w:type="spellEnd"/>
      <w:r>
        <w:t xml:space="preserve"> </w:t>
      </w:r>
      <w:r w:rsidR="00BC0564">
        <w:t xml:space="preserve">for </w:t>
      </w:r>
      <w:r>
        <w:t>the EU</w:t>
      </w:r>
      <w:r w:rsidR="00BC0564">
        <w:t xml:space="preserve"> by rephrasing</w:t>
      </w:r>
      <w:r>
        <w:t xml:space="preserve"> </w:t>
      </w:r>
      <w:r w:rsidR="00CA6AE6">
        <w:t>paragraph</w:t>
      </w:r>
      <w:r w:rsidR="00174558">
        <w:t xml:space="preserve">s </w:t>
      </w:r>
      <w:r w:rsidR="00CA6AE6">
        <w:t xml:space="preserve">17 </w:t>
      </w:r>
      <w:r w:rsidR="00174558">
        <w:t xml:space="preserve">and 20 </w:t>
      </w:r>
      <w:r w:rsidR="00CA6AE6">
        <w:t>which described the simulation exercise.</w:t>
      </w:r>
    </w:p>
    <w:p w:rsidR="009B1007" w:rsidRDefault="00CF08A9" w:rsidP="001E1A75">
      <w:pPr>
        <w:pStyle w:val="BoxNewPara"/>
        <w:ind w:left="0" w:firstLine="0"/>
      </w:pPr>
      <w:r>
        <w:t>The Group noted the conclusions outlined in the document, which included the need to:</w:t>
      </w:r>
    </w:p>
    <w:p w:rsidR="00CF08A9" w:rsidRDefault="00CF08A9" w:rsidP="00CF08A9">
      <w:pPr>
        <w:pStyle w:val="BoxBulletList"/>
      </w:pPr>
      <w:r>
        <w:t>Reduce large gaps in MRL values amongst tea-trading partners; and</w:t>
      </w:r>
    </w:p>
    <w:p w:rsidR="00CF08A9" w:rsidRDefault="00CF08A9" w:rsidP="00CF08A9">
      <w:pPr>
        <w:pStyle w:val="BoxBulletList"/>
      </w:pPr>
      <w:r>
        <w:t>Consolidate research papers, priority lists, MRL by chemical, by country and by year</w:t>
      </w:r>
      <w:r w:rsidR="00160D5B">
        <w:t xml:space="preserve"> into a comprehensive information database system.</w:t>
      </w:r>
    </w:p>
    <w:p w:rsidR="00CF08A9" w:rsidRDefault="00160D5B" w:rsidP="001E1A75">
      <w:pPr>
        <w:pStyle w:val="BoxNewPara"/>
        <w:ind w:left="0" w:firstLine="0"/>
      </w:pPr>
      <w:r>
        <w:t xml:space="preserve">The delegates agreed to provide the Secretariat with the necessary information in order to conduct further detailed analyses on the impact of MRLs on tea trade. </w:t>
      </w:r>
    </w:p>
    <w:p w:rsidR="001E1A75" w:rsidRDefault="001E1A75" w:rsidP="001E1A75">
      <w:pPr>
        <w:pStyle w:val="Heading2"/>
        <w:rPr>
          <w:sz w:val="22"/>
          <w:szCs w:val="22"/>
        </w:rPr>
      </w:pPr>
      <w:r w:rsidRPr="001E1A75">
        <w:rPr>
          <w:sz w:val="22"/>
          <w:szCs w:val="22"/>
        </w:rPr>
        <w:t>IMPACT OF</w:t>
      </w:r>
      <w:r>
        <w:rPr>
          <w:sz w:val="22"/>
          <w:szCs w:val="22"/>
        </w:rPr>
        <w:t xml:space="preserve"> SUPPLY</w:t>
      </w:r>
      <w:r w:rsidRPr="001E1A75">
        <w:rPr>
          <w:sz w:val="22"/>
          <w:szCs w:val="22"/>
        </w:rPr>
        <w:t xml:space="preserve"> SIDE FACTORS ON THE GLOBAL TEA ECONOMY</w:t>
      </w:r>
    </w:p>
    <w:p w:rsidR="001E1A75" w:rsidRDefault="001E1A75" w:rsidP="001E1A75">
      <w:pPr>
        <w:pStyle w:val="BoxNewPara"/>
        <w:ind w:left="0" w:firstLine="0"/>
      </w:pPr>
      <w:r w:rsidRPr="00F81AF7">
        <w:t xml:space="preserve">The </w:t>
      </w:r>
      <w:r>
        <w:t xml:space="preserve">Group </w:t>
      </w:r>
      <w:r w:rsidR="00C0477A" w:rsidRPr="005A1242">
        <w:t>examine</w:t>
      </w:r>
      <w:r w:rsidR="00C0477A">
        <w:t>d</w:t>
      </w:r>
      <w:r w:rsidR="00C0477A" w:rsidRPr="005A1242">
        <w:t xml:space="preserve"> the possible strategies to </w:t>
      </w:r>
      <w:r w:rsidR="00C0477A">
        <w:t xml:space="preserve">address </w:t>
      </w:r>
      <w:r w:rsidR="00C0477A" w:rsidRPr="005A1242">
        <w:t>socio-economic adaptation policies</w:t>
      </w:r>
      <w:r w:rsidR="00C0477A">
        <w:t xml:space="preserve"> </w:t>
      </w:r>
      <w:r w:rsidRPr="00F81AF7">
        <w:t>with the as</w:t>
      </w:r>
      <w:r>
        <w:t>sistance of document</w:t>
      </w:r>
      <w:r w:rsidRPr="00F81AF7">
        <w:t xml:space="preserve"> </w:t>
      </w:r>
      <w:r>
        <w:t>CCP</w:t>
      </w:r>
      <w:proofErr w:type="gramStart"/>
      <w:r>
        <w:t>:TE</w:t>
      </w:r>
      <w:proofErr w:type="gramEnd"/>
      <w:r>
        <w:t xml:space="preserve"> 16/3</w:t>
      </w:r>
      <w:r w:rsidR="00C0477A">
        <w:t>.</w:t>
      </w:r>
      <w:r w:rsidRPr="005052FF">
        <w:t xml:space="preserve"> </w:t>
      </w:r>
      <w:r w:rsidR="001B1D92">
        <w:t xml:space="preserve">The Group noted that while climate-related issues and solutions were unique to specific areas, commonalities </w:t>
      </w:r>
      <w:r w:rsidR="00DD7896">
        <w:t>in</w:t>
      </w:r>
      <w:r w:rsidR="001B1D92">
        <w:t xml:space="preserve"> various regions existed. Therefore, policymakers should encourage knowledge-sharing, and the following could be done at both national and international levels:</w:t>
      </w:r>
    </w:p>
    <w:p w:rsidR="001B1D92" w:rsidRDefault="001B1D92" w:rsidP="001B1D92">
      <w:pPr>
        <w:pStyle w:val="BoxBulletList"/>
      </w:pPr>
      <w:r>
        <w:t>Disseminating adaptation measures and lessons learned;</w:t>
      </w:r>
    </w:p>
    <w:p w:rsidR="001B1D92" w:rsidRDefault="001B1D92" w:rsidP="001B1D92">
      <w:pPr>
        <w:pStyle w:val="BoxBulletList"/>
      </w:pPr>
      <w:r>
        <w:t>Incorporating adaptation measures in development planning; and</w:t>
      </w:r>
    </w:p>
    <w:p w:rsidR="001B1D92" w:rsidRDefault="001B1D92" w:rsidP="001B1D92">
      <w:pPr>
        <w:pStyle w:val="BoxBulletList"/>
      </w:pPr>
      <w:r>
        <w:t>Providing financial support for implementing adaptation measures.</w:t>
      </w:r>
    </w:p>
    <w:p w:rsidR="001E1A75" w:rsidRDefault="001B1D92" w:rsidP="001E1A75">
      <w:pPr>
        <w:pStyle w:val="BoxNewPara"/>
        <w:ind w:left="0" w:firstLine="0"/>
      </w:pPr>
      <w:r>
        <w:t>The Group suggested that in order for adaptation measures to be effectively implemented by smallholders, ensuring adequate access to credit is essential and appropriate market linkages should be developed</w:t>
      </w:r>
      <w:r w:rsidR="00CA6AE6">
        <w:t xml:space="preserve">. This would include encouraging </w:t>
      </w:r>
      <w:r>
        <w:t xml:space="preserve">small factories at the cottage industry level, i.e. selling their tea as a product and not as a commodity. </w:t>
      </w:r>
      <w:r w:rsidR="00CA6AE6">
        <w:t>E</w:t>
      </w:r>
      <w:r>
        <w:t>nabling policies should</w:t>
      </w:r>
      <w:r w:rsidR="003020C6">
        <w:t xml:space="preserve"> be a priority for governments</w:t>
      </w:r>
      <w:r w:rsidR="00CA6AE6">
        <w:t xml:space="preserve"> to facilitate these developments</w:t>
      </w:r>
      <w:r w:rsidR="003020C6">
        <w:t>.</w:t>
      </w:r>
    </w:p>
    <w:p w:rsidR="001E1A75" w:rsidRDefault="00DF6F24" w:rsidP="00DF6F24">
      <w:pPr>
        <w:pStyle w:val="Heading2"/>
        <w:rPr>
          <w:sz w:val="22"/>
          <w:szCs w:val="22"/>
        </w:rPr>
      </w:pPr>
      <w:r w:rsidRPr="00DF6F24">
        <w:rPr>
          <w:sz w:val="22"/>
          <w:szCs w:val="22"/>
        </w:rPr>
        <w:t>FACTORS DRIVING THE GROWTH OF THE SMALLHOLDER TEA SUB</w:t>
      </w:r>
      <w:r w:rsidRPr="00DF6F24">
        <w:rPr>
          <w:sz w:val="22"/>
          <w:szCs w:val="22"/>
        </w:rPr>
        <w:noBreakHyphen/>
        <w:t>SECTOR</w:t>
      </w:r>
    </w:p>
    <w:p w:rsidR="00B53104" w:rsidRDefault="00B53104" w:rsidP="00B53104">
      <w:pPr>
        <w:pStyle w:val="BoxNewPara"/>
        <w:ind w:left="0" w:firstLine="0"/>
      </w:pPr>
      <w:r w:rsidRPr="00F81AF7">
        <w:t xml:space="preserve">The </w:t>
      </w:r>
      <w:r>
        <w:t xml:space="preserve">Group </w:t>
      </w:r>
      <w:r w:rsidRPr="005A1242">
        <w:t>examine</w:t>
      </w:r>
      <w:r>
        <w:t>d</w:t>
      </w:r>
      <w:r w:rsidRPr="005A1242">
        <w:t xml:space="preserve"> the possible strategies to </w:t>
      </w:r>
      <w:r>
        <w:t xml:space="preserve">address </w:t>
      </w:r>
      <w:r w:rsidRPr="005A1242">
        <w:t>socio-economic adaptation policies</w:t>
      </w:r>
      <w:r w:rsidR="003020C6">
        <w:t xml:space="preserve"> with the assistance of CCP</w:t>
      </w:r>
      <w:proofErr w:type="gramStart"/>
      <w:r w:rsidR="003020C6">
        <w:t>:TE</w:t>
      </w:r>
      <w:proofErr w:type="gramEnd"/>
      <w:r w:rsidR="003020C6">
        <w:t xml:space="preserve"> 16/4</w:t>
      </w:r>
      <w:r>
        <w:t>.</w:t>
      </w:r>
      <w:r w:rsidR="00C95A97">
        <w:t xml:space="preserve"> The Group noted that despite taking the biggest risk in the value chain through production and market uncertainties, adverse weather, climate change, weeds and disease infestations, farmer earnings accruing to the tea smallholders were clearly not sustainable. In</w:t>
      </w:r>
      <w:r w:rsidR="006C5C87">
        <w:t xml:space="preserve"> </w:t>
      </w:r>
      <w:r w:rsidR="006C5C87">
        <w:lastRenderedPageBreak/>
        <w:t>some cases</w:t>
      </w:r>
      <w:r w:rsidR="00C95A97">
        <w:t>, tea smallholders actually earned incomes that were below national and international poverty line indicators. Therefore, if their concerns were not properly addressed, then rural poverty, unemployment and food insecurity would increase and urban drift would accelerate.</w:t>
      </w:r>
    </w:p>
    <w:p w:rsidR="00850A22" w:rsidRDefault="00197DEB" w:rsidP="00B53104">
      <w:pPr>
        <w:pStyle w:val="BoxNewPara"/>
        <w:ind w:left="0" w:firstLine="0"/>
      </w:pPr>
      <w:r>
        <w:t>The Group expressed concern at this tragedy and suggested that structural changes needed to be made so that smallholders were closer to consumer</w:t>
      </w:r>
      <w:r w:rsidR="001513FD">
        <w:t>s</w:t>
      </w:r>
      <w:r>
        <w:t xml:space="preserve"> and the value chain shortened. Unless supply and demand could be more in balance at sustainable levels, then smallholders would continue to be disadvantaged.</w:t>
      </w:r>
      <w:r w:rsidR="00850A22">
        <w:t xml:space="preserve"> </w:t>
      </w:r>
    </w:p>
    <w:p w:rsidR="00197DEB" w:rsidRDefault="00850A22" w:rsidP="00B53104">
      <w:pPr>
        <w:pStyle w:val="BoxNewPara"/>
        <w:ind w:left="0" w:firstLine="0"/>
      </w:pPr>
      <w:r>
        <w:t xml:space="preserve">Delegates suggested that a study be done to more accurately identify peaks and troughs in the price cycle so that “adding up” problems in production could be minimized. </w:t>
      </w:r>
      <w:r w:rsidR="006B3316">
        <w:t>P</w:t>
      </w:r>
      <w:r w:rsidR="00101D1E">
        <w:t>rice projections of other commodities should</w:t>
      </w:r>
      <w:r w:rsidR="00377753">
        <w:t xml:space="preserve"> </w:t>
      </w:r>
      <w:r w:rsidR="006B3316">
        <w:t xml:space="preserve">also </w:t>
      </w:r>
      <w:r w:rsidR="00377753">
        <w:t>be</w:t>
      </w:r>
      <w:r w:rsidR="00101D1E">
        <w:t xml:space="preserve"> incorporated into </w:t>
      </w:r>
      <w:r w:rsidR="00270B91">
        <w:t xml:space="preserve">the medium term outlook in order that </w:t>
      </w:r>
      <w:r w:rsidR="00377753">
        <w:t xml:space="preserve">changes in </w:t>
      </w:r>
      <w:r w:rsidR="00270B91">
        <w:t>input costs could be appropriately</w:t>
      </w:r>
      <w:r w:rsidR="00377753">
        <w:t xml:space="preserve"> reflected</w:t>
      </w:r>
      <w:r w:rsidR="00270B91">
        <w:t>.</w:t>
      </w:r>
      <w:r w:rsidR="0052631F">
        <w:t xml:space="preserve"> </w:t>
      </w:r>
      <w:r w:rsidR="006B3316">
        <w:t>In addition, a socio-economic study assessing the welfare and livelihoods of tea smallholders with a view to achieve sustainability should be carried out by the Secretariat.</w:t>
      </w:r>
    </w:p>
    <w:p w:rsidR="00B53104" w:rsidRDefault="0052631F" w:rsidP="00B53104">
      <w:pPr>
        <w:pStyle w:val="BoxNewPara"/>
        <w:ind w:left="0" w:firstLine="0"/>
      </w:pPr>
      <w:r>
        <w:t xml:space="preserve">Delegates suggested that land use policies </w:t>
      </w:r>
      <w:r w:rsidR="00174558">
        <w:t xml:space="preserve">in tea-producing countries </w:t>
      </w:r>
      <w:r>
        <w:t xml:space="preserve">should be reviewed to ensure appropriate </w:t>
      </w:r>
      <w:r w:rsidR="006C5C87">
        <w:t xml:space="preserve">economic </w:t>
      </w:r>
      <w:r>
        <w:t xml:space="preserve">scales of production of smallholders </w:t>
      </w:r>
      <w:r w:rsidR="006C5C87">
        <w:t xml:space="preserve">were </w:t>
      </w:r>
      <w:r>
        <w:t xml:space="preserve">adequate to sustain their livelihoods. Smallholders </w:t>
      </w:r>
      <w:r w:rsidR="006C5C87">
        <w:t xml:space="preserve">also </w:t>
      </w:r>
      <w:r>
        <w:t xml:space="preserve">needed to be empowered also to value-add. </w:t>
      </w:r>
      <w:r w:rsidR="00C42756">
        <w:t xml:space="preserve">Consuming countries should also consider forming partnerships with smallholders to ensure continued supplies of tea as delegates felt that big companies might find it difficult to continue to operate effectively </w:t>
      </w:r>
      <w:r w:rsidR="00174558">
        <w:t>if supply dynamics changed</w:t>
      </w:r>
      <w:r w:rsidR="00C42756">
        <w:t xml:space="preserve">. </w:t>
      </w:r>
    </w:p>
    <w:p w:rsidR="00B53104" w:rsidRPr="005A1242" w:rsidRDefault="00B53104" w:rsidP="00B53104">
      <w:pPr>
        <w:pStyle w:val="Heading1"/>
        <w:ind w:left="0" w:firstLine="0"/>
      </w:pPr>
      <w:r>
        <w:t>INTERGOVERNMENTAL ACTION</w:t>
      </w:r>
    </w:p>
    <w:p w:rsidR="00B53104" w:rsidRDefault="00B53104" w:rsidP="00134E36">
      <w:pPr>
        <w:pStyle w:val="Heading2"/>
      </w:pPr>
      <w:r w:rsidRPr="009C7287">
        <w:rPr>
          <w:sz w:val="22"/>
          <w:szCs w:val="22"/>
        </w:rPr>
        <w:t>WORKING GRO</w:t>
      </w:r>
      <w:r w:rsidR="009C7287">
        <w:rPr>
          <w:sz w:val="22"/>
          <w:szCs w:val="22"/>
        </w:rPr>
        <w:t>UPS ON MAXIMUM RESIDUE LEVELS</w:t>
      </w:r>
    </w:p>
    <w:p w:rsidR="00E40F06" w:rsidRPr="00E40F06" w:rsidRDefault="00B53104" w:rsidP="00E40F06">
      <w:pPr>
        <w:pStyle w:val="BoxNewPara"/>
        <w:ind w:left="0" w:firstLine="0"/>
        <w:rPr>
          <w:szCs w:val="22"/>
        </w:rPr>
      </w:pPr>
      <w:r w:rsidRPr="00517EA2">
        <w:rPr>
          <w:szCs w:val="22"/>
        </w:rPr>
        <w:t>The Group examined this agenda item with the assistance of a presentation delivered by the Chairpersons of the Working G</w:t>
      </w:r>
      <w:r w:rsidR="009C7287" w:rsidRPr="00517EA2">
        <w:rPr>
          <w:szCs w:val="22"/>
        </w:rPr>
        <w:t>roup</w:t>
      </w:r>
      <w:r w:rsidR="00C0477A" w:rsidRPr="00517EA2">
        <w:rPr>
          <w:szCs w:val="22"/>
        </w:rPr>
        <w:t xml:space="preserve"> </w:t>
      </w:r>
      <w:r w:rsidR="009C7287" w:rsidRPr="00517EA2">
        <w:rPr>
          <w:szCs w:val="22"/>
        </w:rPr>
        <w:t>(WG) on MRLs</w:t>
      </w:r>
      <w:r w:rsidR="0052631F" w:rsidRPr="00517EA2">
        <w:rPr>
          <w:szCs w:val="22"/>
        </w:rPr>
        <w:t>.</w:t>
      </w:r>
      <w:r w:rsidR="009C7287" w:rsidRPr="00517EA2">
        <w:rPr>
          <w:szCs w:val="22"/>
        </w:rPr>
        <w:t xml:space="preserve"> The Group was informed that the WG </w:t>
      </w:r>
      <w:r w:rsidR="006C5C87">
        <w:rPr>
          <w:szCs w:val="22"/>
        </w:rPr>
        <w:t xml:space="preserve">reviewed </w:t>
      </w:r>
      <w:r w:rsidR="009C7287" w:rsidRPr="00517EA2">
        <w:rPr>
          <w:szCs w:val="22"/>
        </w:rPr>
        <w:t>progress made on the activities defined in the work plan</w:t>
      </w:r>
      <w:r w:rsidR="00517EA2">
        <w:rPr>
          <w:szCs w:val="22"/>
        </w:rPr>
        <w:t xml:space="preserve"> of the WG</w:t>
      </w:r>
      <w:r w:rsidR="009C7287" w:rsidRPr="00517EA2">
        <w:rPr>
          <w:szCs w:val="22"/>
        </w:rPr>
        <w:t>. In particular</w:t>
      </w:r>
      <w:r w:rsidR="00517EA2">
        <w:rPr>
          <w:szCs w:val="22"/>
        </w:rPr>
        <w:t>,</w:t>
      </w:r>
      <w:r w:rsidR="009C7287" w:rsidRPr="00517EA2">
        <w:rPr>
          <w:szCs w:val="22"/>
        </w:rPr>
        <w:t xml:space="preserve"> the Group agreed to:</w:t>
      </w:r>
    </w:p>
    <w:p w:rsidR="009C7287" w:rsidRPr="00517EA2" w:rsidRDefault="009C7287" w:rsidP="009C7287">
      <w:pPr>
        <w:pStyle w:val="ListParagraph"/>
        <w:numPr>
          <w:ilvl w:val="0"/>
          <w:numId w:val="41"/>
        </w:numPr>
        <w:spacing w:after="0" w:line="276" w:lineRule="auto"/>
        <w:rPr>
          <w:szCs w:val="22"/>
        </w:rPr>
      </w:pPr>
      <w:r w:rsidRPr="00517EA2">
        <w:rPr>
          <w:szCs w:val="22"/>
        </w:rPr>
        <w:t>Consider creating an international tea NGO to represent the trade at CODEX;</w:t>
      </w:r>
    </w:p>
    <w:p w:rsidR="009C7287" w:rsidRPr="00517EA2" w:rsidRDefault="009C7287" w:rsidP="009C7287">
      <w:pPr>
        <w:pStyle w:val="ListParagraph"/>
        <w:numPr>
          <w:ilvl w:val="0"/>
          <w:numId w:val="41"/>
        </w:numPr>
        <w:spacing w:after="0" w:line="276" w:lineRule="auto"/>
        <w:rPr>
          <w:szCs w:val="22"/>
        </w:rPr>
      </w:pPr>
      <w:r w:rsidRPr="00517EA2">
        <w:rPr>
          <w:szCs w:val="22"/>
        </w:rPr>
        <w:t xml:space="preserve">Share existing research on the contaminants nicotine and </w:t>
      </w:r>
      <w:proofErr w:type="spellStart"/>
      <w:r w:rsidRPr="00517EA2">
        <w:rPr>
          <w:szCs w:val="22"/>
        </w:rPr>
        <w:t>anthraquinone</w:t>
      </w:r>
      <w:proofErr w:type="spellEnd"/>
      <w:r w:rsidRPr="00517EA2">
        <w:rPr>
          <w:szCs w:val="22"/>
        </w:rPr>
        <w:t>; and</w:t>
      </w:r>
    </w:p>
    <w:p w:rsidR="009C7287" w:rsidRPr="008E3661" w:rsidRDefault="009C7287" w:rsidP="009C7287">
      <w:pPr>
        <w:pStyle w:val="ListParagraph"/>
        <w:numPr>
          <w:ilvl w:val="0"/>
          <w:numId w:val="41"/>
        </w:numPr>
        <w:spacing w:after="0" w:line="276" w:lineRule="auto"/>
        <w:rPr>
          <w:szCs w:val="22"/>
        </w:rPr>
      </w:pPr>
      <w:r w:rsidRPr="008E3661">
        <w:rPr>
          <w:szCs w:val="22"/>
        </w:rPr>
        <w:t>Post information and progress against the work plan on the WG Forum.</w:t>
      </w:r>
    </w:p>
    <w:p w:rsidR="009C7287" w:rsidRPr="00517EA2" w:rsidRDefault="009C7287" w:rsidP="009C7287">
      <w:pPr>
        <w:pStyle w:val="BoxNewPara"/>
        <w:ind w:left="0" w:firstLine="0"/>
        <w:rPr>
          <w:szCs w:val="22"/>
        </w:rPr>
      </w:pPr>
      <w:r w:rsidRPr="00517EA2">
        <w:rPr>
          <w:szCs w:val="22"/>
        </w:rPr>
        <w:t>In adopting the report of the WG, the Group agreed to continue the activities outlined in the work plan. The WG on MRLs in Tea Brew has completed its work programme.</w:t>
      </w:r>
    </w:p>
    <w:p w:rsidR="00B2022F" w:rsidRPr="00B2022F" w:rsidRDefault="00B53104" w:rsidP="00B2022F">
      <w:pPr>
        <w:pStyle w:val="Heading2"/>
        <w:rPr>
          <w:sz w:val="22"/>
          <w:szCs w:val="22"/>
        </w:rPr>
      </w:pPr>
      <w:r w:rsidRPr="00B53104">
        <w:rPr>
          <w:sz w:val="22"/>
          <w:szCs w:val="22"/>
        </w:rPr>
        <w:t>WORKING GROUP ON TEA TRADE AND QUALITY</w:t>
      </w:r>
    </w:p>
    <w:p w:rsidR="007A2D67" w:rsidRPr="00B2022F" w:rsidRDefault="00B2022F" w:rsidP="00F97219">
      <w:pPr>
        <w:pStyle w:val="BoxNewPara"/>
        <w:ind w:left="0" w:firstLine="0"/>
        <w:rPr>
          <w:rFonts w:cs="Times New Roman"/>
          <w:b/>
          <w:szCs w:val="22"/>
        </w:rPr>
      </w:pPr>
      <w:r>
        <w:t xml:space="preserve">The Group examined this agenda item with the assistance of a </w:t>
      </w:r>
      <w:r w:rsidR="00B53104" w:rsidRPr="00202349">
        <w:t xml:space="preserve">presentation </w:t>
      </w:r>
      <w:r>
        <w:t xml:space="preserve">delivered by the </w:t>
      </w:r>
      <w:r w:rsidR="00B53104">
        <w:t>C</w:t>
      </w:r>
      <w:r w:rsidR="00B53104" w:rsidRPr="00202349">
        <w:t>hairperson of the WG</w:t>
      </w:r>
      <w:r>
        <w:t>. The Group adopted its report including the following work plan:</w:t>
      </w:r>
      <w:r w:rsidRPr="00B2022F">
        <w:rPr>
          <w:szCs w:val="22"/>
        </w:rPr>
        <w:t xml:space="preserve"> </w:t>
      </w:r>
    </w:p>
    <w:p w:rsidR="007A2D67" w:rsidRDefault="007A2D67" w:rsidP="00B2022F">
      <w:pPr>
        <w:pStyle w:val="BoxBulletList"/>
        <w:rPr>
          <w:rFonts w:cs="Times New Roman"/>
          <w:szCs w:val="22"/>
        </w:rPr>
      </w:pPr>
      <w:r w:rsidRPr="00B2022F">
        <w:rPr>
          <w:rFonts w:cs="Times New Roman"/>
          <w:szCs w:val="22"/>
        </w:rPr>
        <w:t>Introduction of a self-regulating code of conduct to continue compliance of IS</w:t>
      </w:r>
      <w:r w:rsidR="00B2022F">
        <w:rPr>
          <w:rFonts w:cs="Times New Roman"/>
          <w:szCs w:val="22"/>
        </w:rPr>
        <w:t>O 3720 minimum quality standard.</w:t>
      </w:r>
      <w:r w:rsidR="00B2022F" w:rsidRPr="00F5147B">
        <w:rPr>
          <w:rFonts w:cs="Times New Roman"/>
          <w:szCs w:val="22"/>
        </w:rPr>
        <w:t xml:space="preserve"> </w:t>
      </w:r>
      <w:r w:rsidR="00B2022F">
        <w:rPr>
          <w:rFonts w:cs="Times New Roman"/>
          <w:szCs w:val="22"/>
        </w:rPr>
        <w:t>Non-</w:t>
      </w:r>
      <w:r w:rsidR="009112E8">
        <w:rPr>
          <w:rFonts w:cs="Times New Roman"/>
          <w:szCs w:val="22"/>
        </w:rPr>
        <w:t>compl</w:t>
      </w:r>
      <w:r w:rsidRPr="00F5147B">
        <w:rPr>
          <w:rFonts w:cs="Times New Roman"/>
          <w:szCs w:val="22"/>
        </w:rPr>
        <w:t>i</w:t>
      </w:r>
      <w:r w:rsidR="009112E8">
        <w:rPr>
          <w:rFonts w:cs="Times New Roman"/>
          <w:szCs w:val="22"/>
        </w:rPr>
        <w:t>a</w:t>
      </w:r>
      <w:r w:rsidRPr="00F5147B">
        <w:rPr>
          <w:rFonts w:cs="Times New Roman"/>
          <w:szCs w:val="22"/>
        </w:rPr>
        <w:t>nt member</w:t>
      </w:r>
      <w:r w:rsidR="009112E8">
        <w:rPr>
          <w:rFonts w:cs="Times New Roman"/>
          <w:szCs w:val="22"/>
        </w:rPr>
        <w:t>s would</w:t>
      </w:r>
      <w:r w:rsidRPr="00F5147B">
        <w:rPr>
          <w:rFonts w:cs="Times New Roman"/>
          <w:szCs w:val="22"/>
        </w:rPr>
        <w:t xml:space="preserve"> share data on their standards with other member</w:t>
      </w:r>
      <w:r w:rsidR="009112E8">
        <w:rPr>
          <w:rFonts w:cs="Times New Roman"/>
          <w:szCs w:val="22"/>
        </w:rPr>
        <w:t>s and the ISO T</w:t>
      </w:r>
      <w:r w:rsidRPr="00F5147B">
        <w:rPr>
          <w:rFonts w:cs="Times New Roman"/>
          <w:szCs w:val="22"/>
        </w:rPr>
        <w:t xml:space="preserve">echnical </w:t>
      </w:r>
      <w:r w:rsidR="009112E8">
        <w:rPr>
          <w:rFonts w:cs="Times New Roman"/>
          <w:szCs w:val="22"/>
        </w:rPr>
        <w:t>C</w:t>
      </w:r>
      <w:r w:rsidRPr="00F5147B">
        <w:rPr>
          <w:rFonts w:cs="Times New Roman"/>
          <w:szCs w:val="22"/>
        </w:rPr>
        <w:t>ommittee</w:t>
      </w:r>
      <w:r w:rsidR="009112E8">
        <w:rPr>
          <w:rFonts w:cs="Times New Roman"/>
          <w:szCs w:val="22"/>
        </w:rPr>
        <w:t>.</w:t>
      </w:r>
      <w:r w:rsidRPr="00F5147B">
        <w:rPr>
          <w:rFonts w:cs="Times New Roman"/>
          <w:szCs w:val="22"/>
        </w:rPr>
        <w:t xml:space="preserve"> </w:t>
      </w:r>
    </w:p>
    <w:p w:rsidR="006C5C87" w:rsidRDefault="007A2D67" w:rsidP="006C5C87">
      <w:pPr>
        <w:pStyle w:val="BoxBulletList"/>
        <w:rPr>
          <w:rFonts w:cs="Times New Roman"/>
          <w:szCs w:val="22"/>
        </w:rPr>
      </w:pPr>
      <w:r w:rsidRPr="009112E8">
        <w:rPr>
          <w:rFonts w:cs="Times New Roman"/>
          <w:szCs w:val="22"/>
        </w:rPr>
        <w:t xml:space="preserve">Collation of existing literature on additional quality benefits </w:t>
      </w:r>
      <w:r w:rsidR="009112E8">
        <w:rPr>
          <w:rFonts w:cs="Times New Roman"/>
          <w:szCs w:val="22"/>
        </w:rPr>
        <w:t xml:space="preserve">of </w:t>
      </w:r>
      <w:r w:rsidRPr="009112E8">
        <w:rPr>
          <w:rFonts w:cs="Times New Roman"/>
          <w:szCs w:val="22"/>
        </w:rPr>
        <w:t>ISO 3720.</w:t>
      </w:r>
      <w:r w:rsidR="009112E8" w:rsidRPr="009112E8">
        <w:rPr>
          <w:rFonts w:cs="Times New Roman"/>
          <w:szCs w:val="22"/>
        </w:rPr>
        <w:t xml:space="preserve"> </w:t>
      </w:r>
      <w:r w:rsidR="009112E8">
        <w:rPr>
          <w:rFonts w:cs="Times New Roman"/>
          <w:szCs w:val="22"/>
        </w:rPr>
        <w:t>Literature</w:t>
      </w:r>
      <w:r w:rsidRPr="009112E8">
        <w:rPr>
          <w:rFonts w:cs="Times New Roman"/>
          <w:szCs w:val="22"/>
        </w:rPr>
        <w:t xml:space="preserve"> </w:t>
      </w:r>
      <w:r w:rsidR="009112E8">
        <w:rPr>
          <w:rFonts w:cs="Times New Roman"/>
          <w:szCs w:val="22"/>
        </w:rPr>
        <w:t xml:space="preserve">had </w:t>
      </w:r>
      <w:r w:rsidRPr="009112E8">
        <w:rPr>
          <w:rFonts w:cs="Times New Roman"/>
          <w:szCs w:val="22"/>
        </w:rPr>
        <w:t>been received from India and Sri Lanka</w:t>
      </w:r>
      <w:r w:rsidR="006C5C87">
        <w:rPr>
          <w:rFonts w:cs="Times New Roman"/>
          <w:szCs w:val="22"/>
        </w:rPr>
        <w:t xml:space="preserve">, and </w:t>
      </w:r>
      <w:r w:rsidRPr="009112E8">
        <w:rPr>
          <w:rFonts w:cs="Times New Roman"/>
          <w:szCs w:val="22"/>
        </w:rPr>
        <w:t xml:space="preserve">Kenya </w:t>
      </w:r>
      <w:r w:rsidR="009112E8">
        <w:rPr>
          <w:rFonts w:cs="Times New Roman"/>
          <w:szCs w:val="22"/>
        </w:rPr>
        <w:t xml:space="preserve">and </w:t>
      </w:r>
      <w:r w:rsidRPr="009112E8">
        <w:rPr>
          <w:rFonts w:cs="Times New Roman"/>
          <w:szCs w:val="22"/>
        </w:rPr>
        <w:t xml:space="preserve">Malawi agreed to provide </w:t>
      </w:r>
      <w:r w:rsidR="009112E8">
        <w:rPr>
          <w:rFonts w:cs="Times New Roman"/>
          <w:szCs w:val="22"/>
        </w:rPr>
        <w:t xml:space="preserve">relevant </w:t>
      </w:r>
      <w:r w:rsidRPr="009112E8">
        <w:rPr>
          <w:rFonts w:cs="Times New Roman"/>
          <w:szCs w:val="22"/>
        </w:rPr>
        <w:t>literature</w:t>
      </w:r>
      <w:r w:rsidR="006C5C87">
        <w:rPr>
          <w:rFonts w:cs="Times New Roman"/>
          <w:szCs w:val="22"/>
        </w:rPr>
        <w:t>.</w:t>
      </w:r>
    </w:p>
    <w:p w:rsidR="006C5C87" w:rsidRDefault="009112E8" w:rsidP="006C5C87">
      <w:pPr>
        <w:pStyle w:val="BoxBulletList"/>
        <w:rPr>
          <w:rFonts w:cs="Times New Roman"/>
          <w:szCs w:val="22"/>
        </w:rPr>
      </w:pPr>
      <w:r w:rsidRPr="006C5C87">
        <w:rPr>
          <w:rFonts w:cs="Times New Roman"/>
          <w:szCs w:val="22"/>
        </w:rPr>
        <w:t xml:space="preserve">A </w:t>
      </w:r>
      <w:r w:rsidR="007A2D67" w:rsidRPr="006C5C87">
        <w:rPr>
          <w:rFonts w:cs="Times New Roman"/>
          <w:szCs w:val="22"/>
        </w:rPr>
        <w:t xml:space="preserve">road-map </w:t>
      </w:r>
      <w:r w:rsidRPr="006C5C87">
        <w:rPr>
          <w:rFonts w:cs="Times New Roman"/>
          <w:szCs w:val="22"/>
        </w:rPr>
        <w:t xml:space="preserve">for further </w:t>
      </w:r>
      <w:r w:rsidR="007A2D67" w:rsidRPr="006C5C87">
        <w:rPr>
          <w:rFonts w:cs="Times New Roman"/>
          <w:szCs w:val="22"/>
        </w:rPr>
        <w:t>research on ISO 3720 compliant vis-a-vis non-compliant teas on the</w:t>
      </w:r>
      <w:r w:rsidR="006C5C87">
        <w:rPr>
          <w:rFonts w:cs="Times New Roman"/>
          <w:szCs w:val="22"/>
        </w:rPr>
        <w:t>ir</w:t>
      </w:r>
      <w:r w:rsidR="007A2D67" w:rsidRPr="006C5C87">
        <w:rPr>
          <w:rFonts w:cs="Times New Roman"/>
          <w:szCs w:val="22"/>
        </w:rPr>
        <w:t xml:space="preserve"> connectivity to quality and food safety parameters</w:t>
      </w:r>
      <w:r w:rsidRPr="006C5C87">
        <w:rPr>
          <w:rFonts w:cs="Times New Roman"/>
          <w:szCs w:val="22"/>
        </w:rPr>
        <w:t xml:space="preserve">, particularly those related to </w:t>
      </w:r>
      <w:r w:rsidR="006C5C87">
        <w:rPr>
          <w:rFonts w:cs="Times New Roman"/>
          <w:szCs w:val="22"/>
        </w:rPr>
        <w:t xml:space="preserve">the </w:t>
      </w:r>
      <w:r w:rsidR="007A2D67" w:rsidRPr="006C5C87">
        <w:rPr>
          <w:rFonts w:cs="Times New Roman"/>
          <w:szCs w:val="22"/>
        </w:rPr>
        <w:t xml:space="preserve">health </w:t>
      </w:r>
      <w:r w:rsidRPr="006C5C87">
        <w:rPr>
          <w:rFonts w:cs="Times New Roman"/>
          <w:szCs w:val="22"/>
        </w:rPr>
        <w:t>benefits of tea consumption which could be used</w:t>
      </w:r>
      <w:r w:rsidR="006C5C87">
        <w:rPr>
          <w:rFonts w:cs="Times New Roman"/>
          <w:szCs w:val="22"/>
        </w:rPr>
        <w:t xml:space="preserve"> in promoting consumption</w:t>
      </w:r>
      <w:r w:rsidR="007A2D67" w:rsidRPr="006C5C87">
        <w:rPr>
          <w:rFonts w:cs="Times New Roman"/>
          <w:szCs w:val="22"/>
        </w:rPr>
        <w:t>.</w:t>
      </w:r>
    </w:p>
    <w:p w:rsidR="006C5C87" w:rsidRDefault="009112E8" w:rsidP="006C5C87">
      <w:pPr>
        <w:pStyle w:val="BoxBulletList"/>
        <w:rPr>
          <w:rFonts w:cs="Times New Roman"/>
          <w:szCs w:val="22"/>
        </w:rPr>
      </w:pPr>
      <w:r w:rsidRPr="006C5C87">
        <w:rPr>
          <w:rFonts w:cs="Times New Roman"/>
          <w:szCs w:val="22"/>
        </w:rPr>
        <w:t>C</w:t>
      </w:r>
      <w:r w:rsidR="007A2D67" w:rsidRPr="006C5C87">
        <w:rPr>
          <w:rFonts w:cs="Times New Roman"/>
          <w:szCs w:val="22"/>
        </w:rPr>
        <w:t>loser synerg</w:t>
      </w:r>
      <w:r w:rsidRPr="006C5C87">
        <w:rPr>
          <w:rFonts w:cs="Times New Roman"/>
          <w:szCs w:val="22"/>
        </w:rPr>
        <w:t>ies</w:t>
      </w:r>
      <w:r w:rsidR="007A2D67" w:rsidRPr="006C5C87">
        <w:rPr>
          <w:rFonts w:cs="Times New Roman"/>
          <w:szCs w:val="22"/>
        </w:rPr>
        <w:t xml:space="preserve"> between the W</w:t>
      </w:r>
      <w:r w:rsidRPr="006C5C87">
        <w:rPr>
          <w:rFonts w:cs="Times New Roman"/>
          <w:szCs w:val="22"/>
        </w:rPr>
        <w:t>G</w:t>
      </w:r>
      <w:r w:rsidR="007A2D67" w:rsidRPr="006C5C87">
        <w:rPr>
          <w:rFonts w:cs="Times New Roman"/>
          <w:szCs w:val="22"/>
        </w:rPr>
        <w:t xml:space="preserve"> and ISO </w:t>
      </w:r>
      <w:r w:rsidRPr="006C5C87">
        <w:rPr>
          <w:rFonts w:cs="Times New Roman"/>
          <w:szCs w:val="22"/>
        </w:rPr>
        <w:t xml:space="preserve">in collating information and data. The </w:t>
      </w:r>
      <w:r w:rsidR="007A2D67" w:rsidRPr="006C5C87">
        <w:rPr>
          <w:rFonts w:cs="Times New Roman"/>
          <w:szCs w:val="22"/>
        </w:rPr>
        <w:t>Chair</w:t>
      </w:r>
      <w:r w:rsidRPr="006C5C87">
        <w:rPr>
          <w:rFonts w:cs="Times New Roman"/>
          <w:szCs w:val="22"/>
        </w:rPr>
        <w:t>person of the ISO Tea Sub-c</w:t>
      </w:r>
      <w:r w:rsidR="007A2D67" w:rsidRPr="006C5C87">
        <w:rPr>
          <w:rFonts w:cs="Times New Roman"/>
          <w:szCs w:val="22"/>
        </w:rPr>
        <w:t>ommittee agreed to share information and co</w:t>
      </w:r>
      <w:r w:rsidRPr="006C5C87">
        <w:rPr>
          <w:rFonts w:cs="Times New Roman"/>
          <w:szCs w:val="22"/>
        </w:rPr>
        <w:t>llaborate with member countries.</w:t>
      </w:r>
    </w:p>
    <w:p w:rsidR="007A2D67" w:rsidRPr="006C5C87" w:rsidRDefault="009112E8" w:rsidP="006C5C87">
      <w:pPr>
        <w:pStyle w:val="BoxBulletList"/>
        <w:rPr>
          <w:rFonts w:cs="Times New Roman"/>
          <w:szCs w:val="22"/>
        </w:rPr>
      </w:pPr>
      <w:r w:rsidRPr="006C5C87">
        <w:rPr>
          <w:rFonts w:cs="Times New Roman"/>
          <w:szCs w:val="22"/>
        </w:rPr>
        <w:t>A</w:t>
      </w:r>
      <w:r w:rsidR="007A2D67" w:rsidRPr="006C5C87">
        <w:rPr>
          <w:rFonts w:cs="Times New Roman"/>
          <w:szCs w:val="22"/>
        </w:rPr>
        <w:t>rrange a workshop</w:t>
      </w:r>
      <w:r w:rsidR="00313DCE" w:rsidRPr="006C5C87">
        <w:rPr>
          <w:rFonts w:cs="Times New Roman"/>
          <w:szCs w:val="22"/>
        </w:rPr>
        <w:t xml:space="preserve"> for </w:t>
      </w:r>
      <w:r w:rsidR="007A2D67" w:rsidRPr="006C5C87">
        <w:rPr>
          <w:rFonts w:cs="Times New Roman"/>
          <w:szCs w:val="22"/>
        </w:rPr>
        <w:t>ISO 3720 compliant and non-compliant member</w:t>
      </w:r>
      <w:r w:rsidR="00313DCE" w:rsidRPr="006C5C87">
        <w:rPr>
          <w:rFonts w:cs="Times New Roman"/>
          <w:szCs w:val="22"/>
        </w:rPr>
        <w:t>s</w:t>
      </w:r>
      <w:r w:rsidR="007A2D67" w:rsidRPr="006C5C87">
        <w:rPr>
          <w:rFonts w:cs="Times New Roman"/>
          <w:szCs w:val="22"/>
        </w:rPr>
        <w:t>.</w:t>
      </w:r>
    </w:p>
    <w:p w:rsidR="00494DBA" w:rsidRDefault="007A2D67" w:rsidP="00494DBA">
      <w:pPr>
        <w:pStyle w:val="ListParagraph"/>
        <w:numPr>
          <w:ilvl w:val="0"/>
          <w:numId w:val="43"/>
        </w:numPr>
        <w:spacing w:line="276" w:lineRule="auto"/>
        <w:rPr>
          <w:rFonts w:cs="Times New Roman"/>
          <w:szCs w:val="22"/>
        </w:rPr>
      </w:pPr>
      <w:r w:rsidRPr="00313DCE">
        <w:rPr>
          <w:rFonts w:cs="Times New Roman"/>
          <w:szCs w:val="22"/>
        </w:rPr>
        <w:lastRenderedPageBreak/>
        <w:t xml:space="preserve">Initiate a pragmatic program to </w:t>
      </w:r>
      <w:r w:rsidR="00313DCE">
        <w:rPr>
          <w:rFonts w:cs="Times New Roman"/>
          <w:szCs w:val="22"/>
        </w:rPr>
        <w:t>influence</w:t>
      </w:r>
      <w:r w:rsidRPr="00313DCE">
        <w:rPr>
          <w:rFonts w:cs="Times New Roman"/>
          <w:szCs w:val="22"/>
        </w:rPr>
        <w:t xml:space="preserve"> </w:t>
      </w:r>
      <w:r w:rsidR="00313DCE">
        <w:rPr>
          <w:rFonts w:cs="Times New Roman"/>
          <w:szCs w:val="22"/>
        </w:rPr>
        <w:t xml:space="preserve">governments, tea traders and </w:t>
      </w:r>
      <w:r w:rsidRPr="00313DCE">
        <w:rPr>
          <w:rFonts w:cs="Times New Roman"/>
          <w:szCs w:val="22"/>
        </w:rPr>
        <w:t xml:space="preserve">consumer </w:t>
      </w:r>
      <w:r w:rsidR="00313DCE">
        <w:rPr>
          <w:rFonts w:cs="Times New Roman"/>
          <w:szCs w:val="22"/>
        </w:rPr>
        <w:t xml:space="preserve">in importing </w:t>
      </w:r>
      <w:r w:rsidRPr="00313DCE">
        <w:rPr>
          <w:rFonts w:cs="Times New Roman"/>
          <w:szCs w:val="22"/>
        </w:rPr>
        <w:t xml:space="preserve">countries to </w:t>
      </w:r>
      <w:r w:rsidR="006C5C87">
        <w:rPr>
          <w:rFonts w:cs="Times New Roman"/>
          <w:szCs w:val="22"/>
        </w:rPr>
        <w:t xml:space="preserve">only </w:t>
      </w:r>
      <w:r w:rsidR="00313DCE">
        <w:rPr>
          <w:rFonts w:cs="Times New Roman"/>
          <w:szCs w:val="22"/>
        </w:rPr>
        <w:t>accept</w:t>
      </w:r>
      <w:r w:rsidRPr="00313DCE">
        <w:rPr>
          <w:rFonts w:cs="Times New Roman"/>
          <w:szCs w:val="22"/>
        </w:rPr>
        <w:t xml:space="preserve"> tea </w:t>
      </w:r>
      <w:r w:rsidR="00313DCE">
        <w:rPr>
          <w:rFonts w:cs="Times New Roman"/>
          <w:szCs w:val="22"/>
        </w:rPr>
        <w:t xml:space="preserve">which complied </w:t>
      </w:r>
      <w:r w:rsidRPr="00313DCE">
        <w:rPr>
          <w:rFonts w:cs="Times New Roman"/>
          <w:szCs w:val="22"/>
        </w:rPr>
        <w:t>with ISO 3720. </w:t>
      </w:r>
    </w:p>
    <w:p w:rsidR="00494DBA" w:rsidRDefault="00494DBA" w:rsidP="00494DBA">
      <w:pPr>
        <w:pStyle w:val="ListParagraph"/>
        <w:numPr>
          <w:ilvl w:val="0"/>
          <w:numId w:val="43"/>
        </w:numPr>
        <w:spacing w:line="276" w:lineRule="auto"/>
        <w:rPr>
          <w:rFonts w:cs="Times New Roman"/>
          <w:szCs w:val="22"/>
        </w:rPr>
      </w:pPr>
      <w:r>
        <w:rPr>
          <w:rFonts w:cs="Times New Roman"/>
          <w:szCs w:val="22"/>
        </w:rPr>
        <w:t>Identify</w:t>
      </w:r>
      <w:r w:rsidR="007A2D67" w:rsidRPr="00494DBA">
        <w:rPr>
          <w:rFonts w:cs="Times New Roman"/>
          <w:szCs w:val="22"/>
        </w:rPr>
        <w:t xml:space="preserve"> donor</w:t>
      </w:r>
      <w:r>
        <w:rPr>
          <w:rFonts w:cs="Times New Roman"/>
          <w:szCs w:val="22"/>
        </w:rPr>
        <w:t>s</w:t>
      </w:r>
      <w:r w:rsidR="007A2D67" w:rsidRPr="00494DBA">
        <w:rPr>
          <w:rFonts w:cs="Times New Roman"/>
          <w:szCs w:val="22"/>
        </w:rPr>
        <w:t xml:space="preserve"> </w:t>
      </w:r>
      <w:r w:rsidR="006C5C87">
        <w:rPr>
          <w:rFonts w:cs="Times New Roman"/>
          <w:szCs w:val="22"/>
        </w:rPr>
        <w:t xml:space="preserve">to fund </w:t>
      </w:r>
      <w:r w:rsidR="007A2D67" w:rsidRPr="00494DBA">
        <w:rPr>
          <w:rFonts w:cs="Times New Roman"/>
          <w:szCs w:val="22"/>
        </w:rPr>
        <w:t xml:space="preserve">technical assistance </w:t>
      </w:r>
      <w:r>
        <w:rPr>
          <w:rFonts w:cs="Times New Roman"/>
          <w:szCs w:val="22"/>
        </w:rPr>
        <w:t xml:space="preserve">to </w:t>
      </w:r>
      <w:r w:rsidR="007A2D67" w:rsidRPr="00494DBA">
        <w:rPr>
          <w:rFonts w:cs="Times New Roman"/>
          <w:szCs w:val="22"/>
        </w:rPr>
        <w:t>countries requiring support in the implementation of ISO 3720.</w:t>
      </w:r>
    </w:p>
    <w:p w:rsidR="004454BB" w:rsidRDefault="00494DBA" w:rsidP="004454BB">
      <w:pPr>
        <w:pStyle w:val="ListParagraph"/>
        <w:numPr>
          <w:ilvl w:val="0"/>
          <w:numId w:val="43"/>
        </w:numPr>
        <w:spacing w:line="276" w:lineRule="auto"/>
        <w:rPr>
          <w:rFonts w:cs="Times New Roman"/>
          <w:szCs w:val="22"/>
        </w:rPr>
      </w:pPr>
      <w:r>
        <w:rPr>
          <w:rFonts w:cs="Times New Roman"/>
          <w:szCs w:val="22"/>
        </w:rPr>
        <w:t xml:space="preserve">Given the significant growth in the production and demand for green tea globally, the WG recognized the need to establish a minimum quality standard and proposed </w:t>
      </w:r>
      <w:r w:rsidR="007A2D67" w:rsidRPr="00494DBA">
        <w:rPr>
          <w:rFonts w:cs="Times New Roman"/>
          <w:szCs w:val="22"/>
        </w:rPr>
        <w:t>the introduction of a self-regulating code of conduct conforming to ISO 11287</w:t>
      </w:r>
      <w:r>
        <w:rPr>
          <w:rFonts w:cs="Times New Roman"/>
          <w:szCs w:val="22"/>
        </w:rPr>
        <w:t>. The</w:t>
      </w:r>
      <w:r w:rsidRPr="00F5147B">
        <w:rPr>
          <w:rFonts w:cs="Times New Roman"/>
          <w:szCs w:val="22"/>
        </w:rPr>
        <w:t xml:space="preserve"> </w:t>
      </w:r>
      <w:r w:rsidR="007A2D67" w:rsidRPr="00F5147B">
        <w:rPr>
          <w:rFonts w:cs="Times New Roman"/>
          <w:szCs w:val="22"/>
        </w:rPr>
        <w:t>ISO Technical Committee confirm</w:t>
      </w:r>
      <w:r>
        <w:rPr>
          <w:rFonts w:cs="Times New Roman"/>
          <w:szCs w:val="22"/>
        </w:rPr>
        <w:t>ed</w:t>
      </w:r>
      <w:r w:rsidR="006C5C87">
        <w:rPr>
          <w:rFonts w:cs="Times New Roman"/>
          <w:szCs w:val="22"/>
        </w:rPr>
        <w:t xml:space="preserve"> that </w:t>
      </w:r>
      <w:r>
        <w:rPr>
          <w:rFonts w:cs="Times New Roman"/>
          <w:szCs w:val="22"/>
        </w:rPr>
        <w:t>s</w:t>
      </w:r>
      <w:r w:rsidR="007A2D67" w:rsidRPr="00F5147B">
        <w:rPr>
          <w:rFonts w:cs="Times New Roman"/>
          <w:szCs w:val="22"/>
        </w:rPr>
        <w:t xml:space="preserve">tandards </w:t>
      </w:r>
      <w:r>
        <w:rPr>
          <w:rFonts w:cs="Times New Roman"/>
          <w:szCs w:val="22"/>
        </w:rPr>
        <w:t xml:space="preserve">had already been </w:t>
      </w:r>
      <w:r w:rsidR="007A2D67" w:rsidRPr="00F5147B">
        <w:rPr>
          <w:rFonts w:cs="Times New Roman"/>
          <w:szCs w:val="22"/>
        </w:rPr>
        <w:t xml:space="preserve">published and </w:t>
      </w:r>
      <w:r w:rsidR="00BB57C9">
        <w:rPr>
          <w:rFonts w:cs="Times New Roman"/>
          <w:szCs w:val="22"/>
        </w:rPr>
        <w:t xml:space="preserve">was </w:t>
      </w:r>
      <w:r w:rsidR="007A2D67" w:rsidRPr="00F5147B">
        <w:rPr>
          <w:rFonts w:cs="Times New Roman"/>
          <w:szCs w:val="22"/>
        </w:rPr>
        <w:t xml:space="preserve">working on improving the analytical methodology. </w:t>
      </w:r>
    </w:p>
    <w:p w:rsidR="00C116E5" w:rsidRDefault="007A2D67" w:rsidP="00C116E5">
      <w:pPr>
        <w:pStyle w:val="ListParagraph"/>
        <w:numPr>
          <w:ilvl w:val="0"/>
          <w:numId w:val="43"/>
        </w:numPr>
        <w:spacing w:line="276" w:lineRule="auto"/>
        <w:rPr>
          <w:rFonts w:cs="Times New Roman"/>
          <w:szCs w:val="22"/>
        </w:rPr>
      </w:pPr>
      <w:r w:rsidRPr="004454BB">
        <w:rPr>
          <w:rFonts w:cs="Times New Roman"/>
          <w:szCs w:val="22"/>
        </w:rPr>
        <w:t xml:space="preserve">The </w:t>
      </w:r>
      <w:r w:rsidR="004454BB">
        <w:rPr>
          <w:rFonts w:cs="Times New Roman"/>
          <w:szCs w:val="22"/>
        </w:rPr>
        <w:t xml:space="preserve">WG recognized </w:t>
      </w:r>
      <w:r w:rsidRPr="004454BB">
        <w:rPr>
          <w:rFonts w:cs="Times New Roman"/>
          <w:szCs w:val="22"/>
        </w:rPr>
        <w:t xml:space="preserve">the need for a global sustainability standard </w:t>
      </w:r>
      <w:r w:rsidR="004454BB">
        <w:rPr>
          <w:rFonts w:cs="Times New Roman"/>
          <w:szCs w:val="22"/>
        </w:rPr>
        <w:t>and emphasized</w:t>
      </w:r>
      <w:r w:rsidRPr="00F5147B">
        <w:rPr>
          <w:rFonts w:cs="Times New Roman"/>
          <w:szCs w:val="22"/>
        </w:rPr>
        <w:t xml:space="preserve"> </w:t>
      </w:r>
      <w:r w:rsidR="006C5C87">
        <w:rPr>
          <w:rFonts w:cs="Times New Roman"/>
          <w:szCs w:val="22"/>
        </w:rPr>
        <w:t xml:space="preserve">that </w:t>
      </w:r>
      <w:r w:rsidRPr="00F5147B">
        <w:rPr>
          <w:rFonts w:cs="Times New Roman"/>
          <w:szCs w:val="22"/>
        </w:rPr>
        <w:t xml:space="preserve">the implementation of ISO 3720 </w:t>
      </w:r>
      <w:r w:rsidR="00C116E5">
        <w:rPr>
          <w:rFonts w:cs="Times New Roman"/>
          <w:szCs w:val="22"/>
        </w:rPr>
        <w:t xml:space="preserve">could later </w:t>
      </w:r>
      <w:r w:rsidRPr="00F5147B">
        <w:rPr>
          <w:rFonts w:cs="Times New Roman"/>
          <w:szCs w:val="22"/>
        </w:rPr>
        <w:t xml:space="preserve">include other parameters </w:t>
      </w:r>
      <w:r w:rsidR="00C116E5">
        <w:rPr>
          <w:rFonts w:cs="Times New Roman"/>
          <w:szCs w:val="22"/>
        </w:rPr>
        <w:t xml:space="preserve">on </w:t>
      </w:r>
      <w:r w:rsidRPr="00F5147B">
        <w:rPr>
          <w:rFonts w:cs="Times New Roman"/>
          <w:szCs w:val="22"/>
        </w:rPr>
        <w:t>food safety in</w:t>
      </w:r>
      <w:r w:rsidR="006C5C87">
        <w:rPr>
          <w:rFonts w:cs="Times New Roman"/>
          <w:szCs w:val="22"/>
        </w:rPr>
        <w:t xml:space="preserve"> consultation with consuming </w:t>
      </w:r>
      <w:r w:rsidRPr="00F5147B">
        <w:rPr>
          <w:rFonts w:cs="Times New Roman"/>
          <w:szCs w:val="22"/>
        </w:rPr>
        <w:t xml:space="preserve">countries. </w:t>
      </w:r>
    </w:p>
    <w:p w:rsidR="00C116E5" w:rsidRDefault="00C116E5" w:rsidP="00C116E5">
      <w:pPr>
        <w:pStyle w:val="ListParagraph"/>
        <w:numPr>
          <w:ilvl w:val="0"/>
          <w:numId w:val="43"/>
        </w:numPr>
        <w:spacing w:line="276" w:lineRule="auto"/>
        <w:rPr>
          <w:rFonts w:cs="Times New Roman"/>
          <w:szCs w:val="22"/>
        </w:rPr>
      </w:pPr>
      <w:r>
        <w:rPr>
          <w:rFonts w:cs="Times New Roman"/>
          <w:szCs w:val="22"/>
        </w:rPr>
        <w:t>In suggesting the addition of a p</w:t>
      </w:r>
      <w:r w:rsidR="007A2D67" w:rsidRPr="00C116E5">
        <w:rPr>
          <w:rFonts w:cs="Times New Roman"/>
          <w:szCs w:val="22"/>
        </w:rPr>
        <w:t>romotion</w:t>
      </w:r>
      <w:r>
        <w:rPr>
          <w:rFonts w:cs="Times New Roman"/>
          <w:szCs w:val="22"/>
        </w:rPr>
        <w:t>al</w:t>
      </w:r>
      <w:r w:rsidR="007A2D67" w:rsidRPr="00C116E5">
        <w:rPr>
          <w:rFonts w:cs="Times New Roman"/>
          <w:szCs w:val="22"/>
        </w:rPr>
        <w:t xml:space="preserve"> element</w:t>
      </w:r>
      <w:r>
        <w:rPr>
          <w:rFonts w:cs="Times New Roman"/>
          <w:szCs w:val="22"/>
        </w:rPr>
        <w:t>,</w:t>
      </w:r>
      <w:r w:rsidR="007A2D67" w:rsidRPr="00C116E5">
        <w:rPr>
          <w:rFonts w:cs="Times New Roman"/>
          <w:szCs w:val="22"/>
        </w:rPr>
        <w:t xml:space="preserve"> </w:t>
      </w:r>
      <w:r>
        <w:rPr>
          <w:rFonts w:cs="Times New Roman"/>
          <w:szCs w:val="22"/>
        </w:rPr>
        <w:t>m</w:t>
      </w:r>
      <w:r w:rsidR="007A2D67" w:rsidRPr="00F5147B">
        <w:rPr>
          <w:rFonts w:cs="Times New Roman"/>
          <w:szCs w:val="22"/>
        </w:rPr>
        <w:t>ember</w:t>
      </w:r>
      <w:r>
        <w:rPr>
          <w:rFonts w:cs="Times New Roman"/>
          <w:szCs w:val="22"/>
        </w:rPr>
        <w:t>s</w:t>
      </w:r>
      <w:r w:rsidR="007A2D67" w:rsidRPr="00F5147B">
        <w:rPr>
          <w:rFonts w:cs="Times New Roman"/>
          <w:szCs w:val="22"/>
        </w:rPr>
        <w:t xml:space="preserve"> agreed to focus on </w:t>
      </w:r>
      <w:r>
        <w:rPr>
          <w:rFonts w:cs="Times New Roman"/>
          <w:szCs w:val="22"/>
        </w:rPr>
        <w:t xml:space="preserve">the </w:t>
      </w:r>
      <w:r w:rsidR="007A2D67" w:rsidRPr="00F5147B">
        <w:rPr>
          <w:rFonts w:cs="Times New Roman"/>
          <w:szCs w:val="22"/>
        </w:rPr>
        <w:t xml:space="preserve">health </w:t>
      </w:r>
      <w:r>
        <w:rPr>
          <w:rFonts w:cs="Times New Roman"/>
          <w:szCs w:val="22"/>
        </w:rPr>
        <w:t xml:space="preserve">benefits of tea consumption </w:t>
      </w:r>
      <w:r w:rsidR="007A2D67" w:rsidRPr="00F5147B">
        <w:rPr>
          <w:rFonts w:cs="Times New Roman"/>
          <w:szCs w:val="22"/>
        </w:rPr>
        <w:t>and conduct regular promotional activities</w:t>
      </w:r>
      <w:r>
        <w:rPr>
          <w:rFonts w:cs="Times New Roman"/>
          <w:szCs w:val="22"/>
        </w:rPr>
        <w:t>.</w:t>
      </w:r>
    </w:p>
    <w:p w:rsidR="007A2D67" w:rsidRPr="002459CD" w:rsidRDefault="00C116E5" w:rsidP="002459CD">
      <w:pPr>
        <w:pStyle w:val="ListParagraph"/>
        <w:numPr>
          <w:ilvl w:val="0"/>
          <w:numId w:val="43"/>
        </w:numPr>
        <w:spacing w:line="276" w:lineRule="auto"/>
        <w:rPr>
          <w:rFonts w:cs="Times New Roman"/>
          <w:szCs w:val="22"/>
        </w:rPr>
      </w:pPr>
      <w:r>
        <w:rPr>
          <w:rFonts w:cs="Times New Roman"/>
          <w:szCs w:val="22"/>
        </w:rPr>
        <w:t xml:space="preserve">Agreed to have </w:t>
      </w:r>
      <w:r w:rsidR="007A2D67" w:rsidRPr="00C116E5">
        <w:rPr>
          <w:rFonts w:cs="Times New Roman"/>
          <w:szCs w:val="22"/>
        </w:rPr>
        <w:t>an International Tea Day</w:t>
      </w:r>
      <w:r>
        <w:rPr>
          <w:rFonts w:cs="Times New Roman"/>
          <w:szCs w:val="22"/>
        </w:rPr>
        <w:t xml:space="preserve"> as recommended at the inters</w:t>
      </w:r>
      <w:r w:rsidR="00174558">
        <w:rPr>
          <w:rFonts w:cs="Times New Roman"/>
          <w:szCs w:val="22"/>
        </w:rPr>
        <w:t>essional meeting in October 2015</w:t>
      </w:r>
      <w:r w:rsidR="007A2D67" w:rsidRPr="00C116E5">
        <w:rPr>
          <w:rFonts w:cs="Times New Roman"/>
          <w:szCs w:val="22"/>
        </w:rPr>
        <w:t xml:space="preserve">. India </w:t>
      </w:r>
      <w:r>
        <w:rPr>
          <w:rFonts w:cs="Times New Roman"/>
          <w:szCs w:val="22"/>
        </w:rPr>
        <w:t xml:space="preserve">had already </w:t>
      </w:r>
      <w:r w:rsidR="007A2D67" w:rsidRPr="00C116E5">
        <w:rPr>
          <w:rFonts w:cs="Times New Roman"/>
          <w:szCs w:val="22"/>
        </w:rPr>
        <w:t xml:space="preserve">submitted the proposal to </w:t>
      </w:r>
      <w:r>
        <w:rPr>
          <w:rFonts w:cs="Times New Roman"/>
          <w:szCs w:val="22"/>
        </w:rPr>
        <w:t xml:space="preserve">its </w:t>
      </w:r>
      <w:r w:rsidR="007A2D67" w:rsidRPr="00C116E5">
        <w:rPr>
          <w:rFonts w:cs="Times New Roman"/>
          <w:szCs w:val="22"/>
        </w:rPr>
        <w:t xml:space="preserve">Ministry of Commerce </w:t>
      </w:r>
      <w:r>
        <w:rPr>
          <w:rFonts w:cs="Times New Roman"/>
          <w:szCs w:val="22"/>
        </w:rPr>
        <w:t xml:space="preserve">and </w:t>
      </w:r>
      <w:r w:rsidR="007A2D67" w:rsidRPr="00C116E5">
        <w:rPr>
          <w:rFonts w:cs="Times New Roman"/>
          <w:szCs w:val="22"/>
        </w:rPr>
        <w:t>Industry</w:t>
      </w:r>
      <w:r>
        <w:rPr>
          <w:rFonts w:cs="Times New Roman"/>
          <w:szCs w:val="22"/>
        </w:rPr>
        <w:t xml:space="preserve"> which would be</w:t>
      </w:r>
      <w:r w:rsidR="006C5C87">
        <w:rPr>
          <w:rFonts w:cs="Times New Roman"/>
          <w:szCs w:val="22"/>
        </w:rPr>
        <w:t xml:space="preserve"> formally</w:t>
      </w:r>
      <w:r>
        <w:rPr>
          <w:rFonts w:cs="Times New Roman"/>
          <w:szCs w:val="22"/>
        </w:rPr>
        <w:t xml:space="preserve"> submitted to </w:t>
      </w:r>
      <w:r w:rsidR="007A2D67" w:rsidRPr="00C116E5">
        <w:rPr>
          <w:rFonts w:cs="Times New Roman"/>
          <w:szCs w:val="22"/>
        </w:rPr>
        <w:t xml:space="preserve">the FAO Council. </w:t>
      </w:r>
    </w:p>
    <w:p w:rsidR="00B53104" w:rsidRDefault="00B53104" w:rsidP="00B53104">
      <w:pPr>
        <w:pStyle w:val="Heading2"/>
        <w:rPr>
          <w:sz w:val="22"/>
          <w:szCs w:val="22"/>
        </w:rPr>
      </w:pPr>
      <w:r w:rsidRPr="00B53104">
        <w:rPr>
          <w:sz w:val="22"/>
          <w:szCs w:val="22"/>
        </w:rPr>
        <w:t>WORKING GROUP ON ORGANIC TEA</w:t>
      </w:r>
    </w:p>
    <w:p w:rsidR="00B53104" w:rsidRPr="006C5C87" w:rsidRDefault="00B53104" w:rsidP="006C5C87">
      <w:pPr>
        <w:pStyle w:val="BoxNewPara"/>
        <w:ind w:left="0" w:firstLine="0"/>
        <w:rPr>
          <w:szCs w:val="22"/>
        </w:rPr>
      </w:pPr>
      <w:r w:rsidRPr="006C5C87">
        <w:t>The Group examined this item following a presentation that was delivered by the Chairperson</w:t>
      </w:r>
      <w:r w:rsidRPr="005A1242">
        <w:t xml:space="preserve"> of this WG.</w:t>
      </w:r>
      <w:r w:rsidR="00517EA2">
        <w:t xml:space="preserve"> In noting the achievements of the WG on Organic Tea, the Group endorsed the report of the WG with its future work plan which included:</w:t>
      </w:r>
    </w:p>
    <w:p w:rsidR="00517EA2" w:rsidRDefault="00517EA2" w:rsidP="00517EA2">
      <w:pPr>
        <w:pStyle w:val="BoxBulletList"/>
      </w:pPr>
      <w:r>
        <w:t>Organic tea standards and certification to be mutually accepted by producing and importing countries;</w:t>
      </w:r>
    </w:p>
    <w:p w:rsidR="00517EA2" w:rsidRDefault="00517EA2" w:rsidP="00517EA2">
      <w:pPr>
        <w:pStyle w:val="BoxBulletList"/>
      </w:pPr>
      <w:r>
        <w:t>Joint research and development and information-sharing among organic tea producing countries;</w:t>
      </w:r>
    </w:p>
    <w:p w:rsidR="00517EA2" w:rsidRDefault="00517EA2" w:rsidP="00517EA2">
      <w:pPr>
        <w:pStyle w:val="BoxBulletList"/>
      </w:pPr>
      <w:r>
        <w:t>Market promotion, internationally;</w:t>
      </w:r>
    </w:p>
    <w:p w:rsidR="00517EA2" w:rsidRDefault="00517EA2" w:rsidP="00517EA2">
      <w:pPr>
        <w:pStyle w:val="BoxBulletList"/>
      </w:pPr>
      <w:r>
        <w:t>Establish national bodies in producing countries which could get international accreditation, such as NPOP (India), SLSI (Sri Lanka), CNCA (China);</w:t>
      </w:r>
    </w:p>
    <w:p w:rsidR="00517EA2" w:rsidRDefault="00517EA2" w:rsidP="00517EA2">
      <w:pPr>
        <w:pStyle w:val="BoxBulletList"/>
      </w:pPr>
      <w:r>
        <w:t>Support green, low input tea farming systems and gradually promote them to organic status;</w:t>
      </w:r>
    </w:p>
    <w:p w:rsidR="00517EA2" w:rsidRDefault="00517EA2" w:rsidP="00517EA2">
      <w:pPr>
        <w:pStyle w:val="BoxBulletList"/>
      </w:pPr>
      <w:r>
        <w:t>Social welfare of producers and communities;</w:t>
      </w:r>
    </w:p>
    <w:p w:rsidR="00517EA2" w:rsidRDefault="00517EA2" w:rsidP="00517EA2">
      <w:pPr>
        <w:pStyle w:val="BoxBulletList"/>
      </w:pPr>
      <w:r>
        <w:t>Conduct socio-economic impact assessments of organic farming;</w:t>
      </w:r>
    </w:p>
    <w:p w:rsidR="00517EA2" w:rsidRDefault="00517EA2" w:rsidP="00517EA2">
      <w:pPr>
        <w:pStyle w:val="BoxBulletList"/>
      </w:pPr>
      <w:r>
        <w:t>Promote domestic production of organic</w:t>
      </w:r>
      <w:r w:rsidR="00EC2F43">
        <w:t xml:space="preserve"> tea;</w:t>
      </w:r>
    </w:p>
    <w:p w:rsidR="00EC2F43" w:rsidRDefault="00EC2F43" w:rsidP="00517EA2">
      <w:pPr>
        <w:pStyle w:val="BoxBulletList"/>
      </w:pPr>
      <w:r>
        <w:t>Organic farming would also help in mitigating the effects of climate change.</w:t>
      </w:r>
    </w:p>
    <w:p w:rsidR="00B53104" w:rsidRDefault="00B53104" w:rsidP="00317431">
      <w:pPr>
        <w:pStyle w:val="Heading2"/>
      </w:pPr>
      <w:r w:rsidRPr="007F2494">
        <w:rPr>
          <w:sz w:val="22"/>
          <w:szCs w:val="22"/>
        </w:rPr>
        <w:t>WORKING GROUP ON CLIMATE CHANGE</w:t>
      </w:r>
    </w:p>
    <w:p w:rsidR="006C5C87" w:rsidRPr="006C5C87" w:rsidRDefault="00B53104" w:rsidP="006C5C87">
      <w:pPr>
        <w:pStyle w:val="BoxNewPara"/>
        <w:ind w:left="0" w:firstLine="0"/>
        <w:rPr>
          <w:szCs w:val="22"/>
        </w:rPr>
      </w:pPr>
      <w:r>
        <w:t xml:space="preserve">The Group was updated on the decisions taken at the intersessional meeting in October 2015 by the Chairperson of the WG. A </w:t>
      </w:r>
      <w:r w:rsidRPr="005A1242">
        <w:t xml:space="preserve">publication entitled: </w:t>
      </w:r>
      <w:r>
        <w:t>"</w:t>
      </w:r>
      <w:r w:rsidRPr="005A1242">
        <w:t>Research Report of Adaptation to Climate Change</w:t>
      </w:r>
      <w:r>
        <w:t>"</w:t>
      </w:r>
      <w:r w:rsidRPr="005A1242">
        <w:t xml:space="preserve"> </w:t>
      </w:r>
      <w:r>
        <w:t>was launched</w:t>
      </w:r>
      <w:r w:rsidRPr="005A1242">
        <w:t>.</w:t>
      </w:r>
      <w:r w:rsidR="007D5F1A">
        <w:t xml:space="preserve"> </w:t>
      </w:r>
      <w:r w:rsidR="007D5F1A" w:rsidRPr="006C5C87">
        <w:rPr>
          <w:rFonts w:cs="Times New Roman"/>
          <w:szCs w:val="22"/>
        </w:rPr>
        <w:t xml:space="preserve">The report and book were presented to the Secretary of the IGG/Tea, Mr Kaison Chang and were </w:t>
      </w:r>
      <w:r w:rsidR="001B1D92" w:rsidRPr="006C5C87">
        <w:rPr>
          <w:rFonts w:cs="Times New Roman"/>
          <w:szCs w:val="22"/>
        </w:rPr>
        <w:t>adopted</w:t>
      </w:r>
      <w:r w:rsidR="007D5F1A" w:rsidRPr="006C5C87">
        <w:rPr>
          <w:rFonts w:cs="Times New Roman"/>
          <w:szCs w:val="22"/>
        </w:rPr>
        <w:t xml:space="preserve"> by the IGG/Tea</w:t>
      </w:r>
      <w:r w:rsidR="001B1D92" w:rsidRPr="006C5C87">
        <w:rPr>
          <w:rFonts w:cs="Times New Roman"/>
          <w:szCs w:val="22"/>
        </w:rPr>
        <w:t>.</w:t>
      </w:r>
    </w:p>
    <w:p w:rsidR="006C5C87" w:rsidRPr="006C5C87" w:rsidRDefault="007D5F1A" w:rsidP="006C5C87">
      <w:pPr>
        <w:pStyle w:val="BoxNewPara"/>
        <w:ind w:left="0" w:firstLine="0"/>
        <w:rPr>
          <w:szCs w:val="22"/>
        </w:rPr>
      </w:pPr>
      <w:r w:rsidRPr="006C5C87">
        <w:rPr>
          <w:rFonts w:cs="Times New Roman"/>
          <w:szCs w:val="22"/>
        </w:rPr>
        <w:t xml:space="preserve">The Group commended the </w:t>
      </w:r>
      <w:r w:rsidR="001B1D92" w:rsidRPr="006C5C87">
        <w:rPr>
          <w:rFonts w:cs="Times New Roman"/>
          <w:szCs w:val="22"/>
        </w:rPr>
        <w:t>effort</w:t>
      </w:r>
      <w:r w:rsidR="00685258" w:rsidRPr="006C5C87">
        <w:rPr>
          <w:rFonts w:cs="Times New Roman"/>
          <w:szCs w:val="22"/>
        </w:rPr>
        <w:t>s</w:t>
      </w:r>
      <w:r w:rsidR="001B1D92" w:rsidRPr="006C5C87">
        <w:rPr>
          <w:rFonts w:cs="Times New Roman"/>
          <w:szCs w:val="22"/>
        </w:rPr>
        <w:t xml:space="preserve"> </w:t>
      </w:r>
      <w:r w:rsidR="00685258" w:rsidRPr="006C5C87">
        <w:rPr>
          <w:rFonts w:cs="Times New Roman"/>
          <w:szCs w:val="22"/>
        </w:rPr>
        <w:t xml:space="preserve">of the </w:t>
      </w:r>
      <w:r w:rsidR="001B1D92" w:rsidRPr="006C5C87">
        <w:rPr>
          <w:rFonts w:cs="Times New Roman"/>
          <w:szCs w:val="22"/>
        </w:rPr>
        <w:t xml:space="preserve">WG in </w:t>
      </w:r>
      <w:r w:rsidR="00685258" w:rsidRPr="006C5C87">
        <w:rPr>
          <w:rFonts w:cs="Times New Roman"/>
          <w:szCs w:val="22"/>
        </w:rPr>
        <w:t xml:space="preserve">publishing </w:t>
      </w:r>
      <w:r w:rsidR="001B1D92" w:rsidRPr="006C5C87">
        <w:rPr>
          <w:rFonts w:cs="Times New Roman"/>
          <w:szCs w:val="22"/>
        </w:rPr>
        <w:t xml:space="preserve">the book and encouraged </w:t>
      </w:r>
      <w:r w:rsidR="00685258" w:rsidRPr="006C5C87">
        <w:rPr>
          <w:rFonts w:cs="Times New Roman"/>
          <w:szCs w:val="22"/>
        </w:rPr>
        <w:t xml:space="preserve">the other WGs </w:t>
      </w:r>
      <w:r w:rsidR="001B1D92" w:rsidRPr="006C5C87">
        <w:rPr>
          <w:rFonts w:cs="Times New Roman"/>
          <w:szCs w:val="22"/>
        </w:rPr>
        <w:t>to document their outputs in a similar manner. Copies of the book w</w:t>
      </w:r>
      <w:r w:rsidRPr="006C5C87">
        <w:rPr>
          <w:rFonts w:cs="Times New Roman"/>
          <w:szCs w:val="22"/>
        </w:rPr>
        <w:t xml:space="preserve">ere </w:t>
      </w:r>
      <w:r w:rsidR="001B1D92" w:rsidRPr="006C5C87">
        <w:rPr>
          <w:rFonts w:cs="Times New Roman"/>
          <w:szCs w:val="22"/>
        </w:rPr>
        <w:t>distributed to delegates.</w:t>
      </w:r>
    </w:p>
    <w:p w:rsidR="001B1D92" w:rsidRPr="006C5C87" w:rsidRDefault="001B1D92" w:rsidP="006C5C87">
      <w:pPr>
        <w:pStyle w:val="BoxNewPara"/>
        <w:ind w:left="0" w:firstLine="0"/>
        <w:rPr>
          <w:szCs w:val="22"/>
        </w:rPr>
      </w:pPr>
      <w:r w:rsidRPr="006C5C87">
        <w:rPr>
          <w:rFonts w:cs="Times New Roman"/>
          <w:szCs w:val="22"/>
        </w:rPr>
        <w:t>The WG further decided to work on vulnerability/suitability at micro scale for ease of implementation of adaptation strategies in different countries. The trend</w:t>
      </w:r>
      <w:r w:rsidR="00685258" w:rsidRPr="006C5C87">
        <w:rPr>
          <w:rFonts w:cs="Times New Roman"/>
          <w:szCs w:val="22"/>
        </w:rPr>
        <w:t xml:space="preserve"> analysis would </w:t>
      </w:r>
      <w:r w:rsidRPr="006C5C87">
        <w:rPr>
          <w:rFonts w:cs="Times New Roman"/>
          <w:szCs w:val="22"/>
        </w:rPr>
        <w:t>be further strengthened using different statistical models in order to determine the significance of climate trends</w:t>
      </w:r>
      <w:r w:rsidR="003C2E63" w:rsidRPr="006C5C87">
        <w:rPr>
          <w:rFonts w:cs="Times New Roman"/>
          <w:szCs w:val="22"/>
        </w:rPr>
        <w:t xml:space="preserve"> and comparing them</w:t>
      </w:r>
      <w:r w:rsidRPr="006C5C87">
        <w:rPr>
          <w:rFonts w:cs="Times New Roman"/>
          <w:szCs w:val="22"/>
        </w:rPr>
        <w:t xml:space="preserve"> with </w:t>
      </w:r>
      <w:r w:rsidR="003C2E63" w:rsidRPr="006C5C87">
        <w:rPr>
          <w:rFonts w:cs="Times New Roman"/>
          <w:szCs w:val="22"/>
        </w:rPr>
        <w:t>the baseline</w:t>
      </w:r>
      <w:r w:rsidRPr="006C5C87">
        <w:rPr>
          <w:rFonts w:cs="Times New Roman"/>
          <w:szCs w:val="22"/>
        </w:rPr>
        <w:t>.</w:t>
      </w:r>
    </w:p>
    <w:p w:rsidR="00B53104" w:rsidRDefault="00B53104" w:rsidP="00AF0802">
      <w:pPr>
        <w:pStyle w:val="Heading2"/>
      </w:pPr>
      <w:r w:rsidRPr="00CE02C5">
        <w:rPr>
          <w:sz w:val="22"/>
          <w:szCs w:val="22"/>
        </w:rPr>
        <w:lastRenderedPageBreak/>
        <w:t>WORKING GROUP ON SMALLHOLDERS</w:t>
      </w:r>
    </w:p>
    <w:p w:rsidR="006C5C87" w:rsidRPr="006C5C87" w:rsidRDefault="0065419D" w:rsidP="006C5C87">
      <w:pPr>
        <w:pStyle w:val="BoxNewPara"/>
        <w:ind w:left="0" w:firstLine="0"/>
        <w:rPr>
          <w:szCs w:val="22"/>
        </w:rPr>
      </w:pPr>
      <w:r>
        <w:t xml:space="preserve">The Group examined this agenda item with the assistance of a </w:t>
      </w:r>
      <w:r w:rsidRPr="00202349">
        <w:t xml:space="preserve">presentation </w:t>
      </w:r>
      <w:r>
        <w:t>delivered by the C</w:t>
      </w:r>
      <w:r w:rsidRPr="00202349">
        <w:t>hairperson of the WG</w:t>
      </w:r>
      <w:r w:rsidRPr="006C5C87">
        <w:rPr>
          <w:lang w:val="en-IN"/>
        </w:rPr>
        <w:t xml:space="preserve">. </w:t>
      </w:r>
      <w:r w:rsidR="006C7233" w:rsidRPr="006C5C87">
        <w:rPr>
          <w:lang w:val="en-IN"/>
        </w:rPr>
        <w:t xml:space="preserve">The </w:t>
      </w:r>
      <w:r w:rsidR="006E1DAF" w:rsidRPr="006C5C87">
        <w:rPr>
          <w:lang w:val="en-IN"/>
        </w:rPr>
        <w:t xml:space="preserve">WG discussed </w:t>
      </w:r>
      <w:r w:rsidR="006C7233" w:rsidRPr="006C5C87">
        <w:rPr>
          <w:lang w:val="en-IN"/>
        </w:rPr>
        <w:t xml:space="preserve">the structure of the </w:t>
      </w:r>
      <w:r w:rsidR="006E1DAF" w:rsidRPr="006C5C87">
        <w:rPr>
          <w:lang w:val="en-IN"/>
        </w:rPr>
        <w:t xml:space="preserve">Confederation of International Tea Smallholders (CITS) </w:t>
      </w:r>
      <w:r w:rsidR="006C7233" w:rsidRPr="006C5C87">
        <w:rPr>
          <w:lang w:val="en-IN"/>
        </w:rPr>
        <w:t>and its functions and responsibilities.</w:t>
      </w:r>
      <w:r w:rsidR="006E1DAF" w:rsidRPr="006C5C87">
        <w:rPr>
          <w:lang w:val="en-IN"/>
        </w:rPr>
        <w:t xml:space="preserve"> The WG </w:t>
      </w:r>
      <w:r w:rsidR="006C7233" w:rsidRPr="006C5C87">
        <w:rPr>
          <w:lang w:val="en-IN"/>
        </w:rPr>
        <w:t xml:space="preserve">also decided on </w:t>
      </w:r>
      <w:r w:rsidR="006E1DAF" w:rsidRPr="006C5C87">
        <w:rPr>
          <w:lang w:val="en-IN"/>
        </w:rPr>
        <w:t>the agenda and vision of the CITS</w:t>
      </w:r>
      <w:r w:rsidR="006C7233" w:rsidRPr="006C5C87">
        <w:rPr>
          <w:lang w:val="en-IN"/>
        </w:rPr>
        <w:t xml:space="preserve"> and </w:t>
      </w:r>
      <w:r w:rsidR="006E1DAF" w:rsidRPr="006C5C87">
        <w:rPr>
          <w:lang w:val="en-IN"/>
        </w:rPr>
        <w:t xml:space="preserve">agreed to the </w:t>
      </w:r>
      <w:r w:rsidR="006C7233" w:rsidRPr="006C5C87">
        <w:rPr>
          <w:lang w:val="en-IN"/>
        </w:rPr>
        <w:t>timeline.</w:t>
      </w:r>
      <w:r w:rsidR="006E1DAF" w:rsidRPr="006C5C87">
        <w:rPr>
          <w:lang w:val="en-IN"/>
        </w:rPr>
        <w:t xml:space="preserve"> The WG </w:t>
      </w:r>
      <w:r w:rsidR="006C7233" w:rsidRPr="006C5C87">
        <w:rPr>
          <w:lang w:val="en-IN"/>
        </w:rPr>
        <w:t xml:space="preserve">decided </w:t>
      </w:r>
      <w:r w:rsidR="006E1DAF" w:rsidRPr="006C5C87">
        <w:rPr>
          <w:lang w:val="en-IN"/>
        </w:rPr>
        <w:t xml:space="preserve">that each member would appoint a </w:t>
      </w:r>
      <w:r w:rsidR="006C7233" w:rsidRPr="006C5C87">
        <w:rPr>
          <w:lang w:val="en-IN"/>
        </w:rPr>
        <w:t xml:space="preserve">focal point to monitor the </w:t>
      </w:r>
      <w:r w:rsidR="006C7233" w:rsidRPr="006C5C87">
        <w:rPr>
          <w:i/>
          <w:lang w:val="en-IN"/>
        </w:rPr>
        <w:t>interim</w:t>
      </w:r>
      <w:r w:rsidR="006C7233" w:rsidRPr="006C5C87">
        <w:rPr>
          <w:lang w:val="en-IN"/>
        </w:rPr>
        <w:t xml:space="preserve"> activities</w:t>
      </w:r>
      <w:r w:rsidR="006E1DAF" w:rsidRPr="006C5C87">
        <w:rPr>
          <w:lang w:val="en-IN"/>
        </w:rPr>
        <w:t>.</w:t>
      </w:r>
      <w:r w:rsidR="006C7233" w:rsidRPr="006C5C87">
        <w:rPr>
          <w:lang w:val="en-IN"/>
        </w:rPr>
        <w:t xml:space="preserve"> </w:t>
      </w:r>
    </w:p>
    <w:p w:rsidR="006C5C87" w:rsidRPr="006C5C87" w:rsidRDefault="006C7233" w:rsidP="006C5C87">
      <w:pPr>
        <w:pStyle w:val="BoxNewPara"/>
        <w:ind w:left="0" w:firstLine="0"/>
        <w:rPr>
          <w:szCs w:val="22"/>
        </w:rPr>
      </w:pPr>
      <w:r w:rsidRPr="006C5C87">
        <w:rPr>
          <w:lang w:val="en-IN"/>
        </w:rPr>
        <w:t xml:space="preserve">The </w:t>
      </w:r>
      <w:r w:rsidR="006E1DAF" w:rsidRPr="006C5C87">
        <w:rPr>
          <w:lang w:val="en-IN"/>
        </w:rPr>
        <w:t>WG suggested that a p</w:t>
      </w:r>
      <w:r w:rsidRPr="006C5C87">
        <w:rPr>
          <w:lang w:val="en-IN"/>
        </w:rPr>
        <w:t>ilot study be conducted in each country</w:t>
      </w:r>
      <w:r w:rsidR="006E1DAF" w:rsidRPr="006C5C87">
        <w:rPr>
          <w:lang w:val="en-IN"/>
        </w:rPr>
        <w:t>,</w:t>
      </w:r>
      <w:r w:rsidRPr="006C5C87">
        <w:rPr>
          <w:lang w:val="en-IN"/>
        </w:rPr>
        <w:t xml:space="preserve"> </w:t>
      </w:r>
      <w:r w:rsidR="006E1DAF" w:rsidRPr="006C5C87">
        <w:rPr>
          <w:lang w:val="en-IN"/>
        </w:rPr>
        <w:t xml:space="preserve">aligned with </w:t>
      </w:r>
      <w:r w:rsidRPr="006C5C87">
        <w:rPr>
          <w:lang w:val="en-IN"/>
        </w:rPr>
        <w:t xml:space="preserve">the interest of the respective </w:t>
      </w:r>
      <w:r w:rsidR="006E1DAF" w:rsidRPr="006C5C87">
        <w:rPr>
          <w:lang w:val="en-IN"/>
        </w:rPr>
        <w:t>tea smallholders</w:t>
      </w:r>
      <w:r w:rsidRPr="006C5C87">
        <w:rPr>
          <w:lang w:val="en-IN"/>
        </w:rPr>
        <w:t xml:space="preserve">, </w:t>
      </w:r>
      <w:r w:rsidR="006E1DAF" w:rsidRPr="006C5C87">
        <w:rPr>
          <w:lang w:val="en-IN"/>
        </w:rPr>
        <w:t>focussing on possible m</w:t>
      </w:r>
      <w:r w:rsidRPr="006C5C87">
        <w:rPr>
          <w:lang w:val="en-IN"/>
        </w:rPr>
        <w:t xml:space="preserve">icro </w:t>
      </w:r>
      <w:r w:rsidR="006E1DAF" w:rsidRPr="006C5C87">
        <w:rPr>
          <w:lang w:val="en-IN"/>
        </w:rPr>
        <w:t>p</w:t>
      </w:r>
      <w:r w:rsidRPr="006C5C87">
        <w:rPr>
          <w:lang w:val="en-IN"/>
        </w:rPr>
        <w:t>rocessing factories in Assam.</w:t>
      </w:r>
    </w:p>
    <w:p w:rsidR="006C5C87" w:rsidRPr="006C5C87" w:rsidRDefault="006C7233" w:rsidP="006C5C87">
      <w:pPr>
        <w:pStyle w:val="BoxNewPara"/>
        <w:ind w:left="0" w:firstLine="0"/>
        <w:rPr>
          <w:szCs w:val="22"/>
        </w:rPr>
      </w:pPr>
      <w:r w:rsidRPr="006C5C87">
        <w:rPr>
          <w:lang w:val="en-IN"/>
        </w:rPr>
        <w:t xml:space="preserve">The </w:t>
      </w:r>
      <w:r w:rsidR="00B736BD" w:rsidRPr="006C5C87">
        <w:rPr>
          <w:lang w:val="en-IN"/>
        </w:rPr>
        <w:t>WG</w:t>
      </w:r>
      <w:r w:rsidRPr="006C5C87">
        <w:rPr>
          <w:lang w:val="en-IN"/>
        </w:rPr>
        <w:t xml:space="preserve"> also discussed the importance of </w:t>
      </w:r>
      <w:r w:rsidR="00B736BD" w:rsidRPr="006C5C87">
        <w:rPr>
          <w:lang w:val="en-IN"/>
        </w:rPr>
        <w:t xml:space="preserve">hiring </w:t>
      </w:r>
      <w:r w:rsidRPr="006C5C87">
        <w:rPr>
          <w:lang w:val="en-IN"/>
        </w:rPr>
        <w:t xml:space="preserve">an </w:t>
      </w:r>
      <w:r w:rsidR="00B736BD" w:rsidRPr="006C5C87">
        <w:rPr>
          <w:lang w:val="en-IN"/>
        </w:rPr>
        <w:t>i</w:t>
      </w:r>
      <w:r w:rsidRPr="006C5C87">
        <w:rPr>
          <w:lang w:val="en-IN"/>
        </w:rPr>
        <w:t xml:space="preserve">nternational </w:t>
      </w:r>
      <w:r w:rsidR="00B736BD" w:rsidRPr="006C5C87">
        <w:rPr>
          <w:lang w:val="en-IN"/>
        </w:rPr>
        <w:t>c</w:t>
      </w:r>
      <w:r w:rsidRPr="006C5C87">
        <w:rPr>
          <w:lang w:val="en-IN"/>
        </w:rPr>
        <w:t>onsultant and possible partnership</w:t>
      </w:r>
      <w:r w:rsidR="00B736BD" w:rsidRPr="006C5C87">
        <w:rPr>
          <w:lang w:val="en-IN"/>
        </w:rPr>
        <w:t>s</w:t>
      </w:r>
      <w:r w:rsidRPr="006C5C87">
        <w:rPr>
          <w:lang w:val="en-IN"/>
        </w:rPr>
        <w:t xml:space="preserve"> with international bodies like </w:t>
      </w:r>
      <w:r w:rsidR="00B736BD" w:rsidRPr="006C5C87">
        <w:rPr>
          <w:lang w:val="en-IN"/>
        </w:rPr>
        <w:t xml:space="preserve">the </w:t>
      </w:r>
      <w:r w:rsidRPr="006C5C87">
        <w:rPr>
          <w:lang w:val="en-IN"/>
        </w:rPr>
        <w:t xml:space="preserve">World Bank and </w:t>
      </w:r>
      <w:r w:rsidR="00B736BD" w:rsidRPr="006C5C87">
        <w:rPr>
          <w:lang w:val="en-IN"/>
        </w:rPr>
        <w:t xml:space="preserve">the </w:t>
      </w:r>
      <w:r w:rsidRPr="006C5C87">
        <w:rPr>
          <w:lang w:val="en-IN"/>
        </w:rPr>
        <w:t>ITC.</w:t>
      </w:r>
    </w:p>
    <w:p w:rsidR="00167F5A" w:rsidRPr="006C5C87" w:rsidRDefault="00167F5A" w:rsidP="006C5C87">
      <w:pPr>
        <w:pStyle w:val="BoxNewPara"/>
        <w:ind w:left="0" w:firstLine="0"/>
        <w:rPr>
          <w:szCs w:val="22"/>
        </w:rPr>
      </w:pPr>
      <w:r>
        <w:t>The Group appointed Canada as First Vice-Chairperson and Malawi as Second Vice-Chairperson.</w:t>
      </w:r>
    </w:p>
    <w:p w:rsidR="00B53104" w:rsidRDefault="00B53104" w:rsidP="00B53104">
      <w:pPr>
        <w:pStyle w:val="Heading2"/>
        <w:rPr>
          <w:sz w:val="22"/>
          <w:szCs w:val="22"/>
        </w:rPr>
      </w:pPr>
      <w:r w:rsidRPr="00B53104">
        <w:rPr>
          <w:sz w:val="22"/>
          <w:szCs w:val="22"/>
        </w:rPr>
        <w:t>TASK FORCE ON PROJECTIONS AND STATISTICS</w:t>
      </w:r>
    </w:p>
    <w:p w:rsidR="00CE02C5" w:rsidRDefault="00B53104" w:rsidP="00CE02C5">
      <w:pPr>
        <w:pStyle w:val="BoxNewPara"/>
        <w:ind w:left="0" w:firstLine="0"/>
      </w:pPr>
      <w:r w:rsidRPr="00736A6F">
        <w:t xml:space="preserve">The Group </w:t>
      </w:r>
      <w:r w:rsidRPr="005A1242">
        <w:t>examine</w:t>
      </w:r>
      <w:r>
        <w:t>d</w:t>
      </w:r>
      <w:r w:rsidRPr="005A1242">
        <w:t xml:space="preserve"> this agenda item with the assi</w:t>
      </w:r>
      <w:r>
        <w:t xml:space="preserve">stance of a presentation by the </w:t>
      </w:r>
      <w:r w:rsidRPr="005A1242">
        <w:t>Secretariat.</w:t>
      </w:r>
      <w:r w:rsidR="00BC0564">
        <w:t xml:space="preserve"> </w:t>
      </w:r>
      <w:r w:rsidR="00570B0E">
        <w:t>A review of the background and achievements were presented to the Group</w:t>
      </w:r>
      <w:r w:rsidR="00CE02C5">
        <w:t xml:space="preserve"> which </w:t>
      </w:r>
      <w:r w:rsidR="00570B0E">
        <w:t xml:space="preserve">noted that members </w:t>
      </w:r>
      <w:r w:rsidR="00CE02C5">
        <w:t xml:space="preserve">had </w:t>
      </w:r>
      <w:r w:rsidR="00570B0E">
        <w:t>provided focal point</w:t>
      </w:r>
      <w:r w:rsidR="00CE02C5">
        <w:t>s</w:t>
      </w:r>
      <w:r w:rsidR="00570B0E">
        <w:t xml:space="preserve"> to liaise with the Secretariat on matters related to statistics and projections. The Group invited members from producing and consuming countries which </w:t>
      </w:r>
      <w:r w:rsidR="00CE02C5">
        <w:t xml:space="preserve">had </w:t>
      </w:r>
      <w:r w:rsidR="00570B0E">
        <w:t>not yet submitted the</w:t>
      </w:r>
      <w:r w:rsidR="00CE02C5">
        <w:t>ir</w:t>
      </w:r>
      <w:r w:rsidR="00570B0E">
        <w:t xml:space="preserve"> focal point</w:t>
      </w:r>
      <w:r w:rsidR="00CE02C5">
        <w:t>s</w:t>
      </w:r>
      <w:r w:rsidR="00570B0E">
        <w:t xml:space="preserve"> to do so.</w:t>
      </w:r>
    </w:p>
    <w:p w:rsidR="00570B0E" w:rsidRPr="005A1242" w:rsidRDefault="00CE02C5" w:rsidP="00CE02C5">
      <w:pPr>
        <w:pStyle w:val="BoxNewPara"/>
        <w:ind w:left="0" w:firstLine="0"/>
      </w:pPr>
      <w:r>
        <w:t xml:space="preserve">In adopting the report of the Task Force, the Group also endorsed its future </w:t>
      </w:r>
      <w:r w:rsidR="00862150">
        <w:t xml:space="preserve">work plan </w:t>
      </w:r>
      <w:r>
        <w:t xml:space="preserve">which included the holding of </w:t>
      </w:r>
      <w:r w:rsidR="00570B0E">
        <w:t>a workshop at the intersessional and Intergovernmental meetings. In addition, member countries were encouraged to provide the Secretariat with information required to carry the analysis on the current situation and medium term outlook.</w:t>
      </w:r>
      <w:r w:rsidR="003E5E58">
        <w:t xml:space="preserve"> Members were also encouraged to express their interest in participating in </w:t>
      </w:r>
      <w:r w:rsidR="002E0C92">
        <w:t>the analytical studies prepared for future meetings.</w:t>
      </w:r>
    </w:p>
    <w:p w:rsidR="00B53104" w:rsidRPr="00CE02C5" w:rsidRDefault="00B53104" w:rsidP="00B53104">
      <w:pPr>
        <w:pStyle w:val="Heading2"/>
        <w:rPr>
          <w:sz w:val="22"/>
          <w:szCs w:val="22"/>
        </w:rPr>
      </w:pPr>
      <w:r w:rsidRPr="00B53104">
        <w:rPr>
          <w:sz w:val="22"/>
          <w:szCs w:val="22"/>
        </w:rPr>
        <w:t>UPDATE ON THE TEA WEBSITE DEVELOPMENT</w:t>
      </w:r>
    </w:p>
    <w:p w:rsidR="00B53104" w:rsidRPr="005A1242" w:rsidRDefault="00D55A9D" w:rsidP="00CE02C5">
      <w:pPr>
        <w:pStyle w:val="BoxNewPara"/>
        <w:ind w:left="0" w:firstLine="0"/>
      </w:pPr>
      <w:r>
        <w:t xml:space="preserve">The Group examined this agenda item with the assistance of a </w:t>
      </w:r>
      <w:r w:rsidRPr="00202349">
        <w:t xml:space="preserve">presentation </w:t>
      </w:r>
      <w:r>
        <w:t xml:space="preserve">delivered by the Communication Focal Point. </w:t>
      </w:r>
      <w:r w:rsidR="00167F5A">
        <w:t>The Group was encouraged to communicate via the interactive e-Forum that was developed by the Secretariat</w:t>
      </w:r>
      <w:r w:rsidR="00CE02C5">
        <w:t xml:space="preserve"> and agreed to receiving email alerts</w:t>
      </w:r>
      <w:r w:rsidR="00167F5A">
        <w:t xml:space="preserve">.  </w:t>
      </w:r>
    </w:p>
    <w:p w:rsidR="00B53104" w:rsidRPr="00B53104" w:rsidRDefault="00B53104" w:rsidP="00B03FC4">
      <w:pPr>
        <w:pStyle w:val="Heading2"/>
      </w:pPr>
      <w:r w:rsidRPr="00CE02C5">
        <w:rPr>
          <w:sz w:val="22"/>
          <w:szCs w:val="22"/>
        </w:rPr>
        <w:t>INTERNATIONALLY COORDINATED ACTIONS ON TEA DEVELOPMENT PROJECTS</w:t>
      </w:r>
    </w:p>
    <w:p w:rsidR="00B53104" w:rsidRPr="00CE02C5" w:rsidRDefault="00B53104" w:rsidP="00CE02C5">
      <w:pPr>
        <w:pStyle w:val="BoxNewPara"/>
        <w:ind w:left="0" w:firstLine="0"/>
        <w:rPr>
          <w:szCs w:val="22"/>
        </w:rPr>
      </w:pPr>
      <w:r>
        <w:t xml:space="preserve">The Group reviewed the </w:t>
      </w:r>
      <w:r w:rsidRPr="005A1242">
        <w:t xml:space="preserve">results of the final Common Fund for Commodities (CFC) funded project that was completed in </w:t>
      </w:r>
      <w:r w:rsidR="00174558">
        <w:t xml:space="preserve">June </w:t>
      </w:r>
      <w:r w:rsidRPr="005A1242">
        <w:t>2015: Development of smallholder tea cultivation in Bangladesh and Indonesia, with the assistance of reports from the Project Executing Agency (PEA) and the Project Implementing Agency (PIA).</w:t>
      </w:r>
    </w:p>
    <w:p w:rsidR="00616EEE" w:rsidRDefault="00B53104" w:rsidP="00112172">
      <w:pPr>
        <w:pStyle w:val="Heading1"/>
        <w:ind w:left="0" w:firstLine="0"/>
      </w:pPr>
      <w:r w:rsidRPr="004915CB">
        <w:t>ACTIVITIES IN OTHER ORGANIZATIONS</w:t>
      </w:r>
    </w:p>
    <w:p w:rsidR="00CE02C5" w:rsidRPr="00CE02C5" w:rsidRDefault="00CE02C5" w:rsidP="00CE02C5">
      <w:pPr>
        <w:pStyle w:val="BoxNewPara"/>
        <w:ind w:left="0" w:firstLine="0"/>
        <w:rPr>
          <w:szCs w:val="22"/>
        </w:rPr>
      </w:pPr>
      <w:r>
        <w:rPr>
          <w:rFonts w:cs="Times New Roman"/>
          <w:szCs w:val="22"/>
        </w:rPr>
        <w:t xml:space="preserve">The </w:t>
      </w:r>
      <w:r>
        <w:t>Observer from the ITC gave a historical review of the mandate and objectives of the Committee, including the evolution of funding sources. He noted that the private sector ha</w:t>
      </w:r>
      <w:r w:rsidR="00862150">
        <w:t>d</w:t>
      </w:r>
      <w:r>
        <w:t xml:space="preserve"> become an important funding source</w:t>
      </w:r>
      <w:r w:rsidRPr="006C5C87">
        <w:rPr>
          <w:rFonts w:cs="Times New Roman"/>
          <w:szCs w:val="22"/>
        </w:rPr>
        <w:t>.</w:t>
      </w:r>
    </w:p>
    <w:p w:rsidR="00D55A9D" w:rsidRPr="00CE02C5" w:rsidRDefault="00D55A9D" w:rsidP="00CE02C5">
      <w:pPr>
        <w:pStyle w:val="BoxNewPara"/>
        <w:ind w:left="0" w:firstLine="0"/>
        <w:rPr>
          <w:szCs w:val="22"/>
        </w:rPr>
      </w:pPr>
      <w:r>
        <w:t xml:space="preserve">The Observer from the ISO gave a review of the methods and guidance developed by the Organization to ensure that consumers’ expectations of quality </w:t>
      </w:r>
      <w:r w:rsidR="00CE02C5">
        <w:t xml:space="preserve">were </w:t>
      </w:r>
      <w:r>
        <w:t xml:space="preserve">met. </w:t>
      </w:r>
      <w:r w:rsidR="00174558">
        <w:t xml:space="preserve">The current ISO TC/34 SC/8 tea programme included developing methods of analysis for tea components such as </w:t>
      </w:r>
      <w:proofErr w:type="spellStart"/>
      <w:r w:rsidR="00174558">
        <w:t>theanine</w:t>
      </w:r>
      <w:proofErr w:type="spellEnd"/>
      <w:r w:rsidR="00174558">
        <w:t xml:space="preserve"> and </w:t>
      </w:r>
      <w:proofErr w:type="spellStart"/>
      <w:r w:rsidR="00174558">
        <w:t>theaflavin</w:t>
      </w:r>
      <w:proofErr w:type="spellEnd"/>
      <w:r w:rsidR="00174558">
        <w:t xml:space="preserve"> and standards for other teas such as white and oolong teas.</w:t>
      </w:r>
    </w:p>
    <w:p w:rsidR="00B53104" w:rsidRDefault="00B53104" w:rsidP="00B53104">
      <w:pPr>
        <w:pStyle w:val="Heading1"/>
        <w:ind w:left="0" w:firstLine="0"/>
      </w:pPr>
      <w:r>
        <w:lastRenderedPageBreak/>
        <w:t>OTHER MATTERS</w:t>
      </w:r>
    </w:p>
    <w:p w:rsidR="00616BCC" w:rsidRPr="00616BCC" w:rsidRDefault="00B53104" w:rsidP="00196319">
      <w:pPr>
        <w:pStyle w:val="Heading2"/>
        <w:numPr>
          <w:ilvl w:val="1"/>
          <w:numId w:val="28"/>
        </w:numPr>
        <w:spacing w:after="200"/>
        <w:ind w:left="1" w:firstLine="0"/>
      </w:pPr>
      <w:r w:rsidRPr="004915CB">
        <w:t>ANY OTHER BUSINESS</w:t>
      </w:r>
    </w:p>
    <w:p w:rsidR="00616BCC" w:rsidRDefault="00616BCC" w:rsidP="00616BCC">
      <w:pPr>
        <w:pStyle w:val="BoxNewPara"/>
        <w:ind w:left="0" w:firstLine="0"/>
      </w:pPr>
      <w:r>
        <w:t xml:space="preserve">China proposed that a new Working Group on </w:t>
      </w:r>
      <w:r w:rsidR="00174558">
        <w:t xml:space="preserve">Global </w:t>
      </w:r>
      <w:r>
        <w:t xml:space="preserve">Tea </w:t>
      </w:r>
      <w:r w:rsidR="00174558">
        <w:t xml:space="preserve">Market </w:t>
      </w:r>
      <w:r>
        <w:t xml:space="preserve">Analysis </w:t>
      </w:r>
      <w:r w:rsidR="00174558">
        <w:t xml:space="preserve">and Promotion </w:t>
      </w:r>
      <w:r>
        <w:t>be established which the Group endorsed. The WG would be chaired by China, with members including Canada, India, Kenya</w:t>
      </w:r>
      <w:r w:rsidR="00174558">
        <w:t>, Sri Lanka</w:t>
      </w:r>
      <w:r>
        <w:t xml:space="preserve"> and the UK.</w:t>
      </w:r>
    </w:p>
    <w:p w:rsidR="005569C7" w:rsidRDefault="005569C7" w:rsidP="00616BCC">
      <w:pPr>
        <w:pStyle w:val="BoxNewPara"/>
        <w:ind w:left="0" w:firstLine="0"/>
      </w:pPr>
      <w:r>
        <w:t xml:space="preserve">The Group </w:t>
      </w:r>
      <w:r w:rsidR="00406B42">
        <w:t xml:space="preserve">unanimously </w:t>
      </w:r>
      <w:r>
        <w:t xml:space="preserve">expressed gratitude to Mr Kaison Chang, Secretary, IGG/Tea, for </w:t>
      </w:r>
      <w:r w:rsidR="00CA59F2">
        <w:t xml:space="preserve">his </w:t>
      </w:r>
      <w:r w:rsidR="001E50A8">
        <w:t xml:space="preserve">commitment and </w:t>
      </w:r>
      <w:r w:rsidR="00CA59F2">
        <w:t>dedication</w:t>
      </w:r>
      <w:r w:rsidR="001E50A8">
        <w:t xml:space="preserve"> </w:t>
      </w:r>
      <w:r w:rsidR="00406B42">
        <w:t>to the work of the global tea economy. The Group wished him a happy retirement.</w:t>
      </w:r>
    </w:p>
    <w:p w:rsidR="00174558" w:rsidRDefault="00174558" w:rsidP="00616BCC">
      <w:pPr>
        <w:pStyle w:val="BoxNewPara"/>
        <w:ind w:left="0" w:firstLine="0"/>
      </w:pPr>
      <w:r>
        <w:t>The Group unanimously supported that the FAO IGG/Tea continue in its current form.</w:t>
      </w:r>
    </w:p>
    <w:p w:rsidR="00616BCC" w:rsidRDefault="00616BCC" w:rsidP="00616BCC">
      <w:pPr>
        <w:pStyle w:val="Heading2"/>
        <w:spacing w:after="200"/>
        <w:ind w:left="1" w:firstLine="0"/>
      </w:pPr>
      <w:r w:rsidRPr="004915CB">
        <w:t>D</w:t>
      </w:r>
      <w:r w:rsidRPr="00105EE0">
        <w:t>ATE AND PLACE OF THE NEXT SESSION</w:t>
      </w:r>
    </w:p>
    <w:p w:rsidR="00862150" w:rsidRDefault="00887401" w:rsidP="00616BCC">
      <w:pPr>
        <w:pStyle w:val="BoxNewPara"/>
        <w:ind w:left="0" w:firstLine="0"/>
      </w:pPr>
      <w:r>
        <w:t>Sri Lanka offered to host the next intersessional meeting in August 201</w:t>
      </w:r>
      <w:r w:rsidR="00862150">
        <w:t>7</w:t>
      </w:r>
      <w:r>
        <w:t xml:space="preserve">, </w:t>
      </w:r>
      <w:r w:rsidR="00862150">
        <w:t>which would coincide</w:t>
      </w:r>
      <w:r>
        <w:t xml:space="preserve"> with 150</w:t>
      </w:r>
      <w:r w:rsidRPr="00887401">
        <w:rPr>
          <w:vertAlign w:val="superscript"/>
        </w:rPr>
        <w:t>th</w:t>
      </w:r>
      <w:r>
        <w:t xml:space="preserve"> anniversary of the tea industry in Sri Lanka. </w:t>
      </w:r>
    </w:p>
    <w:p w:rsidR="005569C7" w:rsidRPr="005569C7" w:rsidRDefault="00887401" w:rsidP="00616BCC">
      <w:pPr>
        <w:pStyle w:val="BoxNewPara"/>
        <w:ind w:left="0" w:firstLine="0"/>
      </w:pPr>
      <w:r>
        <w:t xml:space="preserve">The date and place of the next session of the IGG/Tea would be decided by the Director-General of FAO, in consultation with the Chairperson. </w:t>
      </w:r>
    </w:p>
    <w:p w:rsidR="00B53104" w:rsidRPr="00105EE0" w:rsidRDefault="00B53104" w:rsidP="00B53104">
      <w:pPr>
        <w:pStyle w:val="Heading2"/>
        <w:spacing w:after="200"/>
        <w:ind w:left="1" w:firstLine="0"/>
      </w:pPr>
      <w:r w:rsidRPr="00105EE0">
        <w:t>ADOPTION OF THE REPORT</w:t>
      </w:r>
    </w:p>
    <w:p w:rsidR="00F31B08" w:rsidRPr="005569C7" w:rsidRDefault="00F31B08" w:rsidP="00F31B08">
      <w:pPr>
        <w:pStyle w:val="BoxNewPara"/>
        <w:ind w:left="0" w:firstLine="0"/>
      </w:pPr>
      <w:r>
        <w:t xml:space="preserve">The Report of the Twenty-second session of the IGG/Tea was adopted. </w:t>
      </w:r>
    </w:p>
    <w:p w:rsidR="00B53104" w:rsidRPr="00B53104" w:rsidRDefault="00B53104" w:rsidP="00B53104"/>
    <w:sectPr w:rsidR="00B53104" w:rsidRPr="00B53104" w:rsidSect="00012386">
      <w:headerReference w:type="even" r:id="rId9"/>
      <w:headerReference w:type="default" r:id="rId10"/>
      <w:headerReference w:type="first" r:id="rId11"/>
      <w:footerReference w:type="first" r:id="rId12"/>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322" w:rsidRDefault="00237322">
      <w:pPr>
        <w:spacing w:after="0"/>
      </w:pPr>
      <w:r>
        <w:separator/>
      </w:r>
    </w:p>
  </w:endnote>
  <w:endnote w:type="continuationSeparator" w:id="0">
    <w:p w:rsidR="00237322" w:rsidRDefault="002373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khbar MT">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B0C" w:rsidRPr="009C0B0C" w:rsidRDefault="00012386" w:rsidP="003F76E2">
    <w:pPr>
      <w:rPr>
        <w:lang w:val="en-US"/>
      </w:rPr>
    </w:pPr>
    <w:bookmarkStart w:id="9" w:name="FooterInformationBookmark"/>
    <w:r>
      <w:rPr>
        <w:lang w:val="en-US"/>
      </w:rPr>
      <w:t xml:space="preserve"> </w:t>
    </w:r>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322" w:rsidRDefault="00237322">
      <w:pPr>
        <w:spacing w:after="0"/>
      </w:pPr>
      <w:r>
        <w:separator/>
      </w:r>
    </w:p>
  </w:footnote>
  <w:footnote w:type="continuationSeparator" w:id="0">
    <w:p w:rsidR="00237322" w:rsidRDefault="0023732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C1C" w:rsidRPr="001A0BFF" w:rsidRDefault="00BA02CC" w:rsidP="001A0BFF">
    <w:pPr>
      <w:pStyle w:val="Underlined"/>
    </w:pPr>
    <w:r>
      <w:fldChar w:fldCharType="begin"/>
    </w:r>
    <w:r w:rsidR="00012386">
      <w:instrText xml:space="preserve"> PAGE  \* Arabic  \* MERGEFORMAT </w:instrText>
    </w:r>
    <w:r>
      <w:fldChar w:fldCharType="separate"/>
    </w:r>
    <w:r w:rsidR="00AC1284">
      <w:rPr>
        <w:noProof/>
      </w:rPr>
      <w:t>2</w:t>
    </w:r>
    <w:r>
      <w:rPr>
        <w:noProof/>
      </w:rPr>
      <w:fldChar w:fldCharType="end"/>
    </w:r>
    <w:r w:rsidR="00012386">
      <w:ptab w:relativeTo="margin" w:alignment="right" w:leader="none"/>
    </w:r>
    <w:r w:rsidR="00012386" w:rsidRPr="00172E88">
      <w:t xml:space="preserve"> </w:t>
    </w:r>
    <w:r w:rsidR="00E562C8">
      <w:t>CCP:</w:t>
    </w:r>
    <w:r w:rsidR="00F31B08">
      <w:t xml:space="preserve"> </w:t>
    </w:r>
    <w:r w:rsidR="00E562C8">
      <w:t>16/</w:t>
    </w:r>
    <w:r w:rsidR="00F31B08">
      <w:t>Inf.8</w:t>
    </w:r>
  </w:p>
  <w:p w:rsidR="003F76E2" w:rsidRPr="00502C1C" w:rsidRDefault="00AC1284" w:rsidP="00502C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C1C" w:rsidRPr="001A0BFF" w:rsidRDefault="00E562C8" w:rsidP="001A0BFF">
    <w:pPr>
      <w:pStyle w:val="Underlined"/>
    </w:pPr>
    <w:bookmarkStart w:id="5" w:name="OddIdentificationBookmark"/>
    <w:r>
      <w:t>CCP:</w:t>
    </w:r>
    <w:r w:rsidR="00F31B08">
      <w:t xml:space="preserve"> 16/Inf.8</w:t>
    </w:r>
    <w:r w:rsidR="002F38B1">
      <w:t xml:space="preserve"> </w:t>
    </w:r>
    <w:bookmarkEnd w:id="5"/>
    <w:r w:rsidR="00012386">
      <w:ptab w:relativeTo="margin" w:alignment="right" w:leader="none"/>
    </w:r>
    <w:r w:rsidR="00BA02CC">
      <w:fldChar w:fldCharType="begin"/>
    </w:r>
    <w:r w:rsidR="00012386">
      <w:instrText xml:space="preserve"> PAGE  \* Arabic  \* MERGEFORMAT </w:instrText>
    </w:r>
    <w:r w:rsidR="00BA02CC">
      <w:fldChar w:fldCharType="separate"/>
    </w:r>
    <w:r w:rsidR="00AC1284">
      <w:rPr>
        <w:noProof/>
      </w:rPr>
      <w:t>5</w:t>
    </w:r>
    <w:r w:rsidR="00BA02CC">
      <w:rPr>
        <w:noProof/>
      </w:rPr>
      <w:fldChar w:fldCharType="end"/>
    </w:r>
  </w:p>
  <w:p w:rsidR="001A0BFF" w:rsidRPr="00502C1C" w:rsidRDefault="00AC1284" w:rsidP="00502C1C">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012386" w:rsidP="00734C44">
    <w:pPr>
      <w:pStyle w:val="LanguageSymbol"/>
      <w:framePr w:wrap="around"/>
    </w:pPr>
    <w:bookmarkStart w:id="6"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bookmarkEnd w:id="6"/>
        <w:p w:rsidR="008E01CD" w:rsidRDefault="006849F9" w:rsidP="006849F9">
          <w:r>
            <w:t>May 2016</w:t>
          </w:r>
        </w:p>
      </w:tc>
      <w:tc>
        <w:tcPr>
          <w:tcW w:w="2500" w:type="pct"/>
          <w:noWrap/>
          <w:tcMar>
            <w:right w:w="0" w:type="dxa"/>
          </w:tcMar>
        </w:tcPr>
        <w:p w:rsidR="008E01CD" w:rsidRDefault="006849F9" w:rsidP="00F31B08">
          <w:pPr>
            <w:jc w:val="right"/>
          </w:pPr>
          <w:bookmarkStart w:id="7" w:name="FirstCoverIdentificationBookmark"/>
          <w:r>
            <w:t>CCP:</w:t>
          </w:r>
          <w:bookmarkEnd w:id="7"/>
          <w:r w:rsidR="00F31B08">
            <w:t xml:space="preserve"> 16/Inf.8</w:t>
          </w:r>
        </w:p>
      </w:tc>
    </w:tr>
  </w:tbl>
  <w:p w:rsidR="00AE4D6E" w:rsidRPr="008E01CD" w:rsidRDefault="00AC1284" w:rsidP="008E01CD">
    <w:pPr>
      <w:pBdr>
        <w:bottom w:val="single" w:sz="12" w:space="0" w:color="auto"/>
      </w:pBdr>
      <w:contextualSpacing/>
      <w:rPr>
        <w:sz w:val="4"/>
      </w:rPr>
    </w:pPr>
  </w:p>
  <w:p w:rsidR="00DF0451" w:rsidRDefault="00012386" w:rsidP="008E01CD">
    <w:pPr>
      <w:jc w:val="center"/>
    </w:pPr>
    <w:bookmarkStart w:id="8" w:name="LogoBookmark"/>
    <w:r>
      <w:rPr>
        <w:noProof/>
        <w:lang w:eastAsia="en-GB"/>
      </w:rPr>
      <w:drawing>
        <wp:inline distT="0" distB="0" distL="0" distR="0">
          <wp:extent cx="5760085" cy="7943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pStyle w:val="Heading1"/>
      <w:lvlText w:val="%1."/>
      <w:legacy w:legacy="1" w:legacySpace="0" w:legacyIndent="708"/>
      <w:lvlJc w:val="left"/>
      <w:pPr>
        <w:ind w:left="709" w:hanging="708"/>
      </w:pPr>
    </w:lvl>
    <w:lvl w:ilvl="1">
      <w:start w:val="1"/>
      <w:numFmt w:val="upperLetter"/>
      <w:pStyle w:val="Heading2"/>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06CD26CB"/>
    <w:multiLevelType w:val="hybridMultilevel"/>
    <w:tmpl w:val="EC5E5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44B12FC"/>
    <w:multiLevelType w:val="hybridMultilevel"/>
    <w:tmpl w:val="FE6E71D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BF0585"/>
    <w:multiLevelType w:val="hybridMultilevel"/>
    <w:tmpl w:val="4C96AD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FC26D2"/>
    <w:multiLevelType w:val="multilevel"/>
    <w:tmpl w:val="E33623AE"/>
    <w:lvl w:ilvl="0">
      <w:start w:val="1"/>
      <w:numFmt w:val="bullet"/>
      <w:lvlText w:val=""/>
      <w:lvlJc w:val="left"/>
      <w:pPr>
        <w:ind w:left="720"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06D6F96"/>
    <w:multiLevelType w:val="hybridMultilevel"/>
    <w:tmpl w:val="E7B22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897F1F"/>
    <w:multiLevelType w:val="hybridMultilevel"/>
    <w:tmpl w:val="397CCDCE"/>
    <w:lvl w:ilvl="0" w:tplc="DD2EE534">
      <w:start w:val="1"/>
      <w:numFmt w:val="bullet"/>
      <w:lvlText w:val="•"/>
      <w:lvlJc w:val="left"/>
      <w:pPr>
        <w:tabs>
          <w:tab w:val="num" w:pos="720"/>
        </w:tabs>
        <w:ind w:left="720" w:hanging="360"/>
      </w:pPr>
      <w:rPr>
        <w:rFonts w:ascii="Arial" w:hAnsi="Arial" w:hint="default"/>
      </w:rPr>
    </w:lvl>
    <w:lvl w:ilvl="1" w:tplc="BC9427A0" w:tentative="1">
      <w:start w:val="1"/>
      <w:numFmt w:val="bullet"/>
      <w:lvlText w:val="•"/>
      <w:lvlJc w:val="left"/>
      <w:pPr>
        <w:tabs>
          <w:tab w:val="num" w:pos="1440"/>
        </w:tabs>
        <w:ind w:left="1440" w:hanging="360"/>
      </w:pPr>
      <w:rPr>
        <w:rFonts w:ascii="Arial" w:hAnsi="Arial" w:hint="default"/>
      </w:rPr>
    </w:lvl>
    <w:lvl w:ilvl="2" w:tplc="A7086A56" w:tentative="1">
      <w:start w:val="1"/>
      <w:numFmt w:val="bullet"/>
      <w:lvlText w:val="•"/>
      <w:lvlJc w:val="left"/>
      <w:pPr>
        <w:tabs>
          <w:tab w:val="num" w:pos="2160"/>
        </w:tabs>
        <w:ind w:left="2160" w:hanging="360"/>
      </w:pPr>
      <w:rPr>
        <w:rFonts w:ascii="Arial" w:hAnsi="Arial" w:hint="default"/>
      </w:rPr>
    </w:lvl>
    <w:lvl w:ilvl="3" w:tplc="E53CD450" w:tentative="1">
      <w:start w:val="1"/>
      <w:numFmt w:val="bullet"/>
      <w:lvlText w:val="•"/>
      <w:lvlJc w:val="left"/>
      <w:pPr>
        <w:tabs>
          <w:tab w:val="num" w:pos="2880"/>
        </w:tabs>
        <w:ind w:left="2880" w:hanging="360"/>
      </w:pPr>
      <w:rPr>
        <w:rFonts w:ascii="Arial" w:hAnsi="Arial" w:hint="default"/>
      </w:rPr>
    </w:lvl>
    <w:lvl w:ilvl="4" w:tplc="853E198C" w:tentative="1">
      <w:start w:val="1"/>
      <w:numFmt w:val="bullet"/>
      <w:lvlText w:val="•"/>
      <w:lvlJc w:val="left"/>
      <w:pPr>
        <w:tabs>
          <w:tab w:val="num" w:pos="3600"/>
        </w:tabs>
        <w:ind w:left="3600" w:hanging="360"/>
      </w:pPr>
      <w:rPr>
        <w:rFonts w:ascii="Arial" w:hAnsi="Arial" w:hint="default"/>
      </w:rPr>
    </w:lvl>
    <w:lvl w:ilvl="5" w:tplc="6478D55E" w:tentative="1">
      <w:start w:val="1"/>
      <w:numFmt w:val="bullet"/>
      <w:lvlText w:val="•"/>
      <w:lvlJc w:val="left"/>
      <w:pPr>
        <w:tabs>
          <w:tab w:val="num" w:pos="4320"/>
        </w:tabs>
        <w:ind w:left="4320" w:hanging="360"/>
      </w:pPr>
      <w:rPr>
        <w:rFonts w:ascii="Arial" w:hAnsi="Arial" w:hint="default"/>
      </w:rPr>
    </w:lvl>
    <w:lvl w:ilvl="6" w:tplc="24D689AC" w:tentative="1">
      <w:start w:val="1"/>
      <w:numFmt w:val="bullet"/>
      <w:lvlText w:val="•"/>
      <w:lvlJc w:val="left"/>
      <w:pPr>
        <w:tabs>
          <w:tab w:val="num" w:pos="5040"/>
        </w:tabs>
        <w:ind w:left="5040" w:hanging="360"/>
      </w:pPr>
      <w:rPr>
        <w:rFonts w:ascii="Arial" w:hAnsi="Arial" w:hint="default"/>
      </w:rPr>
    </w:lvl>
    <w:lvl w:ilvl="7" w:tplc="2322470A" w:tentative="1">
      <w:start w:val="1"/>
      <w:numFmt w:val="bullet"/>
      <w:lvlText w:val="•"/>
      <w:lvlJc w:val="left"/>
      <w:pPr>
        <w:tabs>
          <w:tab w:val="num" w:pos="5760"/>
        </w:tabs>
        <w:ind w:left="5760" w:hanging="360"/>
      </w:pPr>
      <w:rPr>
        <w:rFonts w:ascii="Arial" w:hAnsi="Arial" w:hint="default"/>
      </w:rPr>
    </w:lvl>
    <w:lvl w:ilvl="8" w:tplc="AF8613D6" w:tentative="1">
      <w:start w:val="1"/>
      <w:numFmt w:val="bullet"/>
      <w:lvlText w:val="•"/>
      <w:lvlJc w:val="left"/>
      <w:pPr>
        <w:tabs>
          <w:tab w:val="num" w:pos="6480"/>
        </w:tabs>
        <w:ind w:left="6480" w:hanging="360"/>
      </w:pPr>
      <w:rPr>
        <w:rFonts w:ascii="Arial" w:hAnsi="Arial" w:hint="default"/>
      </w:rPr>
    </w:lvl>
  </w:abstractNum>
  <w:abstractNum w:abstractNumId="7">
    <w:nsid w:val="398A2726"/>
    <w:multiLevelType w:val="hybridMultilevel"/>
    <w:tmpl w:val="2118D630"/>
    <w:lvl w:ilvl="0" w:tplc="3CC02650">
      <w:start w:val="1"/>
      <w:numFmt w:val="lowerRoman"/>
      <w:lvlText w:val="%1)"/>
      <w:lvlJc w:val="left"/>
      <w:pPr>
        <w:ind w:left="1584" w:hanging="72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8">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pPr>
        <w:ind w:left="0" w:firstLine="0"/>
      </w:pPr>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0">
    <w:nsid w:val="5F4E7168"/>
    <w:multiLevelType w:val="multilevel"/>
    <w:tmpl w:val="68867E3A"/>
    <w:lvl w:ilvl="0">
      <w:start w:val="1"/>
      <w:numFmt w:val="decimal"/>
      <w:pStyle w:val="BoxNewPara"/>
      <w:lvlText w:val="%1."/>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FFA4880"/>
    <w:multiLevelType w:val="multilevel"/>
    <w:tmpl w:val="957E69A2"/>
    <w:lvl w:ilvl="0">
      <w:start w:val="12"/>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rPr>
        <w:rFonts w:hint="default"/>
      </w:rPr>
    </w:lvl>
    <w:lvl w:ilvl="2">
      <w:start w:val="1"/>
      <w:numFmt w:val="lowerRoman"/>
      <w:lvlText w:val="%3."/>
      <w:lvlJc w:val="right"/>
      <w:pPr>
        <w:ind w:left="162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right"/>
      <w:pPr>
        <w:ind w:left="378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940" w:firstLine="0"/>
      </w:pPr>
      <w:rPr>
        <w:rFonts w:hint="default"/>
      </w:rPr>
    </w:lvl>
  </w:abstractNum>
  <w:abstractNum w:abstractNumId="12">
    <w:nsid w:val="74B51E03"/>
    <w:multiLevelType w:val="hybridMultilevel"/>
    <w:tmpl w:val="2118D630"/>
    <w:lvl w:ilvl="0" w:tplc="3CC02650">
      <w:start w:val="1"/>
      <w:numFmt w:val="lowerRoman"/>
      <w:lvlText w:val="%1)"/>
      <w:lvlJc w:val="left"/>
      <w:pPr>
        <w:ind w:left="1584" w:hanging="72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13">
    <w:nsid w:val="79627550"/>
    <w:multiLevelType w:val="hybridMultilevel"/>
    <w:tmpl w:val="111A4F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10"/>
  </w:num>
  <w:num w:numId="4">
    <w:abstractNumId w:val="12"/>
  </w:num>
  <w:num w:numId="5">
    <w:abstractNumId w:val="11"/>
  </w:num>
  <w:num w:numId="6">
    <w:abstractNumId w:val="10"/>
  </w:num>
  <w:num w:numId="7">
    <w:abstractNumId w:val="7"/>
  </w:num>
  <w:num w:numId="8">
    <w:abstractNumId w:val="10"/>
  </w:num>
  <w:num w:numId="9">
    <w:abstractNumId w:val="4"/>
  </w:num>
  <w:num w:numId="10">
    <w:abstractNumId w:val="10"/>
  </w:num>
  <w:num w:numId="11">
    <w:abstractNumId w:val="10"/>
  </w:num>
  <w:num w:numId="12">
    <w:abstractNumId w:val="0"/>
  </w:num>
  <w:num w:numId="13">
    <w:abstractNumId w:val="10"/>
  </w:num>
  <w:num w:numId="14">
    <w:abstractNumId w:val="10"/>
  </w:num>
  <w:num w:numId="15">
    <w:abstractNumId w:val="10"/>
  </w:num>
  <w:num w:numId="16">
    <w:abstractNumId w:val="0"/>
  </w:num>
  <w:num w:numId="17">
    <w:abstractNumId w:val="0"/>
  </w:num>
  <w:num w:numId="18">
    <w:abstractNumId w:val="10"/>
  </w:num>
  <w:num w:numId="19">
    <w:abstractNumId w:val="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num>
  <w:num w:numId="24">
    <w:abstractNumId w:val="9"/>
  </w:num>
  <w:num w:numId="25">
    <w:abstractNumId w:val="0"/>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10"/>
  </w:num>
  <w:num w:numId="41">
    <w:abstractNumId w:val="1"/>
  </w:num>
  <w:num w:numId="42">
    <w:abstractNumId w:val="10"/>
  </w:num>
  <w:num w:numId="43">
    <w:abstractNumId w:val="5"/>
  </w:num>
  <w:num w:numId="44">
    <w:abstractNumId w:val="13"/>
  </w:num>
  <w:num w:numId="45">
    <w:abstractNumId w:val="3"/>
  </w:num>
  <w:num w:numId="46">
    <w:abstractNumId w:val="2"/>
  </w:num>
  <w:num w:numId="47">
    <w:abstractNumId w:val="10"/>
  </w:num>
  <w:num w:numId="48">
    <w:abstractNumId w:val="6"/>
  </w:num>
  <w:num w:numId="49">
    <w:abstractNumId w:val="1"/>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86"/>
    <w:rsid w:val="000019B1"/>
    <w:rsid w:val="00012386"/>
    <w:rsid w:val="00017069"/>
    <w:rsid w:val="000C0883"/>
    <w:rsid w:val="000C09D9"/>
    <w:rsid w:val="000E0955"/>
    <w:rsid w:val="00101D1E"/>
    <w:rsid w:val="00112F80"/>
    <w:rsid w:val="001327A5"/>
    <w:rsid w:val="001513FD"/>
    <w:rsid w:val="00160D5B"/>
    <w:rsid w:val="00167F5A"/>
    <w:rsid w:val="00174558"/>
    <w:rsid w:val="0017701B"/>
    <w:rsid w:val="00180F2F"/>
    <w:rsid w:val="00193844"/>
    <w:rsid w:val="00197DEB"/>
    <w:rsid w:val="001A5FFE"/>
    <w:rsid w:val="001B1D92"/>
    <w:rsid w:val="001B44C3"/>
    <w:rsid w:val="001C2281"/>
    <w:rsid w:val="001E1A75"/>
    <w:rsid w:val="001E50A8"/>
    <w:rsid w:val="00233BE9"/>
    <w:rsid w:val="00237322"/>
    <w:rsid w:val="00240A29"/>
    <w:rsid w:val="00240F2E"/>
    <w:rsid w:val="002459CD"/>
    <w:rsid w:val="00270AAC"/>
    <w:rsid w:val="00270B91"/>
    <w:rsid w:val="002A192E"/>
    <w:rsid w:val="002E0C92"/>
    <w:rsid w:val="002F38B1"/>
    <w:rsid w:val="003020C6"/>
    <w:rsid w:val="00313DCE"/>
    <w:rsid w:val="0032635D"/>
    <w:rsid w:val="0036490B"/>
    <w:rsid w:val="00374FD5"/>
    <w:rsid w:val="00377753"/>
    <w:rsid w:val="0038491C"/>
    <w:rsid w:val="003C2E63"/>
    <w:rsid w:val="003D7A58"/>
    <w:rsid w:val="003E5E58"/>
    <w:rsid w:val="00406B42"/>
    <w:rsid w:val="00422991"/>
    <w:rsid w:val="004337E1"/>
    <w:rsid w:val="004454BB"/>
    <w:rsid w:val="004859DD"/>
    <w:rsid w:val="00494DBA"/>
    <w:rsid w:val="004A028E"/>
    <w:rsid w:val="004A2478"/>
    <w:rsid w:val="00517EA2"/>
    <w:rsid w:val="0052631F"/>
    <w:rsid w:val="00550E3C"/>
    <w:rsid w:val="005569C7"/>
    <w:rsid w:val="005640C0"/>
    <w:rsid w:val="00570B0E"/>
    <w:rsid w:val="005B4535"/>
    <w:rsid w:val="005D12FF"/>
    <w:rsid w:val="005E5E43"/>
    <w:rsid w:val="00616BCC"/>
    <w:rsid w:val="00616EEE"/>
    <w:rsid w:val="00642FFA"/>
    <w:rsid w:val="0065200C"/>
    <w:rsid w:val="0065419D"/>
    <w:rsid w:val="00665EC2"/>
    <w:rsid w:val="00681ED9"/>
    <w:rsid w:val="0068330F"/>
    <w:rsid w:val="006849F9"/>
    <w:rsid w:val="00685258"/>
    <w:rsid w:val="006B3316"/>
    <w:rsid w:val="006C5C87"/>
    <w:rsid w:val="006C7233"/>
    <w:rsid w:val="006E1DAF"/>
    <w:rsid w:val="006E2712"/>
    <w:rsid w:val="006F4AC9"/>
    <w:rsid w:val="00701D7D"/>
    <w:rsid w:val="00715348"/>
    <w:rsid w:val="00723BF0"/>
    <w:rsid w:val="00761FB3"/>
    <w:rsid w:val="00780964"/>
    <w:rsid w:val="0078197B"/>
    <w:rsid w:val="00785259"/>
    <w:rsid w:val="0079532D"/>
    <w:rsid w:val="007A13C4"/>
    <w:rsid w:val="007A2D67"/>
    <w:rsid w:val="007D5F1A"/>
    <w:rsid w:val="007F2494"/>
    <w:rsid w:val="0083552C"/>
    <w:rsid w:val="00850A22"/>
    <w:rsid w:val="00857D15"/>
    <w:rsid w:val="00862150"/>
    <w:rsid w:val="00887401"/>
    <w:rsid w:val="008A383E"/>
    <w:rsid w:val="008C0C72"/>
    <w:rsid w:val="008C51A4"/>
    <w:rsid w:val="008D1415"/>
    <w:rsid w:val="008E3661"/>
    <w:rsid w:val="00910C38"/>
    <w:rsid w:val="009112E8"/>
    <w:rsid w:val="00935080"/>
    <w:rsid w:val="00946DAA"/>
    <w:rsid w:val="00970A4A"/>
    <w:rsid w:val="009753AB"/>
    <w:rsid w:val="009B1007"/>
    <w:rsid w:val="009C7287"/>
    <w:rsid w:val="009D3260"/>
    <w:rsid w:val="009F43BA"/>
    <w:rsid w:val="00A00718"/>
    <w:rsid w:val="00A22CDD"/>
    <w:rsid w:val="00A71F71"/>
    <w:rsid w:val="00A9570C"/>
    <w:rsid w:val="00AA1601"/>
    <w:rsid w:val="00AA68D6"/>
    <w:rsid w:val="00AC1284"/>
    <w:rsid w:val="00B2022F"/>
    <w:rsid w:val="00B53104"/>
    <w:rsid w:val="00B736BD"/>
    <w:rsid w:val="00B83AF6"/>
    <w:rsid w:val="00B847F7"/>
    <w:rsid w:val="00B93436"/>
    <w:rsid w:val="00BA02CC"/>
    <w:rsid w:val="00BA3209"/>
    <w:rsid w:val="00BB57C9"/>
    <w:rsid w:val="00BB6CC1"/>
    <w:rsid w:val="00BC0564"/>
    <w:rsid w:val="00BE2F48"/>
    <w:rsid w:val="00BF1A76"/>
    <w:rsid w:val="00C0477A"/>
    <w:rsid w:val="00C116E5"/>
    <w:rsid w:val="00C42756"/>
    <w:rsid w:val="00C442F9"/>
    <w:rsid w:val="00C80879"/>
    <w:rsid w:val="00C95A97"/>
    <w:rsid w:val="00CA59F2"/>
    <w:rsid w:val="00CA6AE6"/>
    <w:rsid w:val="00CB6143"/>
    <w:rsid w:val="00CE02C5"/>
    <w:rsid w:val="00CF04F2"/>
    <w:rsid w:val="00CF08A9"/>
    <w:rsid w:val="00D11858"/>
    <w:rsid w:val="00D12DB4"/>
    <w:rsid w:val="00D5308B"/>
    <w:rsid w:val="00D55A9D"/>
    <w:rsid w:val="00DA2951"/>
    <w:rsid w:val="00DC60D2"/>
    <w:rsid w:val="00DD7896"/>
    <w:rsid w:val="00DE1B33"/>
    <w:rsid w:val="00DF6F24"/>
    <w:rsid w:val="00E40F06"/>
    <w:rsid w:val="00E54538"/>
    <w:rsid w:val="00E562C8"/>
    <w:rsid w:val="00E965BB"/>
    <w:rsid w:val="00EB00DA"/>
    <w:rsid w:val="00EC2F43"/>
    <w:rsid w:val="00F31B08"/>
    <w:rsid w:val="00F63B0E"/>
    <w:rsid w:val="00F83BF7"/>
    <w:rsid w:val="00F86BC7"/>
    <w:rsid w:val="00FD058A"/>
    <w:rsid w:val="00FD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5"/>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24"/>
      </w:numPr>
      <w:spacing w:before="240" w:after="0"/>
      <w:jc w:val="center"/>
    </w:pPr>
    <w:rPr>
      <w:rFonts w:ascii="Times New Roman Bold" w:eastAsia="Calibri" w:hAnsi="Times New Roman Bold"/>
      <w:b/>
      <w:sz w:val="28"/>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5"/>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24"/>
      </w:numPr>
      <w:spacing w:before="240" w:after="0"/>
      <w:jc w:val="center"/>
    </w:pPr>
    <w:rPr>
      <w:rFonts w:ascii="Times New Roman Bold" w:eastAsia="Calibri" w:hAnsi="Times New Roman Bold"/>
      <w:b/>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0303">
      <w:bodyDiv w:val="1"/>
      <w:marLeft w:val="0"/>
      <w:marRight w:val="0"/>
      <w:marTop w:val="0"/>
      <w:marBottom w:val="0"/>
      <w:divBdr>
        <w:top w:val="none" w:sz="0" w:space="0" w:color="auto"/>
        <w:left w:val="none" w:sz="0" w:space="0" w:color="auto"/>
        <w:bottom w:val="none" w:sz="0" w:space="0" w:color="auto"/>
        <w:right w:val="none" w:sz="0" w:space="0" w:color="auto"/>
      </w:divBdr>
    </w:div>
    <w:div w:id="181170441">
      <w:bodyDiv w:val="1"/>
      <w:marLeft w:val="0"/>
      <w:marRight w:val="0"/>
      <w:marTop w:val="0"/>
      <w:marBottom w:val="0"/>
      <w:divBdr>
        <w:top w:val="none" w:sz="0" w:space="0" w:color="auto"/>
        <w:left w:val="none" w:sz="0" w:space="0" w:color="auto"/>
        <w:bottom w:val="none" w:sz="0" w:space="0" w:color="auto"/>
        <w:right w:val="none" w:sz="0" w:space="0" w:color="auto"/>
      </w:divBdr>
    </w:div>
    <w:div w:id="982079966">
      <w:bodyDiv w:val="1"/>
      <w:marLeft w:val="0"/>
      <w:marRight w:val="0"/>
      <w:marTop w:val="0"/>
      <w:marBottom w:val="0"/>
      <w:divBdr>
        <w:top w:val="none" w:sz="0" w:space="0" w:color="auto"/>
        <w:left w:val="none" w:sz="0" w:space="0" w:color="auto"/>
        <w:bottom w:val="none" w:sz="0" w:space="0" w:color="auto"/>
        <w:right w:val="none" w:sz="0" w:space="0" w:color="auto"/>
      </w:divBdr>
      <w:divsChild>
        <w:div w:id="1915435497">
          <w:marLeft w:val="547"/>
          <w:marRight w:val="0"/>
          <w:marTop w:val="106"/>
          <w:marBottom w:val="0"/>
          <w:divBdr>
            <w:top w:val="none" w:sz="0" w:space="0" w:color="auto"/>
            <w:left w:val="none" w:sz="0" w:space="0" w:color="auto"/>
            <w:bottom w:val="none" w:sz="0" w:space="0" w:color="auto"/>
            <w:right w:val="none" w:sz="0" w:space="0" w:color="auto"/>
          </w:divBdr>
        </w:div>
        <w:div w:id="1439327358">
          <w:marLeft w:val="547"/>
          <w:marRight w:val="0"/>
          <w:marTop w:val="106"/>
          <w:marBottom w:val="0"/>
          <w:divBdr>
            <w:top w:val="none" w:sz="0" w:space="0" w:color="auto"/>
            <w:left w:val="none" w:sz="0" w:space="0" w:color="auto"/>
            <w:bottom w:val="none" w:sz="0" w:space="0" w:color="auto"/>
            <w:right w:val="none" w:sz="0" w:space="0" w:color="auto"/>
          </w:divBdr>
        </w:div>
        <w:div w:id="438064821">
          <w:marLeft w:val="547"/>
          <w:marRight w:val="0"/>
          <w:marTop w:val="106"/>
          <w:marBottom w:val="0"/>
          <w:divBdr>
            <w:top w:val="none" w:sz="0" w:space="0" w:color="auto"/>
            <w:left w:val="none" w:sz="0" w:space="0" w:color="auto"/>
            <w:bottom w:val="none" w:sz="0" w:space="0" w:color="auto"/>
            <w:right w:val="none" w:sz="0" w:space="0" w:color="auto"/>
          </w:divBdr>
        </w:div>
        <w:div w:id="1100375308">
          <w:marLeft w:val="547"/>
          <w:marRight w:val="0"/>
          <w:marTop w:val="106"/>
          <w:marBottom w:val="0"/>
          <w:divBdr>
            <w:top w:val="none" w:sz="0" w:space="0" w:color="auto"/>
            <w:left w:val="none" w:sz="0" w:space="0" w:color="auto"/>
            <w:bottom w:val="none" w:sz="0" w:space="0" w:color="auto"/>
            <w:right w:val="none" w:sz="0" w:space="0" w:color="auto"/>
          </w:divBdr>
        </w:div>
        <w:div w:id="957636823">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3467-D1B3-4275-8834-B396F3224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DiNicola (CPAM)</dc:creator>
  <cp:lastModifiedBy>Margarita Brattlof (EST)</cp:lastModifiedBy>
  <cp:revision>3</cp:revision>
  <cp:lastPrinted>2016-05-26T19:08:00Z</cp:lastPrinted>
  <dcterms:created xsi:type="dcterms:W3CDTF">2016-06-01T08:07:00Z</dcterms:created>
  <dcterms:modified xsi:type="dcterms:W3CDTF">2016-06-06T10:05:00Z</dcterms:modified>
</cp:coreProperties>
</file>