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530067">
      <w:pPr>
        <w:pStyle w:val="Hidden"/>
        <w:spacing w:after="0" w:line="240" w:lineRule="auto"/>
      </w:pPr>
    </w:p>
    <w:p w:rsidR="00012386" w:rsidRPr="003F76E2" w:rsidRDefault="00012386" w:rsidP="00530067">
      <w:pPr>
        <w:pStyle w:val="DocTitle"/>
        <w:spacing w:before="0" w:after="0"/>
        <w:jc w:val="left"/>
      </w:pPr>
      <w:bookmarkStart w:id="0" w:name="CoverBookmark"/>
      <w:bookmarkStart w:id="1" w:name="CoverTitleBookmark"/>
      <w:r>
        <w:rPr>
          <w:smallCaps/>
        </w:rPr>
        <w:t>Committee on Co</w:t>
      </w:r>
      <w:r w:rsidR="0078197B">
        <w:rPr>
          <w:smallCaps/>
        </w:rPr>
        <w:t>mmodity Problem</w:t>
      </w:r>
      <w:r>
        <w:rPr>
          <w:smallCaps/>
        </w:rPr>
        <w:t>s</w:t>
      </w:r>
    </w:p>
    <w:bookmarkEnd w:id="1" w:displacedByCustomXml="next"/>
    <w:bookmarkEnd w:id="0" w:displacedByCustomXml="next"/>
    <w:sdt>
      <w:sdtPr>
        <w:alias w:val="Meeting Information"/>
        <w:tag w:val="Meeting Information"/>
        <w:id w:val="8308208"/>
      </w:sdtPr>
      <w:sdtEndPr/>
      <w:sdtContent>
        <w:p w:rsidR="002116A8" w:rsidRDefault="002116A8" w:rsidP="00EE5E8C">
          <w:pPr>
            <w:pStyle w:val="MeetingInfo"/>
            <w:spacing w:after="0"/>
          </w:pPr>
          <w:r w:rsidRPr="00F56629">
            <w:t xml:space="preserve">INTERGOVERNMENTAL GROUP ON </w:t>
          </w:r>
          <w:r>
            <w:t>TEA</w:t>
          </w:r>
        </w:p>
        <w:p w:rsidR="002116A8" w:rsidRDefault="002116A8" w:rsidP="00EE5E8C">
          <w:pPr>
            <w:pStyle w:val="MeetingInfo"/>
            <w:spacing w:after="0"/>
          </w:pPr>
          <w:r>
            <w:t>Twenty-second Session</w:t>
          </w:r>
        </w:p>
        <w:p w:rsidR="002116A8" w:rsidRDefault="00C867A0" w:rsidP="00EE5E8C">
          <w:pPr>
            <w:pStyle w:val="MeetingInfo"/>
            <w:spacing w:after="0"/>
          </w:pPr>
          <w:proofErr w:type="spellStart"/>
          <w:r>
            <w:t>Naivasha</w:t>
          </w:r>
          <w:proofErr w:type="spellEnd"/>
          <w:r>
            <w:t>, Kenya, 25-27 May 2016</w:t>
          </w:r>
        </w:p>
        <w:p w:rsidR="002116A8" w:rsidRPr="00F56629" w:rsidRDefault="004C1A29" w:rsidP="00EE5E8C">
          <w:pPr>
            <w:pStyle w:val="MeetingInfo"/>
            <w:spacing w:after="0"/>
          </w:pPr>
          <w:r>
            <w:rPr>
              <w:rFonts w:ascii="Times New Roman" w:hAnsi="Times New Roman" w:cs="Times New Roman"/>
            </w:rPr>
            <w:t>SUMMARY OF COUNTRY INPUTS TO THE CURRENT SITUATION AND SHORT TERM FORECAST</w:t>
          </w:r>
          <w:r w:rsidR="002144A5">
            <w:t xml:space="preserve"> </w:t>
          </w:r>
        </w:p>
      </w:sdtContent>
    </w:sdt>
    <w:p w:rsidR="00687F71" w:rsidRDefault="00687F71" w:rsidP="00530067">
      <w:pPr>
        <w:spacing w:after="0"/>
      </w:pPr>
    </w:p>
    <w:p w:rsidR="004C1A29" w:rsidRPr="004C1A29" w:rsidRDefault="004C1A29" w:rsidP="004C1A29">
      <w:pPr>
        <w:spacing w:after="0"/>
        <w:jc w:val="center"/>
        <w:rPr>
          <w:rFonts w:cs="Times New Roman"/>
          <w:b/>
          <w:bCs/>
          <w:sz w:val="28"/>
          <w:szCs w:val="28"/>
        </w:rPr>
      </w:pPr>
      <w:r w:rsidRPr="004C1A29">
        <w:rPr>
          <w:rFonts w:cs="Times New Roman"/>
          <w:b/>
          <w:bCs/>
          <w:sz w:val="28"/>
          <w:szCs w:val="28"/>
        </w:rPr>
        <w:t>INDIA</w:t>
      </w:r>
    </w:p>
    <w:p w:rsidR="004C1A29" w:rsidRPr="00583507" w:rsidRDefault="004C1A29" w:rsidP="004C1A29">
      <w:pPr>
        <w:spacing w:after="0"/>
        <w:jc w:val="center"/>
        <w:rPr>
          <w:rFonts w:cs="Times New Roman"/>
          <w:b/>
          <w:bCs/>
          <w:u w:val="single"/>
        </w:rPr>
      </w:pPr>
    </w:p>
    <w:p w:rsidR="004C1A29" w:rsidRPr="00583507" w:rsidRDefault="004C1A29" w:rsidP="004C1A29">
      <w:pPr>
        <w:spacing w:after="0"/>
        <w:rPr>
          <w:rFonts w:cs="Times New Roman"/>
          <w:bCs/>
        </w:rPr>
      </w:pPr>
      <w:r w:rsidRPr="00583507">
        <w:rPr>
          <w:rFonts w:cs="Times New Roman"/>
          <w:bCs/>
          <w:u w:val="single"/>
        </w:rPr>
        <w:t>Review of 2014</w:t>
      </w:r>
    </w:p>
    <w:p w:rsidR="004C1A29" w:rsidRPr="00583507" w:rsidRDefault="004C1A29" w:rsidP="004C1A29">
      <w:pPr>
        <w:spacing w:after="0"/>
        <w:rPr>
          <w:rFonts w:cs="Times New Roman"/>
        </w:rPr>
      </w:pPr>
    </w:p>
    <w:p w:rsidR="004C1A29" w:rsidRPr="00583507" w:rsidRDefault="004C1A29" w:rsidP="004C1A29">
      <w:pPr>
        <w:spacing w:after="0"/>
        <w:jc w:val="both"/>
        <w:rPr>
          <w:rFonts w:cs="Times New Roman"/>
        </w:rPr>
      </w:pPr>
      <w:r w:rsidRPr="00583507">
        <w:rPr>
          <w:rFonts w:cs="Times New Roman"/>
        </w:rPr>
        <w:t xml:space="preserve">Tea Production in 2014 reached a record high of 1207.31 </w:t>
      </w:r>
      <w:r>
        <w:rPr>
          <w:rFonts w:cs="Times New Roman"/>
        </w:rPr>
        <w:t>thousand tonnes</w:t>
      </w:r>
      <w:r w:rsidRPr="00583507">
        <w:rPr>
          <w:rFonts w:cs="Times New Roman"/>
        </w:rPr>
        <w:t>.  Small grower</w:t>
      </w:r>
      <w:r>
        <w:rPr>
          <w:rFonts w:cs="Times New Roman"/>
        </w:rPr>
        <w:t>s accounted for 33 percent</w:t>
      </w:r>
      <w:r w:rsidRPr="00583507">
        <w:rPr>
          <w:rFonts w:cs="Times New Roman"/>
        </w:rPr>
        <w:t xml:space="preserve"> (398.04 </w:t>
      </w:r>
      <w:r>
        <w:rPr>
          <w:rFonts w:cs="Times New Roman"/>
        </w:rPr>
        <w:t>thousand tonnes</w:t>
      </w:r>
      <w:r w:rsidRPr="00583507">
        <w:rPr>
          <w:rFonts w:cs="Times New Roman"/>
        </w:rPr>
        <w:t>) of the total share.</w:t>
      </w:r>
      <w:r>
        <w:rPr>
          <w:rFonts w:cs="Times New Roman"/>
        </w:rPr>
        <w:t xml:space="preserve"> </w:t>
      </w:r>
      <w:r w:rsidRPr="00583507">
        <w:rPr>
          <w:rFonts w:cs="Times New Roman"/>
        </w:rPr>
        <w:t xml:space="preserve"> It is expected that the small growers will play a key role in overall production in the coming years.</w:t>
      </w:r>
    </w:p>
    <w:p w:rsidR="004C1A29" w:rsidRPr="00583507" w:rsidRDefault="004C1A29" w:rsidP="004C1A29">
      <w:pPr>
        <w:spacing w:after="0"/>
        <w:jc w:val="both"/>
        <w:rPr>
          <w:rFonts w:cs="Times New Roman"/>
        </w:rPr>
      </w:pPr>
    </w:p>
    <w:p w:rsidR="004C1A29" w:rsidRPr="00583507" w:rsidRDefault="004C1A29" w:rsidP="004C1A29">
      <w:pPr>
        <w:spacing w:after="0"/>
        <w:jc w:val="both"/>
        <w:rPr>
          <w:rFonts w:cs="Times New Roman"/>
        </w:rPr>
      </w:pPr>
      <w:r w:rsidRPr="00583507">
        <w:rPr>
          <w:rFonts w:cs="Times New Roman"/>
        </w:rPr>
        <w:t xml:space="preserve">Exports </w:t>
      </w:r>
      <w:r>
        <w:rPr>
          <w:rFonts w:cs="Times New Roman"/>
        </w:rPr>
        <w:t xml:space="preserve">in 2014 stood at 207.44 thousand tonnes, </w:t>
      </w:r>
      <w:r w:rsidRPr="00583507">
        <w:rPr>
          <w:rFonts w:cs="Times New Roman"/>
        </w:rPr>
        <w:t xml:space="preserve">with FOB value of </w:t>
      </w:r>
      <w:proofErr w:type="spellStart"/>
      <w:r w:rsidRPr="00583507">
        <w:rPr>
          <w:rFonts w:cs="Times New Roman"/>
        </w:rPr>
        <w:t>Rs</w:t>
      </w:r>
      <w:proofErr w:type="spellEnd"/>
      <w:r w:rsidRPr="00583507">
        <w:rPr>
          <w:rFonts w:cs="Times New Roman"/>
        </w:rPr>
        <w:t>. 4054.02 Crores, (</w:t>
      </w:r>
      <w:r>
        <w:rPr>
          <w:rFonts w:cs="Times New Roman"/>
        </w:rPr>
        <w:t xml:space="preserve">USD </w:t>
      </w:r>
      <w:r w:rsidRPr="00583507">
        <w:rPr>
          <w:rFonts w:cs="Times New Roman"/>
        </w:rPr>
        <w:t>664.26</w:t>
      </w:r>
      <w:r>
        <w:rPr>
          <w:rFonts w:cs="Times New Roman"/>
        </w:rPr>
        <w:t xml:space="preserve"> million</w:t>
      </w:r>
      <w:r w:rsidRPr="00583507">
        <w:rPr>
          <w:rFonts w:cs="Times New Roman"/>
        </w:rPr>
        <w:t>) with unit price reali</w:t>
      </w:r>
      <w:r>
        <w:rPr>
          <w:rFonts w:cs="Times New Roman"/>
        </w:rPr>
        <w:t xml:space="preserve">sation at </w:t>
      </w:r>
      <w:proofErr w:type="spellStart"/>
      <w:r>
        <w:rPr>
          <w:rFonts w:cs="Times New Roman"/>
        </w:rPr>
        <w:t>Rs</w:t>
      </w:r>
      <w:proofErr w:type="spellEnd"/>
      <w:r>
        <w:rPr>
          <w:rFonts w:cs="Times New Roman"/>
        </w:rPr>
        <w:t>. 195.43 per Kg (USD</w:t>
      </w:r>
      <w:r w:rsidRPr="00583507">
        <w:rPr>
          <w:rFonts w:cs="Times New Roman"/>
        </w:rPr>
        <w:t xml:space="preserve"> 3.20).</w:t>
      </w:r>
    </w:p>
    <w:p w:rsidR="004C1A29" w:rsidRPr="00583507" w:rsidRDefault="004C1A29" w:rsidP="004C1A29">
      <w:pPr>
        <w:spacing w:after="0"/>
        <w:jc w:val="both"/>
        <w:rPr>
          <w:rFonts w:cs="Times New Roman"/>
        </w:rPr>
      </w:pPr>
    </w:p>
    <w:p w:rsidR="004C1A29" w:rsidRDefault="004C1A29" w:rsidP="004C1A29">
      <w:pPr>
        <w:spacing w:after="0"/>
        <w:jc w:val="both"/>
        <w:rPr>
          <w:rFonts w:cs="Times New Roman"/>
        </w:rPr>
      </w:pPr>
      <w:r w:rsidRPr="00583507">
        <w:rPr>
          <w:rFonts w:cs="Times New Roman"/>
        </w:rPr>
        <w:t xml:space="preserve">India’s tea imports in 2014 stood at 20.59 </w:t>
      </w:r>
      <w:r>
        <w:rPr>
          <w:rFonts w:cs="Times New Roman"/>
        </w:rPr>
        <w:t xml:space="preserve">thousand tonnes, </w:t>
      </w:r>
      <w:r w:rsidRPr="00583507">
        <w:rPr>
          <w:rFonts w:cs="Times New Roman"/>
        </w:rPr>
        <w:t>with</w:t>
      </w:r>
      <w:r>
        <w:rPr>
          <w:rFonts w:cs="Times New Roman"/>
        </w:rPr>
        <w:t xml:space="preserve"> CIF value of </w:t>
      </w:r>
      <w:proofErr w:type="spellStart"/>
      <w:r>
        <w:rPr>
          <w:rFonts w:cs="Times New Roman"/>
        </w:rPr>
        <w:t>Rs</w:t>
      </w:r>
      <w:proofErr w:type="spellEnd"/>
      <w:r>
        <w:rPr>
          <w:rFonts w:cs="Times New Roman"/>
        </w:rPr>
        <w:t>. 272.63 Crores (USD</w:t>
      </w:r>
      <w:r w:rsidRPr="00583507">
        <w:rPr>
          <w:rFonts w:cs="Times New Roman"/>
        </w:rPr>
        <w:t xml:space="preserve"> 44.67</w:t>
      </w:r>
      <w:r>
        <w:rPr>
          <w:rFonts w:cs="Times New Roman"/>
        </w:rPr>
        <w:t xml:space="preserve"> million</w:t>
      </w:r>
      <w:r w:rsidRPr="00583507">
        <w:rPr>
          <w:rFonts w:cs="Times New Roman"/>
        </w:rPr>
        <w:t>) with unit</w:t>
      </w:r>
      <w:r>
        <w:rPr>
          <w:rFonts w:cs="Times New Roman"/>
        </w:rPr>
        <w:t xml:space="preserve"> price of </w:t>
      </w:r>
      <w:proofErr w:type="spellStart"/>
      <w:r>
        <w:rPr>
          <w:rFonts w:cs="Times New Roman"/>
        </w:rPr>
        <w:t>Rs</w:t>
      </w:r>
      <w:proofErr w:type="spellEnd"/>
      <w:r>
        <w:rPr>
          <w:rFonts w:cs="Times New Roman"/>
        </w:rPr>
        <w:t>. 132.41 per kg (USD</w:t>
      </w:r>
      <w:r w:rsidRPr="00583507">
        <w:rPr>
          <w:rFonts w:cs="Times New Roman"/>
        </w:rPr>
        <w:t xml:space="preserve"> 2.17)</w:t>
      </w:r>
      <w:r>
        <w:rPr>
          <w:rFonts w:cs="Times New Roman"/>
        </w:rPr>
        <w:t>.</w:t>
      </w:r>
    </w:p>
    <w:p w:rsidR="004C1A29" w:rsidRPr="00583507" w:rsidRDefault="004C1A29" w:rsidP="004C1A29">
      <w:pPr>
        <w:spacing w:after="0"/>
        <w:jc w:val="both"/>
        <w:rPr>
          <w:rFonts w:cs="Times New Roman"/>
        </w:rPr>
      </w:pPr>
    </w:p>
    <w:p w:rsidR="004C1A29" w:rsidRDefault="004C1A29" w:rsidP="004C1A29">
      <w:pPr>
        <w:spacing w:after="0"/>
        <w:jc w:val="both"/>
        <w:rPr>
          <w:rFonts w:cs="Times New Roman"/>
        </w:rPr>
      </w:pPr>
      <w:r w:rsidRPr="00583507">
        <w:rPr>
          <w:rFonts w:cs="Times New Roman"/>
        </w:rPr>
        <w:t xml:space="preserve">Tea auction centres in India </w:t>
      </w:r>
      <w:r>
        <w:rPr>
          <w:rFonts w:cs="Times New Roman"/>
        </w:rPr>
        <w:t>sold a quantity of 541.73 thousand tonnes and the</w:t>
      </w:r>
      <w:r w:rsidRPr="00583507">
        <w:rPr>
          <w:rFonts w:cs="Times New Roman"/>
        </w:rPr>
        <w:t xml:space="preserve"> average auction price </w:t>
      </w:r>
      <w:r>
        <w:rPr>
          <w:rFonts w:cs="Times New Roman"/>
        </w:rPr>
        <w:t xml:space="preserve">was </w:t>
      </w:r>
      <w:proofErr w:type="spellStart"/>
      <w:r>
        <w:rPr>
          <w:rFonts w:cs="Times New Roman"/>
        </w:rPr>
        <w:t>Rs</w:t>
      </w:r>
      <w:proofErr w:type="spellEnd"/>
      <w:r>
        <w:rPr>
          <w:rFonts w:cs="Times New Roman"/>
        </w:rPr>
        <w:t>. 126.88 per Kg (USD 2.08).</w:t>
      </w:r>
    </w:p>
    <w:p w:rsidR="004C1A29" w:rsidRPr="00583507" w:rsidRDefault="004C1A29" w:rsidP="004C1A29">
      <w:pPr>
        <w:spacing w:after="0"/>
        <w:jc w:val="both"/>
        <w:rPr>
          <w:rFonts w:cs="Times New Roman"/>
        </w:rPr>
      </w:pPr>
    </w:p>
    <w:p w:rsidR="004C1A29" w:rsidRPr="00583507" w:rsidRDefault="004C1A29" w:rsidP="004C1A29">
      <w:pPr>
        <w:spacing w:after="0"/>
        <w:jc w:val="both"/>
        <w:rPr>
          <w:rFonts w:cs="Times New Roman"/>
        </w:rPr>
      </w:pPr>
      <w:r w:rsidRPr="00583507">
        <w:rPr>
          <w:rFonts w:cs="Times New Roman"/>
        </w:rPr>
        <w:t xml:space="preserve">Apparent domestic consumption during 2014 was 927 </w:t>
      </w:r>
      <w:r>
        <w:rPr>
          <w:rFonts w:cs="Times New Roman"/>
        </w:rPr>
        <w:t>thousand tonnes</w:t>
      </w:r>
      <w:r w:rsidRPr="00583507">
        <w:rPr>
          <w:rFonts w:cs="Times New Roman"/>
        </w:rPr>
        <w:t>.</w:t>
      </w:r>
    </w:p>
    <w:p w:rsidR="004C1A29" w:rsidRPr="00583507" w:rsidRDefault="004C1A29" w:rsidP="004C1A29">
      <w:pPr>
        <w:spacing w:after="0"/>
        <w:rPr>
          <w:rFonts w:cs="Times New Roman"/>
        </w:rPr>
      </w:pPr>
    </w:p>
    <w:p w:rsidR="004C1A29" w:rsidRPr="00583507" w:rsidRDefault="004C1A29" w:rsidP="004C1A29">
      <w:pPr>
        <w:spacing w:after="0"/>
        <w:rPr>
          <w:rFonts w:cs="Times New Roman"/>
          <w:bCs/>
        </w:rPr>
      </w:pPr>
      <w:r w:rsidRPr="00583507">
        <w:rPr>
          <w:rFonts w:cs="Times New Roman"/>
          <w:bCs/>
          <w:u w:val="single"/>
        </w:rPr>
        <w:t>Estimates for 2015</w:t>
      </w:r>
    </w:p>
    <w:p w:rsidR="004C1A29" w:rsidRPr="00583507" w:rsidRDefault="004C1A29" w:rsidP="004C1A29">
      <w:pPr>
        <w:spacing w:after="0"/>
        <w:rPr>
          <w:rFonts w:cs="Times New Roman"/>
        </w:rPr>
      </w:pPr>
    </w:p>
    <w:p w:rsidR="004C1A29" w:rsidRDefault="004C1A29" w:rsidP="004C1A29">
      <w:pPr>
        <w:spacing w:after="0"/>
        <w:jc w:val="both"/>
        <w:rPr>
          <w:rFonts w:cs="Times New Roman"/>
        </w:rPr>
      </w:pPr>
      <w:r w:rsidRPr="00583507">
        <w:rPr>
          <w:rFonts w:cs="Times New Roman"/>
        </w:rPr>
        <w:t>Tea Production in 2015 is estimated at 1191.10</w:t>
      </w:r>
      <w:r>
        <w:rPr>
          <w:rFonts w:cs="Times New Roman"/>
        </w:rPr>
        <w:t xml:space="preserve"> thousand tonnes, a decline of 16.21 thousand tonnes</w:t>
      </w:r>
      <w:r w:rsidRPr="00583507">
        <w:rPr>
          <w:rFonts w:cs="Times New Roman"/>
        </w:rPr>
        <w:t xml:space="preserve"> compared to the corresponding period of 2014. </w:t>
      </w:r>
      <w:r>
        <w:rPr>
          <w:rFonts w:cs="Times New Roman"/>
        </w:rPr>
        <w:t xml:space="preserve"> </w:t>
      </w:r>
      <w:r w:rsidRPr="00583507">
        <w:rPr>
          <w:rFonts w:cs="Times New Roman"/>
        </w:rPr>
        <w:t xml:space="preserve">It is expected that once data is finalized, India’s tea production in 2015 will be closer to 1200 </w:t>
      </w:r>
      <w:r>
        <w:rPr>
          <w:rFonts w:cs="Times New Roman"/>
        </w:rPr>
        <w:t>thousand tonnes</w:t>
      </w:r>
      <w:r w:rsidRPr="00583507">
        <w:rPr>
          <w:rFonts w:cs="Times New Roman"/>
        </w:rPr>
        <w:t>, and thereby a marginal decline as compared to 2014.</w:t>
      </w:r>
    </w:p>
    <w:p w:rsidR="004C1A29" w:rsidRPr="00583507" w:rsidRDefault="004C1A29" w:rsidP="004C1A29">
      <w:pPr>
        <w:spacing w:after="0"/>
        <w:jc w:val="both"/>
        <w:rPr>
          <w:rFonts w:cs="Times New Roman"/>
        </w:rPr>
      </w:pPr>
    </w:p>
    <w:p w:rsidR="004C1A29" w:rsidRDefault="004C1A29" w:rsidP="004C1A29">
      <w:pPr>
        <w:spacing w:after="0"/>
        <w:jc w:val="both"/>
        <w:rPr>
          <w:rFonts w:cs="Times New Roman"/>
        </w:rPr>
      </w:pPr>
      <w:r w:rsidRPr="00583507">
        <w:rPr>
          <w:rFonts w:cs="Times New Roman"/>
        </w:rPr>
        <w:t xml:space="preserve">Provisional tea Exports during 2015 stood at 217.67 </w:t>
      </w:r>
      <w:r>
        <w:rPr>
          <w:rFonts w:cs="Times New Roman"/>
        </w:rPr>
        <w:t xml:space="preserve">thousand tonnes, </w:t>
      </w:r>
      <w:r w:rsidRPr="00583507">
        <w:rPr>
          <w:rFonts w:cs="Times New Roman"/>
        </w:rPr>
        <w:t>with FOB value</w:t>
      </w:r>
      <w:r>
        <w:rPr>
          <w:rFonts w:cs="Times New Roman"/>
        </w:rPr>
        <w:t xml:space="preserve"> of </w:t>
      </w:r>
      <w:proofErr w:type="spellStart"/>
      <w:r>
        <w:rPr>
          <w:rFonts w:cs="Times New Roman"/>
        </w:rPr>
        <w:t>Rs</w:t>
      </w:r>
      <w:proofErr w:type="spellEnd"/>
      <w:r>
        <w:rPr>
          <w:rFonts w:cs="Times New Roman"/>
        </w:rPr>
        <w:t>. 4085.93 Crores (USD</w:t>
      </w:r>
      <w:r w:rsidRPr="00583507">
        <w:rPr>
          <w:rFonts w:cs="Times New Roman"/>
        </w:rPr>
        <w:t xml:space="preserve"> 637.16</w:t>
      </w:r>
      <w:r>
        <w:rPr>
          <w:rFonts w:cs="Times New Roman"/>
        </w:rPr>
        <w:t xml:space="preserve"> million), an increase of 10.23 thousand tonnes in quantity and </w:t>
      </w:r>
      <w:proofErr w:type="spellStart"/>
      <w:r w:rsidRPr="00583507">
        <w:rPr>
          <w:rFonts w:cs="Times New Roman"/>
        </w:rPr>
        <w:t>Rs</w:t>
      </w:r>
      <w:proofErr w:type="spellEnd"/>
      <w:r w:rsidRPr="00583507">
        <w:rPr>
          <w:rFonts w:cs="Times New Roman"/>
        </w:rPr>
        <w:t xml:space="preserve">. 31.91 Crores in value over </w:t>
      </w:r>
      <w:r>
        <w:rPr>
          <w:rFonts w:cs="Times New Roman"/>
        </w:rPr>
        <w:t xml:space="preserve">the </w:t>
      </w:r>
      <w:r w:rsidRPr="00583507">
        <w:rPr>
          <w:rFonts w:cs="Times New Roman"/>
        </w:rPr>
        <w:t xml:space="preserve">corresponding period. </w:t>
      </w:r>
      <w:r>
        <w:rPr>
          <w:rFonts w:cs="Times New Roman"/>
        </w:rPr>
        <w:t xml:space="preserve"> </w:t>
      </w:r>
      <w:r w:rsidRPr="00583507">
        <w:rPr>
          <w:rFonts w:cs="Times New Roman"/>
        </w:rPr>
        <w:t xml:space="preserve">It is expected that the final data on tea exports during 2015 </w:t>
      </w:r>
      <w:r>
        <w:rPr>
          <w:rFonts w:cs="Times New Roman"/>
        </w:rPr>
        <w:t>will remain around 225 thousand tonnes,</w:t>
      </w:r>
      <w:r w:rsidRPr="00583507">
        <w:rPr>
          <w:rFonts w:cs="Times New Roman"/>
        </w:rPr>
        <w:t xml:space="preserve"> which indicates a significant growth compared to 2014.</w:t>
      </w:r>
    </w:p>
    <w:p w:rsidR="004C1A29" w:rsidRPr="00583507" w:rsidRDefault="004C1A29" w:rsidP="004C1A29">
      <w:pPr>
        <w:spacing w:after="0"/>
        <w:jc w:val="both"/>
        <w:rPr>
          <w:rFonts w:cs="Times New Roman"/>
        </w:rPr>
      </w:pPr>
    </w:p>
    <w:p w:rsidR="004C1A29" w:rsidRDefault="004C1A29" w:rsidP="004C1A29">
      <w:pPr>
        <w:spacing w:after="0"/>
        <w:jc w:val="both"/>
        <w:rPr>
          <w:rFonts w:cs="Times New Roman"/>
        </w:rPr>
      </w:pPr>
      <w:r w:rsidRPr="00583507">
        <w:rPr>
          <w:rFonts w:cs="Times New Roman"/>
        </w:rPr>
        <w:t>India’</w:t>
      </w:r>
      <w:r>
        <w:rPr>
          <w:rFonts w:cs="Times New Roman"/>
        </w:rPr>
        <w:t xml:space="preserve">s tea imports during 2015 stand at 18.61 thousand tonnes, with a </w:t>
      </w:r>
      <w:r w:rsidRPr="00583507">
        <w:rPr>
          <w:rFonts w:cs="Times New Roman"/>
        </w:rPr>
        <w:t>CIF v</w:t>
      </w:r>
      <w:r>
        <w:rPr>
          <w:rFonts w:cs="Times New Roman"/>
        </w:rPr>
        <w:t xml:space="preserve">alue of </w:t>
      </w:r>
      <w:proofErr w:type="spellStart"/>
      <w:r>
        <w:rPr>
          <w:rFonts w:cs="Times New Roman"/>
        </w:rPr>
        <w:t>Rs</w:t>
      </w:r>
      <w:proofErr w:type="spellEnd"/>
      <w:r>
        <w:rPr>
          <w:rFonts w:cs="Times New Roman"/>
        </w:rPr>
        <w:t>. 235.96 crores (</w:t>
      </w:r>
      <w:r w:rsidRPr="00583507">
        <w:rPr>
          <w:rFonts w:cs="Times New Roman"/>
        </w:rPr>
        <w:t>US</w:t>
      </w:r>
      <w:r>
        <w:rPr>
          <w:rFonts w:cs="Times New Roman"/>
        </w:rPr>
        <w:t>D</w:t>
      </w:r>
      <w:r w:rsidRPr="00583507">
        <w:rPr>
          <w:rFonts w:cs="Times New Roman"/>
        </w:rPr>
        <w:t xml:space="preserve"> 36.80</w:t>
      </w:r>
      <w:r>
        <w:rPr>
          <w:rFonts w:cs="Times New Roman"/>
        </w:rPr>
        <w:t xml:space="preserve"> million</w:t>
      </w:r>
      <w:r w:rsidRPr="00583507">
        <w:rPr>
          <w:rFonts w:cs="Times New Roman"/>
        </w:rPr>
        <w:t xml:space="preserve">). </w:t>
      </w:r>
      <w:r>
        <w:rPr>
          <w:rFonts w:cs="Times New Roman"/>
        </w:rPr>
        <w:t xml:space="preserve"> </w:t>
      </w:r>
      <w:r w:rsidRPr="00583507">
        <w:rPr>
          <w:rFonts w:cs="Times New Roman"/>
        </w:rPr>
        <w:t>The import quantity declined in 2015</w:t>
      </w:r>
      <w:r>
        <w:rPr>
          <w:rFonts w:cs="Times New Roman"/>
        </w:rPr>
        <w:t xml:space="preserve"> </w:t>
      </w:r>
      <w:r w:rsidRPr="00583507">
        <w:rPr>
          <w:rFonts w:cs="Times New Roman"/>
        </w:rPr>
        <w:t>as compared to 2014.</w:t>
      </w:r>
    </w:p>
    <w:p w:rsidR="004C1A29" w:rsidRPr="00583507" w:rsidRDefault="004C1A29" w:rsidP="004C1A29">
      <w:pPr>
        <w:spacing w:after="0"/>
        <w:jc w:val="both"/>
        <w:rPr>
          <w:rFonts w:cs="Times New Roman"/>
        </w:rPr>
      </w:pPr>
    </w:p>
    <w:p w:rsidR="004C1A29" w:rsidRDefault="004C1A29" w:rsidP="004C1A29">
      <w:pPr>
        <w:spacing w:after="0"/>
        <w:jc w:val="both"/>
        <w:rPr>
          <w:rFonts w:cs="Times New Roman"/>
        </w:rPr>
      </w:pPr>
      <w:r w:rsidRPr="00583507">
        <w:rPr>
          <w:rFonts w:cs="Times New Roman"/>
        </w:rPr>
        <w:t xml:space="preserve">Tea auction centres in India sold a quantity </w:t>
      </w:r>
      <w:r>
        <w:rPr>
          <w:rFonts w:cs="Times New Roman"/>
        </w:rPr>
        <w:t>of 561.99 thousand tonnes in 2015 and the</w:t>
      </w:r>
      <w:r w:rsidRPr="00583507">
        <w:rPr>
          <w:rFonts w:cs="Times New Roman"/>
        </w:rPr>
        <w:t xml:space="preserve"> average auction price </w:t>
      </w:r>
      <w:r>
        <w:rPr>
          <w:rFonts w:cs="Times New Roman"/>
        </w:rPr>
        <w:t xml:space="preserve">was </w:t>
      </w:r>
      <w:proofErr w:type="spellStart"/>
      <w:r w:rsidRPr="00583507">
        <w:rPr>
          <w:rFonts w:cs="Times New Roman"/>
        </w:rPr>
        <w:t>Rs</w:t>
      </w:r>
      <w:proofErr w:type="spellEnd"/>
      <w:r w:rsidRPr="00583507">
        <w:rPr>
          <w:rFonts w:cs="Times New Roman"/>
        </w:rPr>
        <w:t>. 124.48 per Kg (US</w:t>
      </w:r>
      <w:r>
        <w:rPr>
          <w:rFonts w:cs="Times New Roman"/>
        </w:rPr>
        <w:t>D</w:t>
      </w:r>
      <w:r w:rsidRPr="00583507">
        <w:rPr>
          <w:rFonts w:cs="Times New Roman"/>
        </w:rPr>
        <w:t xml:space="preserve"> 1.94).</w:t>
      </w:r>
    </w:p>
    <w:p w:rsidR="004C1A29" w:rsidRPr="00583507" w:rsidRDefault="004C1A29" w:rsidP="004C1A29">
      <w:pPr>
        <w:spacing w:after="0"/>
        <w:jc w:val="both"/>
        <w:rPr>
          <w:rFonts w:cs="Times New Roman"/>
        </w:rPr>
      </w:pPr>
    </w:p>
    <w:p w:rsidR="004C1A29" w:rsidRPr="00583507" w:rsidRDefault="004C1A29" w:rsidP="004C1A29">
      <w:pPr>
        <w:spacing w:after="0"/>
        <w:jc w:val="both"/>
        <w:rPr>
          <w:rFonts w:cs="Times New Roman"/>
        </w:rPr>
      </w:pPr>
      <w:r w:rsidRPr="00583507">
        <w:rPr>
          <w:rFonts w:cs="Times New Roman"/>
        </w:rPr>
        <w:t xml:space="preserve">Apparent domestic consumption during 2015 was 948 </w:t>
      </w:r>
      <w:r>
        <w:rPr>
          <w:rFonts w:cs="Times New Roman"/>
        </w:rPr>
        <w:t>thousand tonnes</w:t>
      </w:r>
      <w:r w:rsidRPr="00583507">
        <w:rPr>
          <w:rFonts w:cs="Times New Roman"/>
        </w:rPr>
        <w:t>.</w:t>
      </w:r>
    </w:p>
    <w:p w:rsidR="004C1A29" w:rsidRPr="00583507" w:rsidRDefault="004C1A29" w:rsidP="004C1A29">
      <w:pPr>
        <w:spacing w:after="0"/>
        <w:jc w:val="both"/>
        <w:rPr>
          <w:rFonts w:cs="Times New Roman"/>
        </w:rPr>
      </w:pPr>
    </w:p>
    <w:p w:rsidR="004C1A29" w:rsidRPr="00583507" w:rsidRDefault="004C1A29" w:rsidP="004C1A29">
      <w:pPr>
        <w:spacing w:after="0"/>
        <w:jc w:val="both"/>
        <w:rPr>
          <w:rFonts w:cs="Times New Roman"/>
        </w:rPr>
      </w:pPr>
      <w:r w:rsidRPr="00583507">
        <w:rPr>
          <w:rFonts w:cs="Times New Roman"/>
          <w:bCs/>
          <w:u w:val="single"/>
        </w:rPr>
        <w:t>Outlook for 2016</w:t>
      </w:r>
    </w:p>
    <w:p w:rsidR="004C1A29" w:rsidRPr="00583507" w:rsidRDefault="004C1A29" w:rsidP="004C1A29">
      <w:pPr>
        <w:spacing w:after="0"/>
        <w:jc w:val="both"/>
        <w:rPr>
          <w:rFonts w:cs="Times New Roman"/>
        </w:rPr>
      </w:pPr>
    </w:p>
    <w:p w:rsidR="004C1A29" w:rsidRPr="00583507" w:rsidRDefault="004C1A29" w:rsidP="004C1A29">
      <w:pPr>
        <w:spacing w:after="0"/>
        <w:jc w:val="both"/>
        <w:rPr>
          <w:rFonts w:cs="Times New Roman"/>
        </w:rPr>
      </w:pPr>
      <w:r w:rsidRPr="00583507">
        <w:rPr>
          <w:rFonts w:cs="Times New Roman"/>
        </w:rPr>
        <w:t>It is too early to pre</w:t>
      </w:r>
      <w:r>
        <w:rPr>
          <w:rFonts w:cs="Times New Roman"/>
        </w:rPr>
        <w:t xml:space="preserve">cise the estimates for 2016, as </w:t>
      </w:r>
      <w:r w:rsidRPr="00583507">
        <w:rPr>
          <w:rFonts w:cs="Times New Roman"/>
        </w:rPr>
        <w:t>production depends on various agro climatic conditions.</w:t>
      </w:r>
      <w:r>
        <w:rPr>
          <w:rFonts w:cs="Times New Roman"/>
        </w:rPr>
        <w:t xml:space="preserve"> </w:t>
      </w:r>
      <w:r w:rsidRPr="00583507">
        <w:rPr>
          <w:rFonts w:cs="Times New Roman"/>
        </w:rPr>
        <w:t xml:space="preserve"> However, considering the trend </w:t>
      </w:r>
      <w:r>
        <w:rPr>
          <w:rFonts w:cs="Times New Roman"/>
        </w:rPr>
        <w:t xml:space="preserve">over the </w:t>
      </w:r>
      <w:r w:rsidRPr="00583507">
        <w:rPr>
          <w:rFonts w:cs="Times New Roman"/>
        </w:rPr>
        <w:t>previous years, it is expected that production and trade will maintain an upward trend.</w:t>
      </w:r>
    </w:p>
    <w:p w:rsidR="004C1A29" w:rsidRPr="00583507" w:rsidRDefault="004C1A29" w:rsidP="004C1A29">
      <w:pPr>
        <w:spacing w:after="0"/>
        <w:jc w:val="both"/>
        <w:rPr>
          <w:rFonts w:cs="Times New Roman"/>
          <w:b/>
        </w:rPr>
      </w:pPr>
    </w:p>
    <w:p w:rsidR="004C1A29" w:rsidRPr="004C1A29" w:rsidRDefault="004C1A29" w:rsidP="004C1A29">
      <w:pPr>
        <w:spacing w:after="0"/>
        <w:jc w:val="center"/>
        <w:rPr>
          <w:rFonts w:cs="Times New Roman"/>
          <w:b/>
          <w:bCs/>
          <w:sz w:val="28"/>
          <w:szCs w:val="28"/>
        </w:rPr>
      </w:pPr>
      <w:r w:rsidRPr="004C1A29">
        <w:rPr>
          <w:rFonts w:cs="Times New Roman"/>
          <w:b/>
          <w:bCs/>
          <w:sz w:val="28"/>
          <w:szCs w:val="28"/>
        </w:rPr>
        <w:t>SRI LANKA</w:t>
      </w:r>
    </w:p>
    <w:p w:rsidR="004C1A29" w:rsidRPr="00583507" w:rsidRDefault="004C1A29" w:rsidP="004C1A29">
      <w:pPr>
        <w:pStyle w:val="NoSpacing"/>
        <w:rPr>
          <w:rFonts w:ascii="Times New Roman" w:hAnsi="Times New Roman"/>
          <w:b/>
          <w:u w:val="single"/>
        </w:rPr>
      </w:pPr>
    </w:p>
    <w:p w:rsidR="004C1A29" w:rsidRPr="00583507" w:rsidRDefault="004C1A29" w:rsidP="004C1A29">
      <w:pPr>
        <w:pStyle w:val="NoSpacing"/>
        <w:rPr>
          <w:rFonts w:ascii="Times New Roman" w:hAnsi="Times New Roman"/>
          <w:u w:val="single"/>
        </w:rPr>
      </w:pPr>
      <w:r w:rsidRPr="00583507">
        <w:rPr>
          <w:rFonts w:ascii="Times New Roman" w:hAnsi="Times New Roman"/>
          <w:u w:val="single"/>
        </w:rPr>
        <w:t>Review of 2014</w:t>
      </w:r>
    </w:p>
    <w:p w:rsidR="004C1A29" w:rsidRPr="00583507" w:rsidRDefault="004C1A29" w:rsidP="004C1A29">
      <w:pPr>
        <w:pStyle w:val="NoSpacing"/>
        <w:rPr>
          <w:rFonts w:ascii="Times New Roman" w:hAnsi="Times New Roman"/>
          <w:b/>
          <w:u w:val="single"/>
        </w:rPr>
      </w:pPr>
    </w:p>
    <w:p w:rsidR="004C1A29" w:rsidRPr="00583507" w:rsidRDefault="004C1A29" w:rsidP="004C1A29">
      <w:pPr>
        <w:jc w:val="both"/>
        <w:rPr>
          <w:rFonts w:cs="Times New Roman"/>
        </w:rPr>
      </w:pPr>
      <w:r w:rsidRPr="00583507">
        <w:rPr>
          <w:rFonts w:cs="Times New Roman"/>
        </w:rPr>
        <w:t>The y</w:t>
      </w:r>
      <w:r>
        <w:rPr>
          <w:rFonts w:cs="Times New Roman"/>
        </w:rPr>
        <w:t>ear 2014 commenced on an upbeat</w:t>
      </w:r>
      <w:r w:rsidRPr="00583507">
        <w:rPr>
          <w:rFonts w:cs="Times New Roman"/>
        </w:rPr>
        <w:t xml:space="preserve"> due to the revenue from tea exports, production reaching record levels in 2013 and prices continuing to maintain attractive levels from all elevations.</w:t>
      </w:r>
      <w:r>
        <w:rPr>
          <w:rFonts w:cs="Times New Roman"/>
        </w:rPr>
        <w:t xml:space="preserve"> </w:t>
      </w:r>
      <w:r w:rsidRPr="00583507">
        <w:rPr>
          <w:rFonts w:cs="Times New Roman"/>
        </w:rPr>
        <w:t xml:space="preserve"> This was despite the fact that some of </w:t>
      </w:r>
      <w:r>
        <w:rPr>
          <w:rFonts w:cs="Times New Roman"/>
        </w:rPr>
        <w:t>the</w:t>
      </w:r>
      <w:r w:rsidRPr="00583507">
        <w:rPr>
          <w:rFonts w:cs="Times New Roman"/>
        </w:rPr>
        <w:t xml:space="preserve"> key Middle Eastern markets were faced with political unrest and financial instability. </w:t>
      </w:r>
      <w:r>
        <w:rPr>
          <w:rFonts w:cs="Times New Roman"/>
        </w:rPr>
        <w:t xml:space="preserve"> </w:t>
      </w:r>
      <w:r w:rsidRPr="00583507">
        <w:rPr>
          <w:rFonts w:cs="Times New Roman"/>
        </w:rPr>
        <w:t>These record price levels</w:t>
      </w:r>
      <w:r>
        <w:rPr>
          <w:rFonts w:cs="Times New Roman"/>
        </w:rPr>
        <w:t>,</w:t>
      </w:r>
      <w:r w:rsidRPr="00583507">
        <w:rPr>
          <w:rFonts w:cs="Times New Roman"/>
        </w:rPr>
        <w:t xml:space="preserve"> however</w:t>
      </w:r>
      <w:r>
        <w:rPr>
          <w:rFonts w:cs="Times New Roman"/>
        </w:rPr>
        <w:t>,</w:t>
      </w:r>
      <w:r w:rsidRPr="00583507">
        <w:rPr>
          <w:rFonts w:cs="Times New Roman"/>
        </w:rPr>
        <w:t xml:space="preserve"> could not b</w:t>
      </w:r>
      <w:r>
        <w:rPr>
          <w:rFonts w:cs="Times New Roman"/>
        </w:rPr>
        <w:t>e sustained throughout the year</w:t>
      </w:r>
      <w:r w:rsidRPr="00583507">
        <w:rPr>
          <w:rFonts w:cs="Times New Roman"/>
        </w:rPr>
        <w:t xml:space="preserve"> due to continued instability in the Middle Eastern region and the drop in oil prices to a great extent, particularly towards the latter half of the year.</w:t>
      </w:r>
    </w:p>
    <w:p w:rsidR="004C1A29" w:rsidRPr="00583507" w:rsidRDefault="004C1A29" w:rsidP="004C1A29">
      <w:pPr>
        <w:pStyle w:val="NoSpacing"/>
        <w:jc w:val="both"/>
        <w:rPr>
          <w:rFonts w:ascii="Times New Roman" w:hAnsi="Times New Roman"/>
        </w:rPr>
      </w:pPr>
      <w:r w:rsidRPr="00583507">
        <w:rPr>
          <w:rFonts w:ascii="Times New Roman" w:hAnsi="Times New Roman"/>
        </w:rPr>
        <w:t>The Sri Lanka tea industry experienced a remarkable year during 2014 with the highest ever earnings from tea exports which reached</w:t>
      </w:r>
      <w:r>
        <w:rPr>
          <w:rFonts w:ascii="Times New Roman" w:hAnsi="Times New Roman"/>
        </w:rPr>
        <w:t xml:space="preserve"> USD</w:t>
      </w:r>
      <w:r w:rsidRPr="00583507">
        <w:rPr>
          <w:rFonts w:ascii="Times New Roman" w:hAnsi="Times New Roman"/>
        </w:rPr>
        <w:t xml:space="preserve"> 1.63 billion, although there was a marginal decline in production recorded at 338 </w:t>
      </w:r>
      <w:r>
        <w:rPr>
          <w:rFonts w:ascii="Times New Roman" w:eastAsia="Times New Roman" w:hAnsi="Times New Roman"/>
        </w:rPr>
        <w:t xml:space="preserve">thousand </w:t>
      </w:r>
      <w:proofErr w:type="spellStart"/>
      <w:r>
        <w:rPr>
          <w:rFonts w:ascii="Times New Roman" w:eastAsia="Times New Roman" w:hAnsi="Times New Roman"/>
        </w:rPr>
        <w:t>tonnes</w:t>
      </w:r>
      <w:proofErr w:type="spellEnd"/>
      <w:r>
        <w:rPr>
          <w:rFonts w:ascii="Times New Roman" w:hAnsi="Times New Roman"/>
        </w:rPr>
        <w:t xml:space="preserve">.  </w:t>
      </w:r>
      <w:r w:rsidRPr="00583507">
        <w:rPr>
          <w:rFonts w:ascii="Times New Roman" w:hAnsi="Times New Roman"/>
        </w:rPr>
        <w:t>As the global leader in the production of orthodox black tea, Sri Lanka fetched the highest ever average prices at the Colombo Tea Auctions during 2014.   From an average Colombo Auction P</w:t>
      </w:r>
      <w:r>
        <w:rPr>
          <w:rFonts w:ascii="Times New Roman" w:hAnsi="Times New Roman"/>
        </w:rPr>
        <w:t xml:space="preserve">rice of </w:t>
      </w:r>
      <w:proofErr w:type="spellStart"/>
      <w:r>
        <w:rPr>
          <w:rFonts w:ascii="Times New Roman" w:hAnsi="Times New Roman"/>
        </w:rPr>
        <w:t>Rs</w:t>
      </w:r>
      <w:proofErr w:type="spellEnd"/>
      <w:r>
        <w:rPr>
          <w:rFonts w:ascii="Times New Roman" w:hAnsi="Times New Roman"/>
        </w:rPr>
        <w:t>. 391.64 per kilo (USD</w:t>
      </w:r>
      <w:r w:rsidRPr="00583507">
        <w:rPr>
          <w:rFonts w:ascii="Times New Roman" w:hAnsi="Times New Roman"/>
        </w:rPr>
        <w:t xml:space="preserve"> 3.00) in the year 2012, the auction price increased to </w:t>
      </w:r>
      <w:proofErr w:type="spellStart"/>
      <w:r>
        <w:rPr>
          <w:rFonts w:ascii="Times New Roman" w:hAnsi="Times New Roman"/>
        </w:rPr>
        <w:t>Rs</w:t>
      </w:r>
      <w:proofErr w:type="spellEnd"/>
      <w:r>
        <w:rPr>
          <w:rFonts w:ascii="Times New Roman" w:hAnsi="Times New Roman"/>
        </w:rPr>
        <w:t>. 462 per kilo (USD</w:t>
      </w:r>
      <w:r w:rsidRPr="00583507">
        <w:rPr>
          <w:rFonts w:ascii="Times New Roman" w:hAnsi="Times New Roman"/>
        </w:rPr>
        <w:t xml:space="preserve"> 3.56) during the year 2014.  The low grown</w:t>
      </w:r>
      <w:r>
        <w:rPr>
          <w:rFonts w:ascii="Times New Roman" w:hAnsi="Times New Roman"/>
        </w:rPr>
        <w:t xml:space="preserve"> teas which constitute over 60 percent </w:t>
      </w:r>
      <w:r w:rsidRPr="00583507">
        <w:rPr>
          <w:rFonts w:ascii="Times New Roman" w:hAnsi="Times New Roman"/>
        </w:rPr>
        <w:t>of the total production were instrumental to achieve this record performance and that segment registered an average au</w:t>
      </w:r>
      <w:r>
        <w:rPr>
          <w:rFonts w:ascii="Times New Roman" w:hAnsi="Times New Roman"/>
        </w:rPr>
        <w:t xml:space="preserve">ction price of around </w:t>
      </w:r>
      <w:proofErr w:type="spellStart"/>
      <w:r>
        <w:rPr>
          <w:rFonts w:ascii="Times New Roman" w:hAnsi="Times New Roman"/>
        </w:rPr>
        <w:t>Rs</w:t>
      </w:r>
      <w:proofErr w:type="spellEnd"/>
      <w:r>
        <w:rPr>
          <w:rFonts w:ascii="Times New Roman" w:hAnsi="Times New Roman"/>
        </w:rPr>
        <w:t>. 500 per kilo (USD</w:t>
      </w:r>
      <w:r w:rsidRPr="00583507">
        <w:rPr>
          <w:rFonts w:ascii="Times New Roman" w:hAnsi="Times New Roman"/>
        </w:rPr>
        <w:t xml:space="preserve"> 3.85).</w:t>
      </w:r>
    </w:p>
    <w:p w:rsidR="004C1A29" w:rsidRPr="00583507" w:rsidRDefault="004C1A29" w:rsidP="004C1A29">
      <w:pPr>
        <w:pStyle w:val="NoSpacing"/>
        <w:jc w:val="both"/>
        <w:rPr>
          <w:rFonts w:ascii="Times New Roman" w:hAnsi="Times New Roman"/>
        </w:rPr>
      </w:pPr>
    </w:p>
    <w:p w:rsidR="004C1A29" w:rsidRPr="00583507" w:rsidRDefault="004C1A29" w:rsidP="004C1A29">
      <w:pPr>
        <w:pStyle w:val="NoSpacing"/>
        <w:jc w:val="both"/>
        <w:rPr>
          <w:rFonts w:ascii="Times New Roman" w:hAnsi="Times New Roman"/>
        </w:rPr>
      </w:pPr>
      <w:r w:rsidRPr="00583507">
        <w:rPr>
          <w:rFonts w:ascii="Times New Roman" w:hAnsi="Times New Roman"/>
        </w:rPr>
        <w:t>The Middle East/Gulf Region continued to remain the backbone of the expor</w:t>
      </w:r>
      <w:r>
        <w:rPr>
          <w:rFonts w:ascii="Times New Roman" w:hAnsi="Times New Roman"/>
        </w:rPr>
        <w:t>t market and absorbed almost 55 percent</w:t>
      </w:r>
      <w:r w:rsidRPr="00583507">
        <w:rPr>
          <w:rFonts w:ascii="Times New Roman" w:hAnsi="Times New Roman"/>
        </w:rPr>
        <w:t xml:space="preserve"> of the total Ceylon Tea, while the Russian Federation and other CIS countries consumed another 22</w:t>
      </w:r>
      <w:r>
        <w:rPr>
          <w:rFonts w:ascii="Times New Roman" w:hAnsi="Times New Roman"/>
        </w:rPr>
        <w:t xml:space="preserve"> percent</w:t>
      </w:r>
      <w:r w:rsidRPr="00583507">
        <w:rPr>
          <w:rFonts w:ascii="Times New Roman" w:hAnsi="Times New Roman"/>
        </w:rPr>
        <w:t xml:space="preserve">.  Turkey was the largest buyer of Ceylon Tea in 2014, overtaking Russia, while Iran, Iraq, UAE, Syria, and Libya strongly patronized teas from Sri Lanka.   This performance helped the Colombo Tea Auction prices, which remained way above all other global tea auction centers during 2014 reaching an all-time high </w:t>
      </w:r>
      <w:r>
        <w:rPr>
          <w:rFonts w:ascii="Times New Roman" w:hAnsi="Times New Roman"/>
        </w:rPr>
        <w:t>average FOB price of USD</w:t>
      </w:r>
      <w:r w:rsidRPr="00583507">
        <w:rPr>
          <w:rFonts w:ascii="Times New Roman" w:hAnsi="Times New Roman"/>
        </w:rPr>
        <w:t xml:space="preserve"> 4.97 per kilo.</w:t>
      </w:r>
    </w:p>
    <w:p w:rsidR="004C1A29" w:rsidRPr="00583507" w:rsidRDefault="004C1A29" w:rsidP="004C1A29">
      <w:pPr>
        <w:spacing w:before="300" w:after="150"/>
        <w:outlineLvl w:val="1"/>
        <w:rPr>
          <w:rFonts w:eastAsia="Times New Roman" w:cs="Times New Roman"/>
          <w:u w:val="single"/>
        </w:rPr>
      </w:pPr>
      <w:r w:rsidRPr="00583507">
        <w:rPr>
          <w:rFonts w:eastAsia="Times New Roman" w:cs="Times New Roman"/>
          <w:bCs/>
          <w:u w:val="single"/>
        </w:rPr>
        <w:t>Overview of 2015</w:t>
      </w:r>
      <w:r w:rsidRPr="00583507">
        <w:rPr>
          <w:rFonts w:eastAsia="Times New Roman" w:cs="Times New Roman"/>
          <w:u w:val="single"/>
        </w:rPr>
        <w:t xml:space="preserve"> </w:t>
      </w:r>
    </w:p>
    <w:p w:rsidR="004C1A29" w:rsidRPr="00583507" w:rsidRDefault="004C1A29" w:rsidP="004C1A29">
      <w:pPr>
        <w:pStyle w:val="NoSpacing"/>
        <w:rPr>
          <w:rFonts w:ascii="Times New Roman" w:hAnsi="Times New Roman"/>
        </w:rPr>
      </w:pPr>
      <w:r w:rsidRPr="00583507">
        <w:rPr>
          <w:rFonts w:ascii="Times New Roman" w:eastAsia="Times New Roman" w:hAnsi="Times New Roman"/>
        </w:rPr>
        <w:t xml:space="preserve">The year 2015 has been one of the most challenging years for the tea industry. On the one hand, the Middle Eastern region where the bulk of </w:t>
      </w:r>
      <w:r>
        <w:rPr>
          <w:rFonts w:ascii="Times New Roman" w:eastAsia="Times New Roman" w:hAnsi="Times New Roman"/>
        </w:rPr>
        <w:t>the</w:t>
      </w:r>
      <w:r w:rsidRPr="00583507">
        <w:rPr>
          <w:rFonts w:ascii="Times New Roman" w:eastAsia="Times New Roman" w:hAnsi="Times New Roman"/>
        </w:rPr>
        <w:t xml:space="preserve"> teas </w:t>
      </w:r>
      <w:r>
        <w:rPr>
          <w:rFonts w:ascii="Times New Roman" w:eastAsia="Times New Roman" w:hAnsi="Times New Roman"/>
        </w:rPr>
        <w:t>are</w:t>
      </w:r>
      <w:r w:rsidRPr="00583507">
        <w:rPr>
          <w:rFonts w:ascii="Times New Roman" w:eastAsia="Times New Roman" w:hAnsi="Times New Roman"/>
        </w:rPr>
        <w:t xml:space="preserve"> exported never recovered from the socio economic unrest, restricting exports to the region. </w:t>
      </w:r>
      <w:r>
        <w:rPr>
          <w:rFonts w:ascii="Times New Roman" w:eastAsia="Times New Roman" w:hAnsi="Times New Roman"/>
        </w:rPr>
        <w:t xml:space="preserve"> </w:t>
      </w:r>
      <w:r w:rsidRPr="00583507">
        <w:rPr>
          <w:rFonts w:ascii="Times New Roman" w:eastAsia="Times New Roman" w:hAnsi="Times New Roman"/>
        </w:rPr>
        <w:t>On the other hand, destinations such as Russia and Ukraine faced many economic challenges, which led to the constant devaluation of currencies thus impacting prices at the Colombo auctions.</w:t>
      </w:r>
      <w:r w:rsidRPr="00583507">
        <w:rPr>
          <w:rFonts w:ascii="Times New Roman" w:eastAsia="Times New Roman" w:hAnsi="Times New Roman"/>
        </w:rPr>
        <w:br/>
      </w:r>
    </w:p>
    <w:p w:rsidR="004C1A29" w:rsidRPr="00583507" w:rsidRDefault="004C1A29" w:rsidP="004C1A29">
      <w:pPr>
        <w:pStyle w:val="NoSpacing"/>
        <w:jc w:val="both"/>
        <w:rPr>
          <w:rFonts w:ascii="Times New Roman" w:hAnsi="Times New Roman"/>
        </w:rPr>
      </w:pPr>
      <w:r w:rsidRPr="00583507">
        <w:rPr>
          <w:rFonts w:ascii="Times New Roman" w:hAnsi="Times New Roman"/>
        </w:rPr>
        <w:t>In 2015, the cumulative Colombo Tea Auction price average reached US</w:t>
      </w:r>
      <w:r>
        <w:rPr>
          <w:rFonts w:ascii="Times New Roman" w:hAnsi="Times New Roman"/>
        </w:rPr>
        <w:t>D</w:t>
      </w:r>
      <w:r w:rsidRPr="00583507">
        <w:rPr>
          <w:rFonts w:ascii="Times New Roman" w:hAnsi="Times New Roman"/>
        </w:rPr>
        <w:t xml:space="preserve"> 2.99 per kilo compared to US</w:t>
      </w:r>
      <w:r>
        <w:rPr>
          <w:rFonts w:ascii="Times New Roman" w:hAnsi="Times New Roman"/>
        </w:rPr>
        <w:t>D 3.56 per kilo in</w:t>
      </w:r>
      <w:r w:rsidRPr="00583507">
        <w:rPr>
          <w:rFonts w:ascii="Times New Roman" w:hAnsi="Times New Roman"/>
        </w:rPr>
        <w:t xml:space="preserve"> 2014.  </w:t>
      </w:r>
    </w:p>
    <w:p w:rsidR="004C1A29" w:rsidRPr="00583507" w:rsidRDefault="004C1A29" w:rsidP="004C1A29">
      <w:pPr>
        <w:pStyle w:val="NoSpacing"/>
        <w:jc w:val="both"/>
        <w:rPr>
          <w:rFonts w:ascii="Times New Roman" w:hAnsi="Times New Roman"/>
          <w:color w:val="FF0000"/>
        </w:rPr>
      </w:pPr>
    </w:p>
    <w:p w:rsidR="004C1A29" w:rsidRDefault="004C1A29" w:rsidP="004C1A29">
      <w:pPr>
        <w:pStyle w:val="NoSpacing"/>
        <w:jc w:val="both"/>
        <w:rPr>
          <w:rFonts w:ascii="Times New Roman" w:hAnsi="Times New Roman"/>
        </w:rPr>
      </w:pPr>
      <w:r w:rsidRPr="00583507">
        <w:rPr>
          <w:rFonts w:ascii="Times New Roman" w:hAnsi="Times New Roman"/>
        </w:rPr>
        <w:t xml:space="preserve">Production declined from 338 </w:t>
      </w:r>
      <w:r>
        <w:rPr>
          <w:rFonts w:ascii="Times New Roman" w:eastAsia="Times New Roman" w:hAnsi="Times New Roman"/>
        </w:rPr>
        <w:t xml:space="preserve">thousand </w:t>
      </w:r>
      <w:proofErr w:type="spellStart"/>
      <w:r>
        <w:rPr>
          <w:rFonts w:ascii="Times New Roman" w:eastAsia="Times New Roman" w:hAnsi="Times New Roman"/>
        </w:rPr>
        <w:t>tonnes</w:t>
      </w:r>
      <w:proofErr w:type="spellEnd"/>
      <w:r w:rsidRPr="00583507">
        <w:rPr>
          <w:rFonts w:ascii="Times New Roman" w:eastAsia="Times New Roman" w:hAnsi="Times New Roman"/>
        </w:rPr>
        <w:t xml:space="preserve"> </w:t>
      </w:r>
      <w:r w:rsidRPr="00583507">
        <w:rPr>
          <w:rFonts w:ascii="Times New Roman" w:hAnsi="Times New Roman"/>
        </w:rPr>
        <w:t xml:space="preserve">in 2014 to 329 </w:t>
      </w:r>
      <w:r>
        <w:rPr>
          <w:rFonts w:ascii="Times New Roman" w:eastAsia="Times New Roman" w:hAnsi="Times New Roman"/>
        </w:rPr>
        <w:t xml:space="preserve">thousand </w:t>
      </w:r>
      <w:proofErr w:type="spellStart"/>
      <w:r>
        <w:rPr>
          <w:rFonts w:ascii="Times New Roman" w:eastAsia="Times New Roman" w:hAnsi="Times New Roman"/>
        </w:rPr>
        <w:t>tonnes</w:t>
      </w:r>
      <w:proofErr w:type="spellEnd"/>
      <w:r w:rsidRPr="00583507">
        <w:rPr>
          <w:rFonts w:ascii="Times New Roman" w:eastAsia="Times New Roman" w:hAnsi="Times New Roman"/>
        </w:rPr>
        <w:t xml:space="preserve"> </w:t>
      </w:r>
      <w:r w:rsidRPr="00583507">
        <w:rPr>
          <w:rFonts w:ascii="Times New Roman" w:hAnsi="Times New Roman"/>
        </w:rPr>
        <w:t xml:space="preserve">in 2015 due to extreme weather conditions in the tea plantation sectors of Sri Lanka during the year.  In respect to exports, the FOB price showed a decline from </w:t>
      </w:r>
      <w:proofErr w:type="spellStart"/>
      <w:r w:rsidRPr="00583507">
        <w:rPr>
          <w:rFonts w:ascii="Times New Roman" w:hAnsi="Times New Roman"/>
        </w:rPr>
        <w:t>Rs</w:t>
      </w:r>
      <w:proofErr w:type="spellEnd"/>
      <w:r w:rsidRPr="00583507">
        <w:rPr>
          <w:rFonts w:ascii="Times New Roman" w:hAnsi="Times New Roman"/>
        </w:rPr>
        <w:t xml:space="preserve">. </w:t>
      </w:r>
      <w:r w:rsidRPr="00583507">
        <w:rPr>
          <w:rFonts w:ascii="Times New Roman" w:eastAsia="Times New Roman" w:hAnsi="Times New Roman"/>
          <w:lang w:eastAsia="en-AU" w:bidi="si-LK"/>
        </w:rPr>
        <w:t>649.44</w:t>
      </w:r>
      <w:r w:rsidRPr="00583507">
        <w:rPr>
          <w:rFonts w:ascii="Times New Roman" w:hAnsi="Times New Roman"/>
        </w:rPr>
        <w:t xml:space="preserve"> (US</w:t>
      </w:r>
      <w:r>
        <w:rPr>
          <w:rFonts w:ascii="Times New Roman" w:hAnsi="Times New Roman"/>
        </w:rPr>
        <w:t>D</w:t>
      </w:r>
      <w:r w:rsidRPr="00583507">
        <w:rPr>
          <w:rFonts w:ascii="Times New Roman" w:hAnsi="Times New Roman"/>
        </w:rPr>
        <w:t xml:space="preserve"> </w:t>
      </w:r>
      <w:r w:rsidRPr="00583507">
        <w:rPr>
          <w:rFonts w:ascii="Times New Roman" w:eastAsia="Times New Roman" w:hAnsi="Times New Roman"/>
          <w:lang w:eastAsia="en-AU" w:bidi="si-LK"/>
        </w:rPr>
        <w:t>4.97</w:t>
      </w:r>
      <w:r w:rsidRPr="00583507">
        <w:rPr>
          <w:rFonts w:ascii="Times New Roman" w:hAnsi="Times New Roman"/>
        </w:rPr>
        <w:t xml:space="preserve">) per kilo in 2014 to </w:t>
      </w:r>
      <w:proofErr w:type="spellStart"/>
      <w:r w:rsidRPr="00583507">
        <w:rPr>
          <w:rFonts w:ascii="Times New Roman" w:hAnsi="Times New Roman"/>
        </w:rPr>
        <w:t>Rs</w:t>
      </w:r>
      <w:proofErr w:type="spellEnd"/>
      <w:r w:rsidRPr="00583507">
        <w:rPr>
          <w:rFonts w:ascii="Times New Roman" w:hAnsi="Times New Roman"/>
        </w:rPr>
        <w:t xml:space="preserve">. </w:t>
      </w:r>
      <w:r w:rsidRPr="00583507">
        <w:rPr>
          <w:rFonts w:ascii="Times New Roman" w:eastAsia="Times New Roman" w:hAnsi="Times New Roman"/>
          <w:lang w:eastAsia="en-AU" w:bidi="si-LK"/>
        </w:rPr>
        <w:t>593.11</w:t>
      </w:r>
      <w:r w:rsidRPr="00583507">
        <w:rPr>
          <w:rFonts w:ascii="Times New Roman" w:hAnsi="Times New Roman"/>
        </w:rPr>
        <w:t xml:space="preserve"> (US</w:t>
      </w:r>
      <w:r>
        <w:rPr>
          <w:rFonts w:ascii="Times New Roman" w:hAnsi="Times New Roman"/>
        </w:rPr>
        <w:t>D</w:t>
      </w:r>
      <w:r w:rsidRPr="00583507">
        <w:rPr>
          <w:rFonts w:ascii="Times New Roman" w:hAnsi="Times New Roman"/>
        </w:rPr>
        <w:t xml:space="preserve"> 4.36) per kilo in 2015.  The revenue generated from Ceylon Tea exports during 2015 was US</w:t>
      </w:r>
      <w:r>
        <w:rPr>
          <w:rFonts w:ascii="Times New Roman" w:hAnsi="Times New Roman"/>
        </w:rPr>
        <w:t>D</w:t>
      </w:r>
      <w:r w:rsidRPr="00583507">
        <w:rPr>
          <w:rFonts w:ascii="Times New Roman" w:hAnsi="Times New Roman"/>
        </w:rPr>
        <w:t xml:space="preserve"> 1.34 billion. </w:t>
      </w:r>
    </w:p>
    <w:p w:rsidR="004C1A29" w:rsidRDefault="004C1A29" w:rsidP="004C1A29">
      <w:pPr>
        <w:pStyle w:val="NoSpacing"/>
        <w:jc w:val="both"/>
        <w:rPr>
          <w:rFonts w:ascii="Times New Roman" w:hAnsi="Times New Roman"/>
        </w:rPr>
      </w:pPr>
    </w:p>
    <w:p w:rsidR="004C1A29" w:rsidRPr="00583507" w:rsidRDefault="004C1A29" w:rsidP="004C1A29">
      <w:pPr>
        <w:pStyle w:val="NoSpacing"/>
        <w:jc w:val="both"/>
        <w:rPr>
          <w:rFonts w:ascii="Times New Roman" w:hAnsi="Times New Roman"/>
        </w:rPr>
      </w:pPr>
      <w:r w:rsidRPr="00583507">
        <w:rPr>
          <w:rFonts w:ascii="Times New Roman" w:hAnsi="Times New Roman"/>
        </w:rPr>
        <w:t xml:space="preserve">Total exports of 307 </w:t>
      </w:r>
      <w:r>
        <w:rPr>
          <w:rFonts w:ascii="Times New Roman" w:eastAsia="Times New Roman" w:hAnsi="Times New Roman"/>
        </w:rPr>
        <w:t xml:space="preserve">thousand </w:t>
      </w:r>
      <w:proofErr w:type="spellStart"/>
      <w:r>
        <w:rPr>
          <w:rFonts w:ascii="Times New Roman" w:eastAsia="Times New Roman" w:hAnsi="Times New Roman"/>
        </w:rPr>
        <w:t>tonnes</w:t>
      </w:r>
      <w:proofErr w:type="spellEnd"/>
      <w:r w:rsidRPr="00583507">
        <w:rPr>
          <w:rFonts w:ascii="Times New Roman" w:eastAsia="Times New Roman" w:hAnsi="Times New Roman"/>
        </w:rPr>
        <w:t xml:space="preserve"> </w:t>
      </w:r>
      <w:r w:rsidRPr="00583507">
        <w:rPr>
          <w:rFonts w:ascii="Times New Roman" w:hAnsi="Times New Roman"/>
        </w:rPr>
        <w:t>during 2015 show</w:t>
      </w:r>
      <w:r>
        <w:rPr>
          <w:rFonts w:ascii="Times New Roman" w:hAnsi="Times New Roman"/>
        </w:rPr>
        <w:t>ed</w:t>
      </w:r>
      <w:r w:rsidRPr="00583507">
        <w:rPr>
          <w:rFonts w:ascii="Times New Roman" w:hAnsi="Times New Roman"/>
        </w:rPr>
        <w:t xml:space="preserve"> a decrease of 20 </w:t>
      </w:r>
      <w:r>
        <w:rPr>
          <w:rFonts w:ascii="Times New Roman" w:eastAsia="Times New Roman" w:hAnsi="Times New Roman"/>
        </w:rPr>
        <w:t xml:space="preserve">thousand </w:t>
      </w:r>
      <w:proofErr w:type="spellStart"/>
      <w:r>
        <w:rPr>
          <w:rFonts w:ascii="Times New Roman" w:eastAsia="Times New Roman" w:hAnsi="Times New Roman"/>
        </w:rPr>
        <w:t>tonnes</w:t>
      </w:r>
      <w:proofErr w:type="spellEnd"/>
      <w:r w:rsidRPr="00583507">
        <w:rPr>
          <w:rFonts w:ascii="Times New Roman" w:eastAsia="Times New Roman" w:hAnsi="Times New Roman"/>
        </w:rPr>
        <w:t xml:space="preserve"> </w:t>
      </w:r>
      <w:r w:rsidRPr="00583507">
        <w:rPr>
          <w:rFonts w:ascii="Times New Roman" w:hAnsi="Times New Roman"/>
        </w:rPr>
        <w:t xml:space="preserve">compared to 327 </w:t>
      </w:r>
      <w:r>
        <w:rPr>
          <w:rFonts w:ascii="Times New Roman" w:eastAsia="Times New Roman" w:hAnsi="Times New Roman"/>
        </w:rPr>
        <w:t xml:space="preserve">thousand </w:t>
      </w:r>
      <w:proofErr w:type="spellStart"/>
      <w:r>
        <w:rPr>
          <w:rFonts w:ascii="Times New Roman" w:eastAsia="Times New Roman" w:hAnsi="Times New Roman"/>
        </w:rPr>
        <w:t>tonnes</w:t>
      </w:r>
      <w:proofErr w:type="spellEnd"/>
      <w:r w:rsidRPr="00583507">
        <w:rPr>
          <w:rFonts w:ascii="Times New Roman" w:hAnsi="Times New Roman"/>
        </w:rPr>
        <w:t xml:space="preserve"> over the previous year. </w:t>
      </w:r>
      <w:r>
        <w:rPr>
          <w:rFonts w:ascii="Times New Roman" w:hAnsi="Times New Roman"/>
        </w:rPr>
        <w:t xml:space="preserve"> </w:t>
      </w:r>
      <w:r w:rsidRPr="00583507">
        <w:rPr>
          <w:rFonts w:ascii="Times New Roman" w:hAnsi="Times New Roman"/>
        </w:rPr>
        <w:t xml:space="preserve">Russia was the single largest buyer of Ceylon Tea with </w:t>
      </w:r>
      <w:r w:rsidRPr="00583507">
        <w:rPr>
          <w:rFonts w:ascii="Times New Roman" w:hAnsi="Times New Roman"/>
        </w:rPr>
        <w:lastRenderedPageBreak/>
        <w:t xml:space="preserve">36.1 </w:t>
      </w:r>
      <w:r>
        <w:rPr>
          <w:rFonts w:ascii="Times New Roman" w:eastAsia="Times New Roman" w:hAnsi="Times New Roman"/>
        </w:rPr>
        <w:t xml:space="preserve">thousand </w:t>
      </w:r>
      <w:proofErr w:type="spellStart"/>
      <w:r>
        <w:rPr>
          <w:rFonts w:ascii="Times New Roman" w:eastAsia="Times New Roman" w:hAnsi="Times New Roman"/>
        </w:rPr>
        <w:t>tonnes</w:t>
      </w:r>
      <w:proofErr w:type="spellEnd"/>
      <w:r w:rsidRPr="00583507">
        <w:rPr>
          <w:rFonts w:ascii="Times New Roman" w:hAnsi="Times New Roman"/>
        </w:rPr>
        <w:t xml:space="preserve">, followed by Turkey (33.7 </w:t>
      </w:r>
      <w:r>
        <w:rPr>
          <w:rFonts w:ascii="Times New Roman" w:eastAsia="Times New Roman" w:hAnsi="Times New Roman"/>
        </w:rPr>
        <w:t xml:space="preserve">thousand </w:t>
      </w:r>
      <w:proofErr w:type="spellStart"/>
      <w:r>
        <w:rPr>
          <w:rFonts w:ascii="Times New Roman" w:eastAsia="Times New Roman" w:hAnsi="Times New Roman"/>
        </w:rPr>
        <w:t>tonnes</w:t>
      </w:r>
      <w:proofErr w:type="spellEnd"/>
      <w:r w:rsidRPr="00583507">
        <w:rPr>
          <w:rFonts w:ascii="Times New Roman" w:hAnsi="Times New Roman"/>
        </w:rPr>
        <w:t xml:space="preserve">), Iraq (31 </w:t>
      </w:r>
      <w:r>
        <w:rPr>
          <w:rFonts w:ascii="Times New Roman" w:eastAsia="Times New Roman" w:hAnsi="Times New Roman"/>
        </w:rPr>
        <w:t xml:space="preserve">thousand </w:t>
      </w:r>
      <w:proofErr w:type="spellStart"/>
      <w:r>
        <w:rPr>
          <w:rFonts w:ascii="Times New Roman" w:eastAsia="Times New Roman" w:hAnsi="Times New Roman"/>
        </w:rPr>
        <w:t>tonnes</w:t>
      </w:r>
      <w:proofErr w:type="spellEnd"/>
      <w:r w:rsidRPr="00583507">
        <w:rPr>
          <w:rFonts w:ascii="Times New Roman" w:hAnsi="Times New Roman"/>
        </w:rPr>
        <w:t xml:space="preserve">) Iran (29.6 </w:t>
      </w:r>
      <w:r>
        <w:rPr>
          <w:rFonts w:ascii="Times New Roman" w:eastAsia="Times New Roman" w:hAnsi="Times New Roman"/>
        </w:rPr>
        <w:t xml:space="preserve">thousand </w:t>
      </w:r>
      <w:proofErr w:type="spellStart"/>
      <w:r>
        <w:rPr>
          <w:rFonts w:ascii="Times New Roman" w:eastAsia="Times New Roman" w:hAnsi="Times New Roman"/>
        </w:rPr>
        <w:t>tonnes</w:t>
      </w:r>
      <w:proofErr w:type="spellEnd"/>
      <w:r w:rsidRPr="00583507">
        <w:rPr>
          <w:rFonts w:ascii="Times New Roman" w:hAnsi="Times New Roman"/>
        </w:rPr>
        <w:t xml:space="preserve">) and UAE (22.9 </w:t>
      </w:r>
      <w:r>
        <w:rPr>
          <w:rFonts w:ascii="Times New Roman" w:eastAsia="Times New Roman" w:hAnsi="Times New Roman"/>
        </w:rPr>
        <w:t xml:space="preserve">thousand </w:t>
      </w:r>
      <w:proofErr w:type="spellStart"/>
      <w:r>
        <w:rPr>
          <w:rFonts w:ascii="Times New Roman" w:eastAsia="Times New Roman" w:hAnsi="Times New Roman"/>
        </w:rPr>
        <w:t>tonnes</w:t>
      </w:r>
      <w:proofErr w:type="spellEnd"/>
      <w:r w:rsidRPr="00583507">
        <w:rPr>
          <w:rFonts w:ascii="Times New Roman" w:hAnsi="Times New Roman"/>
        </w:rPr>
        <w:t>).</w:t>
      </w:r>
    </w:p>
    <w:p w:rsidR="004C1A29" w:rsidRPr="00583507" w:rsidRDefault="004C1A29" w:rsidP="004C1A29">
      <w:pPr>
        <w:pStyle w:val="NoSpacing"/>
        <w:jc w:val="both"/>
        <w:rPr>
          <w:rFonts w:ascii="Times New Roman" w:hAnsi="Times New Roman"/>
        </w:rPr>
      </w:pPr>
    </w:p>
    <w:p w:rsidR="004C1A29" w:rsidRPr="00583507" w:rsidRDefault="004C1A29" w:rsidP="004C1A29">
      <w:pPr>
        <w:spacing w:after="150"/>
        <w:jc w:val="both"/>
        <w:rPr>
          <w:rFonts w:eastAsia="Times New Roman" w:cs="Times New Roman"/>
          <w:u w:val="single"/>
        </w:rPr>
      </w:pPr>
      <w:r w:rsidRPr="00583507">
        <w:rPr>
          <w:rFonts w:eastAsia="Times New Roman" w:cs="Times New Roman"/>
          <w:bCs/>
          <w:u w:val="single"/>
        </w:rPr>
        <w:t>Outlook for 2016</w:t>
      </w:r>
    </w:p>
    <w:p w:rsidR="004C1A29" w:rsidRPr="00583507" w:rsidRDefault="004C1A29" w:rsidP="004C1A29">
      <w:pPr>
        <w:spacing w:after="150"/>
        <w:jc w:val="both"/>
        <w:rPr>
          <w:rFonts w:eastAsia="Times New Roman" w:cs="Times New Roman"/>
        </w:rPr>
      </w:pPr>
      <w:r w:rsidRPr="00583507">
        <w:rPr>
          <w:rFonts w:eastAsia="Times New Roman" w:cs="Times New Roman"/>
        </w:rPr>
        <w:t xml:space="preserve">Projecting 2016 is not easy due to several factors, such as the turmoil in Sri Lanka’s main tea export markets and the drastic currency depreciation in these markets. </w:t>
      </w:r>
      <w:r>
        <w:rPr>
          <w:rFonts w:eastAsia="Times New Roman" w:cs="Times New Roman"/>
        </w:rPr>
        <w:t xml:space="preserve"> </w:t>
      </w:r>
      <w:r w:rsidRPr="00583507">
        <w:rPr>
          <w:rFonts w:eastAsia="Times New Roman" w:cs="Times New Roman"/>
        </w:rPr>
        <w:t xml:space="preserve">On the supply side, global tea production </w:t>
      </w:r>
      <w:r>
        <w:rPr>
          <w:rFonts w:eastAsia="Times New Roman" w:cs="Times New Roman"/>
        </w:rPr>
        <w:t>was</w:t>
      </w:r>
      <w:r w:rsidRPr="00583507">
        <w:rPr>
          <w:rFonts w:eastAsia="Times New Roman" w:cs="Times New Roman"/>
        </w:rPr>
        <w:t xml:space="preserve"> estimated to drop by 80-100 </w:t>
      </w:r>
      <w:r>
        <w:rPr>
          <w:rFonts w:eastAsia="Times New Roman" w:cs="Times New Roman"/>
        </w:rPr>
        <w:t>thousand tonnes</w:t>
      </w:r>
      <w:r w:rsidRPr="00583507">
        <w:rPr>
          <w:rFonts w:eastAsia="Times New Roman" w:cs="Times New Roman"/>
        </w:rPr>
        <w:t xml:space="preserve"> at the beginning of the New Year. </w:t>
      </w:r>
    </w:p>
    <w:p w:rsidR="004C1A29" w:rsidRPr="00583507" w:rsidRDefault="004C1A29" w:rsidP="004C1A29">
      <w:pPr>
        <w:spacing w:after="150"/>
        <w:jc w:val="both"/>
        <w:rPr>
          <w:rFonts w:eastAsia="Times New Roman" w:cs="Times New Roman"/>
        </w:rPr>
      </w:pPr>
      <w:r w:rsidRPr="00583507">
        <w:rPr>
          <w:rFonts w:eastAsia="Times New Roman" w:cs="Times New Roman"/>
        </w:rPr>
        <w:t>From a Sri Lankan perspective, an important factor in the supplier equation is that Orthodox tea</w:t>
      </w:r>
      <w:r>
        <w:rPr>
          <w:rFonts w:eastAsia="Times New Roman" w:cs="Times New Roman"/>
        </w:rPr>
        <w:t>, which accounts for 90 percent</w:t>
      </w:r>
      <w:r w:rsidRPr="00583507">
        <w:rPr>
          <w:rFonts w:eastAsia="Times New Roman" w:cs="Times New Roman"/>
        </w:rPr>
        <w:t xml:space="preserve"> of </w:t>
      </w:r>
      <w:r>
        <w:rPr>
          <w:rFonts w:eastAsia="Times New Roman" w:cs="Times New Roman"/>
        </w:rPr>
        <w:t>the</w:t>
      </w:r>
      <w:r w:rsidRPr="00583507">
        <w:rPr>
          <w:rFonts w:eastAsia="Times New Roman" w:cs="Times New Roman"/>
        </w:rPr>
        <w:t xml:space="preserve"> total tea crop</w:t>
      </w:r>
      <w:r>
        <w:rPr>
          <w:rFonts w:eastAsia="Times New Roman" w:cs="Times New Roman"/>
        </w:rPr>
        <w:t>,</w:t>
      </w:r>
      <w:r w:rsidRPr="00583507">
        <w:rPr>
          <w:rFonts w:eastAsia="Times New Roman" w:cs="Times New Roman"/>
        </w:rPr>
        <w:t xml:space="preserve"> recorded a decline of approximately 9 </w:t>
      </w:r>
      <w:r>
        <w:rPr>
          <w:rFonts w:eastAsia="Times New Roman" w:cs="Times New Roman"/>
        </w:rPr>
        <w:t>thousand tonnes (2.74 percent</w:t>
      </w:r>
      <w:r w:rsidRPr="00583507">
        <w:rPr>
          <w:rFonts w:eastAsia="Times New Roman" w:cs="Times New Roman"/>
        </w:rPr>
        <w:t xml:space="preserve">) in 2015 compared to 2014. </w:t>
      </w:r>
      <w:r>
        <w:rPr>
          <w:rFonts w:eastAsia="Times New Roman" w:cs="Times New Roman"/>
        </w:rPr>
        <w:t xml:space="preserve"> </w:t>
      </w:r>
      <w:r w:rsidRPr="00583507">
        <w:rPr>
          <w:rFonts w:eastAsia="Times New Roman" w:cs="Times New Roman"/>
        </w:rPr>
        <w:t>Tea production in 2016 is also unlikely to record any appreciable change.</w:t>
      </w:r>
      <w:r>
        <w:rPr>
          <w:rFonts w:eastAsia="Times New Roman" w:cs="Times New Roman"/>
        </w:rPr>
        <w:t xml:space="preserve"> </w:t>
      </w:r>
      <w:r w:rsidRPr="00583507">
        <w:rPr>
          <w:rFonts w:eastAsia="Times New Roman" w:cs="Times New Roman"/>
        </w:rPr>
        <w:t xml:space="preserve"> From a global angle, rising concerns of an El-Nino impact would also warrant due consideration. </w:t>
      </w:r>
    </w:p>
    <w:p w:rsidR="004C1A29" w:rsidRPr="00583507" w:rsidRDefault="004C1A29" w:rsidP="004C1A29">
      <w:pPr>
        <w:spacing w:after="150"/>
        <w:jc w:val="both"/>
        <w:rPr>
          <w:rFonts w:eastAsia="Times New Roman" w:cs="Times New Roman"/>
        </w:rPr>
      </w:pPr>
      <w:r w:rsidRPr="00583507">
        <w:rPr>
          <w:rFonts w:eastAsia="Times New Roman" w:cs="Times New Roman"/>
        </w:rPr>
        <w:t>The global commodity crisis emanating from political issues between Russia/Ukraine, turmoil in the Middle Eastern markets (decline in oil and gas prices – which is the lowest since Jan/Feb 2009), drastic currency depreciation in key tea importing countries, economic sanctions etc. affected the Colombo tea market in particular</w:t>
      </w:r>
      <w:r>
        <w:rPr>
          <w:rFonts w:eastAsia="Times New Roman" w:cs="Times New Roman"/>
        </w:rPr>
        <w:t>,</w:t>
      </w:r>
      <w:r w:rsidRPr="00583507">
        <w:rPr>
          <w:rFonts w:eastAsia="Times New Roman" w:cs="Times New Roman"/>
        </w:rPr>
        <w:t xml:space="preserve"> and to a lesser extent</w:t>
      </w:r>
      <w:r>
        <w:rPr>
          <w:rFonts w:eastAsia="Times New Roman" w:cs="Times New Roman"/>
        </w:rPr>
        <w:t>,</w:t>
      </w:r>
      <w:r w:rsidRPr="00583507">
        <w:rPr>
          <w:rFonts w:eastAsia="Times New Roman" w:cs="Times New Roman"/>
        </w:rPr>
        <w:t xml:space="preserve"> demand for tea in general during the year 2015. Consequently, tea prices in Colombo which reached a record high in 2014 weakened substantially.  In fact, the Colombo Auction average for the calendar year 2015 was approximately </w:t>
      </w:r>
      <w:proofErr w:type="spellStart"/>
      <w:r w:rsidRPr="00583507">
        <w:rPr>
          <w:rFonts w:eastAsia="Times New Roman" w:cs="Times New Roman"/>
        </w:rPr>
        <w:t>Rs</w:t>
      </w:r>
      <w:proofErr w:type="spellEnd"/>
      <w:r w:rsidRPr="00583507">
        <w:rPr>
          <w:rFonts w:eastAsia="Times New Roman" w:cs="Times New Roman"/>
        </w:rPr>
        <w:t>. 62.60 lower than the corresponding average in 2014.</w:t>
      </w:r>
    </w:p>
    <w:p w:rsidR="004C1A29" w:rsidRPr="00C67BB9" w:rsidRDefault="004C1A29" w:rsidP="004C1A29">
      <w:pPr>
        <w:spacing w:after="150"/>
        <w:jc w:val="both"/>
        <w:rPr>
          <w:rFonts w:eastAsia="Times New Roman" w:cs="Times New Roman"/>
        </w:rPr>
      </w:pPr>
      <w:r w:rsidRPr="00583507">
        <w:rPr>
          <w:rFonts w:eastAsia="Times New Roman" w:cs="Times New Roman"/>
        </w:rPr>
        <w:t xml:space="preserve">The decline in US Dollar terms would record an even sharper decline compared with 2014 following the devaluation of the Sri Lankan Rupee against the US Dollar during 2015. </w:t>
      </w:r>
    </w:p>
    <w:p w:rsidR="004C1A29" w:rsidRDefault="004C1A29" w:rsidP="004C1A29">
      <w:pPr>
        <w:spacing w:after="0"/>
        <w:jc w:val="center"/>
        <w:rPr>
          <w:rFonts w:cs="Times New Roman"/>
          <w:b/>
          <w:bCs/>
          <w:sz w:val="28"/>
          <w:szCs w:val="28"/>
        </w:rPr>
      </w:pPr>
      <w:r w:rsidRPr="004C1A29">
        <w:rPr>
          <w:rFonts w:cs="Times New Roman"/>
          <w:b/>
          <w:bCs/>
          <w:sz w:val="28"/>
          <w:szCs w:val="28"/>
        </w:rPr>
        <w:t>OVERVIEW OF THE KENYA TEA INDUSTRY 2014/2015</w:t>
      </w:r>
    </w:p>
    <w:p w:rsidR="004C1A29" w:rsidRPr="004C1A29" w:rsidRDefault="004C1A29" w:rsidP="004C1A29">
      <w:pPr>
        <w:spacing w:after="0"/>
        <w:jc w:val="center"/>
        <w:rPr>
          <w:rFonts w:cs="Times New Roman"/>
          <w:b/>
          <w:bCs/>
          <w:sz w:val="28"/>
          <w:szCs w:val="28"/>
        </w:rPr>
      </w:pPr>
    </w:p>
    <w:p w:rsidR="004C1A29" w:rsidRDefault="004C1A29" w:rsidP="004C1A29">
      <w:pPr>
        <w:contextualSpacing/>
        <w:jc w:val="both"/>
        <w:rPr>
          <w:rFonts w:eastAsia="Times New Roman" w:cs="Times New Roman"/>
        </w:rPr>
      </w:pPr>
      <w:r w:rsidRPr="00583507">
        <w:rPr>
          <w:rFonts w:eastAsia="Times New Roman" w:cs="Times New Roman"/>
        </w:rPr>
        <w:t xml:space="preserve">Kenya is the </w:t>
      </w:r>
      <w:r>
        <w:rPr>
          <w:rFonts w:eastAsia="Times New Roman" w:cs="Times New Roman"/>
        </w:rPr>
        <w:t>third</w:t>
      </w:r>
      <w:r w:rsidRPr="00583507">
        <w:rPr>
          <w:rFonts w:eastAsia="Times New Roman" w:cs="Times New Roman"/>
        </w:rPr>
        <w:t xml:space="preserve"> leading producer of black tea</w:t>
      </w:r>
      <w:r>
        <w:rPr>
          <w:rFonts w:eastAsia="Times New Roman" w:cs="Times New Roman"/>
        </w:rPr>
        <w:t xml:space="preserve"> in the world accounting for 10 percent</w:t>
      </w:r>
      <w:r w:rsidRPr="00583507">
        <w:rPr>
          <w:rFonts w:eastAsia="Times New Roman" w:cs="Times New Roman"/>
        </w:rPr>
        <w:t xml:space="preserve"> of the total world tea production and the largest exporter of tea in the world accounting for </w:t>
      </w:r>
      <w:r>
        <w:rPr>
          <w:rFonts w:eastAsia="Times New Roman" w:cs="Times New Roman"/>
        </w:rPr>
        <w:t>22 percent</w:t>
      </w:r>
      <w:r w:rsidRPr="00583507">
        <w:rPr>
          <w:rFonts w:eastAsia="Times New Roman" w:cs="Times New Roman"/>
        </w:rPr>
        <w:t xml:space="preserve"> of the total world tea exports.</w:t>
      </w:r>
    </w:p>
    <w:p w:rsidR="004C1A29" w:rsidRPr="00583507" w:rsidRDefault="004C1A29" w:rsidP="004C1A29">
      <w:pPr>
        <w:contextualSpacing/>
        <w:jc w:val="both"/>
        <w:rPr>
          <w:rFonts w:eastAsia="Times New Roman" w:cs="Times New Roman"/>
        </w:rPr>
      </w:pPr>
    </w:p>
    <w:p w:rsidR="004C1A29" w:rsidRPr="00583507" w:rsidRDefault="004C1A29" w:rsidP="004C1A29">
      <w:pPr>
        <w:contextualSpacing/>
        <w:jc w:val="both"/>
        <w:rPr>
          <w:rFonts w:eastAsia="Times New Roman" w:cs="Times New Roman"/>
        </w:rPr>
      </w:pPr>
      <w:r>
        <w:rPr>
          <w:rFonts w:eastAsia="Times New Roman" w:cs="Times New Roman"/>
        </w:rPr>
        <w:t xml:space="preserve">Ten percent </w:t>
      </w:r>
      <w:r w:rsidRPr="00583507">
        <w:rPr>
          <w:rFonts w:eastAsia="Times New Roman" w:cs="Times New Roman"/>
        </w:rPr>
        <w:t>of the Kenyan population depend</w:t>
      </w:r>
      <w:r>
        <w:rPr>
          <w:rFonts w:eastAsia="Times New Roman" w:cs="Times New Roman"/>
        </w:rPr>
        <w:t>s on tea and tea contributes 4 percent of the country’s GDP and 26 percent</w:t>
      </w:r>
      <w:r w:rsidRPr="00583507">
        <w:rPr>
          <w:rFonts w:eastAsia="Times New Roman" w:cs="Times New Roman"/>
        </w:rPr>
        <w:t xml:space="preserve"> of the country’s export earnings.</w:t>
      </w:r>
    </w:p>
    <w:p w:rsidR="004C1A29" w:rsidRDefault="004C1A29" w:rsidP="004C1A29">
      <w:pPr>
        <w:contextualSpacing/>
        <w:jc w:val="both"/>
        <w:rPr>
          <w:rFonts w:eastAsia="Times New Roman" w:cs="Times New Roman"/>
        </w:rPr>
      </w:pPr>
      <w:r w:rsidRPr="00583507">
        <w:rPr>
          <w:rFonts w:eastAsia="Times New Roman" w:cs="Times New Roman"/>
        </w:rPr>
        <w:t>The tea industry has also contributed significantly to ru</w:t>
      </w:r>
      <w:r>
        <w:rPr>
          <w:rFonts w:eastAsia="Times New Roman" w:cs="Times New Roman"/>
        </w:rPr>
        <w:t>ral development in the country.</w:t>
      </w:r>
    </w:p>
    <w:p w:rsidR="004C1A29" w:rsidRDefault="004C1A29" w:rsidP="004C1A29">
      <w:pPr>
        <w:tabs>
          <w:tab w:val="left" w:pos="7110"/>
        </w:tabs>
        <w:rPr>
          <w:rFonts w:cs="Times New Roman"/>
          <w:b/>
          <w:color w:val="000000"/>
        </w:rPr>
      </w:pPr>
    </w:p>
    <w:p w:rsidR="004C1A29" w:rsidRPr="004C1A29" w:rsidRDefault="004C1A29" w:rsidP="004C1A29">
      <w:pPr>
        <w:tabs>
          <w:tab w:val="left" w:pos="7110"/>
        </w:tabs>
        <w:rPr>
          <w:rFonts w:eastAsia="Times New Roman" w:cs="Times New Roman"/>
          <w:szCs w:val="22"/>
          <w:lang w:val="en-IN" w:bidi="te-IN"/>
        </w:rPr>
      </w:pPr>
      <w:r>
        <w:rPr>
          <w:rFonts w:eastAsia="Times New Roman" w:cs="Times New Roman"/>
        </w:rPr>
        <w:br w:type="page"/>
      </w:r>
      <w:r w:rsidRPr="004C1A29">
        <w:rPr>
          <w:rFonts w:eastAsia="Calibri" w:cs="Times New Roman"/>
          <w:b/>
          <w:szCs w:val="22"/>
          <w:lang w:val="en-IN" w:bidi="te-IN"/>
        </w:rPr>
        <w:lastRenderedPageBreak/>
        <w:t>Production by sub-sector and region (2015 vis-à -</w:t>
      </w:r>
      <w:proofErr w:type="gramStart"/>
      <w:r w:rsidRPr="004C1A29">
        <w:rPr>
          <w:rFonts w:eastAsia="Calibri" w:cs="Times New Roman"/>
          <w:b/>
          <w:szCs w:val="22"/>
          <w:lang w:val="en-IN" w:bidi="te-IN"/>
        </w:rPr>
        <w:t>vis</w:t>
      </w:r>
      <w:proofErr w:type="gramEnd"/>
      <w:r w:rsidRPr="004C1A29">
        <w:rPr>
          <w:rFonts w:eastAsia="Calibri" w:cs="Times New Roman"/>
          <w:b/>
          <w:szCs w:val="22"/>
          <w:lang w:val="en-IN" w:bidi="te-IN"/>
        </w:rPr>
        <w:t xml:space="preserve"> 2014)</w:t>
      </w:r>
    </w:p>
    <w:tbl>
      <w:tblPr>
        <w:tblW w:w="10041" w:type="dxa"/>
        <w:tblInd w:w="-10" w:type="dxa"/>
        <w:tblLook w:val="04A0" w:firstRow="1" w:lastRow="0" w:firstColumn="1" w:lastColumn="0" w:noHBand="0" w:noVBand="1"/>
      </w:tblPr>
      <w:tblGrid>
        <w:gridCol w:w="1277"/>
        <w:gridCol w:w="613"/>
        <w:gridCol w:w="1017"/>
        <w:gridCol w:w="1017"/>
        <w:gridCol w:w="1071"/>
        <w:gridCol w:w="836"/>
        <w:gridCol w:w="1106"/>
        <w:gridCol w:w="1106"/>
        <w:gridCol w:w="1125"/>
        <w:gridCol w:w="873"/>
      </w:tblGrid>
      <w:tr w:rsidR="004C1A29" w:rsidRPr="004C1A29" w:rsidTr="004C1A29">
        <w:trPr>
          <w:trHeight w:val="565"/>
        </w:trPr>
        <w:tc>
          <w:tcPr>
            <w:tcW w:w="189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C1A29" w:rsidRPr="004C1A29" w:rsidRDefault="004C1A29" w:rsidP="004C1A29">
            <w:pPr>
              <w:spacing w:after="120"/>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PRODUCTION (KGS)</w:t>
            </w:r>
          </w:p>
        </w:tc>
        <w:tc>
          <w:tcPr>
            <w:tcW w:w="1017" w:type="dxa"/>
            <w:tcBorders>
              <w:top w:val="single" w:sz="8" w:space="0" w:color="auto"/>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Dec 2015</w:t>
            </w:r>
          </w:p>
        </w:tc>
        <w:tc>
          <w:tcPr>
            <w:tcW w:w="1017" w:type="dxa"/>
            <w:tcBorders>
              <w:top w:val="single" w:sz="8" w:space="0" w:color="auto"/>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Dec 2014</w:t>
            </w:r>
          </w:p>
        </w:tc>
        <w:tc>
          <w:tcPr>
            <w:tcW w:w="1071" w:type="dxa"/>
            <w:tcBorders>
              <w:top w:val="single" w:sz="8" w:space="0" w:color="auto"/>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Variance +/-</w:t>
            </w:r>
          </w:p>
        </w:tc>
        <w:tc>
          <w:tcPr>
            <w:tcW w:w="83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Var</w:t>
            </w:r>
            <w:proofErr w:type="gramStart"/>
            <w:r w:rsidRPr="004C1A29">
              <w:rPr>
                <w:rFonts w:ascii="Arial" w:eastAsia="Calibri" w:hAnsi="Arial" w:cs="Arial"/>
                <w:b/>
                <w:bCs/>
                <w:color w:val="000000"/>
                <w:sz w:val="16"/>
                <w:szCs w:val="16"/>
                <w:lang w:val="en-IN" w:eastAsia="en-GB" w:bidi="te-IN"/>
              </w:rPr>
              <w:t>.(</w:t>
            </w:r>
            <w:proofErr w:type="gramEnd"/>
            <w:r w:rsidRPr="004C1A29">
              <w:rPr>
                <w:rFonts w:ascii="Arial" w:eastAsia="Calibri" w:hAnsi="Arial" w:cs="Arial"/>
                <w:b/>
                <w:bCs/>
                <w:color w:val="000000"/>
                <w:sz w:val="16"/>
                <w:szCs w:val="16"/>
                <w:lang w:val="en-IN" w:eastAsia="en-GB" w:bidi="te-IN"/>
              </w:rPr>
              <w:t>%)</w:t>
            </w:r>
          </w:p>
        </w:tc>
        <w:tc>
          <w:tcPr>
            <w:tcW w:w="1106" w:type="dxa"/>
            <w:tcBorders>
              <w:top w:val="single" w:sz="8" w:space="0" w:color="auto"/>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Jan - Dec 2015</w:t>
            </w:r>
          </w:p>
        </w:tc>
        <w:tc>
          <w:tcPr>
            <w:tcW w:w="1106" w:type="dxa"/>
            <w:tcBorders>
              <w:top w:val="single" w:sz="8" w:space="0" w:color="auto"/>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Jan -Dec 2014</w:t>
            </w:r>
          </w:p>
        </w:tc>
        <w:tc>
          <w:tcPr>
            <w:tcW w:w="1125" w:type="dxa"/>
            <w:tcBorders>
              <w:top w:val="single" w:sz="8" w:space="0" w:color="auto"/>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Variance +/-</w:t>
            </w:r>
          </w:p>
        </w:tc>
        <w:tc>
          <w:tcPr>
            <w:tcW w:w="87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Var</w:t>
            </w:r>
            <w:proofErr w:type="gramStart"/>
            <w:r w:rsidRPr="004C1A29">
              <w:rPr>
                <w:rFonts w:ascii="Arial" w:eastAsia="Calibri" w:hAnsi="Arial" w:cs="Arial"/>
                <w:b/>
                <w:bCs/>
                <w:color w:val="000000"/>
                <w:sz w:val="16"/>
                <w:szCs w:val="16"/>
                <w:lang w:val="en-IN" w:eastAsia="en-GB" w:bidi="te-IN"/>
              </w:rPr>
              <w:t>.(</w:t>
            </w:r>
            <w:proofErr w:type="gramEnd"/>
            <w:r w:rsidRPr="004C1A29">
              <w:rPr>
                <w:rFonts w:ascii="Arial" w:eastAsia="Calibri" w:hAnsi="Arial" w:cs="Arial"/>
                <w:b/>
                <w:bCs/>
                <w:color w:val="000000"/>
                <w:sz w:val="16"/>
                <w:szCs w:val="16"/>
                <w:lang w:val="en-IN" w:eastAsia="en-GB" w:bidi="te-IN"/>
              </w:rPr>
              <w:t>%)</w:t>
            </w:r>
          </w:p>
        </w:tc>
      </w:tr>
      <w:tr w:rsidR="004C1A29" w:rsidRPr="004C1A29" w:rsidTr="00132683">
        <w:trPr>
          <w:trHeight w:val="710"/>
        </w:trPr>
        <w:tc>
          <w:tcPr>
            <w:tcW w:w="1277" w:type="dxa"/>
            <w:vMerge w:val="restart"/>
            <w:tcBorders>
              <w:top w:val="nil"/>
              <w:left w:val="single" w:sz="8" w:space="0" w:color="auto"/>
              <w:right w:val="single" w:sz="4" w:space="0" w:color="auto"/>
            </w:tcBorders>
            <w:shd w:val="clear" w:color="auto" w:fill="auto"/>
            <w:noWrap/>
            <w:vAlign w:val="center"/>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Plantation</w:t>
            </w:r>
          </w:p>
        </w:tc>
        <w:tc>
          <w:tcPr>
            <w:tcW w:w="613" w:type="dxa"/>
            <w:tcBorders>
              <w:top w:val="nil"/>
              <w:left w:val="nil"/>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West of Rift</w:t>
            </w:r>
          </w:p>
        </w:tc>
        <w:tc>
          <w:tcPr>
            <w:tcW w:w="1017"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16,632,461</w:t>
            </w:r>
          </w:p>
        </w:tc>
        <w:tc>
          <w:tcPr>
            <w:tcW w:w="1017"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15,167,719</w:t>
            </w:r>
          </w:p>
        </w:tc>
        <w:tc>
          <w:tcPr>
            <w:tcW w:w="1071" w:type="dxa"/>
            <w:tcBorders>
              <w:top w:val="nil"/>
              <w:left w:val="single" w:sz="4" w:space="0" w:color="auto"/>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1,464,742</w:t>
            </w:r>
          </w:p>
        </w:tc>
        <w:tc>
          <w:tcPr>
            <w:tcW w:w="836"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9.66%</w:t>
            </w:r>
          </w:p>
        </w:tc>
        <w:tc>
          <w:tcPr>
            <w:tcW w:w="1106"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144,479,427</w:t>
            </w:r>
          </w:p>
        </w:tc>
        <w:tc>
          <w:tcPr>
            <w:tcW w:w="1106"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165,468,048</w:t>
            </w:r>
          </w:p>
        </w:tc>
        <w:tc>
          <w:tcPr>
            <w:tcW w:w="1125" w:type="dxa"/>
            <w:tcBorders>
              <w:top w:val="nil"/>
              <w:left w:val="single" w:sz="4" w:space="0" w:color="auto"/>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- 20,988,621</w:t>
            </w:r>
          </w:p>
        </w:tc>
        <w:tc>
          <w:tcPr>
            <w:tcW w:w="873"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-12.68%</w:t>
            </w:r>
          </w:p>
        </w:tc>
      </w:tr>
      <w:tr w:rsidR="004C1A29" w:rsidRPr="004C1A29" w:rsidTr="00132683">
        <w:trPr>
          <w:trHeight w:val="620"/>
        </w:trPr>
        <w:tc>
          <w:tcPr>
            <w:tcW w:w="1277" w:type="dxa"/>
            <w:vMerge/>
            <w:tcBorders>
              <w:left w:val="single" w:sz="8" w:space="0" w:color="auto"/>
              <w:bottom w:val="single" w:sz="4" w:space="0" w:color="auto"/>
              <w:right w:val="single" w:sz="4" w:space="0" w:color="auto"/>
            </w:tcBorders>
            <w:shd w:val="clear" w:color="auto" w:fill="auto"/>
            <w:vAlign w:val="center"/>
            <w:hideMark/>
          </w:tcPr>
          <w:p w:rsidR="004C1A29" w:rsidRPr="004C1A29" w:rsidRDefault="004C1A29" w:rsidP="004C1A29">
            <w:pPr>
              <w:spacing w:after="120"/>
              <w:rPr>
                <w:rFonts w:ascii="Arial" w:eastAsia="Calibri" w:hAnsi="Arial" w:cs="Arial"/>
                <w:b/>
                <w:bCs/>
                <w:color w:val="000000"/>
                <w:sz w:val="16"/>
                <w:szCs w:val="16"/>
                <w:lang w:val="en-IN" w:eastAsia="en-GB" w:bidi="te-IN"/>
              </w:rPr>
            </w:pPr>
          </w:p>
        </w:tc>
        <w:tc>
          <w:tcPr>
            <w:tcW w:w="613" w:type="dxa"/>
            <w:tcBorders>
              <w:top w:val="nil"/>
              <w:left w:val="nil"/>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East of Rift</w:t>
            </w:r>
          </w:p>
        </w:tc>
        <w:tc>
          <w:tcPr>
            <w:tcW w:w="1017"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2,108,910</w:t>
            </w:r>
          </w:p>
        </w:tc>
        <w:tc>
          <w:tcPr>
            <w:tcW w:w="1017"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1,785,741</w:t>
            </w:r>
          </w:p>
        </w:tc>
        <w:tc>
          <w:tcPr>
            <w:tcW w:w="1071" w:type="dxa"/>
            <w:tcBorders>
              <w:top w:val="nil"/>
              <w:left w:val="single" w:sz="4" w:space="0" w:color="auto"/>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323,169</w:t>
            </w:r>
          </w:p>
        </w:tc>
        <w:tc>
          <w:tcPr>
            <w:tcW w:w="836"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18.10%</w:t>
            </w:r>
          </w:p>
        </w:tc>
        <w:tc>
          <w:tcPr>
            <w:tcW w:w="1106"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17,135,640</w:t>
            </w:r>
          </w:p>
        </w:tc>
        <w:tc>
          <w:tcPr>
            <w:tcW w:w="1106"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17,218,075</w:t>
            </w:r>
          </w:p>
        </w:tc>
        <w:tc>
          <w:tcPr>
            <w:tcW w:w="1125" w:type="dxa"/>
            <w:tcBorders>
              <w:top w:val="nil"/>
              <w:left w:val="single" w:sz="4" w:space="0" w:color="auto"/>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- 82,435</w:t>
            </w:r>
          </w:p>
        </w:tc>
        <w:tc>
          <w:tcPr>
            <w:tcW w:w="873"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-0.48%</w:t>
            </w:r>
          </w:p>
        </w:tc>
      </w:tr>
      <w:tr w:rsidR="004C1A29" w:rsidRPr="004C1A29" w:rsidTr="004C1A29">
        <w:trPr>
          <w:trHeight w:val="300"/>
        </w:trPr>
        <w:tc>
          <w:tcPr>
            <w:tcW w:w="1277" w:type="dxa"/>
            <w:tcBorders>
              <w:top w:val="nil"/>
              <w:left w:val="single" w:sz="8" w:space="0" w:color="auto"/>
              <w:bottom w:val="single" w:sz="4" w:space="0" w:color="auto"/>
              <w:right w:val="single" w:sz="4" w:space="0" w:color="auto"/>
            </w:tcBorders>
            <w:shd w:val="clear" w:color="auto" w:fill="auto"/>
            <w:vAlign w:val="center"/>
            <w:hideMark/>
          </w:tcPr>
          <w:p w:rsidR="004C1A29" w:rsidRPr="004C1A29" w:rsidRDefault="004C1A29" w:rsidP="004C1A29">
            <w:pPr>
              <w:spacing w:after="120"/>
              <w:rPr>
                <w:rFonts w:ascii="Arial" w:eastAsia="Calibri" w:hAnsi="Arial" w:cs="Arial"/>
                <w:b/>
                <w:bCs/>
                <w:color w:val="000000"/>
                <w:sz w:val="16"/>
                <w:szCs w:val="16"/>
                <w:lang w:val="en-IN" w:eastAsia="en-GB" w:bidi="te-IN"/>
              </w:rPr>
            </w:pPr>
          </w:p>
        </w:tc>
        <w:tc>
          <w:tcPr>
            <w:tcW w:w="613" w:type="dxa"/>
            <w:tcBorders>
              <w:top w:val="nil"/>
              <w:left w:val="nil"/>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Total</w:t>
            </w:r>
          </w:p>
        </w:tc>
        <w:tc>
          <w:tcPr>
            <w:tcW w:w="1017"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18,741,371</w:t>
            </w:r>
          </w:p>
        </w:tc>
        <w:tc>
          <w:tcPr>
            <w:tcW w:w="1017"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16,953,460</w:t>
            </w:r>
          </w:p>
        </w:tc>
        <w:tc>
          <w:tcPr>
            <w:tcW w:w="1071"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1,787,911</w:t>
            </w:r>
          </w:p>
        </w:tc>
        <w:tc>
          <w:tcPr>
            <w:tcW w:w="836"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10.55%</w:t>
            </w:r>
          </w:p>
        </w:tc>
        <w:tc>
          <w:tcPr>
            <w:tcW w:w="1106"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161,615,067</w:t>
            </w:r>
          </w:p>
        </w:tc>
        <w:tc>
          <w:tcPr>
            <w:tcW w:w="1106"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182,686,123</w:t>
            </w:r>
          </w:p>
        </w:tc>
        <w:tc>
          <w:tcPr>
            <w:tcW w:w="1125"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- 21,071,056</w:t>
            </w:r>
          </w:p>
        </w:tc>
        <w:tc>
          <w:tcPr>
            <w:tcW w:w="873"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-11.53%</w:t>
            </w:r>
          </w:p>
        </w:tc>
      </w:tr>
      <w:tr w:rsidR="004C1A29" w:rsidRPr="004C1A29" w:rsidTr="004C1A29">
        <w:trPr>
          <w:trHeight w:val="692"/>
        </w:trPr>
        <w:tc>
          <w:tcPr>
            <w:tcW w:w="1277" w:type="dxa"/>
            <w:vMerge w:val="restart"/>
            <w:tcBorders>
              <w:top w:val="nil"/>
              <w:left w:val="single" w:sz="8" w:space="0" w:color="auto"/>
              <w:right w:val="single" w:sz="4" w:space="0" w:color="auto"/>
            </w:tcBorders>
            <w:shd w:val="clear" w:color="auto" w:fill="auto"/>
            <w:noWrap/>
            <w:vAlign w:val="center"/>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Smallholder</w:t>
            </w:r>
          </w:p>
        </w:tc>
        <w:tc>
          <w:tcPr>
            <w:tcW w:w="613" w:type="dxa"/>
            <w:tcBorders>
              <w:top w:val="nil"/>
              <w:left w:val="nil"/>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West of Rift</w:t>
            </w:r>
          </w:p>
        </w:tc>
        <w:tc>
          <w:tcPr>
            <w:tcW w:w="1017"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11,292,899</w:t>
            </w:r>
          </w:p>
        </w:tc>
        <w:tc>
          <w:tcPr>
            <w:tcW w:w="1017"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12,117,262</w:t>
            </w:r>
          </w:p>
        </w:tc>
        <w:tc>
          <w:tcPr>
            <w:tcW w:w="1071" w:type="dxa"/>
            <w:tcBorders>
              <w:top w:val="nil"/>
              <w:left w:val="single" w:sz="4" w:space="0" w:color="auto"/>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- 824,363</w:t>
            </w:r>
          </w:p>
        </w:tc>
        <w:tc>
          <w:tcPr>
            <w:tcW w:w="836"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-6.80%</w:t>
            </w:r>
          </w:p>
        </w:tc>
        <w:tc>
          <w:tcPr>
            <w:tcW w:w="1106"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97,057,574</w:t>
            </w:r>
          </w:p>
        </w:tc>
        <w:tc>
          <w:tcPr>
            <w:tcW w:w="1106"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109,597,020</w:t>
            </w:r>
          </w:p>
        </w:tc>
        <w:tc>
          <w:tcPr>
            <w:tcW w:w="1125" w:type="dxa"/>
            <w:tcBorders>
              <w:top w:val="nil"/>
              <w:left w:val="single" w:sz="4" w:space="0" w:color="auto"/>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- 12,539,446</w:t>
            </w:r>
          </w:p>
        </w:tc>
        <w:tc>
          <w:tcPr>
            <w:tcW w:w="873"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-11.44%</w:t>
            </w:r>
          </w:p>
        </w:tc>
      </w:tr>
      <w:tr w:rsidR="004C1A29" w:rsidRPr="004C1A29" w:rsidTr="004C1A29">
        <w:trPr>
          <w:trHeight w:val="300"/>
        </w:trPr>
        <w:tc>
          <w:tcPr>
            <w:tcW w:w="1277" w:type="dxa"/>
            <w:vMerge/>
            <w:tcBorders>
              <w:left w:val="single" w:sz="8" w:space="0" w:color="auto"/>
              <w:right w:val="single" w:sz="4" w:space="0" w:color="auto"/>
            </w:tcBorders>
            <w:shd w:val="clear" w:color="auto" w:fill="auto"/>
            <w:vAlign w:val="center"/>
            <w:hideMark/>
          </w:tcPr>
          <w:p w:rsidR="004C1A29" w:rsidRPr="004C1A29" w:rsidRDefault="004C1A29" w:rsidP="004C1A29">
            <w:pPr>
              <w:spacing w:after="120"/>
              <w:rPr>
                <w:rFonts w:ascii="Arial" w:eastAsia="Calibri" w:hAnsi="Arial" w:cs="Arial"/>
                <w:b/>
                <w:bCs/>
                <w:color w:val="000000"/>
                <w:sz w:val="16"/>
                <w:szCs w:val="16"/>
                <w:lang w:val="en-IN" w:eastAsia="en-GB" w:bidi="te-IN"/>
              </w:rPr>
            </w:pPr>
          </w:p>
        </w:tc>
        <w:tc>
          <w:tcPr>
            <w:tcW w:w="613" w:type="dxa"/>
            <w:tcBorders>
              <w:top w:val="nil"/>
              <w:left w:val="nil"/>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East of Rift</w:t>
            </w:r>
          </w:p>
        </w:tc>
        <w:tc>
          <w:tcPr>
            <w:tcW w:w="1017"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16,353,190</w:t>
            </w:r>
          </w:p>
        </w:tc>
        <w:tc>
          <w:tcPr>
            <w:tcW w:w="1017"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16,000,063</w:t>
            </w:r>
          </w:p>
        </w:tc>
        <w:tc>
          <w:tcPr>
            <w:tcW w:w="1071" w:type="dxa"/>
            <w:tcBorders>
              <w:top w:val="nil"/>
              <w:left w:val="single" w:sz="4" w:space="0" w:color="auto"/>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353,127</w:t>
            </w:r>
          </w:p>
        </w:tc>
        <w:tc>
          <w:tcPr>
            <w:tcW w:w="836"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2.21%</w:t>
            </w:r>
          </w:p>
        </w:tc>
        <w:tc>
          <w:tcPr>
            <w:tcW w:w="1106"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140,538,723</w:t>
            </w:r>
          </w:p>
        </w:tc>
        <w:tc>
          <w:tcPr>
            <w:tcW w:w="1106"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152,821,591</w:t>
            </w:r>
          </w:p>
        </w:tc>
        <w:tc>
          <w:tcPr>
            <w:tcW w:w="1125" w:type="dxa"/>
            <w:tcBorders>
              <w:top w:val="nil"/>
              <w:left w:val="single" w:sz="4" w:space="0" w:color="auto"/>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- 12,282,868</w:t>
            </w:r>
          </w:p>
        </w:tc>
        <w:tc>
          <w:tcPr>
            <w:tcW w:w="873"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-8.04%</w:t>
            </w:r>
          </w:p>
        </w:tc>
      </w:tr>
      <w:tr w:rsidR="004C1A29" w:rsidRPr="004C1A29" w:rsidTr="004C1A29">
        <w:trPr>
          <w:trHeight w:val="300"/>
        </w:trPr>
        <w:tc>
          <w:tcPr>
            <w:tcW w:w="1277" w:type="dxa"/>
            <w:vMerge/>
            <w:tcBorders>
              <w:left w:val="single" w:sz="8" w:space="0" w:color="auto"/>
              <w:bottom w:val="single" w:sz="4" w:space="0" w:color="auto"/>
              <w:right w:val="single" w:sz="4" w:space="0" w:color="auto"/>
            </w:tcBorders>
            <w:shd w:val="clear" w:color="auto" w:fill="auto"/>
            <w:vAlign w:val="center"/>
            <w:hideMark/>
          </w:tcPr>
          <w:p w:rsidR="004C1A29" w:rsidRPr="004C1A29" w:rsidRDefault="004C1A29" w:rsidP="004C1A29">
            <w:pPr>
              <w:spacing w:after="120"/>
              <w:rPr>
                <w:rFonts w:ascii="Arial" w:eastAsia="Calibri" w:hAnsi="Arial" w:cs="Arial"/>
                <w:b/>
                <w:bCs/>
                <w:color w:val="000000"/>
                <w:sz w:val="16"/>
                <w:szCs w:val="16"/>
                <w:lang w:val="en-IN" w:eastAsia="en-GB" w:bidi="te-IN"/>
              </w:rPr>
            </w:pPr>
          </w:p>
        </w:tc>
        <w:tc>
          <w:tcPr>
            <w:tcW w:w="613" w:type="dxa"/>
            <w:tcBorders>
              <w:top w:val="nil"/>
              <w:left w:val="nil"/>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Total</w:t>
            </w:r>
          </w:p>
        </w:tc>
        <w:tc>
          <w:tcPr>
            <w:tcW w:w="1017"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27,646,089</w:t>
            </w:r>
          </w:p>
        </w:tc>
        <w:tc>
          <w:tcPr>
            <w:tcW w:w="1017"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28,117,325</w:t>
            </w:r>
          </w:p>
        </w:tc>
        <w:tc>
          <w:tcPr>
            <w:tcW w:w="1071"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-471,236</w:t>
            </w:r>
          </w:p>
        </w:tc>
        <w:tc>
          <w:tcPr>
            <w:tcW w:w="836"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-1.68%</w:t>
            </w:r>
          </w:p>
        </w:tc>
        <w:tc>
          <w:tcPr>
            <w:tcW w:w="1106"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237,596,297</w:t>
            </w:r>
          </w:p>
        </w:tc>
        <w:tc>
          <w:tcPr>
            <w:tcW w:w="1106"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262,418,611</w:t>
            </w:r>
          </w:p>
        </w:tc>
        <w:tc>
          <w:tcPr>
            <w:tcW w:w="1125"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- 24,822,314</w:t>
            </w:r>
          </w:p>
        </w:tc>
        <w:tc>
          <w:tcPr>
            <w:tcW w:w="873"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-9.46%</w:t>
            </w:r>
          </w:p>
        </w:tc>
      </w:tr>
      <w:tr w:rsidR="004C1A29" w:rsidRPr="004C1A29" w:rsidTr="004C1A29">
        <w:trPr>
          <w:trHeight w:val="692"/>
        </w:trPr>
        <w:tc>
          <w:tcPr>
            <w:tcW w:w="1277" w:type="dxa"/>
            <w:vMerge w:val="restart"/>
            <w:tcBorders>
              <w:top w:val="single" w:sz="4" w:space="0" w:color="auto"/>
              <w:left w:val="single" w:sz="8" w:space="0" w:color="auto"/>
              <w:right w:val="single" w:sz="4" w:space="0" w:color="auto"/>
            </w:tcBorders>
            <w:shd w:val="clear" w:color="auto" w:fill="auto"/>
            <w:vAlign w:val="center"/>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p>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Plantation &amp; Smallholder</w:t>
            </w:r>
          </w:p>
        </w:tc>
        <w:tc>
          <w:tcPr>
            <w:tcW w:w="613" w:type="dxa"/>
            <w:tcBorders>
              <w:top w:val="single" w:sz="4" w:space="0" w:color="auto"/>
              <w:left w:val="nil"/>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West of Rift</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27,925,360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27,284,981</w:t>
            </w:r>
          </w:p>
        </w:tc>
        <w:tc>
          <w:tcPr>
            <w:tcW w:w="1071" w:type="dxa"/>
            <w:tcBorders>
              <w:top w:val="single" w:sz="4" w:space="0" w:color="auto"/>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640,379</w:t>
            </w:r>
          </w:p>
        </w:tc>
        <w:tc>
          <w:tcPr>
            <w:tcW w:w="83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2.35%</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241,537,001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275,065,068</w:t>
            </w:r>
          </w:p>
        </w:tc>
        <w:tc>
          <w:tcPr>
            <w:tcW w:w="1125" w:type="dxa"/>
            <w:tcBorders>
              <w:top w:val="single" w:sz="4" w:space="0" w:color="auto"/>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- 33,528,067</w:t>
            </w:r>
          </w:p>
        </w:tc>
        <w:tc>
          <w:tcPr>
            <w:tcW w:w="87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-12.19%</w:t>
            </w:r>
          </w:p>
        </w:tc>
      </w:tr>
      <w:tr w:rsidR="004C1A29" w:rsidRPr="004C1A29" w:rsidTr="004C1A29">
        <w:trPr>
          <w:trHeight w:val="620"/>
        </w:trPr>
        <w:tc>
          <w:tcPr>
            <w:tcW w:w="1277" w:type="dxa"/>
            <w:vMerge/>
            <w:tcBorders>
              <w:left w:val="single" w:sz="8" w:space="0" w:color="auto"/>
              <w:right w:val="single" w:sz="4" w:space="0" w:color="auto"/>
            </w:tcBorders>
            <w:shd w:val="clear" w:color="auto" w:fill="auto"/>
            <w:vAlign w:val="center"/>
            <w:hideMark/>
          </w:tcPr>
          <w:p w:rsidR="004C1A29" w:rsidRPr="004C1A29" w:rsidRDefault="004C1A29" w:rsidP="004C1A29">
            <w:pPr>
              <w:spacing w:after="120"/>
              <w:rPr>
                <w:rFonts w:ascii="Arial" w:eastAsia="Calibri" w:hAnsi="Arial" w:cs="Arial"/>
                <w:b/>
                <w:bCs/>
                <w:color w:val="000000"/>
                <w:sz w:val="16"/>
                <w:szCs w:val="16"/>
                <w:lang w:val="en-IN" w:eastAsia="en-GB" w:bidi="te-IN"/>
              </w:rPr>
            </w:pPr>
          </w:p>
        </w:tc>
        <w:tc>
          <w:tcPr>
            <w:tcW w:w="613" w:type="dxa"/>
            <w:tcBorders>
              <w:top w:val="nil"/>
              <w:left w:val="nil"/>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East of Rift</w:t>
            </w:r>
          </w:p>
        </w:tc>
        <w:tc>
          <w:tcPr>
            <w:tcW w:w="1017"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18,462,100</w:t>
            </w:r>
          </w:p>
        </w:tc>
        <w:tc>
          <w:tcPr>
            <w:tcW w:w="1017"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17,785,804</w:t>
            </w:r>
          </w:p>
        </w:tc>
        <w:tc>
          <w:tcPr>
            <w:tcW w:w="1071"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676,296</w:t>
            </w:r>
          </w:p>
        </w:tc>
        <w:tc>
          <w:tcPr>
            <w:tcW w:w="836"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3.80%</w:t>
            </w:r>
          </w:p>
        </w:tc>
        <w:tc>
          <w:tcPr>
            <w:tcW w:w="1106"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color w:val="000000"/>
                <w:sz w:val="16"/>
                <w:szCs w:val="16"/>
                <w:lang w:val="en-IN" w:eastAsia="en-GB" w:bidi="te-IN"/>
              </w:rPr>
            </w:pPr>
            <w:r w:rsidRPr="004C1A29">
              <w:rPr>
                <w:rFonts w:ascii="Arial" w:eastAsia="Calibri" w:hAnsi="Arial" w:cs="Arial"/>
                <w:color w:val="000000"/>
                <w:sz w:val="16"/>
                <w:szCs w:val="16"/>
                <w:lang w:val="en-IN" w:eastAsia="en-GB" w:bidi="te-IN"/>
              </w:rPr>
              <w:t>157,674,363</w:t>
            </w:r>
          </w:p>
        </w:tc>
        <w:tc>
          <w:tcPr>
            <w:tcW w:w="1106"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170,039,666</w:t>
            </w:r>
          </w:p>
        </w:tc>
        <w:tc>
          <w:tcPr>
            <w:tcW w:w="1125" w:type="dxa"/>
            <w:tcBorders>
              <w:top w:val="nil"/>
              <w:left w:val="nil"/>
              <w:bottom w:val="single" w:sz="4" w:space="0" w:color="auto"/>
              <w:right w:val="nil"/>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- 12,365,303</w:t>
            </w:r>
          </w:p>
        </w:tc>
        <w:tc>
          <w:tcPr>
            <w:tcW w:w="873" w:type="dxa"/>
            <w:tcBorders>
              <w:top w:val="nil"/>
              <w:left w:val="single" w:sz="4" w:space="0" w:color="auto"/>
              <w:bottom w:val="single" w:sz="4"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sz w:val="16"/>
                <w:szCs w:val="16"/>
                <w:lang w:val="en-IN" w:eastAsia="en-GB" w:bidi="te-IN"/>
              </w:rPr>
            </w:pPr>
            <w:r w:rsidRPr="004C1A29">
              <w:rPr>
                <w:rFonts w:ascii="Arial" w:eastAsia="Calibri" w:hAnsi="Arial" w:cs="Arial"/>
                <w:sz w:val="16"/>
                <w:szCs w:val="16"/>
                <w:lang w:val="en-IN" w:eastAsia="en-GB" w:bidi="te-IN"/>
              </w:rPr>
              <w:t>-7.27%</w:t>
            </w:r>
          </w:p>
        </w:tc>
      </w:tr>
      <w:tr w:rsidR="004C1A29" w:rsidRPr="004C1A29" w:rsidTr="004C1A29">
        <w:trPr>
          <w:trHeight w:val="393"/>
        </w:trPr>
        <w:tc>
          <w:tcPr>
            <w:tcW w:w="1277" w:type="dxa"/>
            <w:vMerge/>
            <w:tcBorders>
              <w:left w:val="single" w:sz="8" w:space="0" w:color="auto"/>
              <w:bottom w:val="single" w:sz="8" w:space="0" w:color="auto"/>
              <w:right w:val="single" w:sz="4" w:space="0" w:color="auto"/>
            </w:tcBorders>
            <w:shd w:val="clear" w:color="auto" w:fill="auto"/>
            <w:noWrap/>
            <w:vAlign w:val="bottom"/>
            <w:hideMark/>
          </w:tcPr>
          <w:p w:rsidR="004C1A29" w:rsidRPr="004C1A29" w:rsidRDefault="004C1A29" w:rsidP="004C1A29">
            <w:pPr>
              <w:spacing w:after="120"/>
              <w:rPr>
                <w:rFonts w:ascii="Arial" w:eastAsia="Calibri" w:hAnsi="Arial" w:cs="Arial"/>
                <w:color w:val="000000"/>
                <w:sz w:val="16"/>
                <w:szCs w:val="16"/>
                <w:lang w:val="en-IN" w:eastAsia="en-GB" w:bidi="te-IN"/>
              </w:rPr>
            </w:pPr>
          </w:p>
        </w:tc>
        <w:tc>
          <w:tcPr>
            <w:tcW w:w="613" w:type="dxa"/>
            <w:tcBorders>
              <w:top w:val="nil"/>
              <w:left w:val="nil"/>
              <w:bottom w:val="single" w:sz="8"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Total</w:t>
            </w:r>
          </w:p>
        </w:tc>
        <w:tc>
          <w:tcPr>
            <w:tcW w:w="1017" w:type="dxa"/>
            <w:tcBorders>
              <w:top w:val="nil"/>
              <w:left w:val="nil"/>
              <w:bottom w:val="single" w:sz="8"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46,387,460</w:t>
            </w:r>
          </w:p>
        </w:tc>
        <w:tc>
          <w:tcPr>
            <w:tcW w:w="1017" w:type="dxa"/>
            <w:tcBorders>
              <w:top w:val="nil"/>
              <w:left w:val="nil"/>
              <w:bottom w:val="single" w:sz="8"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45,070,785</w:t>
            </w:r>
          </w:p>
        </w:tc>
        <w:tc>
          <w:tcPr>
            <w:tcW w:w="1071" w:type="dxa"/>
            <w:tcBorders>
              <w:top w:val="nil"/>
              <w:left w:val="nil"/>
              <w:bottom w:val="single" w:sz="8"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1,316,675</w:t>
            </w:r>
          </w:p>
        </w:tc>
        <w:tc>
          <w:tcPr>
            <w:tcW w:w="836" w:type="dxa"/>
            <w:tcBorders>
              <w:top w:val="nil"/>
              <w:left w:val="nil"/>
              <w:bottom w:val="single" w:sz="8"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2.92%</w:t>
            </w:r>
          </w:p>
        </w:tc>
        <w:tc>
          <w:tcPr>
            <w:tcW w:w="1106" w:type="dxa"/>
            <w:tcBorders>
              <w:top w:val="nil"/>
              <w:left w:val="nil"/>
              <w:bottom w:val="single" w:sz="8"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color w:val="000000"/>
                <w:sz w:val="16"/>
                <w:szCs w:val="16"/>
                <w:lang w:val="en-IN" w:eastAsia="en-GB" w:bidi="te-IN"/>
              </w:rPr>
            </w:pPr>
            <w:r w:rsidRPr="004C1A29">
              <w:rPr>
                <w:rFonts w:ascii="Arial" w:eastAsia="Calibri" w:hAnsi="Arial" w:cs="Arial"/>
                <w:b/>
                <w:bCs/>
                <w:color w:val="000000"/>
                <w:sz w:val="16"/>
                <w:szCs w:val="16"/>
                <w:lang w:val="en-IN" w:eastAsia="en-GB" w:bidi="te-IN"/>
              </w:rPr>
              <w:t>399,211,364</w:t>
            </w:r>
          </w:p>
        </w:tc>
        <w:tc>
          <w:tcPr>
            <w:tcW w:w="1106" w:type="dxa"/>
            <w:tcBorders>
              <w:top w:val="nil"/>
              <w:left w:val="nil"/>
              <w:bottom w:val="single" w:sz="8"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445,104,734</w:t>
            </w:r>
          </w:p>
        </w:tc>
        <w:tc>
          <w:tcPr>
            <w:tcW w:w="1125" w:type="dxa"/>
            <w:tcBorders>
              <w:top w:val="nil"/>
              <w:left w:val="nil"/>
              <w:bottom w:val="single" w:sz="8"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- 45,893,370</w:t>
            </w:r>
          </w:p>
        </w:tc>
        <w:tc>
          <w:tcPr>
            <w:tcW w:w="873" w:type="dxa"/>
            <w:tcBorders>
              <w:top w:val="nil"/>
              <w:left w:val="nil"/>
              <w:bottom w:val="single" w:sz="8" w:space="0" w:color="auto"/>
              <w:right w:val="single" w:sz="8"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IN" w:eastAsia="en-GB" w:bidi="te-IN"/>
              </w:rPr>
            </w:pPr>
            <w:r w:rsidRPr="004C1A29">
              <w:rPr>
                <w:rFonts w:ascii="Arial" w:eastAsia="Calibri" w:hAnsi="Arial" w:cs="Arial"/>
                <w:b/>
                <w:bCs/>
                <w:sz w:val="16"/>
                <w:szCs w:val="16"/>
                <w:lang w:val="en-IN" w:eastAsia="en-GB" w:bidi="te-IN"/>
              </w:rPr>
              <w:t>-10.31%</w:t>
            </w:r>
          </w:p>
        </w:tc>
      </w:tr>
    </w:tbl>
    <w:p w:rsidR="004C1A29" w:rsidRDefault="004C1A29" w:rsidP="004C1A29">
      <w:pPr>
        <w:rPr>
          <w:rFonts w:eastAsia="Times New Roman" w:cs="Times New Roman"/>
        </w:rPr>
      </w:pPr>
    </w:p>
    <w:tbl>
      <w:tblPr>
        <w:tblW w:w="9630" w:type="dxa"/>
        <w:tblLayout w:type="fixed"/>
        <w:tblLook w:val="04A0" w:firstRow="1" w:lastRow="0" w:firstColumn="1" w:lastColumn="0" w:noHBand="0" w:noVBand="1"/>
      </w:tblPr>
      <w:tblGrid>
        <w:gridCol w:w="2610"/>
        <w:gridCol w:w="2430"/>
        <w:gridCol w:w="2370"/>
        <w:gridCol w:w="2220"/>
      </w:tblGrid>
      <w:tr w:rsidR="004C1A29" w:rsidRPr="004C1A29" w:rsidTr="007D75CB">
        <w:trPr>
          <w:trHeight w:val="255"/>
        </w:trPr>
        <w:tc>
          <w:tcPr>
            <w:tcW w:w="5040" w:type="dxa"/>
            <w:gridSpan w:val="2"/>
            <w:tcBorders>
              <w:top w:val="nil"/>
              <w:left w:val="nil"/>
              <w:bottom w:val="nil"/>
              <w:right w:val="nil"/>
            </w:tcBorders>
            <w:shd w:val="clear" w:color="auto" w:fill="auto"/>
            <w:noWrap/>
            <w:vAlign w:val="bottom"/>
            <w:hideMark/>
          </w:tcPr>
          <w:p w:rsidR="004C1A29" w:rsidRPr="004C1A29" w:rsidRDefault="004C1A29" w:rsidP="004C1A29">
            <w:pPr>
              <w:spacing w:after="120"/>
              <w:rPr>
                <w:rFonts w:eastAsia="Calibri" w:cs="Times New Roman"/>
                <w:b/>
                <w:bCs/>
                <w:szCs w:val="22"/>
                <w:lang w:val="en-US" w:bidi="te-IN"/>
              </w:rPr>
            </w:pPr>
            <w:r>
              <w:rPr>
                <w:rFonts w:eastAsia="Calibri" w:cs="Times New Roman"/>
                <w:b/>
                <w:bCs/>
                <w:szCs w:val="22"/>
                <w:lang w:val="en-US" w:bidi="te-IN"/>
              </w:rPr>
              <w:t>O</w:t>
            </w:r>
            <w:r w:rsidRPr="004C1A29">
              <w:rPr>
                <w:rFonts w:eastAsia="Calibri" w:cs="Times New Roman"/>
                <w:b/>
                <w:bCs/>
                <w:szCs w:val="22"/>
                <w:lang w:val="en-US" w:bidi="te-IN"/>
              </w:rPr>
              <w:t>verall production</w:t>
            </w:r>
          </w:p>
        </w:tc>
        <w:tc>
          <w:tcPr>
            <w:tcW w:w="2370" w:type="dxa"/>
            <w:tcBorders>
              <w:top w:val="nil"/>
              <w:left w:val="nil"/>
              <w:bottom w:val="nil"/>
              <w:right w:val="nil"/>
            </w:tcBorders>
            <w:shd w:val="clear" w:color="auto" w:fill="auto"/>
            <w:noWrap/>
            <w:vAlign w:val="bottom"/>
            <w:hideMark/>
          </w:tcPr>
          <w:p w:rsidR="004C1A29" w:rsidRPr="004C1A29" w:rsidRDefault="004C1A29" w:rsidP="004C1A29">
            <w:pPr>
              <w:spacing w:after="120"/>
              <w:rPr>
                <w:rFonts w:eastAsia="Calibri" w:cs="Times New Roman"/>
                <w:sz w:val="18"/>
                <w:szCs w:val="18"/>
                <w:lang w:val="en-US" w:bidi="te-IN"/>
              </w:rPr>
            </w:pPr>
          </w:p>
        </w:tc>
        <w:tc>
          <w:tcPr>
            <w:tcW w:w="2220" w:type="dxa"/>
            <w:tcBorders>
              <w:top w:val="nil"/>
              <w:left w:val="nil"/>
              <w:bottom w:val="nil"/>
              <w:right w:val="nil"/>
            </w:tcBorders>
            <w:shd w:val="clear" w:color="auto" w:fill="auto"/>
            <w:noWrap/>
            <w:vAlign w:val="bottom"/>
            <w:hideMark/>
          </w:tcPr>
          <w:p w:rsidR="004C1A29" w:rsidRPr="004C1A29" w:rsidRDefault="004C1A29" w:rsidP="004C1A29">
            <w:pPr>
              <w:spacing w:after="120"/>
              <w:rPr>
                <w:rFonts w:eastAsia="Calibri" w:cs="Times New Roman"/>
                <w:sz w:val="18"/>
                <w:szCs w:val="18"/>
                <w:lang w:val="en-US" w:bidi="te-IN"/>
              </w:rPr>
            </w:pPr>
          </w:p>
        </w:tc>
      </w:tr>
      <w:tr w:rsidR="004C1A29" w:rsidRPr="004C1A29" w:rsidTr="004C1A29">
        <w:trPr>
          <w:trHeight w:val="347"/>
        </w:trPr>
        <w:tc>
          <w:tcPr>
            <w:tcW w:w="26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 </w:t>
            </w:r>
          </w:p>
        </w:tc>
        <w:tc>
          <w:tcPr>
            <w:tcW w:w="2430" w:type="dxa"/>
            <w:tcBorders>
              <w:top w:val="single" w:sz="8" w:space="0" w:color="auto"/>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 </w:t>
            </w:r>
          </w:p>
        </w:tc>
        <w:tc>
          <w:tcPr>
            <w:tcW w:w="459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ascii="Arial" w:eastAsia="Calibri" w:hAnsi="Arial" w:cs="Arial"/>
                <w:b/>
                <w:bCs/>
                <w:sz w:val="16"/>
                <w:szCs w:val="16"/>
                <w:lang w:val="en-US" w:bidi="te-IN"/>
              </w:rPr>
            </w:pPr>
            <w:r w:rsidRPr="004C1A29">
              <w:rPr>
                <w:rFonts w:ascii="Arial" w:eastAsia="Calibri" w:hAnsi="Arial" w:cs="Arial"/>
                <w:b/>
                <w:bCs/>
                <w:sz w:val="16"/>
                <w:szCs w:val="16"/>
                <w:lang w:val="en-US" w:bidi="te-IN"/>
              </w:rPr>
              <w:t>MONTHLY PRODUCTION</w:t>
            </w:r>
          </w:p>
        </w:tc>
      </w:tr>
      <w:tr w:rsidR="004C1A29" w:rsidRPr="004C1A29" w:rsidTr="004C1A29">
        <w:trPr>
          <w:trHeight w:val="437"/>
        </w:trPr>
        <w:tc>
          <w:tcPr>
            <w:tcW w:w="2610" w:type="dxa"/>
            <w:tcBorders>
              <w:top w:val="nil"/>
              <w:left w:val="single" w:sz="8"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jc w:val="center"/>
              <w:rPr>
                <w:rFonts w:ascii="Arial" w:eastAsia="Calibri" w:hAnsi="Arial" w:cs="Arial"/>
                <w:b/>
                <w:bCs/>
                <w:sz w:val="16"/>
                <w:szCs w:val="16"/>
                <w:lang w:val="en-US" w:bidi="te-IN"/>
              </w:rPr>
            </w:pPr>
            <w:r w:rsidRPr="004C1A29">
              <w:rPr>
                <w:rFonts w:ascii="Arial" w:eastAsia="Calibri" w:hAnsi="Arial" w:cs="Arial"/>
                <w:b/>
                <w:bCs/>
                <w:sz w:val="16"/>
                <w:szCs w:val="16"/>
                <w:lang w:val="en-US" w:bidi="te-IN"/>
              </w:rPr>
              <w:t>MONTH</w:t>
            </w:r>
          </w:p>
        </w:tc>
        <w:tc>
          <w:tcPr>
            <w:tcW w:w="2430" w:type="dxa"/>
            <w:tcBorders>
              <w:top w:val="nil"/>
              <w:left w:val="nil"/>
              <w:bottom w:val="single" w:sz="4" w:space="0" w:color="auto"/>
              <w:right w:val="single" w:sz="4" w:space="0" w:color="auto"/>
            </w:tcBorders>
            <w:shd w:val="clear" w:color="auto" w:fill="auto"/>
            <w:vAlign w:val="center"/>
            <w:hideMark/>
          </w:tcPr>
          <w:p w:rsidR="004C1A29" w:rsidRPr="004C1A29" w:rsidRDefault="004C1A29" w:rsidP="004C1A29">
            <w:pPr>
              <w:spacing w:after="120"/>
              <w:jc w:val="center"/>
              <w:rPr>
                <w:rFonts w:ascii="Arial" w:eastAsia="Calibri" w:hAnsi="Arial" w:cs="Arial"/>
                <w:b/>
                <w:bCs/>
                <w:sz w:val="16"/>
                <w:szCs w:val="16"/>
                <w:lang w:val="en-US" w:bidi="te-IN"/>
              </w:rPr>
            </w:pPr>
            <w:r w:rsidRPr="004C1A29">
              <w:rPr>
                <w:rFonts w:ascii="Arial" w:eastAsia="Calibri" w:hAnsi="Arial" w:cs="Arial"/>
                <w:b/>
                <w:bCs/>
                <w:sz w:val="16"/>
                <w:szCs w:val="16"/>
                <w:lang w:val="en-US" w:bidi="te-IN"/>
              </w:rPr>
              <w:t>MONTHLY PRODUCTION 2016 KG (PROJECTIONS)</w:t>
            </w:r>
          </w:p>
        </w:tc>
        <w:tc>
          <w:tcPr>
            <w:tcW w:w="2370" w:type="dxa"/>
            <w:tcBorders>
              <w:top w:val="nil"/>
              <w:left w:val="nil"/>
              <w:bottom w:val="single" w:sz="4" w:space="0" w:color="auto"/>
              <w:right w:val="single" w:sz="4" w:space="0" w:color="auto"/>
            </w:tcBorders>
            <w:shd w:val="clear" w:color="auto" w:fill="auto"/>
            <w:vAlign w:val="center"/>
            <w:hideMark/>
          </w:tcPr>
          <w:p w:rsidR="004C1A29" w:rsidRPr="004C1A29" w:rsidRDefault="004C1A29" w:rsidP="004C1A29">
            <w:pPr>
              <w:spacing w:after="120"/>
              <w:jc w:val="center"/>
              <w:rPr>
                <w:rFonts w:ascii="Arial" w:eastAsia="Calibri" w:hAnsi="Arial" w:cs="Arial"/>
                <w:b/>
                <w:bCs/>
                <w:sz w:val="16"/>
                <w:szCs w:val="16"/>
                <w:lang w:val="en-US" w:bidi="te-IN"/>
              </w:rPr>
            </w:pPr>
            <w:r w:rsidRPr="004C1A29">
              <w:rPr>
                <w:rFonts w:ascii="Arial" w:eastAsia="Calibri" w:hAnsi="Arial" w:cs="Arial"/>
                <w:b/>
                <w:bCs/>
                <w:sz w:val="16"/>
                <w:szCs w:val="16"/>
                <w:lang w:val="en-US" w:bidi="te-IN"/>
              </w:rPr>
              <w:t>MONTHLY PRODUCTION 2015 KG</w:t>
            </w:r>
          </w:p>
        </w:tc>
        <w:tc>
          <w:tcPr>
            <w:tcW w:w="2220" w:type="dxa"/>
            <w:tcBorders>
              <w:top w:val="nil"/>
              <w:left w:val="nil"/>
              <w:bottom w:val="single" w:sz="4" w:space="0" w:color="auto"/>
              <w:right w:val="single" w:sz="4" w:space="0" w:color="auto"/>
            </w:tcBorders>
            <w:shd w:val="clear" w:color="auto" w:fill="auto"/>
            <w:vAlign w:val="center"/>
            <w:hideMark/>
          </w:tcPr>
          <w:p w:rsidR="004C1A29" w:rsidRPr="004C1A29" w:rsidRDefault="004C1A29" w:rsidP="004C1A29">
            <w:pPr>
              <w:spacing w:after="120"/>
              <w:jc w:val="center"/>
              <w:rPr>
                <w:rFonts w:ascii="Arial" w:eastAsia="Calibri" w:hAnsi="Arial" w:cs="Arial"/>
                <w:b/>
                <w:bCs/>
                <w:sz w:val="16"/>
                <w:szCs w:val="16"/>
                <w:lang w:val="en-US" w:bidi="te-IN"/>
              </w:rPr>
            </w:pPr>
            <w:r w:rsidRPr="004C1A29">
              <w:rPr>
                <w:rFonts w:ascii="Arial" w:eastAsia="Calibri" w:hAnsi="Arial" w:cs="Arial"/>
                <w:b/>
                <w:bCs/>
                <w:sz w:val="16"/>
                <w:szCs w:val="16"/>
                <w:lang w:val="en-US" w:bidi="te-IN"/>
              </w:rPr>
              <w:t>MONTHLY PRODUCTION 2014 KG</w:t>
            </w:r>
          </w:p>
        </w:tc>
      </w:tr>
      <w:tr w:rsidR="004C1A29" w:rsidRPr="004C1A29" w:rsidTr="004C1A29">
        <w:trPr>
          <w:trHeight w:val="17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JANUARY -ACTUAL</w:t>
            </w:r>
          </w:p>
        </w:tc>
        <w:tc>
          <w:tcPr>
            <w:tcW w:w="243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50,307,828</w:t>
            </w:r>
          </w:p>
        </w:tc>
        <w:tc>
          <w:tcPr>
            <w:tcW w:w="237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41,652,603</w:t>
            </w:r>
          </w:p>
        </w:tc>
        <w:tc>
          <w:tcPr>
            <w:tcW w:w="222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44,969,640</w:t>
            </w:r>
          </w:p>
        </w:tc>
      </w:tr>
      <w:tr w:rsidR="004C1A29" w:rsidRPr="004C1A29" w:rsidTr="004C1A29">
        <w:trPr>
          <w:trHeight w:val="17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FEBRUARY - ACTUAL</w:t>
            </w:r>
          </w:p>
        </w:tc>
        <w:tc>
          <w:tcPr>
            <w:tcW w:w="243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43,968,852</w:t>
            </w:r>
          </w:p>
        </w:tc>
        <w:tc>
          <w:tcPr>
            <w:tcW w:w="237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24,276,302</w:t>
            </w:r>
          </w:p>
        </w:tc>
        <w:tc>
          <w:tcPr>
            <w:tcW w:w="222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33,774,381</w:t>
            </w:r>
          </w:p>
        </w:tc>
      </w:tr>
      <w:tr w:rsidR="004C1A29" w:rsidRPr="004C1A29" w:rsidTr="004C1A29">
        <w:trPr>
          <w:trHeight w:val="17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MARCH</w:t>
            </w:r>
          </w:p>
        </w:tc>
        <w:tc>
          <w:tcPr>
            <w:tcW w:w="243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32,256,492</w:t>
            </w:r>
          </w:p>
        </w:tc>
        <w:tc>
          <w:tcPr>
            <w:tcW w:w="237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15,687,858</w:t>
            </w:r>
          </w:p>
        </w:tc>
        <w:tc>
          <w:tcPr>
            <w:tcW w:w="222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33,336,338</w:t>
            </w:r>
          </w:p>
        </w:tc>
      </w:tr>
      <w:tr w:rsidR="004C1A29" w:rsidRPr="004C1A29" w:rsidTr="004C1A29">
        <w:trPr>
          <w:trHeight w:val="17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APRIL</w:t>
            </w:r>
          </w:p>
        </w:tc>
        <w:tc>
          <w:tcPr>
            <w:tcW w:w="243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28,837,272</w:t>
            </w:r>
          </w:p>
        </w:tc>
        <w:tc>
          <w:tcPr>
            <w:tcW w:w="237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23,837,272</w:t>
            </w:r>
          </w:p>
        </w:tc>
        <w:tc>
          <w:tcPr>
            <w:tcW w:w="222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39,974,557</w:t>
            </w:r>
          </w:p>
        </w:tc>
      </w:tr>
      <w:tr w:rsidR="004C1A29" w:rsidRPr="004C1A29" w:rsidTr="004C1A29">
        <w:trPr>
          <w:trHeight w:val="17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MAY</w:t>
            </w:r>
          </w:p>
        </w:tc>
        <w:tc>
          <w:tcPr>
            <w:tcW w:w="243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42,523,078</w:t>
            </w:r>
          </w:p>
        </w:tc>
        <w:tc>
          <w:tcPr>
            <w:tcW w:w="237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37,523,078</w:t>
            </w:r>
          </w:p>
        </w:tc>
        <w:tc>
          <w:tcPr>
            <w:tcW w:w="222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41,186,290</w:t>
            </w:r>
          </w:p>
        </w:tc>
      </w:tr>
      <w:tr w:rsidR="004C1A29" w:rsidRPr="004C1A29" w:rsidTr="004C1A29">
        <w:trPr>
          <w:trHeight w:val="17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JUNE</w:t>
            </w:r>
          </w:p>
        </w:tc>
        <w:tc>
          <w:tcPr>
            <w:tcW w:w="243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37,285,546</w:t>
            </w:r>
          </w:p>
        </w:tc>
        <w:tc>
          <w:tcPr>
            <w:tcW w:w="237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32,285,546</w:t>
            </w:r>
          </w:p>
        </w:tc>
        <w:tc>
          <w:tcPr>
            <w:tcW w:w="222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31,944,583</w:t>
            </w:r>
          </w:p>
        </w:tc>
      </w:tr>
      <w:tr w:rsidR="004C1A29" w:rsidRPr="004C1A29" w:rsidTr="004C1A29">
        <w:trPr>
          <w:trHeight w:val="17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JULY</w:t>
            </w:r>
          </w:p>
        </w:tc>
        <w:tc>
          <w:tcPr>
            <w:tcW w:w="243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35,942,321</w:t>
            </w:r>
          </w:p>
        </w:tc>
        <w:tc>
          <w:tcPr>
            <w:tcW w:w="237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30,942,321</w:t>
            </w:r>
          </w:p>
        </w:tc>
        <w:tc>
          <w:tcPr>
            <w:tcW w:w="222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30,789,645</w:t>
            </w:r>
          </w:p>
        </w:tc>
      </w:tr>
      <w:tr w:rsidR="004C1A29" w:rsidRPr="004C1A29" w:rsidTr="004C1A29">
        <w:trPr>
          <w:trHeight w:val="17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AUGUST</w:t>
            </w:r>
          </w:p>
        </w:tc>
        <w:tc>
          <w:tcPr>
            <w:tcW w:w="243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33,410,248</w:t>
            </w:r>
          </w:p>
        </w:tc>
        <w:tc>
          <w:tcPr>
            <w:tcW w:w="237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28,410,248</w:t>
            </w:r>
          </w:p>
        </w:tc>
        <w:tc>
          <w:tcPr>
            <w:tcW w:w="222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26,755,910</w:t>
            </w:r>
          </w:p>
        </w:tc>
      </w:tr>
      <w:tr w:rsidR="004C1A29" w:rsidRPr="004C1A29" w:rsidTr="004C1A29">
        <w:trPr>
          <w:trHeight w:val="17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SEPTEMBER</w:t>
            </w:r>
          </w:p>
        </w:tc>
        <w:tc>
          <w:tcPr>
            <w:tcW w:w="243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41,483,632</w:t>
            </w:r>
          </w:p>
        </w:tc>
        <w:tc>
          <w:tcPr>
            <w:tcW w:w="237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36,483,632</w:t>
            </w:r>
          </w:p>
        </w:tc>
        <w:tc>
          <w:tcPr>
            <w:tcW w:w="222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33,321,224</w:t>
            </w:r>
          </w:p>
        </w:tc>
      </w:tr>
      <w:tr w:rsidR="004C1A29" w:rsidRPr="004C1A29" w:rsidTr="004C1A29">
        <w:trPr>
          <w:trHeight w:val="17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OCTOBER</w:t>
            </w:r>
          </w:p>
        </w:tc>
        <w:tc>
          <w:tcPr>
            <w:tcW w:w="243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46,343,201</w:t>
            </w:r>
          </w:p>
        </w:tc>
        <w:tc>
          <w:tcPr>
            <w:tcW w:w="237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41,343,201</w:t>
            </w:r>
          </w:p>
        </w:tc>
        <w:tc>
          <w:tcPr>
            <w:tcW w:w="222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45,367,517</w:t>
            </w:r>
          </w:p>
        </w:tc>
      </w:tr>
      <w:tr w:rsidR="004C1A29" w:rsidRPr="004C1A29" w:rsidTr="004C1A29">
        <w:trPr>
          <w:trHeight w:val="17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NOVEMBER</w:t>
            </w:r>
          </w:p>
        </w:tc>
        <w:tc>
          <w:tcPr>
            <w:tcW w:w="243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45,381,843</w:t>
            </w:r>
          </w:p>
        </w:tc>
        <w:tc>
          <w:tcPr>
            <w:tcW w:w="237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40,381,843</w:t>
            </w:r>
          </w:p>
        </w:tc>
        <w:tc>
          <w:tcPr>
            <w:tcW w:w="222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38,613,864</w:t>
            </w:r>
          </w:p>
        </w:tc>
      </w:tr>
      <w:tr w:rsidR="004C1A29" w:rsidRPr="004C1A29" w:rsidTr="004C1A29">
        <w:trPr>
          <w:trHeight w:val="170"/>
        </w:trPr>
        <w:tc>
          <w:tcPr>
            <w:tcW w:w="2610" w:type="dxa"/>
            <w:tcBorders>
              <w:top w:val="nil"/>
              <w:left w:val="single" w:sz="4" w:space="0" w:color="auto"/>
              <w:bottom w:val="nil"/>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DECEMBER</w:t>
            </w:r>
          </w:p>
        </w:tc>
        <w:tc>
          <w:tcPr>
            <w:tcW w:w="243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51,387,460</w:t>
            </w:r>
          </w:p>
        </w:tc>
        <w:tc>
          <w:tcPr>
            <w:tcW w:w="237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46,387,460</w:t>
            </w:r>
          </w:p>
        </w:tc>
        <w:tc>
          <w:tcPr>
            <w:tcW w:w="2220" w:type="dxa"/>
            <w:tcBorders>
              <w:top w:val="nil"/>
              <w:left w:val="nil"/>
              <w:bottom w:val="single" w:sz="4" w:space="0" w:color="auto"/>
              <w:right w:val="single" w:sz="4" w:space="0" w:color="auto"/>
            </w:tcBorders>
            <w:shd w:val="clear" w:color="auto" w:fill="auto"/>
            <w:noWrap/>
            <w:vAlign w:val="center"/>
            <w:hideMark/>
          </w:tcPr>
          <w:p w:rsidR="004C1A29" w:rsidRPr="004C1A29" w:rsidRDefault="004C1A29" w:rsidP="004C1A29">
            <w:pPr>
              <w:spacing w:after="120"/>
              <w:rPr>
                <w:rFonts w:ascii="Arial" w:eastAsia="Calibri" w:hAnsi="Arial" w:cs="Arial"/>
                <w:sz w:val="16"/>
                <w:szCs w:val="16"/>
                <w:lang w:val="en-US" w:bidi="te-IN"/>
              </w:rPr>
            </w:pPr>
            <w:r w:rsidRPr="004C1A29">
              <w:rPr>
                <w:rFonts w:ascii="Arial" w:eastAsia="Calibri" w:hAnsi="Arial" w:cs="Arial"/>
                <w:sz w:val="16"/>
                <w:szCs w:val="16"/>
                <w:lang w:val="en-US" w:bidi="te-IN"/>
              </w:rPr>
              <w:t>45,070,785</w:t>
            </w:r>
          </w:p>
        </w:tc>
      </w:tr>
      <w:tr w:rsidR="004C1A29" w:rsidRPr="004C1A29" w:rsidTr="004C1A29">
        <w:trPr>
          <w:trHeight w:val="170"/>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TOTAL</w:t>
            </w:r>
          </w:p>
        </w:tc>
        <w:tc>
          <w:tcPr>
            <w:tcW w:w="2430" w:type="dxa"/>
            <w:tcBorders>
              <w:top w:val="single" w:sz="8" w:space="0" w:color="auto"/>
              <w:left w:val="nil"/>
              <w:bottom w:val="single" w:sz="8" w:space="0" w:color="auto"/>
              <w:right w:val="single" w:sz="8"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489,127,773</w:t>
            </w:r>
          </w:p>
        </w:tc>
        <w:tc>
          <w:tcPr>
            <w:tcW w:w="2370" w:type="dxa"/>
            <w:tcBorders>
              <w:top w:val="single" w:sz="8" w:space="0" w:color="auto"/>
              <w:left w:val="nil"/>
              <w:bottom w:val="single" w:sz="8" w:space="0" w:color="auto"/>
              <w:right w:val="single" w:sz="8"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399,211,364</w:t>
            </w:r>
          </w:p>
        </w:tc>
        <w:tc>
          <w:tcPr>
            <w:tcW w:w="2220" w:type="dxa"/>
            <w:tcBorders>
              <w:top w:val="single" w:sz="8" w:space="0" w:color="auto"/>
              <w:left w:val="nil"/>
              <w:bottom w:val="single" w:sz="8" w:space="0" w:color="auto"/>
              <w:right w:val="single" w:sz="8" w:space="0" w:color="auto"/>
            </w:tcBorders>
            <w:shd w:val="clear" w:color="auto" w:fill="auto"/>
            <w:noWrap/>
            <w:vAlign w:val="center"/>
            <w:hideMark/>
          </w:tcPr>
          <w:p w:rsidR="004C1A29" w:rsidRPr="004C1A29" w:rsidRDefault="004C1A29" w:rsidP="004C1A29">
            <w:pPr>
              <w:spacing w:after="120"/>
              <w:rPr>
                <w:rFonts w:ascii="Arial" w:eastAsia="Calibri" w:hAnsi="Arial" w:cs="Arial"/>
                <w:b/>
                <w:bCs/>
                <w:sz w:val="16"/>
                <w:szCs w:val="16"/>
                <w:lang w:val="en-US" w:bidi="te-IN"/>
              </w:rPr>
            </w:pPr>
            <w:r w:rsidRPr="004C1A29">
              <w:rPr>
                <w:rFonts w:ascii="Arial" w:eastAsia="Calibri" w:hAnsi="Arial" w:cs="Arial"/>
                <w:b/>
                <w:bCs/>
                <w:sz w:val="16"/>
                <w:szCs w:val="16"/>
                <w:lang w:val="en-US" w:bidi="te-IN"/>
              </w:rPr>
              <w:t>445,104,734</w:t>
            </w:r>
          </w:p>
        </w:tc>
      </w:tr>
    </w:tbl>
    <w:p w:rsidR="004C1A29" w:rsidRDefault="004C1A29" w:rsidP="004C1A29">
      <w:pPr>
        <w:spacing w:after="120"/>
        <w:rPr>
          <w:rFonts w:ascii="Calibri" w:eastAsia="Calibri" w:hAnsi="Calibri" w:cs="Gautami"/>
          <w:sz w:val="18"/>
          <w:szCs w:val="18"/>
          <w:lang w:val="en-IN" w:bidi="te-IN"/>
        </w:rPr>
      </w:pPr>
    </w:p>
    <w:p w:rsidR="004C1A29" w:rsidRDefault="004C1A29">
      <w:r>
        <w:br w:type="page"/>
      </w:r>
    </w:p>
    <w:tbl>
      <w:tblPr>
        <w:tblW w:w="9540" w:type="dxa"/>
        <w:tblLayout w:type="fixed"/>
        <w:tblLook w:val="04A0" w:firstRow="1" w:lastRow="0" w:firstColumn="1" w:lastColumn="0" w:noHBand="0" w:noVBand="1"/>
      </w:tblPr>
      <w:tblGrid>
        <w:gridCol w:w="2610"/>
        <w:gridCol w:w="2490"/>
        <w:gridCol w:w="2190"/>
        <w:gridCol w:w="2250"/>
      </w:tblGrid>
      <w:tr w:rsidR="004C1A29" w:rsidRPr="004C1A29" w:rsidTr="007D75CB">
        <w:trPr>
          <w:trHeight w:val="300"/>
        </w:trPr>
        <w:tc>
          <w:tcPr>
            <w:tcW w:w="2610" w:type="dxa"/>
            <w:tcBorders>
              <w:top w:val="nil"/>
              <w:left w:val="nil"/>
              <w:bottom w:val="nil"/>
              <w:right w:val="nil"/>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Cs w:val="22"/>
                <w:lang w:val="en-US" w:bidi="te-IN"/>
              </w:rPr>
              <w:lastRenderedPageBreak/>
              <w:t>E</w:t>
            </w:r>
            <w:r>
              <w:rPr>
                <w:rFonts w:eastAsia="Calibri" w:cs="Times New Roman"/>
                <w:b/>
                <w:bCs/>
                <w:szCs w:val="22"/>
                <w:lang w:val="en-US" w:bidi="te-IN"/>
              </w:rPr>
              <w:t>xports</w:t>
            </w:r>
          </w:p>
        </w:tc>
        <w:tc>
          <w:tcPr>
            <w:tcW w:w="2490" w:type="dxa"/>
            <w:tcBorders>
              <w:top w:val="nil"/>
              <w:left w:val="nil"/>
              <w:bottom w:val="nil"/>
              <w:right w:val="nil"/>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p>
        </w:tc>
        <w:tc>
          <w:tcPr>
            <w:tcW w:w="2190" w:type="dxa"/>
            <w:tcBorders>
              <w:top w:val="nil"/>
              <w:left w:val="nil"/>
              <w:bottom w:val="nil"/>
              <w:right w:val="nil"/>
            </w:tcBorders>
            <w:shd w:val="clear" w:color="auto" w:fill="auto"/>
            <w:noWrap/>
            <w:vAlign w:val="bottom"/>
            <w:hideMark/>
          </w:tcPr>
          <w:p w:rsidR="004C1A29" w:rsidRPr="004C1A29" w:rsidRDefault="004C1A29" w:rsidP="004C1A29">
            <w:pPr>
              <w:spacing w:after="120"/>
              <w:rPr>
                <w:rFonts w:eastAsia="Calibri" w:cs="Times New Roman"/>
                <w:sz w:val="18"/>
                <w:szCs w:val="18"/>
                <w:lang w:val="en-US" w:bidi="te-IN"/>
              </w:rPr>
            </w:pPr>
          </w:p>
        </w:tc>
        <w:tc>
          <w:tcPr>
            <w:tcW w:w="2250" w:type="dxa"/>
            <w:tcBorders>
              <w:top w:val="nil"/>
              <w:left w:val="nil"/>
              <w:bottom w:val="nil"/>
              <w:right w:val="nil"/>
            </w:tcBorders>
            <w:shd w:val="clear" w:color="auto" w:fill="auto"/>
            <w:noWrap/>
            <w:vAlign w:val="bottom"/>
            <w:hideMark/>
          </w:tcPr>
          <w:p w:rsidR="004C1A29" w:rsidRPr="004C1A29" w:rsidRDefault="004C1A29" w:rsidP="004C1A29">
            <w:pPr>
              <w:spacing w:after="120"/>
              <w:rPr>
                <w:rFonts w:eastAsia="Calibri" w:cs="Times New Roman"/>
                <w:sz w:val="18"/>
                <w:szCs w:val="18"/>
                <w:lang w:val="en-US" w:bidi="te-IN"/>
              </w:rPr>
            </w:pPr>
          </w:p>
        </w:tc>
      </w:tr>
      <w:tr w:rsidR="004C1A29" w:rsidRPr="004C1A29" w:rsidTr="004C1A29">
        <w:trPr>
          <w:trHeight w:val="614"/>
        </w:trPr>
        <w:tc>
          <w:tcPr>
            <w:tcW w:w="26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C1A29" w:rsidRPr="004C1A29" w:rsidRDefault="004C1A29" w:rsidP="004C1A29">
            <w:pPr>
              <w:spacing w:after="120"/>
              <w:jc w:val="center"/>
              <w:rPr>
                <w:rFonts w:eastAsia="Calibri" w:cs="Times New Roman"/>
                <w:b/>
                <w:bCs/>
                <w:sz w:val="18"/>
                <w:szCs w:val="18"/>
                <w:lang w:val="en-US" w:bidi="te-IN"/>
              </w:rPr>
            </w:pPr>
            <w:r w:rsidRPr="004C1A29">
              <w:rPr>
                <w:rFonts w:eastAsia="Calibri" w:cs="Times New Roman"/>
                <w:b/>
                <w:bCs/>
                <w:sz w:val="18"/>
                <w:szCs w:val="18"/>
                <w:lang w:val="en-US" w:bidi="te-IN"/>
              </w:rPr>
              <w:t>MONTH</w:t>
            </w:r>
          </w:p>
        </w:tc>
        <w:tc>
          <w:tcPr>
            <w:tcW w:w="2490" w:type="dxa"/>
            <w:tcBorders>
              <w:top w:val="single" w:sz="4" w:space="0" w:color="auto"/>
              <w:left w:val="nil"/>
              <w:bottom w:val="single" w:sz="4" w:space="0" w:color="auto"/>
              <w:right w:val="single" w:sz="4" w:space="0" w:color="auto"/>
            </w:tcBorders>
            <w:shd w:val="clear" w:color="auto" w:fill="auto"/>
            <w:vAlign w:val="center"/>
            <w:hideMark/>
          </w:tcPr>
          <w:p w:rsidR="004C1A29" w:rsidRPr="004C1A29" w:rsidRDefault="004C1A29" w:rsidP="004C1A29">
            <w:pPr>
              <w:spacing w:after="120"/>
              <w:jc w:val="center"/>
              <w:rPr>
                <w:rFonts w:eastAsia="Calibri" w:cs="Times New Roman"/>
                <w:b/>
                <w:bCs/>
                <w:sz w:val="18"/>
                <w:szCs w:val="18"/>
                <w:lang w:val="en-US" w:bidi="te-IN"/>
              </w:rPr>
            </w:pPr>
            <w:r w:rsidRPr="004C1A29">
              <w:rPr>
                <w:rFonts w:eastAsia="Calibri" w:cs="Times New Roman"/>
                <w:b/>
                <w:bCs/>
                <w:sz w:val="18"/>
                <w:szCs w:val="18"/>
                <w:lang w:val="en-US" w:bidi="te-IN"/>
              </w:rPr>
              <w:t>MONTHLY EXPORTS 2016 KG (PROJECTIONS)</w:t>
            </w:r>
          </w:p>
        </w:tc>
        <w:tc>
          <w:tcPr>
            <w:tcW w:w="2190" w:type="dxa"/>
            <w:tcBorders>
              <w:top w:val="single" w:sz="4" w:space="0" w:color="auto"/>
              <w:left w:val="nil"/>
              <w:bottom w:val="single" w:sz="4" w:space="0" w:color="auto"/>
              <w:right w:val="single" w:sz="4" w:space="0" w:color="auto"/>
            </w:tcBorders>
            <w:shd w:val="clear" w:color="auto" w:fill="auto"/>
            <w:vAlign w:val="center"/>
            <w:hideMark/>
          </w:tcPr>
          <w:p w:rsidR="004C1A29" w:rsidRPr="004C1A29" w:rsidRDefault="004C1A29" w:rsidP="004C1A29">
            <w:pPr>
              <w:spacing w:after="120"/>
              <w:jc w:val="center"/>
              <w:rPr>
                <w:rFonts w:eastAsia="Calibri" w:cs="Times New Roman"/>
                <w:b/>
                <w:bCs/>
                <w:sz w:val="18"/>
                <w:szCs w:val="18"/>
                <w:lang w:val="en-US" w:bidi="te-IN"/>
              </w:rPr>
            </w:pPr>
            <w:r w:rsidRPr="004C1A29">
              <w:rPr>
                <w:rFonts w:eastAsia="Calibri" w:cs="Times New Roman"/>
                <w:b/>
                <w:bCs/>
                <w:sz w:val="18"/>
                <w:szCs w:val="18"/>
                <w:lang w:val="en-US" w:bidi="te-IN"/>
              </w:rPr>
              <w:t>MONTHLY EXPORTS 2015 KG</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4C1A29" w:rsidRPr="004C1A29" w:rsidRDefault="004C1A29" w:rsidP="004C1A29">
            <w:pPr>
              <w:spacing w:after="120"/>
              <w:jc w:val="center"/>
              <w:rPr>
                <w:rFonts w:eastAsia="Calibri" w:cs="Times New Roman"/>
                <w:b/>
                <w:bCs/>
                <w:sz w:val="18"/>
                <w:szCs w:val="18"/>
                <w:lang w:val="en-US" w:bidi="te-IN"/>
              </w:rPr>
            </w:pPr>
            <w:r w:rsidRPr="004C1A29">
              <w:rPr>
                <w:rFonts w:eastAsia="Calibri" w:cs="Times New Roman"/>
                <w:b/>
                <w:bCs/>
                <w:sz w:val="18"/>
                <w:szCs w:val="18"/>
                <w:lang w:val="en-US" w:bidi="te-IN"/>
              </w:rPr>
              <w:t>MONTHLY EXPORTS 2014 KG</w:t>
            </w:r>
          </w:p>
        </w:tc>
      </w:tr>
      <w:tr w:rsidR="004C1A29" w:rsidRPr="004C1A29" w:rsidTr="007D75CB">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JANUARY -ACTUAL</w:t>
            </w:r>
          </w:p>
        </w:tc>
        <w:tc>
          <w:tcPr>
            <w:tcW w:w="24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40,284,598</w:t>
            </w:r>
          </w:p>
        </w:tc>
        <w:tc>
          <w:tcPr>
            <w:tcW w:w="21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43,688,732</w:t>
            </w:r>
          </w:p>
        </w:tc>
        <w:tc>
          <w:tcPr>
            <w:tcW w:w="225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41,539,677</w:t>
            </w:r>
          </w:p>
        </w:tc>
      </w:tr>
      <w:tr w:rsidR="004C1A29" w:rsidRPr="004C1A29" w:rsidTr="007D75CB">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FEBRUARY - ACTUAL</w:t>
            </w:r>
          </w:p>
        </w:tc>
        <w:tc>
          <w:tcPr>
            <w:tcW w:w="24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31,830,089</w:t>
            </w:r>
          </w:p>
        </w:tc>
        <w:tc>
          <w:tcPr>
            <w:tcW w:w="21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40,395,846</w:t>
            </w:r>
          </w:p>
        </w:tc>
        <w:tc>
          <w:tcPr>
            <w:tcW w:w="225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42,016,120</w:t>
            </w:r>
          </w:p>
        </w:tc>
      </w:tr>
      <w:tr w:rsidR="004C1A29" w:rsidRPr="004C1A29" w:rsidTr="007D75CB">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MARCH</w:t>
            </w:r>
          </w:p>
        </w:tc>
        <w:tc>
          <w:tcPr>
            <w:tcW w:w="24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40,143,699</w:t>
            </w:r>
          </w:p>
        </w:tc>
        <w:tc>
          <w:tcPr>
            <w:tcW w:w="21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35,143,699</w:t>
            </w:r>
          </w:p>
        </w:tc>
        <w:tc>
          <w:tcPr>
            <w:tcW w:w="225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41,995,648</w:t>
            </w:r>
          </w:p>
        </w:tc>
      </w:tr>
      <w:tr w:rsidR="004C1A29" w:rsidRPr="004C1A29" w:rsidTr="007D75CB">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APRIL</w:t>
            </w:r>
          </w:p>
        </w:tc>
        <w:tc>
          <w:tcPr>
            <w:tcW w:w="24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33,039,804</w:t>
            </w:r>
          </w:p>
        </w:tc>
        <w:tc>
          <w:tcPr>
            <w:tcW w:w="21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28,039,804</w:t>
            </w:r>
          </w:p>
        </w:tc>
        <w:tc>
          <w:tcPr>
            <w:tcW w:w="225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40,766,780</w:t>
            </w:r>
          </w:p>
        </w:tc>
      </w:tr>
      <w:tr w:rsidR="004C1A29" w:rsidRPr="004C1A29" w:rsidTr="007D75CB">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MAY</w:t>
            </w:r>
          </w:p>
        </w:tc>
        <w:tc>
          <w:tcPr>
            <w:tcW w:w="24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31,256,429</w:t>
            </w:r>
          </w:p>
        </w:tc>
        <w:tc>
          <w:tcPr>
            <w:tcW w:w="21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26,256,429</w:t>
            </w:r>
          </w:p>
        </w:tc>
        <w:tc>
          <w:tcPr>
            <w:tcW w:w="225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40,954,659</w:t>
            </w:r>
          </w:p>
        </w:tc>
      </w:tr>
      <w:tr w:rsidR="004C1A29" w:rsidRPr="004C1A29" w:rsidTr="007D75CB">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JUNE</w:t>
            </w:r>
          </w:p>
        </w:tc>
        <w:tc>
          <w:tcPr>
            <w:tcW w:w="24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41,742,605</w:t>
            </w:r>
          </w:p>
        </w:tc>
        <w:tc>
          <w:tcPr>
            <w:tcW w:w="21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36,742,605</w:t>
            </w:r>
          </w:p>
        </w:tc>
        <w:tc>
          <w:tcPr>
            <w:tcW w:w="225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42,750,089</w:t>
            </w:r>
          </w:p>
        </w:tc>
      </w:tr>
      <w:tr w:rsidR="004C1A29" w:rsidRPr="004C1A29" w:rsidTr="007D75CB">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JULY</w:t>
            </w:r>
          </w:p>
        </w:tc>
        <w:tc>
          <w:tcPr>
            <w:tcW w:w="24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42,479,863</w:t>
            </w:r>
          </w:p>
        </w:tc>
        <w:tc>
          <w:tcPr>
            <w:tcW w:w="21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37,479,863</w:t>
            </w:r>
          </w:p>
        </w:tc>
        <w:tc>
          <w:tcPr>
            <w:tcW w:w="225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46,836,608</w:t>
            </w:r>
          </w:p>
        </w:tc>
      </w:tr>
      <w:tr w:rsidR="004C1A29" w:rsidRPr="004C1A29" w:rsidTr="007D75CB">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AUGUST</w:t>
            </w:r>
          </w:p>
        </w:tc>
        <w:tc>
          <w:tcPr>
            <w:tcW w:w="24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35,690,875</w:t>
            </w:r>
          </w:p>
        </w:tc>
        <w:tc>
          <w:tcPr>
            <w:tcW w:w="21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30,690,875</w:t>
            </w:r>
          </w:p>
        </w:tc>
        <w:tc>
          <w:tcPr>
            <w:tcW w:w="225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44,925,770</w:t>
            </w:r>
          </w:p>
        </w:tc>
      </w:tr>
      <w:tr w:rsidR="004C1A29" w:rsidRPr="004C1A29" w:rsidTr="007D75CB">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SEPTEMBER</w:t>
            </w:r>
          </w:p>
        </w:tc>
        <w:tc>
          <w:tcPr>
            <w:tcW w:w="24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45,705,572</w:t>
            </w:r>
          </w:p>
        </w:tc>
        <w:tc>
          <w:tcPr>
            <w:tcW w:w="21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40,705,572</w:t>
            </w:r>
          </w:p>
        </w:tc>
        <w:tc>
          <w:tcPr>
            <w:tcW w:w="225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35,346,514</w:t>
            </w:r>
          </w:p>
        </w:tc>
      </w:tr>
      <w:tr w:rsidR="004C1A29" w:rsidRPr="004C1A29" w:rsidTr="007D75CB">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OCTOBER</w:t>
            </w:r>
          </w:p>
        </w:tc>
        <w:tc>
          <w:tcPr>
            <w:tcW w:w="24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47,040,171</w:t>
            </w:r>
          </w:p>
        </w:tc>
        <w:tc>
          <w:tcPr>
            <w:tcW w:w="21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42,040,171</w:t>
            </w:r>
          </w:p>
        </w:tc>
        <w:tc>
          <w:tcPr>
            <w:tcW w:w="225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41,468,401</w:t>
            </w:r>
          </w:p>
        </w:tc>
      </w:tr>
      <w:tr w:rsidR="004C1A29" w:rsidRPr="004C1A29" w:rsidTr="007D75CB">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NOVEMBER</w:t>
            </w:r>
          </w:p>
        </w:tc>
        <w:tc>
          <w:tcPr>
            <w:tcW w:w="24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43,501,438</w:t>
            </w:r>
          </w:p>
        </w:tc>
        <w:tc>
          <w:tcPr>
            <w:tcW w:w="21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38,501,438</w:t>
            </w:r>
          </w:p>
        </w:tc>
        <w:tc>
          <w:tcPr>
            <w:tcW w:w="225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39,638,819</w:t>
            </w:r>
          </w:p>
        </w:tc>
      </w:tr>
      <w:tr w:rsidR="004C1A29" w:rsidRPr="004C1A29" w:rsidTr="007D75CB">
        <w:trPr>
          <w:trHeight w:val="315"/>
        </w:trPr>
        <w:tc>
          <w:tcPr>
            <w:tcW w:w="2610" w:type="dxa"/>
            <w:tcBorders>
              <w:top w:val="nil"/>
              <w:left w:val="single" w:sz="4" w:space="0" w:color="auto"/>
              <w:bottom w:val="nil"/>
              <w:right w:val="single" w:sz="4"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DECEMBER</w:t>
            </w:r>
          </w:p>
        </w:tc>
        <w:tc>
          <w:tcPr>
            <w:tcW w:w="24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48,358,523</w:t>
            </w:r>
          </w:p>
        </w:tc>
        <w:tc>
          <w:tcPr>
            <w:tcW w:w="219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43,358,523</w:t>
            </w:r>
          </w:p>
        </w:tc>
        <w:tc>
          <w:tcPr>
            <w:tcW w:w="2250" w:type="dxa"/>
            <w:tcBorders>
              <w:top w:val="nil"/>
              <w:left w:val="nil"/>
              <w:bottom w:val="single" w:sz="4" w:space="0" w:color="auto"/>
              <w:right w:val="single" w:sz="4" w:space="0" w:color="auto"/>
            </w:tcBorders>
            <w:shd w:val="clear" w:color="auto" w:fill="auto"/>
            <w:noWrap/>
            <w:vAlign w:val="bottom"/>
            <w:hideMark/>
          </w:tcPr>
          <w:p w:rsidR="004C1A29" w:rsidRPr="004C1A29" w:rsidRDefault="004C1A29" w:rsidP="004C1A29">
            <w:pPr>
              <w:spacing w:after="120"/>
              <w:jc w:val="center"/>
              <w:rPr>
                <w:rFonts w:eastAsia="Calibri" w:cs="Times New Roman"/>
                <w:sz w:val="18"/>
                <w:szCs w:val="18"/>
                <w:lang w:val="en-US" w:bidi="te-IN"/>
              </w:rPr>
            </w:pPr>
            <w:r w:rsidRPr="004C1A29">
              <w:rPr>
                <w:rFonts w:eastAsia="Calibri" w:cs="Times New Roman"/>
                <w:sz w:val="18"/>
                <w:szCs w:val="18"/>
                <w:lang w:val="en-US" w:bidi="te-IN"/>
              </w:rPr>
              <w:t>41,140,536</w:t>
            </w:r>
          </w:p>
        </w:tc>
      </w:tr>
      <w:tr w:rsidR="004C1A29" w:rsidRPr="004C1A29" w:rsidTr="007D75CB">
        <w:trPr>
          <w:trHeight w:val="315"/>
        </w:trPr>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C1A29" w:rsidRPr="004C1A29" w:rsidRDefault="004C1A29" w:rsidP="004C1A29">
            <w:pPr>
              <w:spacing w:after="120"/>
              <w:rPr>
                <w:rFonts w:eastAsia="Calibri" w:cs="Times New Roman"/>
                <w:b/>
                <w:bCs/>
                <w:sz w:val="18"/>
                <w:szCs w:val="18"/>
                <w:lang w:val="en-US" w:bidi="te-IN"/>
              </w:rPr>
            </w:pPr>
            <w:r w:rsidRPr="004C1A29">
              <w:rPr>
                <w:rFonts w:eastAsia="Calibri" w:cs="Times New Roman"/>
                <w:b/>
                <w:bCs/>
                <w:sz w:val="18"/>
                <w:szCs w:val="18"/>
                <w:lang w:val="en-US" w:bidi="te-IN"/>
              </w:rPr>
              <w:t>TOTAL</w:t>
            </w:r>
          </w:p>
        </w:tc>
        <w:tc>
          <w:tcPr>
            <w:tcW w:w="2490" w:type="dxa"/>
            <w:tcBorders>
              <w:top w:val="single" w:sz="8" w:space="0" w:color="auto"/>
              <w:left w:val="nil"/>
              <w:bottom w:val="single" w:sz="8" w:space="0" w:color="auto"/>
              <w:right w:val="single" w:sz="8" w:space="0" w:color="auto"/>
            </w:tcBorders>
            <w:shd w:val="clear" w:color="auto" w:fill="auto"/>
            <w:noWrap/>
            <w:vAlign w:val="bottom"/>
            <w:hideMark/>
          </w:tcPr>
          <w:p w:rsidR="004C1A29" w:rsidRPr="004C1A29" w:rsidRDefault="004C1A29" w:rsidP="004C1A29">
            <w:pPr>
              <w:spacing w:after="120"/>
              <w:jc w:val="center"/>
              <w:rPr>
                <w:rFonts w:eastAsia="Calibri" w:cs="Times New Roman"/>
                <w:b/>
                <w:bCs/>
                <w:sz w:val="18"/>
                <w:szCs w:val="18"/>
                <w:lang w:val="en-US" w:bidi="te-IN"/>
              </w:rPr>
            </w:pPr>
            <w:r w:rsidRPr="004C1A29">
              <w:rPr>
                <w:rFonts w:eastAsia="Calibri" w:cs="Times New Roman"/>
                <w:b/>
                <w:bCs/>
                <w:sz w:val="18"/>
                <w:szCs w:val="18"/>
                <w:lang w:val="en-US" w:bidi="te-IN"/>
              </w:rPr>
              <w:t>481,073,665</w:t>
            </w:r>
          </w:p>
        </w:tc>
        <w:tc>
          <w:tcPr>
            <w:tcW w:w="2190" w:type="dxa"/>
            <w:tcBorders>
              <w:top w:val="single" w:sz="8" w:space="0" w:color="auto"/>
              <w:left w:val="nil"/>
              <w:bottom w:val="single" w:sz="8" w:space="0" w:color="auto"/>
              <w:right w:val="single" w:sz="8" w:space="0" w:color="auto"/>
            </w:tcBorders>
            <w:shd w:val="clear" w:color="auto" w:fill="auto"/>
            <w:noWrap/>
            <w:vAlign w:val="bottom"/>
            <w:hideMark/>
          </w:tcPr>
          <w:p w:rsidR="004C1A29" w:rsidRPr="004C1A29" w:rsidRDefault="004C1A29" w:rsidP="004C1A29">
            <w:pPr>
              <w:spacing w:after="120"/>
              <w:jc w:val="center"/>
              <w:rPr>
                <w:rFonts w:eastAsia="Calibri" w:cs="Times New Roman"/>
                <w:b/>
                <w:bCs/>
                <w:sz w:val="18"/>
                <w:szCs w:val="18"/>
                <w:lang w:val="en-US" w:bidi="te-IN"/>
              </w:rPr>
            </w:pPr>
            <w:r w:rsidRPr="004C1A29">
              <w:rPr>
                <w:rFonts w:eastAsia="Calibri" w:cs="Times New Roman"/>
                <w:b/>
                <w:bCs/>
                <w:sz w:val="18"/>
                <w:szCs w:val="18"/>
                <w:lang w:val="en-US" w:bidi="te-IN"/>
              </w:rPr>
              <w:t>443,043,557</w:t>
            </w:r>
          </w:p>
        </w:tc>
        <w:tc>
          <w:tcPr>
            <w:tcW w:w="2250" w:type="dxa"/>
            <w:tcBorders>
              <w:top w:val="single" w:sz="8" w:space="0" w:color="auto"/>
              <w:left w:val="nil"/>
              <w:bottom w:val="single" w:sz="8" w:space="0" w:color="auto"/>
              <w:right w:val="single" w:sz="8" w:space="0" w:color="auto"/>
            </w:tcBorders>
            <w:shd w:val="clear" w:color="auto" w:fill="auto"/>
            <w:noWrap/>
            <w:vAlign w:val="bottom"/>
            <w:hideMark/>
          </w:tcPr>
          <w:p w:rsidR="004C1A29" w:rsidRPr="004C1A29" w:rsidRDefault="004C1A29" w:rsidP="004C1A29">
            <w:pPr>
              <w:spacing w:after="120"/>
              <w:jc w:val="center"/>
              <w:rPr>
                <w:rFonts w:eastAsia="Calibri" w:cs="Times New Roman"/>
                <w:b/>
                <w:bCs/>
                <w:sz w:val="18"/>
                <w:szCs w:val="18"/>
                <w:lang w:val="en-US" w:bidi="te-IN"/>
              </w:rPr>
            </w:pPr>
            <w:r w:rsidRPr="004C1A29">
              <w:rPr>
                <w:rFonts w:eastAsia="Calibri" w:cs="Times New Roman"/>
                <w:b/>
                <w:bCs/>
                <w:sz w:val="18"/>
                <w:szCs w:val="18"/>
                <w:lang w:val="en-US" w:bidi="te-IN"/>
              </w:rPr>
              <w:t>499,379,621</w:t>
            </w:r>
          </w:p>
        </w:tc>
      </w:tr>
    </w:tbl>
    <w:p w:rsidR="004C1A29" w:rsidRPr="004C1A29" w:rsidRDefault="004C1A29" w:rsidP="004C1A29">
      <w:pPr>
        <w:spacing w:after="120"/>
        <w:rPr>
          <w:rFonts w:eastAsia="Calibri" w:cs="Times New Roman"/>
          <w:szCs w:val="22"/>
          <w:lang w:val="en-IN" w:bidi="te-IN"/>
        </w:rPr>
      </w:pPr>
    </w:p>
    <w:p w:rsidR="004C1A29" w:rsidRDefault="004C1A29" w:rsidP="004C1A29">
      <w:pPr>
        <w:spacing w:after="0"/>
        <w:jc w:val="center"/>
        <w:rPr>
          <w:rFonts w:cs="Times New Roman"/>
          <w:b/>
          <w:bCs/>
          <w:sz w:val="28"/>
          <w:szCs w:val="28"/>
        </w:rPr>
      </w:pPr>
      <w:r w:rsidRPr="004C1A29">
        <w:rPr>
          <w:rFonts w:cs="Times New Roman"/>
          <w:b/>
          <w:bCs/>
          <w:sz w:val="28"/>
          <w:szCs w:val="28"/>
        </w:rPr>
        <w:t xml:space="preserve">OVERVIEW OF THE INDONESIAN TEA MARKET IN 2004, </w:t>
      </w:r>
      <w:r>
        <w:rPr>
          <w:rFonts w:cs="Times New Roman"/>
          <w:b/>
          <w:bCs/>
          <w:sz w:val="28"/>
          <w:szCs w:val="28"/>
        </w:rPr>
        <w:br/>
      </w:r>
      <w:r w:rsidRPr="004C1A29">
        <w:rPr>
          <w:rFonts w:cs="Times New Roman"/>
          <w:b/>
          <w:bCs/>
          <w:sz w:val="28"/>
          <w:szCs w:val="28"/>
        </w:rPr>
        <w:t>2015 AND 2016</w:t>
      </w:r>
    </w:p>
    <w:p w:rsidR="004C1A29" w:rsidRPr="004C1A29" w:rsidRDefault="004C1A29" w:rsidP="004C1A29">
      <w:pPr>
        <w:spacing w:after="0"/>
        <w:jc w:val="center"/>
        <w:rPr>
          <w:rFonts w:cs="Times New Roman"/>
          <w:b/>
          <w:bCs/>
          <w:sz w:val="28"/>
          <w:szCs w:val="28"/>
        </w:rPr>
      </w:pPr>
    </w:p>
    <w:p w:rsidR="004C1A29" w:rsidRPr="00583507" w:rsidRDefault="004C1A29" w:rsidP="004C1A29">
      <w:pPr>
        <w:rPr>
          <w:rFonts w:cs="Times New Roman"/>
        </w:rPr>
      </w:pPr>
      <w:r w:rsidRPr="00583507">
        <w:rPr>
          <w:rFonts w:cs="Times New Roman"/>
          <w:lang w:val="en-US"/>
        </w:rPr>
        <w:t>I</w:t>
      </w:r>
      <w:proofErr w:type="spellStart"/>
      <w:r>
        <w:rPr>
          <w:rFonts w:cs="Times New Roman"/>
        </w:rPr>
        <w:t>n</w:t>
      </w:r>
      <w:r w:rsidRPr="00583507">
        <w:rPr>
          <w:rFonts w:cs="Times New Roman"/>
        </w:rPr>
        <w:t>novation</w:t>
      </w:r>
      <w:proofErr w:type="spellEnd"/>
      <w:r w:rsidRPr="00583507">
        <w:rPr>
          <w:rFonts w:cs="Times New Roman"/>
        </w:rPr>
        <w:t xml:space="preserve"> and creativity in the tea industry in Indonesia</w:t>
      </w:r>
      <w:r w:rsidRPr="00583507">
        <w:rPr>
          <w:rFonts w:cs="Times New Roman"/>
          <w:lang w:val="en-US"/>
        </w:rPr>
        <w:t xml:space="preserve"> has been a significant development in recent years</w:t>
      </w:r>
      <w:r w:rsidRPr="00583507">
        <w:rPr>
          <w:rFonts w:cs="Times New Roman"/>
        </w:rPr>
        <w:t xml:space="preserve"> - there are more types of tea produced and well known with their uniqueness in the form of orthodox and CTC black tea, panning and steaming green tea, jasmine tea,</w:t>
      </w:r>
      <w:r w:rsidRPr="00583507">
        <w:rPr>
          <w:rFonts w:cs="Times New Roman"/>
          <w:lang w:val="en-US"/>
        </w:rPr>
        <w:t xml:space="preserve"> </w:t>
      </w:r>
      <w:r w:rsidRPr="00583507">
        <w:rPr>
          <w:rFonts w:cs="Times New Roman"/>
        </w:rPr>
        <w:t>oolong tea</w:t>
      </w:r>
      <w:r w:rsidRPr="00583507">
        <w:rPr>
          <w:rFonts w:cs="Times New Roman"/>
          <w:lang w:val="en-US"/>
        </w:rPr>
        <w:t xml:space="preserve">, </w:t>
      </w:r>
      <w:r w:rsidRPr="00583507">
        <w:rPr>
          <w:rFonts w:cs="Times New Roman"/>
        </w:rPr>
        <w:t>white tea</w:t>
      </w:r>
      <w:r w:rsidRPr="00583507">
        <w:rPr>
          <w:rFonts w:cs="Times New Roman"/>
          <w:lang w:val="en-US"/>
        </w:rPr>
        <w:t>, yellow tea, red tea,</w:t>
      </w:r>
      <w:r w:rsidRPr="00583507">
        <w:rPr>
          <w:rFonts w:cs="Times New Roman"/>
        </w:rPr>
        <w:t xml:space="preserve"> instant tea, tea bags and RTD </w:t>
      </w:r>
      <w:r>
        <w:rPr>
          <w:rFonts w:cs="Times New Roman"/>
        </w:rPr>
        <w:t>which are traded in more than forty</w:t>
      </w:r>
      <w:r w:rsidRPr="00583507">
        <w:rPr>
          <w:rFonts w:cs="Times New Roman"/>
        </w:rPr>
        <w:t xml:space="preserve"> brand names domestically, as well as the functional teas produced from pharmaceutical industry. The RTD’s traded at the moment are more than </w:t>
      </w:r>
      <w:r>
        <w:rPr>
          <w:rFonts w:cs="Times New Roman"/>
        </w:rPr>
        <w:t>twenty</w:t>
      </w:r>
      <w:r w:rsidRPr="00583507">
        <w:rPr>
          <w:rFonts w:cs="Times New Roman"/>
        </w:rPr>
        <w:t xml:space="preserve"> brand names </w:t>
      </w:r>
      <w:r>
        <w:rPr>
          <w:rFonts w:cs="Times New Roman"/>
        </w:rPr>
        <w:t>while</w:t>
      </w:r>
      <w:r w:rsidRPr="00583507">
        <w:rPr>
          <w:rFonts w:cs="Times New Roman"/>
        </w:rPr>
        <w:t xml:space="preserve"> the</w:t>
      </w:r>
      <w:r>
        <w:rPr>
          <w:rFonts w:cs="Times New Roman"/>
        </w:rPr>
        <w:t>re was only one in 1977 – 1978.</w:t>
      </w:r>
    </w:p>
    <w:p w:rsidR="004C1A29" w:rsidRDefault="004C1A29" w:rsidP="004C1A29">
      <w:pPr>
        <w:pStyle w:val="BodyText2"/>
        <w:spacing w:after="0" w:line="240" w:lineRule="auto"/>
        <w:jc w:val="both"/>
        <w:rPr>
          <w:rFonts w:ascii="Times New Roman" w:eastAsia="Calibri" w:hAnsi="Times New Roman" w:cs="Times New Roman"/>
          <w:lang w:val="en-US"/>
        </w:rPr>
      </w:pPr>
      <w:r w:rsidRPr="00583507">
        <w:rPr>
          <w:rFonts w:ascii="Times New Roman" w:eastAsia="Calibri" w:hAnsi="Times New Roman" w:cs="Times New Roman"/>
        </w:rPr>
        <w:t xml:space="preserve">Most of </w:t>
      </w:r>
      <w:r w:rsidRPr="00583507">
        <w:rPr>
          <w:rFonts w:ascii="Times New Roman" w:eastAsia="Calibri" w:hAnsi="Times New Roman" w:cs="Times New Roman"/>
          <w:lang w:val="en-US"/>
        </w:rPr>
        <w:t xml:space="preserve">the </w:t>
      </w:r>
      <w:r w:rsidRPr="00583507">
        <w:rPr>
          <w:rFonts w:ascii="Times New Roman" w:eastAsia="Calibri" w:hAnsi="Times New Roman" w:cs="Times New Roman"/>
        </w:rPr>
        <w:t>black tea and green tea produced by State owned Enterprise</w:t>
      </w:r>
      <w:r w:rsidRPr="00583507">
        <w:rPr>
          <w:rFonts w:ascii="Times New Roman" w:eastAsia="Calibri" w:hAnsi="Times New Roman" w:cs="Times New Roman"/>
          <w:lang w:val="en-US"/>
        </w:rPr>
        <w:t>s</w:t>
      </w:r>
      <w:r w:rsidRPr="00583507">
        <w:rPr>
          <w:rFonts w:ascii="Times New Roman" w:eastAsia="Calibri" w:hAnsi="Times New Roman" w:cs="Times New Roman"/>
        </w:rPr>
        <w:t xml:space="preserve"> and Private owned Enteprise</w:t>
      </w:r>
      <w:r w:rsidRPr="00583507">
        <w:rPr>
          <w:rFonts w:ascii="Times New Roman" w:eastAsia="Calibri" w:hAnsi="Times New Roman" w:cs="Times New Roman"/>
          <w:lang w:val="en-US"/>
        </w:rPr>
        <w:t>s</w:t>
      </w:r>
      <w:r w:rsidRPr="00583507">
        <w:rPr>
          <w:rFonts w:ascii="Times New Roman" w:eastAsia="Calibri" w:hAnsi="Times New Roman" w:cs="Times New Roman"/>
        </w:rPr>
        <w:t xml:space="preserve"> in bulk </w:t>
      </w:r>
      <w:r w:rsidRPr="00583507">
        <w:rPr>
          <w:rFonts w:ascii="Times New Roman" w:eastAsia="Calibri" w:hAnsi="Times New Roman" w:cs="Times New Roman"/>
          <w:lang w:val="en-US"/>
        </w:rPr>
        <w:t>is</w:t>
      </w:r>
      <w:r w:rsidRPr="00583507">
        <w:rPr>
          <w:rFonts w:ascii="Times New Roman" w:eastAsia="Calibri" w:hAnsi="Times New Roman" w:cs="Times New Roman"/>
        </w:rPr>
        <w:t xml:space="preserve"> certified by </w:t>
      </w:r>
      <w:r w:rsidRPr="00583507">
        <w:rPr>
          <w:rFonts w:ascii="Times New Roman" w:hAnsi="Times New Roman" w:cs="Times New Roman"/>
        </w:rPr>
        <w:t>RA, ETP, UTZ, Fair Trade, JAS, Organic, BTA, MRL</w:t>
      </w:r>
      <w:r w:rsidRPr="00583507">
        <w:rPr>
          <w:rFonts w:ascii="Times New Roman" w:eastAsia="Calibri" w:hAnsi="Times New Roman" w:cs="Times New Roman"/>
        </w:rPr>
        <w:t xml:space="preserve"> and has been successfully exported to more than </w:t>
      </w:r>
      <w:r>
        <w:rPr>
          <w:rFonts w:ascii="Times New Roman" w:eastAsia="Calibri" w:hAnsi="Times New Roman" w:cs="Times New Roman"/>
          <w:lang w:val="en-US"/>
        </w:rPr>
        <w:t>forty</w:t>
      </w:r>
      <w:r w:rsidRPr="00583507">
        <w:rPr>
          <w:rFonts w:ascii="Times New Roman" w:eastAsia="Calibri" w:hAnsi="Times New Roman" w:cs="Times New Roman"/>
        </w:rPr>
        <w:t xml:space="preserve"> countries in Europe, America, Asia, Africa and Australia, and every year contribute</w:t>
      </w:r>
      <w:r w:rsidRPr="00583507">
        <w:rPr>
          <w:rFonts w:ascii="Times New Roman" w:eastAsia="Calibri" w:hAnsi="Times New Roman" w:cs="Times New Roman"/>
          <w:lang w:val="en-US"/>
        </w:rPr>
        <w:t>d to</w:t>
      </w:r>
      <w:r w:rsidRPr="00583507">
        <w:rPr>
          <w:rFonts w:ascii="Times New Roman" w:eastAsia="Calibri" w:hAnsi="Times New Roman" w:cs="Times New Roman"/>
        </w:rPr>
        <w:t xml:space="preserve"> the foreign currency earning</w:t>
      </w:r>
      <w:r w:rsidRPr="00583507">
        <w:rPr>
          <w:rFonts w:ascii="Times New Roman" w:eastAsia="Calibri" w:hAnsi="Times New Roman" w:cs="Times New Roman"/>
          <w:lang w:val="en-US"/>
        </w:rPr>
        <w:t xml:space="preserve">. </w:t>
      </w:r>
      <w:r>
        <w:rPr>
          <w:rFonts w:ascii="Times New Roman" w:eastAsia="Calibri" w:hAnsi="Times New Roman" w:cs="Times New Roman"/>
          <w:lang w:val="en-US"/>
        </w:rPr>
        <w:t xml:space="preserve"> </w:t>
      </w:r>
      <w:r w:rsidRPr="00583507">
        <w:rPr>
          <w:rFonts w:ascii="Times New Roman" w:eastAsia="Calibri" w:hAnsi="Times New Roman" w:cs="Times New Roman"/>
          <w:lang w:val="en-US"/>
        </w:rPr>
        <w:t>The value of tea exports reached the highest level</w:t>
      </w:r>
      <w:r>
        <w:rPr>
          <w:rFonts w:ascii="Times New Roman" w:eastAsia="Calibri" w:hAnsi="Times New Roman" w:cs="Times New Roman"/>
          <w:lang w:val="en-US"/>
        </w:rPr>
        <w:t xml:space="preserve"> in 2010</w:t>
      </w:r>
      <w:r w:rsidRPr="00583507">
        <w:rPr>
          <w:rFonts w:ascii="Times New Roman" w:eastAsia="Calibri" w:hAnsi="Times New Roman" w:cs="Times New Roman"/>
          <w:lang w:val="en-US"/>
        </w:rPr>
        <w:t xml:space="preserve"> </w:t>
      </w:r>
      <w:r>
        <w:rPr>
          <w:rFonts w:ascii="Times New Roman" w:eastAsia="Calibri" w:hAnsi="Times New Roman" w:cs="Times New Roman"/>
          <w:lang w:val="en-US"/>
        </w:rPr>
        <w:t>at</w:t>
      </w:r>
      <w:r w:rsidRPr="00583507">
        <w:rPr>
          <w:rFonts w:ascii="Times New Roman" w:eastAsia="Calibri" w:hAnsi="Times New Roman" w:cs="Times New Roman"/>
          <w:lang w:val="en-US"/>
        </w:rPr>
        <w:t xml:space="preserve"> US</w:t>
      </w:r>
      <w:r>
        <w:rPr>
          <w:rFonts w:ascii="Times New Roman" w:eastAsia="Calibri" w:hAnsi="Times New Roman" w:cs="Times New Roman"/>
          <w:lang w:val="en-US"/>
        </w:rPr>
        <w:t>D</w:t>
      </w:r>
      <w:r w:rsidRPr="00583507">
        <w:rPr>
          <w:rFonts w:ascii="Times New Roman" w:eastAsia="Calibri" w:hAnsi="Times New Roman" w:cs="Times New Roman"/>
          <w:lang w:val="en-US"/>
        </w:rPr>
        <w:t xml:space="preserve"> </w:t>
      </w:r>
      <w:r w:rsidRPr="00583507">
        <w:rPr>
          <w:rFonts w:ascii="Times New Roman" w:eastAsia="Calibri" w:hAnsi="Times New Roman" w:cs="Times New Roman"/>
        </w:rPr>
        <w:t>178</w:t>
      </w:r>
      <w:r>
        <w:rPr>
          <w:rFonts w:ascii="Times New Roman" w:eastAsia="Calibri" w:hAnsi="Times New Roman" w:cs="Times New Roman"/>
          <w:lang w:val="en-US"/>
        </w:rPr>
        <w:t>.5 million,</w:t>
      </w:r>
      <w:r w:rsidRPr="00583507">
        <w:rPr>
          <w:rFonts w:ascii="Times New Roman" w:eastAsia="Calibri" w:hAnsi="Times New Roman" w:cs="Times New Roman"/>
          <w:lang w:val="en-US"/>
        </w:rPr>
        <w:t xml:space="preserve"> </w:t>
      </w:r>
      <w:r>
        <w:rPr>
          <w:rFonts w:ascii="Times New Roman" w:eastAsia="Calibri" w:hAnsi="Times New Roman" w:cs="Times New Roman"/>
          <w:lang w:val="en-US"/>
        </w:rPr>
        <w:t>decreasing</w:t>
      </w:r>
      <w:r w:rsidRPr="00583507">
        <w:rPr>
          <w:rFonts w:ascii="Times New Roman" w:eastAsia="Calibri" w:hAnsi="Times New Roman" w:cs="Times New Roman"/>
          <w:lang w:val="en-US"/>
        </w:rPr>
        <w:t xml:space="preserve"> </w:t>
      </w:r>
      <w:r>
        <w:rPr>
          <w:rFonts w:ascii="Times New Roman" w:eastAsia="Calibri" w:hAnsi="Times New Roman" w:cs="Times New Roman"/>
          <w:lang w:val="en-US"/>
        </w:rPr>
        <w:t xml:space="preserve">in </w:t>
      </w:r>
      <w:r w:rsidRPr="00583507">
        <w:rPr>
          <w:rFonts w:ascii="Times New Roman" w:eastAsia="Calibri" w:hAnsi="Times New Roman" w:cs="Times New Roman"/>
          <w:lang w:val="en-US"/>
        </w:rPr>
        <w:t>the following years</w:t>
      </w:r>
      <w:r w:rsidRPr="00583507">
        <w:rPr>
          <w:rFonts w:ascii="Times New Roman" w:eastAsia="Calibri" w:hAnsi="Times New Roman" w:cs="Times New Roman"/>
        </w:rPr>
        <w:t xml:space="preserve"> t</w:t>
      </w:r>
      <w:r>
        <w:rPr>
          <w:rFonts w:ascii="Times New Roman" w:eastAsia="Calibri" w:hAnsi="Times New Roman" w:cs="Times New Roman"/>
          <w:lang w:val="en-US"/>
        </w:rPr>
        <w:t>o USD 166.7 million in 2011, USD 156.</w:t>
      </w:r>
      <w:r w:rsidRPr="00583507">
        <w:rPr>
          <w:rFonts w:ascii="Times New Roman" w:eastAsia="Calibri" w:hAnsi="Times New Roman" w:cs="Times New Roman"/>
          <w:lang w:val="en-US"/>
        </w:rPr>
        <w:t xml:space="preserve">7 </w:t>
      </w:r>
      <w:r>
        <w:rPr>
          <w:rFonts w:ascii="Times New Roman" w:eastAsia="Calibri" w:hAnsi="Times New Roman" w:cs="Times New Roman"/>
          <w:lang w:val="en-US"/>
        </w:rPr>
        <w:t>million in 2012, USD 157.</w:t>
      </w:r>
      <w:r w:rsidRPr="00583507">
        <w:rPr>
          <w:rFonts w:ascii="Times New Roman" w:eastAsia="Calibri" w:hAnsi="Times New Roman" w:cs="Times New Roman"/>
          <w:lang w:val="en-US"/>
        </w:rPr>
        <w:t>5 million in 2013,</w:t>
      </w:r>
      <w:r>
        <w:rPr>
          <w:rFonts w:ascii="Times New Roman" w:eastAsia="Calibri" w:hAnsi="Times New Roman" w:cs="Times New Roman"/>
          <w:lang w:val="en-US"/>
        </w:rPr>
        <w:t xml:space="preserve"> USD 134.</w:t>
      </w:r>
      <w:r w:rsidRPr="00583507">
        <w:rPr>
          <w:rFonts w:ascii="Times New Roman" w:eastAsia="Calibri" w:hAnsi="Times New Roman" w:cs="Times New Roman"/>
          <w:lang w:val="en-US"/>
        </w:rPr>
        <w:t xml:space="preserve">5 million in 2014, and </w:t>
      </w:r>
      <w:r>
        <w:rPr>
          <w:rFonts w:ascii="Times New Roman" w:eastAsia="Calibri" w:hAnsi="Times New Roman" w:cs="Times New Roman"/>
          <w:lang w:val="en-US"/>
        </w:rPr>
        <w:t>less than USD</w:t>
      </w:r>
      <w:r w:rsidRPr="00583507">
        <w:rPr>
          <w:rFonts w:ascii="Times New Roman" w:eastAsia="Calibri" w:hAnsi="Times New Roman" w:cs="Times New Roman"/>
          <w:lang w:val="en-US"/>
        </w:rPr>
        <w:t xml:space="preserve"> 134 million in 2015, but it is expected to increase in 2016.</w:t>
      </w:r>
    </w:p>
    <w:p w:rsidR="004C1A29" w:rsidRPr="00583507" w:rsidRDefault="004C1A29" w:rsidP="004C1A29">
      <w:pPr>
        <w:pStyle w:val="BodyText2"/>
        <w:spacing w:after="0" w:line="240" w:lineRule="auto"/>
        <w:jc w:val="both"/>
        <w:rPr>
          <w:rFonts w:ascii="Times New Roman" w:eastAsia="Calibri" w:hAnsi="Times New Roman" w:cs="Times New Roman"/>
          <w:lang w:val="en-US"/>
        </w:rPr>
      </w:pPr>
    </w:p>
    <w:p w:rsidR="004C1A29" w:rsidRPr="00583507" w:rsidRDefault="004C1A29" w:rsidP="004C1A29">
      <w:pPr>
        <w:rPr>
          <w:rFonts w:cs="Times New Roman"/>
        </w:rPr>
      </w:pPr>
      <w:r w:rsidRPr="00583507">
        <w:rPr>
          <w:rFonts w:cs="Times New Roman"/>
          <w:lang w:val="en-US"/>
        </w:rPr>
        <w:t xml:space="preserve">The </w:t>
      </w:r>
      <w:r w:rsidRPr="00583507">
        <w:rPr>
          <w:rFonts w:cs="Times New Roman"/>
        </w:rPr>
        <w:t xml:space="preserve">average Auction </w:t>
      </w:r>
      <w:r>
        <w:rPr>
          <w:rFonts w:cs="Times New Roman"/>
        </w:rPr>
        <w:t xml:space="preserve">price </w:t>
      </w:r>
      <w:r w:rsidRPr="00583507">
        <w:rPr>
          <w:rFonts w:cs="Times New Roman"/>
        </w:rPr>
        <w:t xml:space="preserve">ranging from </w:t>
      </w:r>
      <w:r w:rsidRPr="00583507">
        <w:rPr>
          <w:rFonts w:cs="Times New Roman"/>
          <w:lang w:val="en-US"/>
        </w:rPr>
        <w:t xml:space="preserve">US cents </w:t>
      </w:r>
      <w:r w:rsidRPr="00583507">
        <w:rPr>
          <w:rFonts w:cs="Times New Roman"/>
        </w:rPr>
        <w:t xml:space="preserve">95.49 per kg in 2003 to </w:t>
      </w:r>
      <w:r w:rsidRPr="00583507">
        <w:rPr>
          <w:rFonts w:cs="Times New Roman"/>
          <w:lang w:val="en-US"/>
        </w:rPr>
        <w:t xml:space="preserve">US cents </w:t>
      </w:r>
      <w:r>
        <w:rPr>
          <w:rFonts w:cs="Times New Roman"/>
        </w:rPr>
        <w:t xml:space="preserve">198 </w:t>
      </w:r>
      <w:r w:rsidRPr="00583507">
        <w:rPr>
          <w:rFonts w:cs="Times New Roman"/>
        </w:rPr>
        <w:t>per kg in 2013,</w:t>
      </w:r>
      <w:r w:rsidRPr="00583507">
        <w:rPr>
          <w:rFonts w:cs="Times New Roman"/>
          <w:lang w:val="en-US"/>
        </w:rPr>
        <w:t xml:space="preserve"> to US cents 167 per kg in 2014 and US</w:t>
      </w:r>
      <w:r>
        <w:rPr>
          <w:rFonts w:cs="Times New Roman"/>
          <w:lang w:val="en-US"/>
        </w:rPr>
        <w:t xml:space="preserve"> cents</w:t>
      </w:r>
      <w:r w:rsidRPr="00583507">
        <w:rPr>
          <w:rFonts w:cs="Times New Roman"/>
          <w:lang w:val="en-US"/>
        </w:rPr>
        <w:t xml:space="preserve"> 153 </w:t>
      </w:r>
      <w:r>
        <w:rPr>
          <w:rFonts w:cs="Times New Roman"/>
          <w:lang w:val="en-US"/>
        </w:rPr>
        <w:t xml:space="preserve">per </w:t>
      </w:r>
      <w:r w:rsidRPr="00583507">
        <w:rPr>
          <w:rFonts w:cs="Times New Roman"/>
          <w:lang w:val="en-US"/>
        </w:rPr>
        <w:t>kg in 2015</w:t>
      </w:r>
      <w:r>
        <w:rPr>
          <w:rFonts w:cs="Times New Roman"/>
          <w:lang w:val="en-US"/>
        </w:rPr>
        <w:t>,</w:t>
      </w:r>
      <w:r w:rsidRPr="00583507">
        <w:rPr>
          <w:rFonts w:cs="Times New Roman"/>
          <w:lang w:val="en-US"/>
        </w:rPr>
        <w:t xml:space="preserve"> is</w:t>
      </w:r>
      <w:r w:rsidRPr="00583507">
        <w:rPr>
          <w:rFonts w:cs="Times New Roman"/>
        </w:rPr>
        <w:t xml:space="preserve"> forecasted at less than US cents 1</w:t>
      </w:r>
      <w:r w:rsidRPr="00583507">
        <w:rPr>
          <w:rFonts w:cs="Times New Roman"/>
          <w:lang w:val="en-US"/>
        </w:rPr>
        <w:t>70</w:t>
      </w:r>
      <w:r w:rsidRPr="00583507">
        <w:rPr>
          <w:rFonts w:cs="Times New Roman"/>
        </w:rPr>
        <w:t xml:space="preserve"> per kg in 201</w:t>
      </w:r>
      <w:r w:rsidRPr="00583507">
        <w:rPr>
          <w:rFonts w:cs="Times New Roman"/>
          <w:lang w:val="en-US"/>
        </w:rPr>
        <w:t>6</w:t>
      </w:r>
      <w:r w:rsidRPr="00583507">
        <w:rPr>
          <w:rFonts w:cs="Times New Roman"/>
        </w:rPr>
        <w:t xml:space="preserve">. </w:t>
      </w:r>
    </w:p>
    <w:p w:rsidR="004C1A29" w:rsidRPr="00583507" w:rsidRDefault="004C1A29" w:rsidP="004C1A29">
      <w:pPr>
        <w:rPr>
          <w:rFonts w:cs="Times New Roman"/>
          <w:color w:val="000000"/>
        </w:rPr>
      </w:pPr>
      <w:r>
        <w:rPr>
          <w:rFonts w:cs="Times New Roman"/>
        </w:rPr>
        <w:t>Unfortunately, the</w:t>
      </w:r>
      <w:r w:rsidRPr="00583507">
        <w:rPr>
          <w:rFonts w:cs="Times New Roman"/>
        </w:rPr>
        <w:t xml:space="preserve"> volume of production </w:t>
      </w:r>
      <w:r>
        <w:rPr>
          <w:rFonts w:cs="Times New Roman"/>
        </w:rPr>
        <w:t xml:space="preserve">is decreasing from 169 </w:t>
      </w:r>
      <w:r w:rsidRPr="00583507">
        <w:rPr>
          <w:rFonts w:cs="Times New Roman"/>
        </w:rPr>
        <w:t>819 ton</w:t>
      </w:r>
      <w:r>
        <w:rPr>
          <w:rFonts w:cs="Times New Roman"/>
        </w:rPr>
        <w:t>ne</w:t>
      </w:r>
      <w:r w:rsidRPr="00583507">
        <w:rPr>
          <w:rFonts w:cs="Times New Roman"/>
        </w:rPr>
        <w:t>s of made tea in 2003 to 13</w:t>
      </w:r>
      <w:r w:rsidRPr="00583507">
        <w:rPr>
          <w:rFonts w:cs="Times New Roman"/>
          <w:lang w:val="en-US"/>
        </w:rPr>
        <w:t>2</w:t>
      </w:r>
      <w:r>
        <w:rPr>
          <w:rFonts w:cs="Times New Roman"/>
        </w:rPr>
        <w:t xml:space="preserve"> </w:t>
      </w:r>
      <w:r w:rsidRPr="00583507">
        <w:rPr>
          <w:rFonts w:cs="Times New Roman"/>
        </w:rPr>
        <w:t>00</w:t>
      </w:r>
      <w:r w:rsidRPr="00583507">
        <w:rPr>
          <w:rFonts w:cs="Times New Roman"/>
          <w:lang w:val="en-US"/>
        </w:rPr>
        <w:t>0</w:t>
      </w:r>
      <w:r w:rsidRPr="00583507">
        <w:rPr>
          <w:rFonts w:cs="Times New Roman"/>
        </w:rPr>
        <w:t xml:space="preserve"> ton</w:t>
      </w:r>
      <w:r>
        <w:rPr>
          <w:rFonts w:cs="Times New Roman"/>
        </w:rPr>
        <w:t>ne</w:t>
      </w:r>
      <w:r w:rsidRPr="00583507">
        <w:rPr>
          <w:rFonts w:cs="Times New Roman"/>
        </w:rPr>
        <w:t>s in</w:t>
      </w:r>
      <w:r w:rsidRPr="00583507">
        <w:rPr>
          <w:rFonts w:cs="Times New Roman"/>
          <w:lang w:val="en-US"/>
        </w:rPr>
        <w:t xml:space="preserve"> </w:t>
      </w:r>
      <w:r w:rsidRPr="00583507">
        <w:rPr>
          <w:rFonts w:cs="Times New Roman"/>
        </w:rPr>
        <w:t xml:space="preserve">2014, </w:t>
      </w:r>
      <w:r w:rsidRPr="00583507">
        <w:rPr>
          <w:rFonts w:cs="Times New Roman"/>
          <w:lang w:val="en-US"/>
        </w:rPr>
        <w:t>and to less than</w:t>
      </w:r>
      <w:r>
        <w:rPr>
          <w:rFonts w:cs="Times New Roman"/>
          <w:lang w:val="en-US"/>
        </w:rPr>
        <w:t xml:space="preserve"> 130 0</w:t>
      </w:r>
      <w:r w:rsidRPr="00583507">
        <w:rPr>
          <w:rFonts w:cs="Times New Roman"/>
          <w:lang w:val="en-US"/>
        </w:rPr>
        <w:t xml:space="preserve">00 </w:t>
      </w:r>
      <w:proofErr w:type="spellStart"/>
      <w:r w:rsidRPr="00583507">
        <w:rPr>
          <w:rFonts w:cs="Times New Roman"/>
          <w:lang w:val="en-US"/>
        </w:rPr>
        <w:t>ton</w:t>
      </w:r>
      <w:r>
        <w:rPr>
          <w:rFonts w:cs="Times New Roman"/>
          <w:lang w:val="en-US"/>
        </w:rPr>
        <w:t>ne</w:t>
      </w:r>
      <w:r w:rsidRPr="00583507">
        <w:rPr>
          <w:rFonts w:cs="Times New Roman"/>
          <w:lang w:val="en-US"/>
        </w:rPr>
        <w:t>s</w:t>
      </w:r>
      <w:proofErr w:type="spellEnd"/>
      <w:r w:rsidRPr="00583507">
        <w:rPr>
          <w:rFonts w:cs="Times New Roman"/>
          <w:lang w:val="en-US"/>
        </w:rPr>
        <w:t xml:space="preserve"> in 2015 due to the effects of climate change</w:t>
      </w:r>
      <w:r>
        <w:rPr>
          <w:rFonts w:cs="Times New Roman"/>
          <w:lang w:val="en-US"/>
        </w:rPr>
        <w:t>,</w:t>
      </w:r>
      <w:r w:rsidRPr="00583507">
        <w:rPr>
          <w:rFonts w:cs="Times New Roman"/>
          <w:lang w:val="en-US"/>
        </w:rPr>
        <w:t xml:space="preserve"> but mainly </w:t>
      </w:r>
      <w:r>
        <w:rPr>
          <w:rFonts w:cs="Times New Roman"/>
          <w:lang w:val="en-US"/>
        </w:rPr>
        <w:t xml:space="preserve">due </w:t>
      </w:r>
      <w:r w:rsidRPr="00583507">
        <w:rPr>
          <w:rFonts w:cs="Times New Roman"/>
          <w:lang w:val="en-US"/>
        </w:rPr>
        <w:t xml:space="preserve">to the decreasing area under tea over the years, </w:t>
      </w:r>
      <w:r>
        <w:rPr>
          <w:rFonts w:cs="Times New Roman"/>
        </w:rPr>
        <w:t xml:space="preserve">from 157 000 ha (in </w:t>
      </w:r>
      <w:r w:rsidRPr="00583507">
        <w:rPr>
          <w:rFonts w:cs="Times New Roman"/>
        </w:rPr>
        <w:t xml:space="preserve">1998), to </w:t>
      </w:r>
      <w:r>
        <w:rPr>
          <w:rFonts w:cs="Times New Roman"/>
          <w:lang w:val="en-US"/>
        </w:rPr>
        <w:t xml:space="preserve">125 </w:t>
      </w:r>
      <w:r w:rsidRPr="00583507">
        <w:rPr>
          <w:rFonts w:cs="Times New Roman"/>
          <w:lang w:val="en-US"/>
        </w:rPr>
        <w:t>000 ha (</w:t>
      </w:r>
      <w:r w:rsidRPr="00583507">
        <w:rPr>
          <w:rFonts w:cs="Times New Roman"/>
        </w:rPr>
        <w:t>in 2014</w:t>
      </w:r>
      <w:r w:rsidRPr="00583507">
        <w:rPr>
          <w:rFonts w:cs="Times New Roman"/>
          <w:lang w:val="en-US"/>
        </w:rPr>
        <w:t>) an</w:t>
      </w:r>
      <w:r>
        <w:rPr>
          <w:rFonts w:cs="Times New Roman"/>
          <w:lang w:val="en-US"/>
        </w:rPr>
        <w:t xml:space="preserve">d 122 </w:t>
      </w:r>
      <w:r w:rsidRPr="00583507">
        <w:rPr>
          <w:rFonts w:cs="Times New Roman"/>
          <w:lang w:val="en-US"/>
        </w:rPr>
        <w:t>000 ha (in 2015)</w:t>
      </w:r>
      <w:r>
        <w:rPr>
          <w:rFonts w:cs="Times New Roman"/>
          <w:lang w:val="en-US"/>
        </w:rPr>
        <w:t>.</w:t>
      </w:r>
      <w:r w:rsidRPr="00583507">
        <w:rPr>
          <w:rFonts w:cs="Times New Roman"/>
          <w:lang w:val="en-US"/>
        </w:rPr>
        <w:t xml:space="preserve"> </w:t>
      </w:r>
    </w:p>
    <w:p w:rsidR="004C1A29" w:rsidRPr="00583507" w:rsidRDefault="004C1A29" w:rsidP="004C1A29">
      <w:pPr>
        <w:rPr>
          <w:rFonts w:cs="Times New Roman"/>
        </w:rPr>
      </w:pPr>
      <w:r w:rsidRPr="00583507">
        <w:rPr>
          <w:rFonts w:cs="Times New Roman"/>
          <w:lang w:val="en-US"/>
        </w:rPr>
        <w:t>I</w:t>
      </w:r>
      <w:r w:rsidRPr="00583507">
        <w:rPr>
          <w:rFonts w:cs="Times New Roman"/>
        </w:rPr>
        <w:t xml:space="preserve">f weather conditions are favourable and because of the efforts to improve productivity and tea quality, it is expected that in 2016 the total production in Indonesia will </w:t>
      </w:r>
      <w:r w:rsidRPr="00583507">
        <w:rPr>
          <w:rFonts w:cs="Times New Roman"/>
          <w:lang w:val="en-US"/>
        </w:rPr>
        <w:t>increase</w:t>
      </w:r>
      <w:r w:rsidRPr="00583507">
        <w:rPr>
          <w:rFonts w:cs="Times New Roman"/>
        </w:rPr>
        <w:t xml:space="preserve"> and the volume of tea imports will </w:t>
      </w:r>
      <w:r w:rsidRPr="00583507">
        <w:rPr>
          <w:rFonts w:cs="Times New Roman"/>
          <w:lang w:val="en-US"/>
        </w:rPr>
        <w:t>decrease</w:t>
      </w:r>
      <w:r w:rsidRPr="00583507">
        <w:rPr>
          <w:rFonts w:cs="Times New Roman"/>
        </w:rPr>
        <w:t>.</w:t>
      </w:r>
    </w:p>
    <w:p w:rsidR="004C1A29" w:rsidRPr="00583507" w:rsidRDefault="004C1A29" w:rsidP="004C1A29">
      <w:pPr>
        <w:rPr>
          <w:rFonts w:cs="Times New Roman"/>
          <w:color w:val="000000"/>
          <w:lang w:val="en-US"/>
        </w:rPr>
      </w:pPr>
      <w:r w:rsidRPr="00583507">
        <w:rPr>
          <w:rFonts w:cs="Times New Roman"/>
        </w:rPr>
        <w:lastRenderedPageBreak/>
        <w:t xml:space="preserve">The price of black tea has been on an upward trend from </w:t>
      </w:r>
      <w:r w:rsidRPr="00583507">
        <w:rPr>
          <w:rFonts w:cs="Times New Roman"/>
          <w:color w:val="000000"/>
        </w:rPr>
        <w:t>2003 to 201</w:t>
      </w:r>
      <w:r w:rsidRPr="00583507">
        <w:rPr>
          <w:rFonts w:cs="Times New Roman"/>
          <w:color w:val="000000"/>
          <w:lang w:val="en-US"/>
        </w:rPr>
        <w:t>3</w:t>
      </w:r>
      <w:r w:rsidRPr="00583507">
        <w:rPr>
          <w:rFonts w:cs="Times New Roman"/>
          <w:color w:val="000000"/>
        </w:rPr>
        <w:t xml:space="preserve"> (from </w:t>
      </w:r>
      <w:r>
        <w:rPr>
          <w:rFonts w:cs="Times New Roman"/>
          <w:color w:val="000000"/>
        </w:rPr>
        <w:t>95.</w:t>
      </w:r>
      <w:r w:rsidRPr="00583507">
        <w:rPr>
          <w:rFonts w:cs="Times New Roman"/>
          <w:color w:val="000000"/>
        </w:rPr>
        <w:t xml:space="preserve">46 US cents/kg in 2003 to </w:t>
      </w:r>
      <w:r>
        <w:rPr>
          <w:rFonts w:cs="Times New Roman"/>
          <w:color w:val="000000"/>
        </w:rPr>
        <w:t>198.</w:t>
      </w:r>
      <w:r w:rsidRPr="00583507">
        <w:rPr>
          <w:rFonts w:cs="Times New Roman"/>
          <w:color w:val="000000"/>
        </w:rPr>
        <w:t>0 US cents/kg in 2013), but declined in 2014 and 2015 to</w:t>
      </w:r>
      <w:r w:rsidRPr="00583507">
        <w:rPr>
          <w:rFonts w:cs="Times New Roman"/>
          <w:color w:val="000000"/>
          <w:lang w:val="en-US"/>
        </w:rPr>
        <w:t xml:space="preserve"> </w:t>
      </w:r>
      <w:r w:rsidRPr="00583507">
        <w:rPr>
          <w:rFonts w:cs="Times New Roman"/>
          <w:lang w:val="en-US"/>
        </w:rPr>
        <w:t>167 US cents/kg and 153 US cents/kg, respectively.  I</w:t>
      </w:r>
      <w:r w:rsidRPr="00583507">
        <w:rPr>
          <w:rFonts w:cs="Times New Roman"/>
          <w:color w:val="000000"/>
          <w:lang w:val="en-US"/>
        </w:rPr>
        <w:t xml:space="preserve">t is </w:t>
      </w:r>
      <w:r w:rsidRPr="00583507">
        <w:rPr>
          <w:rFonts w:cs="Times New Roman"/>
          <w:color w:val="000000"/>
        </w:rPr>
        <w:t>estimated at less than 1</w:t>
      </w:r>
      <w:r w:rsidRPr="00583507">
        <w:rPr>
          <w:rFonts w:cs="Times New Roman"/>
          <w:color w:val="000000"/>
          <w:lang w:val="en-US"/>
        </w:rPr>
        <w:t>75</w:t>
      </w:r>
      <w:r w:rsidRPr="00583507">
        <w:rPr>
          <w:rFonts w:cs="Times New Roman"/>
          <w:color w:val="000000"/>
        </w:rPr>
        <w:t xml:space="preserve"> US cents/kg in 201</w:t>
      </w:r>
      <w:r w:rsidRPr="00583507">
        <w:rPr>
          <w:rFonts w:cs="Times New Roman"/>
          <w:color w:val="000000"/>
          <w:lang w:val="en-US"/>
        </w:rPr>
        <w:t>6</w:t>
      </w:r>
      <w:r w:rsidRPr="00583507">
        <w:rPr>
          <w:rFonts w:cs="Times New Roman"/>
          <w:color w:val="000000"/>
        </w:rPr>
        <w:t>.</w:t>
      </w:r>
    </w:p>
    <w:p w:rsidR="004C1A29" w:rsidRDefault="004C1A29" w:rsidP="004C1A29">
      <w:pPr>
        <w:rPr>
          <w:rFonts w:cs="Times New Roman"/>
          <w:color w:val="000000"/>
        </w:rPr>
      </w:pPr>
      <w:r w:rsidRPr="00583507">
        <w:rPr>
          <w:rFonts w:cs="Times New Roman"/>
          <w:color w:val="000000"/>
        </w:rPr>
        <w:t xml:space="preserve">The </w:t>
      </w:r>
      <w:r w:rsidRPr="00583507">
        <w:rPr>
          <w:rFonts w:cs="Times New Roman"/>
          <w:color w:val="000000"/>
          <w:lang w:val="en-US"/>
        </w:rPr>
        <w:t xml:space="preserve">fluctuation of the </w:t>
      </w:r>
      <w:r w:rsidRPr="00583507">
        <w:rPr>
          <w:rFonts w:cs="Times New Roman"/>
          <w:color w:val="000000"/>
        </w:rPr>
        <w:t>tea prices has affected the tea growers who are looking for alternatives to cut the cost of production which has been increasing steadily.</w:t>
      </w:r>
    </w:p>
    <w:p w:rsidR="004C1A29" w:rsidRPr="004C1A29" w:rsidRDefault="004C1A29" w:rsidP="004C1A29">
      <w:pPr>
        <w:jc w:val="center"/>
        <w:rPr>
          <w:rFonts w:cs="Times New Roman"/>
          <w:b/>
          <w:bCs/>
          <w:sz w:val="28"/>
          <w:szCs w:val="28"/>
        </w:rPr>
      </w:pPr>
      <w:r w:rsidRPr="004C1A29">
        <w:rPr>
          <w:rFonts w:cs="Times New Roman"/>
          <w:b/>
          <w:bCs/>
          <w:sz w:val="28"/>
          <w:szCs w:val="28"/>
        </w:rPr>
        <w:t>Overview of the tea market in Tanzania (financial year 2014/2015)</w:t>
      </w:r>
    </w:p>
    <w:p w:rsidR="004C1A29" w:rsidRPr="00583507" w:rsidRDefault="004C1A29" w:rsidP="004C1A29">
      <w:pPr>
        <w:jc w:val="both"/>
        <w:rPr>
          <w:rFonts w:cs="Times New Roman"/>
          <w:color w:val="000000"/>
          <w:lang w:val="en-US"/>
        </w:rPr>
      </w:pPr>
      <w:r w:rsidRPr="00583507">
        <w:rPr>
          <w:rFonts w:cs="Times New Roman"/>
          <w:color w:val="000000"/>
          <w:lang w:val="en-US"/>
        </w:rPr>
        <w:t xml:space="preserve">Made tea production during the financial year under </w:t>
      </w:r>
      <w:r>
        <w:rPr>
          <w:rFonts w:cs="Times New Roman"/>
          <w:color w:val="000000"/>
          <w:lang w:val="en-US"/>
        </w:rPr>
        <w:t xml:space="preserve">review was 36 268 </w:t>
      </w:r>
      <w:proofErr w:type="spellStart"/>
      <w:r>
        <w:rPr>
          <w:rFonts w:cs="Times New Roman"/>
          <w:color w:val="000000"/>
          <w:lang w:val="en-US"/>
        </w:rPr>
        <w:t>tonnes</w:t>
      </w:r>
      <w:proofErr w:type="spellEnd"/>
      <w:r>
        <w:rPr>
          <w:rFonts w:cs="Times New Roman"/>
          <w:color w:val="000000"/>
          <w:lang w:val="en-US"/>
        </w:rPr>
        <w:t xml:space="preserve">, increasing by 2 </w:t>
      </w:r>
      <w:r w:rsidRPr="00583507">
        <w:rPr>
          <w:rFonts w:cs="Times New Roman"/>
          <w:color w:val="000000"/>
          <w:lang w:val="en-US"/>
        </w:rPr>
        <w:t>743</w:t>
      </w:r>
      <w:r>
        <w:rPr>
          <w:rFonts w:cs="Times New Roman"/>
          <w:color w:val="000000"/>
          <w:lang w:val="en-US"/>
        </w:rPr>
        <w:t xml:space="preserve"> </w:t>
      </w:r>
      <w:proofErr w:type="spellStart"/>
      <w:r>
        <w:rPr>
          <w:rFonts w:cs="Times New Roman"/>
          <w:color w:val="000000"/>
          <w:lang w:val="en-US"/>
        </w:rPr>
        <w:t>tonnes</w:t>
      </w:r>
      <w:proofErr w:type="spellEnd"/>
      <w:r>
        <w:rPr>
          <w:rFonts w:cs="Times New Roman"/>
          <w:color w:val="000000"/>
          <w:lang w:val="en-US"/>
        </w:rPr>
        <w:t>, the</w:t>
      </w:r>
      <w:r w:rsidRPr="00583507">
        <w:rPr>
          <w:rFonts w:cs="Times New Roman"/>
          <w:color w:val="000000"/>
          <w:lang w:val="en-US"/>
        </w:rPr>
        <w:t xml:space="preserve"> equivalent</w:t>
      </w:r>
      <w:r>
        <w:rPr>
          <w:rFonts w:cs="Times New Roman"/>
          <w:color w:val="000000"/>
          <w:lang w:val="en-US"/>
        </w:rPr>
        <w:t xml:space="preserve"> of 8.18 percent</w:t>
      </w:r>
      <w:r w:rsidRPr="00583507">
        <w:rPr>
          <w:rFonts w:cs="Times New Roman"/>
          <w:color w:val="000000"/>
          <w:lang w:val="en-US"/>
        </w:rPr>
        <w:t xml:space="preserve"> as compared to </w:t>
      </w:r>
      <w:r>
        <w:rPr>
          <w:rFonts w:cs="Times New Roman"/>
          <w:color w:val="000000"/>
          <w:lang w:val="en-US"/>
        </w:rPr>
        <w:t xml:space="preserve">the 33 524 </w:t>
      </w:r>
      <w:proofErr w:type="spellStart"/>
      <w:r>
        <w:rPr>
          <w:rFonts w:cs="Times New Roman"/>
          <w:color w:val="000000"/>
          <w:lang w:val="en-US"/>
        </w:rPr>
        <w:t>tonnes</w:t>
      </w:r>
      <w:proofErr w:type="spellEnd"/>
      <w:r w:rsidRPr="00583507">
        <w:rPr>
          <w:rFonts w:cs="Times New Roman"/>
          <w:color w:val="000000"/>
          <w:lang w:val="en-US"/>
        </w:rPr>
        <w:t xml:space="preserve"> recorded during the </w:t>
      </w:r>
      <w:r>
        <w:rPr>
          <w:rFonts w:cs="Times New Roman"/>
          <w:color w:val="000000"/>
          <w:lang w:val="en-US"/>
        </w:rPr>
        <w:t>previous 2013/2014 season.</w:t>
      </w:r>
      <w:r w:rsidRPr="00583507">
        <w:rPr>
          <w:rFonts w:cs="Times New Roman"/>
          <w:color w:val="000000"/>
          <w:lang w:val="en-US"/>
        </w:rPr>
        <w:t xml:space="preserve">  Good weather conditions, especially even distribution and enough rainfall in most tea growing areas was the main cause of the increase in production as tea cultivation is rain fed to large extent.</w:t>
      </w:r>
    </w:p>
    <w:p w:rsidR="004C1A29" w:rsidRPr="00583507" w:rsidRDefault="004C1A29" w:rsidP="004C1A29">
      <w:pPr>
        <w:jc w:val="both"/>
        <w:rPr>
          <w:rFonts w:cs="Times New Roman"/>
          <w:color w:val="000000"/>
          <w:lang w:val="en-US"/>
        </w:rPr>
      </w:pPr>
      <w:r w:rsidRPr="00583507">
        <w:rPr>
          <w:rFonts w:cs="Times New Roman"/>
          <w:color w:val="000000"/>
          <w:lang w:val="en-US"/>
        </w:rPr>
        <w:t>The amount of tea exports duri</w:t>
      </w:r>
      <w:r>
        <w:rPr>
          <w:rFonts w:cs="Times New Roman"/>
          <w:color w:val="000000"/>
          <w:lang w:val="en-US"/>
        </w:rPr>
        <w:t xml:space="preserve">ng the year under review was 29 </w:t>
      </w:r>
      <w:r w:rsidRPr="00583507">
        <w:rPr>
          <w:rFonts w:cs="Times New Roman"/>
          <w:color w:val="000000"/>
          <w:lang w:val="en-US"/>
        </w:rPr>
        <w:t>570</w:t>
      </w:r>
      <w:r>
        <w:rPr>
          <w:rFonts w:cs="Times New Roman"/>
          <w:color w:val="000000"/>
          <w:lang w:val="en-US"/>
        </w:rPr>
        <w:t xml:space="preserve"> </w:t>
      </w:r>
      <w:proofErr w:type="spellStart"/>
      <w:r>
        <w:rPr>
          <w:rFonts w:cs="Times New Roman"/>
          <w:color w:val="000000"/>
          <w:lang w:val="en-US"/>
        </w:rPr>
        <w:t>tonnes</w:t>
      </w:r>
      <w:proofErr w:type="spellEnd"/>
      <w:r w:rsidRPr="00583507">
        <w:rPr>
          <w:rFonts w:cs="Times New Roman"/>
          <w:color w:val="000000"/>
          <w:lang w:val="en-US"/>
        </w:rPr>
        <w:t xml:space="preserve"> worth US</w:t>
      </w:r>
      <w:r>
        <w:rPr>
          <w:rFonts w:cs="Times New Roman"/>
          <w:color w:val="000000"/>
          <w:lang w:val="en-US"/>
        </w:rPr>
        <w:t>D 46.18 million,</w:t>
      </w:r>
      <w:r w:rsidRPr="00583507">
        <w:rPr>
          <w:rFonts w:cs="Times New Roman"/>
          <w:color w:val="000000"/>
          <w:lang w:val="en-US"/>
        </w:rPr>
        <w:t xml:space="preserve"> </w:t>
      </w:r>
      <w:r>
        <w:rPr>
          <w:rFonts w:cs="Times New Roman"/>
          <w:color w:val="000000"/>
          <w:lang w:val="en-US"/>
        </w:rPr>
        <w:t xml:space="preserve">up by 6 </w:t>
      </w:r>
      <w:r w:rsidRPr="00583507">
        <w:rPr>
          <w:rFonts w:cs="Times New Roman"/>
          <w:color w:val="000000"/>
          <w:lang w:val="en-US"/>
        </w:rPr>
        <w:t>810</w:t>
      </w:r>
      <w:r>
        <w:rPr>
          <w:rFonts w:cs="Times New Roman"/>
          <w:color w:val="000000"/>
          <w:lang w:val="en-US"/>
        </w:rPr>
        <w:t xml:space="preserve"> </w:t>
      </w:r>
      <w:proofErr w:type="spellStart"/>
      <w:r>
        <w:rPr>
          <w:rFonts w:cs="Times New Roman"/>
          <w:color w:val="000000"/>
          <w:lang w:val="en-US"/>
        </w:rPr>
        <w:t>tonnes</w:t>
      </w:r>
      <w:proofErr w:type="spellEnd"/>
      <w:r>
        <w:rPr>
          <w:rFonts w:cs="Times New Roman"/>
          <w:color w:val="000000"/>
          <w:lang w:val="en-US"/>
        </w:rPr>
        <w:t>,</w:t>
      </w:r>
      <w:r w:rsidRPr="00583507">
        <w:rPr>
          <w:rFonts w:cs="Times New Roman"/>
          <w:color w:val="000000"/>
          <w:lang w:val="en-US"/>
        </w:rPr>
        <w:t xml:space="preserve"> </w:t>
      </w:r>
      <w:r>
        <w:rPr>
          <w:rFonts w:cs="Times New Roman"/>
          <w:color w:val="000000"/>
          <w:lang w:val="en-US"/>
        </w:rPr>
        <w:t xml:space="preserve">the </w:t>
      </w:r>
      <w:r w:rsidRPr="00583507">
        <w:rPr>
          <w:rFonts w:cs="Times New Roman"/>
          <w:color w:val="000000"/>
          <w:lang w:val="en-US"/>
        </w:rPr>
        <w:t xml:space="preserve">equivalent </w:t>
      </w:r>
      <w:r>
        <w:rPr>
          <w:rFonts w:cs="Times New Roman"/>
          <w:color w:val="000000"/>
          <w:lang w:val="en-US"/>
        </w:rPr>
        <w:t>of 30 percent, worth USD 1.6 million, the</w:t>
      </w:r>
      <w:r w:rsidRPr="00583507">
        <w:rPr>
          <w:rFonts w:cs="Times New Roman"/>
          <w:color w:val="000000"/>
          <w:lang w:val="en-US"/>
        </w:rPr>
        <w:t xml:space="preserve"> equivalent </w:t>
      </w:r>
      <w:r>
        <w:rPr>
          <w:rFonts w:cs="Times New Roman"/>
          <w:color w:val="000000"/>
          <w:lang w:val="en-US"/>
        </w:rPr>
        <w:t xml:space="preserve">of 3 percent </w:t>
      </w:r>
      <w:r w:rsidRPr="00583507">
        <w:rPr>
          <w:rFonts w:cs="Times New Roman"/>
          <w:color w:val="000000"/>
          <w:lang w:val="en-US"/>
        </w:rPr>
        <w:t xml:space="preserve">compared to the previous year. </w:t>
      </w:r>
    </w:p>
    <w:p w:rsidR="004C1A29" w:rsidRPr="00583507" w:rsidRDefault="004C1A29" w:rsidP="004C1A29">
      <w:pPr>
        <w:jc w:val="both"/>
        <w:rPr>
          <w:rFonts w:cs="Times New Roman"/>
          <w:color w:val="000000"/>
          <w:lang w:val="en-US"/>
        </w:rPr>
      </w:pPr>
      <w:r w:rsidRPr="00583507">
        <w:rPr>
          <w:rFonts w:cs="Times New Roman"/>
          <w:color w:val="000000"/>
          <w:lang w:val="en-US"/>
        </w:rPr>
        <w:t>The amount of tea sold through the Mombasa Auction dur</w:t>
      </w:r>
      <w:r>
        <w:rPr>
          <w:rFonts w:cs="Times New Roman"/>
          <w:color w:val="000000"/>
          <w:lang w:val="en-US"/>
        </w:rPr>
        <w:t xml:space="preserve">ing the year under review was 5 654 </w:t>
      </w:r>
      <w:proofErr w:type="spellStart"/>
      <w:r>
        <w:rPr>
          <w:rFonts w:cs="Times New Roman"/>
          <w:color w:val="000000"/>
          <w:lang w:val="en-US"/>
        </w:rPr>
        <w:t>tonnes</w:t>
      </w:r>
      <w:proofErr w:type="spellEnd"/>
      <w:r>
        <w:rPr>
          <w:rFonts w:cs="Times New Roman"/>
          <w:color w:val="000000"/>
          <w:lang w:val="en-US"/>
        </w:rPr>
        <w:t xml:space="preserve"> which decreased by 2 </w:t>
      </w:r>
      <w:r w:rsidRPr="00583507">
        <w:rPr>
          <w:rFonts w:cs="Times New Roman"/>
          <w:color w:val="000000"/>
          <w:lang w:val="en-US"/>
        </w:rPr>
        <w:t xml:space="preserve">032 </w:t>
      </w:r>
      <w:proofErr w:type="spellStart"/>
      <w:r w:rsidRPr="00583507">
        <w:rPr>
          <w:rFonts w:cs="Times New Roman"/>
          <w:color w:val="000000"/>
          <w:lang w:val="en-US"/>
        </w:rPr>
        <w:t>ton</w:t>
      </w:r>
      <w:r>
        <w:rPr>
          <w:rFonts w:cs="Times New Roman"/>
          <w:color w:val="000000"/>
          <w:lang w:val="en-US"/>
        </w:rPr>
        <w:t>nes</w:t>
      </w:r>
      <w:proofErr w:type="spellEnd"/>
      <w:r>
        <w:rPr>
          <w:rFonts w:cs="Times New Roman"/>
          <w:color w:val="000000"/>
          <w:lang w:val="en-US"/>
        </w:rPr>
        <w:t>, equivalent to 26 percent</w:t>
      </w:r>
      <w:r w:rsidRPr="00583507">
        <w:rPr>
          <w:rFonts w:cs="Times New Roman"/>
          <w:color w:val="000000"/>
          <w:lang w:val="en-US"/>
        </w:rPr>
        <w:t xml:space="preserve"> as compared</w:t>
      </w:r>
      <w:r>
        <w:rPr>
          <w:rFonts w:cs="Times New Roman"/>
          <w:color w:val="000000"/>
          <w:lang w:val="en-US"/>
        </w:rPr>
        <w:t xml:space="preserve"> to 7 686 </w:t>
      </w:r>
      <w:proofErr w:type="spellStart"/>
      <w:r>
        <w:rPr>
          <w:rFonts w:cs="Times New Roman"/>
          <w:color w:val="000000"/>
          <w:lang w:val="en-US"/>
        </w:rPr>
        <w:t>tonnes</w:t>
      </w:r>
      <w:proofErr w:type="spellEnd"/>
      <w:r>
        <w:rPr>
          <w:rFonts w:cs="Times New Roman"/>
          <w:color w:val="000000"/>
          <w:lang w:val="en-US"/>
        </w:rPr>
        <w:t xml:space="preserve"> obtained in the </w:t>
      </w:r>
      <w:r w:rsidRPr="00583507">
        <w:rPr>
          <w:rFonts w:cs="Times New Roman"/>
          <w:color w:val="000000"/>
          <w:lang w:val="en-US"/>
        </w:rPr>
        <w:t xml:space="preserve">previous financial year. </w:t>
      </w:r>
      <w:r>
        <w:rPr>
          <w:rFonts w:cs="Times New Roman"/>
          <w:color w:val="000000"/>
          <w:lang w:val="en-US"/>
        </w:rPr>
        <w:t xml:space="preserve"> </w:t>
      </w:r>
      <w:r w:rsidRPr="00583507">
        <w:rPr>
          <w:rFonts w:cs="Times New Roman"/>
          <w:color w:val="000000"/>
          <w:lang w:val="en-US"/>
        </w:rPr>
        <w:t>The average tea price via Mombasa Auction dropped by US cents 7</w:t>
      </w:r>
      <w:r>
        <w:rPr>
          <w:rFonts w:cs="Times New Roman"/>
          <w:color w:val="000000"/>
          <w:lang w:val="en-US"/>
        </w:rPr>
        <w:t xml:space="preserve"> per kg,</w:t>
      </w:r>
      <w:r w:rsidRPr="00583507">
        <w:rPr>
          <w:rFonts w:cs="Times New Roman"/>
          <w:color w:val="000000"/>
          <w:lang w:val="en-US"/>
        </w:rPr>
        <w:t xml:space="preserve"> equivalent to </w:t>
      </w:r>
      <w:r>
        <w:rPr>
          <w:rFonts w:cs="Times New Roman"/>
          <w:color w:val="000000"/>
          <w:lang w:val="en-US"/>
        </w:rPr>
        <w:t>4 percent</w:t>
      </w:r>
      <w:r w:rsidRPr="00583507">
        <w:rPr>
          <w:rFonts w:cs="Times New Roman"/>
          <w:color w:val="000000"/>
          <w:lang w:val="en-US"/>
        </w:rPr>
        <w:t xml:space="preserve">, from US cents 164 </w:t>
      </w:r>
      <w:r>
        <w:rPr>
          <w:rFonts w:cs="Times New Roman"/>
          <w:color w:val="000000"/>
          <w:lang w:val="en-US"/>
        </w:rPr>
        <w:t xml:space="preserve">per kg </w:t>
      </w:r>
      <w:r w:rsidRPr="00583507">
        <w:rPr>
          <w:rFonts w:cs="Times New Roman"/>
          <w:color w:val="000000"/>
          <w:lang w:val="en-US"/>
        </w:rPr>
        <w:t>to US cents 157 per kg.</w:t>
      </w:r>
    </w:p>
    <w:p w:rsidR="004C1A29" w:rsidRPr="00583507" w:rsidRDefault="004C1A29" w:rsidP="004C1A29">
      <w:pPr>
        <w:jc w:val="both"/>
        <w:rPr>
          <w:rFonts w:cs="Times New Roman"/>
          <w:color w:val="000000"/>
          <w:lang w:val="en-US"/>
        </w:rPr>
      </w:pPr>
      <w:r w:rsidRPr="00583507">
        <w:rPr>
          <w:rFonts w:cs="Times New Roman"/>
          <w:color w:val="000000"/>
          <w:lang w:val="en-US"/>
        </w:rPr>
        <w:t>During the financial year under review, the amount of blended and packed tea sold in t</w:t>
      </w:r>
      <w:r>
        <w:rPr>
          <w:rFonts w:cs="Times New Roman"/>
          <w:color w:val="000000"/>
          <w:lang w:val="en-US"/>
        </w:rPr>
        <w:t xml:space="preserve">he local market was 5 522 </w:t>
      </w:r>
      <w:proofErr w:type="spellStart"/>
      <w:r>
        <w:rPr>
          <w:rFonts w:cs="Times New Roman"/>
          <w:color w:val="000000"/>
          <w:lang w:val="en-US"/>
        </w:rPr>
        <w:t>tonnes</w:t>
      </w:r>
      <w:proofErr w:type="spellEnd"/>
      <w:r>
        <w:rPr>
          <w:rFonts w:cs="Times New Roman"/>
          <w:color w:val="000000"/>
          <w:lang w:val="en-US"/>
        </w:rPr>
        <w:t xml:space="preserve"> as compared to 5 672 </w:t>
      </w:r>
      <w:proofErr w:type="spellStart"/>
      <w:r>
        <w:rPr>
          <w:rFonts w:cs="Times New Roman"/>
          <w:color w:val="000000"/>
          <w:lang w:val="en-US"/>
        </w:rPr>
        <w:t>tonnes</w:t>
      </w:r>
      <w:proofErr w:type="spellEnd"/>
      <w:r>
        <w:rPr>
          <w:rFonts w:cs="Times New Roman"/>
          <w:color w:val="000000"/>
          <w:lang w:val="en-US"/>
        </w:rPr>
        <w:t xml:space="preserve"> </w:t>
      </w:r>
      <w:r w:rsidRPr="00583507">
        <w:rPr>
          <w:rFonts w:cs="Times New Roman"/>
          <w:color w:val="000000"/>
          <w:lang w:val="en-US"/>
        </w:rPr>
        <w:t>in the p</w:t>
      </w:r>
      <w:r>
        <w:rPr>
          <w:rFonts w:cs="Times New Roman"/>
          <w:color w:val="000000"/>
          <w:lang w:val="en-US"/>
        </w:rPr>
        <w:t xml:space="preserve">revious year, a decrease of 151 </w:t>
      </w:r>
      <w:proofErr w:type="spellStart"/>
      <w:r>
        <w:rPr>
          <w:rFonts w:cs="Times New Roman"/>
          <w:color w:val="000000"/>
          <w:lang w:val="en-US"/>
        </w:rPr>
        <w:t>tonnes</w:t>
      </w:r>
      <w:proofErr w:type="spellEnd"/>
      <w:r>
        <w:rPr>
          <w:rFonts w:cs="Times New Roman"/>
          <w:color w:val="000000"/>
          <w:lang w:val="en-US"/>
        </w:rPr>
        <w:t>, equivalent to 3 percent</w:t>
      </w:r>
      <w:r w:rsidRPr="00583507">
        <w:rPr>
          <w:rFonts w:cs="Times New Roman"/>
          <w:color w:val="000000"/>
          <w:lang w:val="en-US"/>
        </w:rPr>
        <w:t>, while earnings decreased by Tshs.</w:t>
      </w:r>
      <w:r>
        <w:rPr>
          <w:rFonts w:cs="Times New Roman"/>
          <w:color w:val="000000"/>
          <w:lang w:val="en-US"/>
        </w:rPr>
        <w:t>1 516 million, equivalent to 4 percent</w:t>
      </w:r>
      <w:r w:rsidRPr="00583507">
        <w:rPr>
          <w:rFonts w:cs="Times New Roman"/>
          <w:color w:val="000000"/>
          <w:lang w:val="en-US"/>
        </w:rPr>
        <w:t xml:space="preserve">. </w:t>
      </w:r>
    </w:p>
    <w:p w:rsidR="004C1A29" w:rsidRPr="00583507" w:rsidRDefault="004C1A29" w:rsidP="004C1A29">
      <w:pPr>
        <w:jc w:val="both"/>
        <w:rPr>
          <w:rFonts w:cs="Times New Roman"/>
          <w:color w:val="000000"/>
          <w:lang w:val="en-US"/>
        </w:rPr>
      </w:pPr>
      <w:r w:rsidRPr="00583507">
        <w:rPr>
          <w:rFonts w:cs="Times New Roman"/>
          <w:color w:val="000000"/>
          <w:lang w:val="en-US"/>
        </w:rPr>
        <w:t>During the period under review, the amount of tea issued freel</w:t>
      </w:r>
      <w:r>
        <w:rPr>
          <w:rFonts w:cs="Times New Roman"/>
          <w:color w:val="000000"/>
          <w:lang w:val="en-US"/>
        </w:rPr>
        <w:t xml:space="preserve">y and sold in factories was 78 </w:t>
      </w:r>
      <w:r w:rsidRPr="00583507">
        <w:rPr>
          <w:rFonts w:cs="Times New Roman"/>
          <w:color w:val="000000"/>
          <w:lang w:val="en-US"/>
        </w:rPr>
        <w:t>249 kg compared to 43</w:t>
      </w:r>
      <w:r>
        <w:rPr>
          <w:rFonts w:cs="Times New Roman"/>
          <w:color w:val="000000"/>
          <w:lang w:val="en-US"/>
        </w:rPr>
        <w:t xml:space="preserve"> </w:t>
      </w:r>
      <w:r w:rsidRPr="00583507">
        <w:rPr>
          <w:rFonts w:cs="Times New Roman"/>
          <w:color w:val="000000"/>
          <w:lang w:val="en-US"/>
        </w:rPr>
        <w:t>858 kg in 2013/</w:t>
      </w:r>
      <w:r>
        <w:rPr>
          <w:rFonts w:cs="Times New Roman"/>
          <w:color w:val="000000"/>
          <w:lang w:val="en-US"/>
        </w:rPr>
        <w:t xml:space="preserve">2014 which is an increase of 34 </w:t>
      </w:r>
      <w:r w:rsidRPr="00583507">
        <w:rPr>
          <w:rFonts w:cs="Times New Roman"/>
          <w:color w:val="000000"/>
          <w:lang w:val="en-US"/>
        </w:rPr>
        <w:t>391 kg</w:t>
      </w:r>
      <w:r>
        <w:rPr>
          <w:rFonts w:cs="Times New Roman"/>
          <w:color w:val="000000"/>
          <w:lang w:val="en-US"/>
        </w:rPr>
        <w:t xml:space="preserve">, equivalent to 78 percent </w:t>
      </w:r>
      <w:r w:rsidRPr="00583507">
        <w:rPr>
          <w:rFonts w:cs="Times New Roman"/>
          <w:color w:val="000000"/>
          <w:lang w:val="en-US"/>
        </w:rPr>
        <w:t>of the amount of tea sold and issued freely at factory during the year</w:t>
      </w:r>
      <w:r>
        <w:rPr>
          <w:rFonts w:cs="Times New Roman"/>
          <w:color w:val="000000"/>
          <w:lang w:val="en-US"/>
        </w:rPr>
        <w:t>.</w:t>
      </w:r>
    </w:p>
    <w:p w:rsidR="004C1A29" w:rsidRPr="00583507" w:rsidRDefault="004C1A29" w:rsidP="004C1A29">
      <w:pPr>
        <w:jc w:val="both"/>
        <w:rPr>
          <w:rFonts w:cs="Times New Roman"/>
          <w:color w:val="000000"/>
          <w:lang w:val="en-US"/>
        </w:rPr>
      </w:pPr>
      <w:r>
        <w:rPr>
          <w:rFonts w:cs="Times New Roman"/>
          <w:color w:val="000000"/>
          <w:lang w:val="en-US"/>
        </w:rPr>
        <w:t xml:space="preserve">Estate farmers produced 24 533 </w:t>
      </w:r>
      <w:proofErr w:type="spellStart"/>
      <w:r>
        <w:rPr>
          <w:rFonts w:cs="Times New Roman"/>
          <w:color w:val="000000"/>
          <w:lang w:val="en-US"/>
        </w:rPr>
        <w:t>tonnes</w:t>
      </w:r>
      <w:proofErr w:type="spellEnd"/>
      <w:r w:rsidRPr="00583507">
        <w:rPr>
          <w:rFonts w:cs="Times New Roman"/>
          <w:color w:val="000000"/>
          <w:lang w:val="en-US"/>
        </w:rPr>
        <w:t xml:space="preserve"> in 2014/2015 as comp</w:t>
      </w:r>
      <w:r>
        <w:rPr>
          <w:rFonts w:cs="Times New Roman"/>
          <w:color w:val="000000"/>
          <w:lang w:val="en-US"/>
        </w:rPr>
        <w:t xml:space="preserve">ared to 22 933 </w:t>
      </w:r>
      <w:proofErr w:type="spellStart"/>
      <w:r>
        <w:rPr>
          <w:rFonts w:cs="Times New Roman"/>
          <w:color w:val="000000"/>
          <w:lang w:val="en-US"/>
        </w:rPr>
        <w:t>tonnes</w:t>
      </w:r>
      <w:proofErr w:type="spellEnd"/>
      <w:r w:rsidRPr="00583507">
        <w:rPr>
          <w:rFonts w:cs="Times New Roman"/>
          <w:color w:val="000000"/>
          <w:lang w:val="en-US"/>
        </w:rPr>
        <w:t xml:space="preserve"> produced in 2013/2014,</w:t>
      </w:r>
      <w:r>
        <w:rPr>
          <w:rFonts w:cs="Times New Roman"/>
          <w:color w:val="000000"/>
          <w:lang w:val="en-US"/>
        </w:rPr>
        <w:t xml:space="preserve"> an increase of 1 600 </w:t>
      </w:r>
      <w:proofErr w:type="spellStart"/>
      <w:r>
        <w:rPr>
          <w:rFonts w:cs="Times New Roman"/>
          <w:color w:val="000000"/>
          <w:lang w:val="en-US"/>
        </w:rPr>
        <w:t>tonnes</w:t>
      </w:r>
      <w:proofErr w:type="spellEnd"/>
      <w:r>
        <w:rPr>
          <w:rFonts w:cs="Times New Roman"/>
          <w:color w:val="000000"/>
          <w:lang w:val="en-US"/>
        </w:rPr>
        <w:t xml:space="preserve"> equivalent to 6.98 percent</w:t>
      </w:r>
      <w:r w:rsidRPr="00583507">
        <w:rPr>
          <w:rFonts w:cs="Times New Roman"/>
          <w:color w:val="000000"/>
          <w:lang w:val="en-US"/>
        </w:rPr>
        <w:t>.</w:t>
      </w:r>
    </w:p>
    <w:p w:rsidR="004C1A29" w:rsidRPr="00583507" w:rsidRDefault="004C1A29" w:rsidP="004C1A29">
      <w:pPr>
        <w:jc w:val="both"/>
        <w:rPr>
          <w:rFonts w:cs="Times New Roman"/>
          <w:color w:val="000000"/>
          <w:lang w:val="en-US"/>
        </w:rPr>
      </w:pPr>
      <w:r>
        <w:rPr>
          <w:rFonts w:cs="Times New Roman"/>
          <w:color w:val="000000"/>
          <w:lang w:val="en-US"/>
        </w:rPr>
        <w:t xml:space="preserve">Smallholder farmers produced 11 735 </w:t>
      </w:r>
      <w:proofErr w:type="spellStart"/>
      <w:r>
        <w:rPr>
          <w:rFonts w:cs="Times New Roman"/>
          <w:color w:val="000000"/>
          <w:lang w:val="en-US"/>
        </w:rPr>
        <w:t>tonnes</w:t>
      </w:r>
      <w:proofErr w:type="spellEnd"/>
      <w:r w:rsidRPr="00583507">
        <w:rPr>
          <w:rFonts w:cs="Times New Roman"/>
          <w:color w:val="000000"/>
          <w:lang w:val="en-US"/>
        </w:rPr>
        <w:t xml:space="preserve"> in</w:t>
      </w:r>
      <w:r>
        <w:rPr>
          <w:rFonts w:cs="Times New Roman"/>
          <w:color w:val="000000"/>
          <w:lang w:val="en-US"/>
        </w:rPr>
        <w:t xml:space="preserve"> 2014/2015 as compared to 10 592</w:t>
      </w:r>
      <w:r w:rsidRPr="00583507">
        <w:rPr>
          <w:rFonts w:cs="Times New Roman"/>
          <w:color w:val="000000"/>
          <w:lang w:val="en-US"/>
        </w:rPr>
        <w:t xml:space="preserve"> </w:t>
      </w:r>
      <w:proofErr w:type="spellStart"/>
      <w:r>
        <w:rPr>
          <w:rFonts w:cs="Times New Roman"/>
          <w:color w:val="000000"/>
          <w:lang w:val="en-US"/>
        </w:rPr>
        <w:t>tonnes</w:t>
      </w:r>
      <w:proofErr w:type="spellEnd"/>
      <w:r w:rsidRPr="00583507">
        <w:rPr>
          <w:rFonts w:cs="Times New Roman"/>
          <w:color w:val="000000"/>
          <w:lang w:val="en-US"/>
        </w:rPr>
        <w:t xml:space="preserve"> produced in 2013/2014, an increase of 1</w:t>
      </w:r>
      <w:r>
        <w:rPr>
          <w:rFonts w:cs="Times New Roman"/>
          <w:color w:val="000000"/>
          <w:lang w:val="en-US"/>
        </w:rPr>
        <w:t xml:space="preserve"> 144 </w:t>
      </w:r>
      <w:proofErr w:type="spellStart"/>
      <w:r>
        <w:rPr>
          <w:rFonts w:cs="Times New Roman"/>
          <w:color w:val="000000"/>
          <w:lang w:val="en-US"/>
        </w:rPr>
        <w:t>tonnes</w:t>
      </w:r>
      <w:proofErr w:type="spellEnd"/>
      <w:r w:rsidRPr="00583507">
        <w:rPr>
          <w:rFonts w:cs="Times New Roman"/>
          <w:color w:val="000000"/>
          <w:lang w:val="en-US"/>
        </w:rPr>
        <w:t xml:space="preserve"> equivalent to</w:t>
      </w:r>
      <w:r>
        <w:rPr>
          <w:rFonts w:cs="Times New Roman"/>
          <w:color w:val="000000"/>
          <w:lang w:val="en-US"/>
        </w:rPr>
        <w:t>10.8 percent</w:t>
      </w:r>
      <w:r w:rsidRPr="00583507">
        <w:rPr>
          <w:rFonts w:cs="Times New Roman"/>
          <w:color w:val="000000"/>
          <w:lang w:val="en-US"/>
        </w:rPr>
        <w:t>.</w:t>
      </w:r>
    </w:p>
    <w:p w:rsidR="004C1A29" w:rsidRPr="00583507" w:rsidRDefault="004C1A29" w:rsidP="004C1A29">
      <w:pPr>
        <w:jc w:val="both"/>
        <w:rPr>
          <w:rFonts w:cs="Times New Roman"/>
          <w:color w:val="000000"/>
          <w:lang w:val="en-US"/>
        </w:rPr>
      </w:pPr>
      <w:r w:rsidRPr="00583507">
        <w:rPr>
          <w:rFonts w:cs="Times New Roman"/>
          <w:color w:val="000000"/>
          <w:lang w:val="en-US"/>
        </w:rPr>
        <w:t>Contribution of Estates</w:t>
      </w:r>
      <w:r>
        <w:rPr>
          <w:rFonts w:cs="Times New Roman"/>
          <w:color w:val="000000"/>
          <w:lang w:val="en-US"/>
        </w:rPr>
        <w:t xml:space="preserve"> to the total production was 68 percent compared to 32 percent</w:t>
      </w:r>
      <w:r w:rsidRPr="00583507">
        <w:rPr>
          <w:rFonts w:cs="Times New Roman"/>
          <w:color w:val="000000"/>
          <w:lang w:val="en-US"/>
        </w:rPr>
        <w:t xml:space="preserve"> produced by smallholder farmers in 2014/2015</w:t>
      </w:r>
      <w:r>
        <w:rPr>
          <w:rFonts w:cs="Times New Roman"/>
          <w:color w:val="000000"/>
          <w:lang w:val="en-US"/>
        </w:rPr>
        <w:t xml:space="preserve">, the same ratio as in </w:t>
      </w:r>
      <w:r w:rsidRPr="00583507">
        <w:rPr>
          <w:rFonts w:cs="Times New Roman"/>
          <w:color w:val="000000"/>
          <w:lang w:val="en-US"/>
        </w:rPr>
        <w:t>2013/2014.</w:t>
      </w:r>
    </w:p>
    <w:p w:rsidR="004C1A29" w:rsidRPr="00583507" w:rsidRDefault="004C1A29" w:rsidP="004C1A29">
      <w:pPr>
        <w:tabs>
          <w:tab w:val="left" w:pos="0"/>
        </w:tabs>
        <w:jc w:val="both"/>
        <w:rPr>
          <w:rFonts w:cs="Times New Roman"/>
          <w:color w:val="000000"/>
          <w:lang w:val="en-US"/>
        </w:rPr>
      </w:pPr>
      <w:r w:rsidRPr="00583507">
        <w:rPr>
          <w:rFonts w:cs="Times New Roman"/>
          <w:color w:val="000000"/>
          <w:lang w:val="en-US"/>
        </w:rPr>
        <w:t xml:space="preserve">Export sales for </w:t>
      </w:r>
      <w:r>
        <w:rPr>
          <w:rFonts w:cs="Times New Roman"/>
          <w:color w:val="000000"/>
          <w:lang w:val="en-US"/>
        </w:rPr>
        <w:t xml:space="preserve">the period of 2014/2015 were 29 570 </w:t>
      </w:r>
      <w:proofErr w:type="spellStart"/>
      <w:r>
        <w:rPr>
          <w:rFonts w:cs="Times New Roman"/>
          <w:color w:val="000000"/>
          <w:lang w:val="en-US"/>
        </w:rPr>
        <w:t>tonnes</w:t>
      </w:r>
      <w:proofErr w:type="spellEnd"/>
      <w:r>
        <w:rPr>
          <w:rFonts w:cs="Times New Roman"/>
          <w:color w:val="000000"/>
          <w:lang w:val="en-US"/>
        </w:rPr>
        <w:t>, which earned USD</w:t>
      </w:r>
      <w:r w:rsidRPr="00583507">
        <w:rPr>
          <w:rFonts w:cs="Times New Roman"/>
          <w:color w:val="000000"/>
          <w:lang w:val="en-US"/>
        </w:rPr>
        <w:t xml:space="preserve"> 46 million</w:t>
      </w:r>
      <w:r>
        <w:rPr>
          <w:rFonts w:cs="Times New Roman"/>
          <w:color w:val="000000"/>
          <w:lang w:val="en-US"/>
        </w:rPr>
        <w:t>, compared to 22 760</w:t>
      </w:r>
      <w:r w:rsidRPr="00583507">
        <w:rPr>
          <w:rFonts w:cs="Times New Roman"/>
          <w:color w:val="000000"/>
          <w:lang w:val="en-US"/>
        </w:rPr>
        <w:t xml:space="preserve"> </w:t>
      </w:r>
      <w:r>
        <w:rPr>
          <w:rFonts w:cs="Times New Roman"/>
          <w:color w:val="000000"/>
          <w:lang w:val="en-US"/>
        </w:rPr>
        <w:t>in 2013/2014 which earned USD</w:t>
      </w:r>
      <w:r w:rsidRPr="00583507">
        <w:rPr>
          <w:rFonts w:cs="Times New Roman"/>
          <w:color w:val="000000"/>
          <w:lang w:val="en-US"/>
        </w:rPr>
        <w:t xml:space="preserve"> 44 million.  This shows that in 2014/2015 there was an increase in both, the amount of tea exported and income earned</w:t>
      </w:r>
      <w:r>
        <w:rPr>
          <w:rFonts w:cs="Times New Roman"/>
          <w:color w:val="000000"/>
          <w:lang w:val="en-US"/>
        </w:rPr>
        <w:t xml:space="preserve">, </w:t>
      </w:r>
      <w:r w:rsidRPr="00583507">
        <w:rPr>
          <w:rFonts w:cs="Times New Roman"/>
          <w:color w:val="000000"/>
          <w:lang w:val="en-US"/>
        </w:rPr>
        <w:t>of</w:t>
      </w:r>
      <w:r>
        <w:rPr>
          <w:rFonts w:cs="Times New Roman"/>
          <w:color w:val="000000"/>
          <w:lang w:val="en-US"/>
        </w:rPr>
        <w:t xml:space="preserve"> 30 percent and 3 percent</w:t>
      </w:r>
      <w:r w:rsidRPr="00583507">
        <w:rPr>
          <w:rFonts w:cs="Times New Roman"/>
          <w:color w:val="000000"/>
          <w:lang w:val="en-US"/>
        </w:rPr>
        <w:t xml:space="preserve">, respectively. </w:t>
      </w:r>
    </w:p>
    <w:p w:rsidR="004C1A29" w:rsidRPr="00583507" w:rsidRDefault="004C1A29" w:rsidP="004C1A29">
      <w:pPr>
        <w:rPr>
          <w:rFonts w:cs="Times New Roman"/>
          <w:color w:val="000000"/>
          <w:lang w:val="en-US"/>
        </w:rPr>
      </w:pPr>
      <w:r w:rsidRPr="00583507">
        <w:rPr>
          <w:rFonts w:cs="Times New Roman"/>
          <w:color w:val="000000"/>
          <w:lang w:val="en-US"/>
        </w:rPr>
        <w:t>The average price per kilogram of export</w:t>
      </w:r>
      <w:r>
        <w:rPr>
          <w:rFonts w:cs="Times New Roman"/>
          <w:color w:val="000000"/>
          <w:lang w:val="en-US"/>
        </w:rPr>
        <w:t>ed tea dropped from USD</w:t>
      </w:r>
      <w:r w:rsidRPr="00583507">
        <w:rPr>
          <w:rFonts w:cs="Times New Roman"/>
          <w:color w:val="000000"/>
          <w:lang w:val="en-US"/>
        </w:rPr>
        <w:t xml:space="preserve"> 1.96 in 2013/2014 to US</w:t>
      </w:r>
      <w:r>
        <w:rPr>
          <w:rFonts w:cs="Times New Roman"/>
          <w:color w:val="000000"/>
          <w:lang w:val="en-US"/>
        </w:rPr>
        <w:t>D</w:t>
      </w:r>
      <w:r w:rsidRPr="00583507">
        <w:rPr>
          <w:rFonts w:cs="Times New Roman"/>
          <w:color w:val="000000"/>
          <w:lang w:val="en-US"/>
        </w:rPr>
        <w:t xml:space="preserve"> 1.56 in 2014/2015.</w:t>
      </w:r>
    </w:p>
    <w:p w:rsidR="004C1A29" w:rsidRPr="00583507" w:rsidRDefault="004C1A29" w:rsidP="004C1A29">
      <w:pPr>
        <w:jc w:val="both"/>
        <w:rPr>
          <w:rFonts w:cs="Times New Roman"/>
          <w:color w:val="000000"/>
          <w:lang w:val="en-US"/>
        </w:rPr>
      </w:pPr>
      <w:r w:rsidRPr="00583507">
        <w:rPr>
          <w:rFonts w:cs="Times New Roman"/>
          <w:color w:val="000000"/>
          <w:lang w:val="en-US"/>
        </w:rPr>
        <w:t xml:space="preserve">The amount of made tea sold through </w:t>
      </w:r>
      <w:r>
        <w:rPr>
          <w:rFonts w:cs="Times New Roman"/>
          <w:color w:val="000000"/>
          <w:lang w:val="en-US"/>
        </w:rPr>
        <w:t xml:space="preserve">the </w:t>
      </w:r>
      <w:r w:rsidRPr="00583507">
        <w:rPr>
          <w:rFonts w:cs="Times New Roman"/>
          <w:color w:val="000000"/>
          <w:lang w:val="en-US"/>
        </w:rPr>
        <w:t>Mom</w:t>
      </w:r>
      <w:r>
        <w:rPr>
          <w:rFonts w:cs="Times New Roman"/>
          <w:color w:val="000000"/>
          <w:lang w:val="en-US"/>
        </w:rPr>
        <w:t xml:space="preserve">basa Auction in 2014/2015 was 5 654 </w:t>
      </w:r>
      <w:proofErr w:type="spellStart"/>
      <w:r>
        <w:rPr>
          <w:rFonts w:cs="Times New Roman"/>
          <w:color w:val="000000"/>
          <w:lang w:val="en-US"/>
        </w:rPr>
        <w:t>tonnes</w:t>
      </w:r>
      <w:proofErr w:type="spellEnd"/>
      <w:r>
        <w:rPr>
          <w:rFonts w:cs="Times New Roman"/>
          <w:color w:val="000000"/>
          <w:lang w:val="en-US"/>
        </w:rPr>
        <w:t xml:space="preserve"> as compared to 7 </w:t>
      </w:r>
      <w:r w:rsidRPr="00583507">
        <w:rPr>
          <w:rFonts w:cs="Times New Roman"/>
          <w:color w:val="000000"/>
          <w:lang w:val="en-US"/>
        </w:rPr>
        <w:t xml:space="preserve">686 </w:t>
      </w:r>
      <w:proofErr w:type="spellStart"/>
      <w:r w:rsidRPr="00583507">
        <w:rPr>
          <w:rFonts w:cs="Times New Roman"/>
          <w:color w:val="000000"/>
          <w:lang w:val="en-US"/>
        </w:rPr>
        <w:t>ton</w:t>
      </w:r>
      <w:r>
        <w:rPr>
          <w:rFonts w:cs="Times New Roman"/>
          <w:color w:val="000000"/>
          <w:lang w:val="en-US"/>
        </w:rPr>
        <w:t>ne</w:t>
      </w:r>
      <w:r w:rsidRPr="00583507">
        <w:rPr>
          <w:rFonts w:cs="Times New Roman"/>
          <w:color w:val="000000"/>
          <w:lang w:val="en-US"/>
        </w:rPr>
        <w:t>s</w:t>
      </w:r>
      <w:proofErr w:type="spellEnd"/>
      <w:r w:rsidRPr="00583507">
        <w:rPr>
          <w:rFonts w:cs="Times New Roman"/>
          <w:color w:val="000000"/>
          <w:lang w:val="en-US"/>
        </w:rPr>
        <w:t xml:space="preserve"> sold in 2013/2014,</w:t>
      </w:r>
      <w:r>
        <w:rPr>
          <w:rFonts w:cs="Times New Roman"/>
          <w:color w:val="000000"/>
          <w:lang w:val="en-US"/>
        </w:rPr>
        <w:t xml:space="preserve"> a decrease of 2 032 </w:t>
      </w:r>
      <w:proofErr w:type="spellStart"/>
      <w:r>
        <w:rPr>
          <w:rFonts w:cs="Times New Roman"/>
          <w:color w:val="000000"/>
          <w:lang w:val="en-US"/>
        </w:rPr>
        <w:t>tonnes</w:t>
      </w:r>
      <w:proofErr w:type="spellEnd"/>
      <w:r>
        <w:rPr>
          <w:rFonts w:cs="Times New Roman"/>
          <w:color w:val="000000"/>
          <w:lang w:val="en-US"/>
        </w:rPr>
        <w:t>, equivalent to 26 percent</w:t>
      </w:r>
      <w:r w:rsidRPr="00583507">
        <w:rPr>
          <w:rFonts w:cs="Times New Roman"/>
          <w:color w:val="000000"/>
          <w:lang w:val="en-US"/>
        </w:rPr>
        <w:t xml:space="preserve">. </w:t>
      </w:r>
    </w:p>
    <w:p w:rsidR="004C1A29" w:rsidRPr="00583507" w:rsidRDefault="004C1A29" w:rsidP="004C1A29">
      <w:pPr>
        <w:rPr>
          <w:rFonts w:cs="Times New Roman"/>
          <w:color w:val="000000"/>
          <w:lang w:val="en-US"/>
        </w:rPr>
      </w:pPr>
      <w:r w:rsidRPr="00583507">
        <w:rPr>
          <w:rFonts w:cs="Times New Roman"/>
          <w:color w:val="000000"/>
          <w:lang w:val="en-US"/>
        </w:rPr>
        <w:t xml:space="preserve">The average price per kilogram of sold tea at </w:t>
      </w:r>
      <w:r>
        <w:rPr>
          <w:rFonts w:cs="Times New Roman"/>
          <w:color w:val="000000"/>
          <w:lang w:val="en-US"/>
        </w:rPr>
        <w:t xml:space="preserve">the </w:t>
      </w:r>
      <w:r w:rsidRPr="00583507">
        <w:rPr>
          <w:rFonts w:cs="Times New Roman"/>
          <w:color w:val="000000"/>
          <w:lang w:val="en-US"/>
        </w:rPr>
        <w:t>Mom</w:t>
      </w:r>
      <w:r>
        <w:rPr>
          <w:rFonts w:cs="Times New Roman"/>
          <w:color w:val="000000"/>
          <w:lang w:val="en-US"/>
        </w:rPr>
        <w:t>basa Auction decreased from USD 1.64 in 2013/2014 to USD</w:t>
      </w:r>
      <w:r w:rsidRPr="00583507">
        <w:rPr>
          <w:rFonts w:cs="Times New Roman"/>
          <w:color w:val="000000"/>
          <w:lang w:val="en-US"/>
        </w:rPr>
        <w:t xml:space="preserve"> 1.57 in 2014/2015.</w:t>
      </w:r>
      <w:r>
        <w:rPr>
          <w:rFonts w:cs="Times New Roman"/>
          <w:color w:val="000000"/>
          <w:lang w:val="en-US"/>
        </w:rPr>
        <w:t xml:space="preserve"> </w:t>
      </w:r>
      <w:r w:rsidRPr="00583507">
        <w:rPr>
          <w:rFonts w:cs="Times New Roman"/>
          <w:color w:val="000000"/>
          <w:lang w:val="en-US"/>
        </w:rPr>
        <w:t xml:space="preserve"> Tea from Tanzania continued to fetch low average price</w:t>
      </w:r>
      <w:r>
        <w:rPr>
          <w:rFonts w:cs="Times New Roman"/>
          <w:color w:val="000000"/>
          <w:lang w:val="en-US"/>
        </w:rPr>
        <w:t>s</w:t>
      </w:r>
      <w:r w:rsidRPr="00583507">
        <w:rPr>
          <w:rFonts w:cs="Times New Roman"/>
          <w:color w:val="000000"/>
          <w:lang w:val="en-US"/>
        </w:rPr>
        <w:t xml:space="preserve"> as compared to tea from other East African countries.</w:t>
      </w:r>
    </w:p>
    <w:p w:rsidR="004C1A29" w:rsidRPr="00583507" w:rsidRDefault="004C1A29" w:rsidP="004C1A29">
      <w:pPr>
        <w:rPr>
          <w:rFonts w:cs="Times New Roman"/>
          <w:color w:val="000000"/>
        </w:rPr>
      </w:pPr>
      <w:r w:rsidRPr="00583507">
        <w:rPr>
          <w:rFonts w:cs="Times New Roman"/>
          <w:color w:val="000000"/>
          <w:lang w:val="en-US"/>
        </w:rPr>
        <w:lastRenderedPageBreak/>
        <w:t>In the year 2014/2015 a t</w:t>
      </w:r>
      <w:r>
        <w:rPr>
          <w:rFonts w:cs="Times New Roman"/>
          <w:color w:val="000000"/>
          <w:lang w:val="en-US"/>
        </w:rPr>
        <w:t xml:space="preserve">otal of 1 </w:t>
      </w:r>
      <w:r w:rsidRPr="00583507">
        <w:rPr>
          <w:rFonts w:cs="Times New Roman"/>
          <w:color w:val="000000"/>
          <w:lang w:val="en-US"/>
        </w:rPr>
        <w:t>097 kg of blended and packed tea was exported</w:t>
      </w:r>
      <w:r>
        <w:rPr>
          <w:rFonts w:cs="Times New Roman"/>
          <w:color w:val="000000"/>
          <w:lang w:val="en-US"/>
        </w:rPr>
        <w:t xml:space="preserve">, earning USD 32 </w:t>
      </w:r>
      <w:r w:rsidRPr="00583507">
        <w:rPr>
          <w:rFonts w:cs="Times New Roman"/>
          <w:color w:val="000000"/>
          <w:lang w:val="en-US"/>
        </w:rPr>
        <w:t>290,</w:t>
      </w:r>
      <w:r>
        <w:rPr>
          <w:rFonts w:cs="Times New Roman"/>
          <w:color w:val="000000"/>
          <w:lang w:val="en-US"/>
        </w:rPr>
        <w:t xml:space="preserve"> compared to 2 </w:t>
      </w:r>
      <w:r w:rsidRPr="00583507">
        <w:rPr>
          <w:rFonts w:cs="Times New Roman"/>
          <w:color w:val="000000"/>
          <w:lang w:val="en-US"/>
        </w:rPr>
        <w:t>834 kg of blended and exported tea</w:t>
      </w:r>
      <w:r>
        <w:rPr>
          <w:rFonts w:cs="Times New Roman"/>
          <w:color w:val="000000"/>
          <w:lang w:val="en-US"/>
        </w:rPr>
        <w:t xml:space="preserve"> in 2013/2014</w:t>
      </w:r>
      <w:r w:rsidRPr="00583507">
        <w:rPr>
          <w:rFonts w:cs="Times New Roman"/>
          <w:color w:val="000000"/>
          <w:lang w:val="en-US"/>
        </w:rPr>
        <w:t>, e</w:t>
      </w:r>
      <w:r>
        <w:rPr>
          <w:rFonts w:cs="Times New Roman"/>
          <w:color w:val="000000"/>
          <w:lang w:val="en-US"/>
        </w:rPr>
        <w:t>arning USD 46 215.</w:t>
      </w:r>
      <w:r w:rsidRPr="00583507">
        <w:rPr>
          <w:rFonts w:cs="Times New Roman"/>
          <w:color w:val="000000"/>
          <w:lang w:val="en-US"/>
        </w:rPr>
        <w:t xml:space="preserve">  This shows that there is a d</w:t>
      </w:r>
      <w:r>
        <w:rPr>
          <w:rFonts w:cs="Times New Roman"/>
          <w:color w:val="000000"/>
          <w:lang w:val="en-US"/>
        </w:rPr>
        <w:t>ecrease in export quantity by 1 737 kg equivalent to 61 percent</w:t>
      </w:r>
      <w:r w:rsidRPr="00583507">
        <w:rPr>
          <w:rFonts w:cs="Times New Roman"/>
          <w:color w:val="000000"/>
          <w:lang w:val="en-US"/>
        </w:rPr>
        <w:t xml:space="preserve"> and a de</w:t>
      </w:r>
      <w:r>
        <w:rPr>
          <w:rFonts w:cs="Times New Roman"/>
          <w:color w:val="000000"/>
          <w:lang w:val="en-US"/>
        </w:rPr>
        <w:t>crease in earnings by USD 13 925 equivalent to 30 percent.  T</w:t>
      </w:r>
      <w:r w:rsidRPr="00583507">
        <w:rPr>
          <w:rFonts w:cs="Times New Roman"/>
          <w:color w:val="000000"/>
          <w:lang w:val="en-US"/>
        </w:rPr>
        <w:t>he decrease in quantity and earnings might be attributed to high</w:t>
      </w:r>
      <w:r>
        <w:rPr>
          <w:rFonts w:cs="Times New Roman"/>
          <w:color w:val="000000"/>
          <w:lang w:val="en-US"/>
        </w:rPr>
        <w:t xml:space="preserve"> local demand </w:t>
      </w:r>
      <w:r w:rsidRPr="00583507">
        <w:rPr>
          <w:rFonts w:cs="Times New Roman"/>
          <w:color w:val="000000"/>
          <w:lang w:val="en-US"/>
        </w:rPr>
        <w:t xml:space="preserve">causing low export quantity despite </w:t>
      </w:r>
      <w:r w:rsidRPr="00583507">
        <w:rPr>
          <w:rFonts w:cs="Times New Roman"/>
          <w:color w:val="000000"/>
        </w:rPr>
        <w:t xml:space="preserve">having </w:t>
      </w:r>
      <w:r>
        <w:rPr>
          <w:rFonts w:cs="Times New Roman"/>
          <w:color w:val="000000"/>
        </w:rPr>
        <w:t xml:space="preserve">a </w:t>
      </w:r>
      <w:r w:rsidRPr="00583507">
        <w:rPr>
          <w:rFonts w:cs="Times New Roman"/>
          <w:color w:val="000000"/>
        </w:rPr>
        <w:t>high price.</w:t>
      </w:r>
    </w:p>
    <w:p w:rsidR="004C1A29" w:rsidRPr="00583507" w:rsidRDefault="004C1A29" w:rsidP="004C1A29">
      <w:pPr>
        <w:jc w:val="both"/>
        <w:rPr>
          <w:rFonts w:cs="Times New Roman"/>
          <w:color w:val="000000"/>
          <w:lang w:val="en-US"/>
        </w:rPr>
      </w:pPr>
      <w:r w:rsidRPr="00583507">
        <w:rPr>
          <w:rFonts w:cs="Times New Roman"/>
          <w:color w:val="000000"/>
          <w:lang w:val="en-US"/>
        </w:rPr>
        <w:t>Increased supply from key producer countries, the weakening of the Tanzania Shilling and the threat posed by terrorist facing international communities, were attributed to the decline of tea prices in the international markets. Generic tea promotion, Brand promotion by Tea Packers and more export of value added tea, will improve the position of Tanzanian tea in the global market.</w:t>
      </w:r>
    </w:p>
    <w:p w:rsidR="004C1A29" w:rsidRPr="004C1A29" w:rsidRDefault="004C1A29" w:rsidP="004C1A29">
      <w:pPr>
        <w:spacing w:line="360" w:lineRule="auto"/>
        <w:jc w:val="center"/>
        <w:rPr>
          <w:rFonts w:cs="Times New Roman"/>
          <w:b/>
          <w:color w:val="000000"/>
          <w:sz w:val="28"/>
          <w:szCs w:val="28"/>
          <w:lang w:val="en-US"/>
        </w:rPr>
      </w:pPr>
      <w:bookmarkStart w:id="2" w:name="_GoBack"/>
      <w:bookmarkEnd w:id="2"/>
      <w:r w:rsidRPr="004C1A29">
        <w:rPr>
          <w:rFonts w:cs="Times New Roman"/>
          <w:b/>
          <w:color w:val="000000"/>
          <w:sz w:val="28"/>
          <w:szCs w:val="28"/>
          <w:lang w:val="en-US"/>
        </w:rPr>
        <w:t>OVERVIEW OF THE TEA MARKET IN CHINA</w:t>
      </w:r>
    </w:p>
    <w:p w:rsidR="004C1A29" w:rsidRPr="00583507" w:rsidRDefault="004C1A29" w:rsidP="004C1A29">
      <w:pPr>
        <w:rPr>
          <w:rFonts w:cs="Times New Roman"/>
        </w:rPr>
      </w:pPr>
      <w:r w:rsidRPr="00583507">
        <w:rPr>
          <w:rFonts w:cs="Times New Roman"/>
        </w:rPr>
        <w:t>In 2014, the Chinese tea plantation area was 2.72 million hectares and the producing area was</w:t>
      </w:r>
      <w:r>
        <w:rPr>
          <w:rFonts w:cs="Times New Roman"/>
        </w:rPr>
        <w:t xml:space="preserve"> 2.08 million hectares, with an annual </w:t>
      </w:r>
      <w:r w:rsidRPr="00583507">
        <w:rPr>
          <w:rFonts w:cs="Times New Roman"/>
        </w:rPr>
        <w:t xml:space="preserve">growth </w:t>
      </w:r>
      <w:r>
        <w:rPr>
          <w:rFonts w:cs="Times New Roman"/>
        </w:rPr>
        <w:t>rate of 10.17 percent and 12.00 percent</w:t>
      </w:r>
      <w:r w:rsidRPr="00583507">
        <w:rPr>
          <w:rFonts w:cs="Times New Roman"/>
        </w:rPr>
        <w:t>, respectively.  The total production in 2014 was</w:t>
      </w:r>
      <w:r>
        <w:rPr>
          <w:rFonts w:cs="Times New Roman"/>
        </w:rPr>
        <w:t xml:space="preserve"> 2.10 million tonnes, with an annual </w:t>
      </w:r>
      <w:r w:rsidRPr="00583507">
        <w:rPr>
          <w:rFonts w:cs="Times New Roman"/>
        </w:rPr>
        <w:t xml:space="preserve">growth </w:t>
      </w:r>
      <w:r>
        <w:rPr>
          <w:rFonts w:cs="Times New Roman"/>
        </w:rPr>
        <w:t>rate of 9.12 percent</w:t>
      </w:r>
      <w:r w:rsidRPr="00583507">
        <w:rPr>
          <w:rFonts w:cs="Times New Roman"/>
        </w:rPr>
        <w:t xml:space="preserve">.  The total output value was 127.0 billion RMB yuan, which increased by </w:t>
      </w:r>
      <w:r>
        <w:rPr>
          <w:rFonts w:cs="Times New Roman"/>
        </w:rPr>
        <w:t>27.32 percent</w:t>
      </w:r>
      <w:r w:rsidRPr="00583507">
        <w:rPr>
          <w:rFonts w:cs="Times New Roman"/>
        </w:rPr>
        <w:t>.  The plantation area, the production and the output value of Chinese tea</w:t>
      </w:r>
      <w:r>
        <w:rPr>
          <w:rFonts w:cs="Times New Roman"/>
        </w:rPr>
        <w:t>,</w:t>
      </w:r>
      <w:r w:rsidRPr="00583507">
        <w:rPr>
          <w:rFonts w:cs="Times New Roman"/>
        </w:rPr>
        <w:t xml:space="preserve"> generally showed an increasing trend in the last five years.</w:t>
      </w:r>
    </w:p>
    <w:p w:rsidR="004C1A29" w:rsidRPr="00583507" w:rsidRDefault="004C1A29" w:rsidP="004C1A29">
      <w:pPr>
        <w:rPr>
          <w:rFonts w:cs="Times New Roman"/>
        </w:rPr>
      </w:pPr>
      <w:r w:rsidRPr="00583507">
        <w:rPr>
          <w:rFonts w:cs="Times New Roman"/>
        </w:rPr>
        <w:t>The per-unit area yield increased from 2005 to 2010 and the yield reached 1034.34 kilograms per hectare in 2010.  As for 2011, the yield declined to 987.0 kilograms per hectare due to the disastrous weather conditions, such as the cold spell in later spring or drought.  The amount of abandoned tea gardens increased in the last two years due to market demand and prime costs.  The per unit area yield is stable at around 1000 kilograms per hectare.</w:t>
      </w:r>
    </w:p>
    <w:p w:rsidR="004C1A29" w:rsidRPr="00583507" w:rsidRDefault="004C1A29" w:rsidP="004C1A29">
      <w:pPr>
        <w:rPr>
          <w:rFonts w:cs="Times New Roman"/>
        </w:rPr>
      </w:pPr>
      <w:r w:rsidRPr="00583507">
        <w:rPr>
          <w:rFonts w:cs="Times New Roman"/>
        </w:rPr>
        <w:t xml:space="preserve">China is the largest tea consuming country and the domestic consumption is increasing with the improvement of living standards of residents.  The </w:t>
      </w:r>
      <w:r>
        <w:rPr>
          <w:rFonts w:cs="Times New Roman"/>
        </w:rPr>
        <w:t xml:space="preserve">ITC statistics </w:t>
      </w:r>
      <w:r w:rsidRPr="00583507">
        <w:rPr>
          <w:rFonts w:cs="Times New Roman"/>
        </w:rPr>
        <w:t>show that the annual per capita tea consumption is 0.37 kilogram</w:t>
      </w:r>
      <w:r>
        <w:rPr>
          <w:rFonts w:cs="Times New Roman"/>
        </w:rPr>
        <w:t>s</w:t>
      </w:r>
      <w:r w:rsidRPr="00583507">
        <w:rPr>
          <w:rFonts w:cs="Times New Roman"/>
        </w:rPr>
        <w:t xml:space="preserve"> in 2000-</w:t>
      </w:r>
      <w:proofErr w:type="gramStart"/>
      <w:r w:rsidRPr="00583507">
        <w:rPr>
          <w:rFonts w:cs="Times New Roman"/>
        </w:rPr>
        <w:t>2002,</w:t>
      </w:r>
      <w:proofErr w:type="gramEnd"/>
      <w:r w:rsidRPr="00583507">
        <w:rPr>
          <w:rFonts w:cs="Times New Roman"/>
        </w:rPr>
        <w:t xml:space="preserve"> it increases to 1.04 kilogram</w:t>
      </w:r>
      <w:r>
        <w:rPr>
          <w:rFonts w:cs="Times New Roman"/>
        </w:rPr>
        <w:t>s</w:t>
      </w:r>
      <w:r w:rsidRPr="00583507">
        <w:rPr>
          <w:rFonts w:cs="Times New Roman"/>
        </w:rPr>
        <w:t xml:space="preserve"> in 2011-2013 with</w:t>
      </w:r>
      <w:r>
        <w:rPr>
          <w:rFonts w:cs="Times New Roman"/>
        </w:rPr>
        <w:t xml:space="preserve"> an annual growth rate of 10.89 percent</w:t>
      </w:r>
      <w:r w:rsidRPr="00583507">
        <w:rPr>
          <w:rFonts w:cs="Times New Roman"/>
        </w:rPr>
        <w:t>.  However, there is still a big gap between China and other countries such as Kuwait, Ireland, Turkey, Afghanistan and the United Kingdom</w:t>
      </w:r>
      <w:r>
        <w:rPr>
          <w:rFonts w:cs="Times New Roman"/>
        </w:rPr>
        <w:t xml:space="preserve">, although </w:t>
      </w:r>
      <w:r w:rsidRPr="00583507">
        <w:rPr>
          <w:rFonts w:cs="Times New Roman"/>
        </w:rPr>
        <w:t>China still has potential to enhance its domestic consumption of tea.</w:t>
      </w:r>
    </w:p>
    <w:p w:rsidR="004C1A29" w:rsidRDefault="004C1A29" w:rsidP="004C1A29">
      <w:pPr>
        <w:rPr>
          <w:rFonts w:cs="Times New Roman"/>
        </w:rPr>
      </w:pPr>
      <w:r w:rsidRPr="00583507">
        <w:rPr>
          <w:rFonts w:cs="Times New Roman"/>
        </w:rPr>
        <w:t xml:space="preserve">In recent years, the value of Chinese tea exports has been rising </w:t>
      </w:r>
      <w:proofErr w:type="gramStart"/>
      <w:r w:rsidRPr="00583507">
        <w:rPr>
          <w:rFonts w:cs="Times New Roman"/>
        </w:rPr>
        <w:t>constantly,</w:t>
      </w:r>
      <w:proofErr w:type="gramEnd"/>
      <w:r w:rsidRPr="00583507">
        <w:rPr>
          <w:rFonts w:cs="Times New Roman"/>
        </w:rPr>
        <w:t xml:space="preserve"> however, the volume of exports fluctuates significantly remaining stagnant.  In 2011 and 2013, the quantity of Chinese tea exports was over 0.32 million ton</w:t>
      </w:r>
      <w:r>
        <w:rPr>
          <w:rFonts w:cs="Times New Roman"/>
        </w:rPr>
        <w:t>ne</w:t>
      </w:r>
      <w:r w:rsidRPr="00583507">
        <w:rPr>
          <w:rFonts w:cs="Times New Roman"/>
        </w:rPr>
        <w:t>s, while i</w:t>
      </w:r>
      <w:r>
        <w:rPr>
          <w:rFonts w:cs="Times New Roman"/>
        </w:rPr>
        <w:t>n 2012 and 2014</w:t>
      </w:r>
      <w:r w:rsidRPr="00583507">
        <w:rPr>
          <w:rFonts w:cs="Times New Roman"/>
        </w:rPr>
        <w:t xml:space="preserve"> the export quantity declined.  In 2014, the total export quantity was 0.301 million ton</w:t>
      </w:r>
      <w:r>
        <w:rPr>
          <w:rFonts w:cs="Times New Roman"/>
        </w:rPr>
        <w:t>nes with an annual decline of 7.5 percent</w:t>
      </w:r>
      <w:r w:rsidRPr="00583507">
        <w:rPr>
          <w:rFonts w:cs="Times New Roman"/>
        </w:rPr>
        <w:t>.  The exports volume of green tea was 0.249 million ton</w:t>
      </w:r>
      <w:r>
        <w:rPr>
          <w:rFonts w:cs="Times New Roman"/>
        </w:rPr>
        <w:t>ne</w:t>
      </w:r>
      <w:r w:rsidRPr="00583507">
        <w:rPr>
          <w:rFonts w:cs="Times New Roman"/>
        </w:rPr>
        <w:t xml:space="preserve">s with </w:t>
      </w:r>
      <w:r>
        <w:rPr>
          <w:rFonts w:cs="Times New Roman"/>
        </w:rPr>
        <w:t>an annual decline of 5.8 percent</w:t>
      </w:r>
      <w:r w:rsidRPr="00583507">
        <w:rPr>
          <w:rFonts w:cs="Times New Roman"/>
        </w:rPr>
        <w:t xml:space="preserve">, the black tea was 28 </w:t>
      </w:r>
      <w:r>
        <w:rPr>
          <w:rFonts w:cs="Times New Roman"/>
        </w:rPr>
        <w:t>000 tonnes</w:t>
      </w:r>
      <w:r w:rsidRPr="00583507">
        <w:rPr>
          <w:rFonts w:cs="Times New Roman"/>
        </w:rPr>
        <w:t xml:space="preserve"> with a de</w:t>
      </w:r>
      <w:r>
        <w:rPr>
          <w:rFonts w:cs="Times New Roman"/>
        </w:rPr>
        <w:t>cline of 15.6 percent</w:t>
      </w:r>
      <w:r w:rsidRPr="00583507">
        <w:rPr>
          <w:rFonts w:cs="Times New Roman"/>
        </w:rPr>
        <w:t xml:space="preserve">, the oolong tea was 15 </w:t>
      </w:r>
      <w:r>
        <w:rPr>
          <w:rFonts w:cs="Times New Roman"/>
        </w:rPr>
        <w:t>000 tonnes with a decline of 9.7 percent</w:t>
      </w:r>
      <w:r w:rsidRPr="00583507">
        <w:rPr>
          <w:rFonts w:cs="Times New Roman"/>
        </w:rPr>
        <w:t>, the scented tea was 6 000 ton</w:t>
      </w:r>
      <w:r>
        <w:rPr>
          <w:rFonts w:cs="Times New Roman"/>
        </w:rPr>
        <w:t>ne</w:t>
      </w:r>
      <w:r w:rsidRPr="00583507">
        <w:rPr>
          <w:rFonts w:cs="Times New Roman"/>
        </w:rPr>
        <w:t>s with a dec</w:t>
      </w:r>
      <w:r>
        <w:rPr>
          <w:rFonts w:cs="Times New Roman"/>
        </w:rPr>
        <w:t>line</w:t>
      </w:r>
      <w:r w:rsidRPr="00583507">
        <w:rPr>
          <w:rFonts w:cs="Times New Roman"/>
        </w:rPr>
        <w:t xml:space="preserve"> of</w:t>
      </w:r>
      <w:r>
        <w:rPr>
          <w:rFonts w:cs="Times New Roman"/>
        </w:rPr>
        <w:t xml:space="preserve"> 15.7 percent</w:t>
      </w:r>
      <w:r w:rsidRPr="00583507">
        <w:rPr>
          <w:rFonts w:cs="Times New Roman"/>
        </w:rPr>
        <w:t xml:space="preserve"> and the </w:t>
      </w:r>
      <w:proofErr w:type="spellStart"/>
      <w:r w:rsidRPr="00583507">
        <w:rPr>
          <w:rFonts w:cs="Times New Roman"/>
        </w:rPr>
        <w:t>pu-er</w:t>
      </w:r>
      <w:proofErr w:type="spellEnd"/>
      <w:r w:rsidRPr="00583507">
        <w:rPr>
          <w:rFonts w:cs="Times New Roman"/>
        </w:rPr>
        <w:t xml:space="preserve"> tea (dark tea) was 3 400 to</w:t>
      </w:r>
      <w:r>
        <w:rPr>
          <w:rFonts w:cs="Times New Roman"/>
        </w:rPr>
        <w:t>n</w:t>
      </w:r>
      <w:r w:rsidRPr="00583507">
        <w:rPr>
          <w:rFonts w:cs="Times New Roman"/>
        </w:rPr>
        <w:t>n</w:t>
      </w:r>
      <w:r>
        <w:rPr>
          <w:rFonts w:cs="Times New Roman"/>
        </w:rPr>
        <w:t>es with a decline of 25 percent</w:t>
      </w:r>
      <w:r w:rsidRPr="00583507">
        <w:rPr>
          <w:rFonts w:cs="Times New Roman"/>
        </w:rPr>
        <w:t>.</w:t>
      </w:r>
    </w:p>
    <w:p w:rsidR="004C1A29" w:rsidRPr="00583507" w:rsidRDefault="004C1A29" w:rsidP="004C1A29">
      <w:pPr>
        <w:rPr>
          <w:rFonts w:cs="Times New Roman"/>
        </w:rPr>
      </w:pPr>
      <w:r w:rsidRPr="00583507">
        <w:rPr>
          <w:rFonts w:cs="Times New Roman"/>
        </w:rPr>
        <w:t>The value of exports shows an upward trend due to the increasing unit price of tea.  For the last decade, the average annual growth rate of Chinese tea exports value reached 11.31</w:t>
      </w:r>
      <w:r>
        <w:rPr>
          <w:rFonts w:cs="Times New Roman"/>
        </w:rPr>
        <w:t xml:space="preserve"> percent</w:t>
      </w:r>
      <w:r w:rsidRPr="00583507">
        <w:rPr>
          <w:rFonts w:cs="Times New Roman"/>
        </w:rPr>
        <w:t>.</w:t>
      </w:r>
      <w:r>
        <w:rPr>
          <w:rFonts w:cs="Times New Roman"/>
        </w:rPr>
        <w:t xml:space="preserve"> </w:t>
      </w:r>
      <w:r w:rsidRPr="00583507">
        <w:rPr>
          <w:rFonts w:cs="Times New Roman"/>
        </w:rPr>
        <w:t xml:space="preserve"> In 2014, the export value was </w:t>
      </w:r>
      <w:r>
        <w:rPr>
          <w:rFonts w:cs="Times New Roman"/>
        </w:rPr>
        <w:t xml:space="preserve">USD </w:t>
      </w:r>
      <w:r w:rsidRPr="00583507">
        <w:rPr>
          <w:rFonts w:cs="Times New Roman"/>
        </w:rPr>
        <w:t xml:space="preserve">12.7 billion </w:t>
      </w:r>
      <w:r>
        <w:rPr>
          <w:rFonts w:cs="Times New Roman"/>
        </w:rPr>
        <w:t>with an annual increase of 2.21 percent</w:t>
      </w:r>
      <w:r w:rsidRPr="00583507">
        <w:rPr>
          <w:rFonts w:cs="Times New Roman"/>
        </w:rPr>
        <w:t>.</w:t>
      </w:r>
    </w:p>
    <w:p w:rsidR="00D320BC" w:rsidRPr="00BA7B21" w:rsidRDefault="004C1A29" w:rsidP="004C1A29">
      <w:pPr>
        <w:spacing w:after="0"/>
        <w:rPr>
          <w:rFonts w:cs="Times New Roman"/>
          <w:szCs w:val="22"/>
        </w:rPr>
      </w:pPr>
      <w:r w:rsidRPr="00583507">
        <w:rPr>
          <w:rFonts w:cs="Times New Roman"/>
        </w:rPr>
        <w:t xml:space="preserve">Green tea is still the major exported product in China, which accounts for three quarters of the world green tea exports.  The export volume of black tea is decreasing gradually, and only 28 </w:t>
      </w:r>
      <w:r>
        <w:rPr>
          <w:rFonts w:cs="Times New Roman"/>
        </w:rPr>
        <w:t>000 tonnes</w:t>
      </w:r>
      <w:r w:rsidRPr="00583507">
        <w:rPr>
          <w:rFonts w:cs="Times New Roman"/>
        </w:rPr>
        <w:t xml:space="preserve"> of black tea were exported in 2014 (accounting for </w:t>
      </w:r>
      <w:r>
        <w:rPr>
          <w:rFonts w:cs="Times New Roman"/>
        </w:rPr>
        <w:t>9.21 percent</w:t>
      </w:r>
      <w:r w:rsidRPr="00583507">
        <w:rPr>
          <w:rFonts w:cs="Times New Roman"/>
        </w:rPr>
        <w:t xml:space="preserve">).  The other kinds of special tea such as oolong tea and </w:t>
      </w:r>
      <w:proofErr w:type="spellStart"/>
      <w:r w:rsidRPr="00583507">
        <w:rPr>
          <w:rFonts w:cs="Times New Roman"/>
        </w:rPr>
        <w:t>pu-er</w:t>
      </w:r>
      <w:proofErr w:type="spellEnd"/>
      <w:r w:rsidRPr="00583507">
        <w:rPr>
          <w:rFonts w:cs="Times New Roman"/>
        </w:rPr>
        <w:t xml:space="preserve"> tea have become an important part of Chinese tea exports, but the total export volume of special tea is still relatively low compared to green tea.  The annual average volume of special tea exports was 34 100 ton</w:t>
      </w:r>
      <w:r>
        <w:rPr>
          <w:rFonts w:cs="Times New Roman"/>
        </w:rPr>
        <w:t>ne</w:t>
      </w:r>
      <w:r w:rsidRPr="00583507">
        <w:rPr>
          <w:rFonts w:cs="Times New Roman"/>
        </w:rPr>
        <w:t>s between 2006 and 2010, however the number declined to 27 900 ton</w:t>
      </w:r>
      <w:r>
        <w:rPr>
          <w:rFonts w:cs="Times New Roman"/>
        </w:rPr>
        <w:t>ne</w:t>
      </w:r>
      <w:r w:rsidRPr="00583507">
        <w:rPr>
          <w:rFonts w:cs="Times New Roman"/>
        </w:rPr>
        <w:t xml:space="preserve">s from 2011 to 2014.  </w:t>
      </w:r>
      <w:r>
        <w:rPr>
          <w:rFonts w:cs="Times New Roman"/>
        </w:rPr>
        <w:t>The special tea has</w:t>
      </w:r>
      <w:r w:rsidRPr="00583507">
        <w:rPr>
          <w:rFonts w:cs="Times New Roman"/>
        </w:rPr>
        <w:t xml:space="preserve"> not achieved major breakthrough in the international export market.  Under the precondition of stabilizing the green tea export market, China needs to </w:t>
      </w:r>
      <w:r w:rsidRPr="00583507">
        <w:rPr>
          <w:rFonts w:cs="Times New Roman"/>
        </w:rPr>
        <w:lastRenderedPageBreak/>
        <w:t>further exploit markets for Chinese black tea and other kinds of tea in order to increase the total volume exported.</w:t>
      </w:r>
      <w:r>
        <w:rPr>
          <w:rFonts w:cs="Times New Roman"/>
        </w:rPr>
        <w:t xml:space="preserve">  </w:t>
      </w:r>
      <w:r w:rsidRPr="00583507">
        <w:rPr>
          <w:rFonts w:cs="Times New Roman"/>
        </w:rPr>
        <w:t>The top five importers of Chinese tea are Morocco, Uzbekist</w:t>
      </w:r>
      <w:r>
        <w:rPr>
          <w:rFonts w:cs="Times New Roman"/>
        </w:rPr>
        <w:t>an, Togo, Japan and America - 70 percent</w:t>
      </w:r>
      <w:r w:rsidRPr="00583507">
        <w:rPr>
          <w:rFonts w:cs="Times New Roman"/>
        </w:rPr>
        <w:t xml:space="preserve"> of the importers are developing countries and regions.  Morocco has been leading the list for </w:t>
      </w:r>
      <w:r>
        <w:rPr>
          <w:rFonts w:cs="Times New Roman"/>
        </w:rPr>
        <w:t>a long time and accounts for 17 percent</w:t>
      </w:r>
      <w:r w:rsidRPr="00583507">
        <w:rPr>
          <w:rFonts w:cs="Times New Roman"/>
        </w:rPr>
        <w:t xml:space="preserve"> of the gross Chinese tea export quantity</w:t>
      </w:r>
      <w:proofErr w:type="gramStart"/>
      <w:r w:rsidRPr="00583507">
        <w:rPr>
          <w:rFonts w:cs="Times New Roman"/>
        </w:rPr>
        <w:t>.</w:t>
      </w:r>
      <w:proofErr w:type="gramEnd"/>
    </w:p>
    <w:sectPr w:rsidR="00D320BC" w:rsidRPr="00BA7B21" w:rsidSect="00140F94">
      <w:headerReference w:type="even" r:id="rId9"/>
      <w:headerReference w:type="default" r:id="rId10"/>
      <w:headerReference w:type="first" r:id="rId11"/>
      <w:footerReference w:type="first" r:id="rId12"/>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CD" w:rsidRDefault="003E6ECD">
      <w:pPr>
        <w:spacing w:after="0"/>
      </w:pPr>
      <w:r>
        <w:separator/>
      </w:r>
    </w:p>
  </w:endnote>
  <w:endnote w:type="continuationSeparator" w:id="0">
    <w:p w:rsidR="003E6ECD" w:rsidRDefault="003E6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auto"/>
    <w:pitch w:val="variable"/>
    <w:sig w:usb0="8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9C0B0C" w:rsidRDefault="003E6ECD" w:rsidP="003E6ECD">
    <w:pPr>
      <w:rPr>
        <w:lang w:val="en-US"/>
      </w:rPr>
    </w:pPr>
    <w:bookmarkStart w:id="8" w:name="FooterInformationBookmark"/>
    <w:r>
      <w:rPr>
        <w:lang w:val="en-US"/>
      </w:rPr>
      <w:t xml:space="preserve"> </w:t>
    </w:r>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CD" w:rsidRDefault="003E6ECD">
      <w:pPr>
        <w:spacing w:after="0"/>
      </w:pPr>
      <w:r>
        <w:separator/>
      </w:r>
    </w:p>
  </w:footnote>
  <w:footnote w:type="continuationSeparator" w:id="0">
    <w:p w:rsidR="003E6ECD" w:rsidRDefault="003E6E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1A0BFF" w:rsidRDefault="003E6ECD" w:rsidP="003E6ECD">
    <w:pPr>
      <w:pStyle w:val="Underlined"/>
    </w:pPr>
    <w:r>
      <w:fldChar w:fldCharType="begin"/>
    </w:r>
    <w:r>
      <w:instrText xml:space="preserve"> PAGE  \* Arabic  \* MERGEFORMAT </w:instrText>
    </w:r>
    <w:r>
      <w:fldChar w:fldCharType="separate"/>
    </w:r>
    <w:r w:rsidR="004C1A29">
      <w:rPr>
        <w:noProof/>
      </w:rPr>
      <w:t>6</w:t>
    </w:r>
    <w:r>
      <w:rPr>
        <w:noProof/>
      </w:rPr>
      <w:fldChar w:fldCharType="end"/>
    </w:r>
    <w:r>
      <w:ptab w:relativeTo="margin" w:alignment="right" w:leader="none"/>
    </w:r>
    <w:r w:rsidRPr="00172E88">
      <w:t xml:space="preserve"> </w:t>
    </w:r>
    <w:bookmarkStart w:id="3" w:name="EvenIdentificationBookmark"/>
    <w:r>
      <w:t>CCP</w:t>
    </w:r>
    <w:proofErr w:type="gramStart"/>
    <w:r>
      <w:t>:TE</w:t>
    </w:r>
    <w:proofErr w:type="gramEnd"/>
    <w:r>
      <w:t xml:space="preserve"> 16/</w:t>
    </w:r>
    <w:bookmarkEnd w:id="3"/>
    <w:r w:rsidR="00687F71">
      <w:t>CRS</w:t>
    </w:r>
    <w:r w:rsidR="00BA7B21">
      <w:t>1</w:t>
    </w:r>
    <w:r w:rsidR="004C1A29">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F2" w:rsidRDefault="003E6ECD" w:rsidP="004C1A29">
    <w:pPr>
      <w:pStyle w:val="Underlined"/>
    </w:pPr>
    <w:bookmarkStart w:id="4" w:name="OddIdentificationBookmark"/>
    <w:r>
      <w:t>CCP</w:t>
    </w:r>
    <w:proofErr w:type="gramStart"/>
    <w:r>
      <w:t>:TE</w:t>
    </w:r>
    <w:proofErr w:type="gramEnd"/>
    <w:r>
      <w:t xml:space="preserve"> 16/</w:t>
    </w:r>
    <w:bookmarkEnd w:id="4"/>
    <w:r w:rsidR="009D0364">
      <w:t>CRS</w:t>
    </w:r>
    <w:r w:rsidR="004C1A29">
      <w:t>14</w:t>
    </w:r>
    <w:r>
      <w:ptab w:relativeTo="margin" w:alignment="right" w:leader="none"/>
    </w:r>
    <w:r>
      <w:fldChar w:fldCharType="begin"/>
    </w:r>
    <w:r>
      <w:instrText xml:space="preserve"> PAGE  \* Arabic  \* MERGEFORMAT </w:instrText>
    </w:r>
    <w:r>
      <w:fldChar w:fldCharType="separate"/>
    </w:r>
    <w:r w:rsidR="004C1A29">
      <w:rPr>
        <w:noProof/>
      </w:rPr>
      <w:t>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734C44" w:rsidRDefault="003E6ECD" w:rsidP="003E6ECD">
    <w:pPr>
      <w:pStyle w:val="LanguageSymbol"/>
      <w:framePr w:wrap="around"/>
    </w:pPr>
    <w:bookmarkStart w:id="5"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3E6ECD" w:rsidTr="003E6ECD">
      <w:trPr>
        <w:jc w:val="center"/>
      </w:trPr>
      <w:tc>
        <w:tcPr>
          <w:tcW w:w="2500" w:type="pct"/>
          <w:noWrap/>
          <w:tcMar>
            <w:left w:w="0" w:type="dxa"/>
          </w:tcMar>
        </w:tcPr>
        <w:bookmarkEnd w:id="5"/>
        <w:p w:rsidR="003E6ECD" w:rsidRDefault="009D0364" w:rsidP="003E6ECD">
          <w:r>
            <w:t>May</w:t>
          </w:r>
          <w:r w:rsidR="003E6ECD">
            <w:t xml:space="preserve"> 2016</w:t>
          </w:r>
        </w:p>
      </w:tc>
      <w:tc>
        <w:tcPr>
          <w:tcW w:w="2500" w:type="pct"/>
          <w:noWrap/>
          <w:tcMar>
            <w:right w:w="0" w:type="dxa"/>
          </w:tcMar>
        </w:tcPr>
        <w:p w:rsidR="003E6ECD" w:rsidRDefault="003E6ECD" w:rsidP="004C1A29">
          <w:pPr>
            <w:jc w:val="right"/>
          </w:pPr>
          <w:bookmarkStart w:id="6" w:name="FirstCoverIdentificationBookmark"/>
          <w:r>
            <w:t>CCP:TE 16/</w:t>
          </w:r>
          <w:bookmarkEnd w:id="6"/>
          <w:r w:rsidR="009D0364">
            <w:t>CRS</w:t>
          </w:r>
          <w:r w:rsidR="00500932">
            <w:t>1</w:t>
          </w:r>
          <w:r w:rsidR="004C1A29">
            <w:t>4</w:t>
          </w:r>
        </w:p>
      </w:tc>
    </w:tr>
  </w:tbl>
  <w:p w:rsidR="003E6ECD" w:rsidRPr="008E01CD" w:rsidRDefault="003E6ECD" w:rsidP="003E6ECD">
    <w:pPr>
      <w:pBdr>
        <w:bottom w:val="single" w:sz="12" w:space="0" w:color="auto"/>
      </w:pBdr>
      <w:contextualSpacing/>
      <w:rPr>
        <w:sz w:val="4"/>
      </w:rPr>
    </w:pPr>
  </w:p>
  <w:p w:rsidR="003E6ECD" w:rsidRDefault="003E6ECD" w:rsidP="003E6ECD">
    <w:pPr>
      <w:jc w:val="center"/>
    </w:pPr>
    <w:bookmarkStart w:id="7" w:name="LogoBookmark"/>
    <w:r>
      <w:rPr>
        <w:noProof/>
        <w:lang w:eastAsia="en-GB"/>
      </w:rPr>
      <w:drawing>
        <wp:inline distT="0" distB="0" distL="0" distR="0" wp14:anchorId="49999AF3" wp14:editId="24DA43AE">
          <wp:extent cx="5760085" cy="79438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0608224A"/>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9DB4B70"/>
    <w:multiLevelType w:val="hybridMultilevel"/>
    <w:tmpl w:val="B4244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F293E5A"/>
    <w:multiLevelType w:val="hybridMultilevel"/>
    <w:tmpl w:val="7B4CAA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227F21F7"/>
    <w:multiLevelType w:val="hybridMultilevel"/>
    <w:tmpl w:val="972A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D97ED5"/>
    <w:multiLevelType w:val="hybridMultilevel"/>
    <w:tmpl w:val="11868D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3EDE0E91"/>
    <w:multiLevelType w:val="hybridMultilevel"/>
    <w:tmpl w:val="2970F94E"/>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FE6260"/>
    <w:multiLevelType w:val="hybridMultilevel"/>
    <w:tmpl w:val="24BCBDDC"/>
    <w:lvl w:ilvl="0" w:tplc="0409000F">
      <w:start w:val="1"/>
      <w:numFmt w:val="decimal"/>
      <w:lvlText w:val="%1."/>
      <w:lvlJc w:val="left"/>
      <w:pPr>
        <w:ind w:left="1080" w:hanging="360"/>
      </w:pPr>
    </w:lvl>
    <w:lvl w:ilvl="1" w:tplc="4D2612E0">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340D8B"/>
    <w:multiLevelType w:val="hybridMultilevel"/>
    <w:tmpl w:val="A0AA0F0E"/>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nsid w:val="53287DFA"/>
    <w:multiLevelType w:val="hybridMultilevel"/>
    <w:tmpl w:val="6EB0DC7C"/>
    <w:lvl w:ilvl="0" w:tplc="F2740B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2">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FFA4880"/>
    <w:multiLevelType w:val="multilevel"/>
    <w:tmpl w:val="9F1218F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14">
    <w:nsid w:val="63586BEB"/>
    <w:multiLevelType w:val="hybridMultilevel"/>
    <w:tmpl w:val="FCB8E370"/>
    <w:lvl w:ilvl="0" w:tplc="40090003">
      <w:start w:val="1"/>
      <w:numFmt w:val="bullet"/>
      <w:lvlText w:val="o"/>
      <w:lvlJc w:val="left"/>
      <w:pPr>
        <w:ind w:left="2520" w:hanging="360"/>
      </w:pPr>
      <w:rPr>
        <w:rFonts w:ascii="Courier New" w:hAnsi="Courier New" w:cs="Courier New"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5">
    <w:nsid w:val="6BD939F8"/>
    <w:multiLevelType w:val="hybridMultilevel"/>
    <w:tmpl w:val="51EC55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717A374B"/>
    <w:multiLevelType w:val="hybridMultilevel"/>
    <w:tmpl w:val="E72A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1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6"/>
  </w:num>
  <w:num w:numId="9">
    <w:abstractNumId w:val="8"/>
  </w:num>
  <w:num w:numId="10">
    <w:abstractNumId w:val="10"/>
  </w:num>
  <w:num w:numId="11">
    <w:abstractNumId w:val="15"/>
  </w:num>
  <w:num w:numId="12">
    <w:abstractNumId w:val="6"/>
  </w:num>
  <w:num w:numId="13">
    <w:abstractNumId w:val="2"/>
  </w:num>
  <w:num w:numId="14">
    <w:abstractNumId w:val="9"/>
  </w:num>
  <w:num w:numId="15">
    <w:abstractNumId w:val="14"/>
  </w:num>
  <w:num w:numId="16">
    <w:abstractNumId w:val="5"/>
  </w:num>
  <w:num w:numId="1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82DE1"/>
    <w:rsid w:val="000907F2"/>
    <w:rsid w:val="000B2AB9"/>
    <w:rsid w:val="000C0883"/>
    <w:rsid w:val="000C09D9"/>
    <w:rsid w:val="000E0955"/>
    <w:rsid w:val="000F3449"/>
    <w:rsid w:val="00112F80"/>
    <w:rsid w:val="001327A5"/>
    <w:rsid w:val="00140F94"/>
    <w:rsid w:val="00165759"/>
    <w:rsid w:val="001746A8"/>
    <w:rsid w:val="0017701B"/>
    <w:rsid w:val="00180F2F"/>
    <w:rsid w:val="00193844"/>
    <w:rsid w:val="001A5FFE"/>
    <w:rsid w:val="001B44C3"/>
    <w:rsid w:val="001C2281"/>
    <w:rsid w:val="001E1402"/>
    <w:rsid w:val="001F7559"/>
    <w:rsid w:val="002116A8"/>
    <w:rsid w:val="002144A5"/>
    <w:rsid w:val="00240A29"/>
    <w:rsid w:val="00270AAC"/>
    <w:rsid w:val="002A192E"/>
    <w:rsid w:val="002C4A02"/>
    <w:rsid w:val="002F38B1"/>
    <w:rsid w:val="002F7BCB"/>
    <w:rsid w:val="0036490B"/>
    <w:rsid w:val="00374FD5"/>
    <w:rsid w:val="00380DEA"/>
    <w:rsid w:val="003C00DB"/>
    <w:rsid w:val="003D610A"/>
    <w:rsid w:val="003D7A58"/>
    <w:rsid w:val="003E6ECD"/>
    <w:rsid w:val="003E78C6"/>
    <w:rsid w:val="00422991"/>
    <w:rsid w:val="004337E1"/>
    <w:rsid w:val="004859DD"/>
    <w:rsid w:val="004A028E"/>
    <w:rsid w:val="004A2478"/>
    <w:rsid w:val="004B710E"/>
    <w:rsid w:val="004C1A29"/>
    <w:rsid w:val="004C5CAF"/>
    <w:rsid w:val="00500932"/>
    <w:rsid w:val="005167AC"/>
    <w:rsid w:val="00530067"/>
    <w:rsid w:val="00550E3C"/>
    <w:rsid w:val="005640C0"/>
    <w:rsid w:val="0057792E"/>
    <w:rsid w:val="00587B7E"/>
    <w:rsid w:val="0059329E"/>
    <w:rsid w:val="005B4535"/>
    <w:rsid w:val="005D12FF"/>
    <w:rsid w:val="005D48F2"/>
    <w:rsid w:val="005E58CB"/>
    <w:rsid w:val="005E5E43"/>
    <w:rsid w:val="00642FFA"/>
    <w:rsid w:val="00645246"/>
    <w:rsid w:val="0065200C"/>
    <w:rsid w:val="00656A3E"/>
    <w:rsid w:val="00665EC2"/>
    <w:rsid w:val="00681ED9"/>
    <w:rsid w:val="00687F71"/>
    <w:rsid w:val="006A1985"/>
    <w:rsid w:val="006E2227"/>
    <w:rsid w:val="006E2712"/>
    <w:rsid w:val="006F4AC9"/>
    <w:rsid w:val="00701D7D"/>
    <w:rsid w:val="00732938"/>
    <w:rsid w:val="007571D8"/>
    <w:rsid w:val="00780964"/>
    <w:rsid w:val="0078197B"/>
    <w:rsid w:val="0079532D"/>
    <w:rsid w:val="007A13C4"/>
    <w:rsid w:val="007E5CE6"/>
    <w:rsid w:val="00813207"/>
    <w:rsid w:val="0083552C"/>
    <w:rsid w:val="00850A80"/>
    <w:rsid w:val="00857D15"/>
    <w:rsid w:val="00876E75"/>
    <w:rsid w:val="00880F56"/>
    <w:rsid w:val="00886CEF"/>
    <w:rsid w:val="008A383E"/>
    <w:rsid w:val="008C0C72"/>
    <w:rsid w:val="008D1415"/>
    <w:rsid w:val="00910C38"/>
    <w:rsid w:val="00935080"/>
    <w:rsid w:val="00935B4C"/>
    <w:rsid w:val="00946CD6"/>
    <w:rsid w:val="00946DAA"/>
    <w:rsid w:val="00970A4A"/>
    <w:rsid w:val="009D0364"/>
    <w:rsid w:val="009D3260"/>
    <w:rsid w:val="009D47F1"/>
    <w:rsid w:val="00A00718"/>
    <w:rsid w:val="00A22CDD"/>
    <w:rsid w:val="00A57966"/>
    <w:rsid w:val="00A62EF4"/>
    <w:rsid w:val="00A71F71"/>
    <w:rsid w:val="00AA0610"/>
    <w:rsid w:val="00AA1601"/>
    <w:rsid w:val="00AF07E1"/>
    <w:rsid w:val="00B36DC2"/>
    <w:rsid w:val="00B83AF6"/>
    <w:rsid w:val="00BA7B21"/>
    <w:rsid w:val="00BE2F48"/>
    <w:rsid w:val="00BF1A76"/>
    <w:rsid w:val="00C14AF9"/>
    <w:rsid w:val="00C80879"/>
    <w:rsid w:val="00C867A0"/>
    <w:rsid w:val="00CB6143"/>
    <w:rsid w:val="00CE7E2C"/>
    <w:rsid w:val="00CF04F2"/>
    <w:rsid w:val="00D11858"/>
    <w:rsid w:val="00D12DB4"/>
    <w:rsid w:val="00D320BC"/>
    <w:rsid w:val="00D5308B"/>
    <w:rsid w:val="00DA2951"/>
    <w:rsid w:val="00DA454E"/>
    <w:rsid w:val="00DA47DD"/>
    <w:rsid w:val="00DC60D2"/>
    <w:rsid w:val="00DE1B33"/>
    <w:rsid w:val="00E1379E"/>
    <w:rsid w:val="00E54538"/>
    <w:rsid w:val="00E7018D"/>
    <w:rsid w:val="00E965BB"/>
    <w:rsid w:val="00EB00DA"/>
    <w:rsid w:val="00EE1F0C"/>
    <w:rsid w:val="00EE5E8C"/>
    <w:rsid w:val="00F2197C"/>
    <w:rsid w:val="00F33270"/>
    <w:rsid w:val="00F612D2"/>
    <w:rsid w:val="00F63B0E"/>
    <w:rsid w:val="00F86BC7"/>
    <w:rsid w:val="00FD058A"/>
    <w:rsid w:val="00FD1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pPr>
      <w:ind w:left="720" w:hanging="360"/>
    </w:pPr>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2197C"/>
    <w:pPr>
      <w:spacing w:after="120" w:line="480" w:lineRule="auto"/>
    </w:pPr>
    <w:rPr>
      <w:rFonts w:asciiTheme="minorHAnsi" w:hAnsiTheme="minorHAnsi" w:cstheme="minorBidi"/>
      <w:szCs w:val="22"/>
      <w:lang w:val="id-ID"/>
    </w:rPr>
  </w:style>
  <w:style w:type="character" w:customStyle="1" w:styleId="BodyText2Char">
    <w:name w:val="Body Text 2 Char"/>
    <w:basedOn w:val="DefaultParagraphFont"/>
    <w:link w:val="BodyText2"/>
    <w:uiPriority w:val="99"/>
    <w:rsid w:val="00F2197C"/>
    <w:rPr>
      <w:lang w:val="id-ID"/>
    </w:rPr>
  </w:style>
  <w:style w:type="paragraph" w:styleId="BodyText">
    <w:name w:val="Body Text"/>
    <w:basedOn w:val="Normal"/>
    <w:link w:val="BodyTextChar"/>
    <w:uiPriority w:val="99"/>
    <w:unhideWhenUsed/>
    <w:rsid w:val="00850A80"/>
    <w:pPr>
      <w:spacing w:after="120"/>
    </w:pPr>
  </w:style>
  <w:style w:type="character" w:customStyle="1" w:styleId="BodyTextChar">
    <w:name w:val="Body Text Char"/>
    <w:basedOn w:val="DefaultParagraphFont"/>
    <w:link w:val="BodyText"/>
    <w:uiPriority w:val="99"/>
    <w:rsid w:val="00850A80"/>
    <w:rPr>
      <w:rFonts w:ascii="Times New Roman" w:hAnsi="Times New Roman" w:cs="Akhbar MT"/>
      <w:szCs w:val="30"/>
      <w:lang w:val="en-GB"/>
    </w:rPr>
  </w:style>
  <w:style w:type="paragraph" w:styleId="NormalWeb">
    <w:name w:val="Normal (Web)"/>
    <w:basedOn w:val="Normal"/>
    <w:uiPriority w:val="99"/>
    <w:unhideWhenUsed/>
    <w:rsid w:val="00530067"/>
    <w:pPr>
      <w:spacing w:before="100" w:beforeAutospacing="1" w:after="100" w:afterAutospacing="1"/>
    </w:pPr>
    <w:rPr>
      <w:rFonts w:eastAsiaTheme="minorEastAsia" w:cs="Times New Roman"/>
      <w:sz w:val="24"/>
      <w:szCs w:val="24"/>
      <w:lang w:val="en-US"/>
    </w:rPr>
  </w:style>
  <w:style w:type="character" w:customStyle="1" w:styleId="hps">
    <w:name w:val="hps"/>
    <w:basedOn w:val="DefaultParagraphFont"/>
    <w:rsid w:val="00530067"/>
  </w:style>
  <w:style w:type="paragraph" w:customStyle="1" w:styleId="Default">
    <w:name w:val="Default"/>
    <w:rsid w:val="0053006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story">
    <w:name w:val="story"/>
    <w:basedOn w:val="Normal"/>
    <w:rsid w:val="003E78C6"/>
    <w:pPr>
      <w:spacing w:before="100" w:beforeAutospacing="1" w:after="100" w:afterAutospacing="1"/>
    </w:pPr>
    <w:rPr>
      <w:rFonts w:eastAsia="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pPr>
      <w:ind w:left="720" w:hanging="360"/>
    </w:pPr>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2197C"/>
    <w:pPr>
      <w:spacing w:after="120" w:line="480" w:lineRule="auto"/>
    </w:pPr>
    <w:rPr>
      <w:rFonts w:asciiTheme="minorHAnsi" w:hAnsiTheme="minorHAnsi" w:cstheme="minorBidi"/>
      <w:szCs w:val="22"/>
      <w:lang w:val="id-ID"/>
    </w:rPr>
  </w:style>
  <w:style w:type="character" w:customStyle="1" w:styleId="BodyText2Char">
    <w:name w:val="Body Text 2 Char"/>
    <w:basedOn w:val="DefaultParagraphFont"/>
    <w:link w:val="BodyText2"/>
    <w:uiPriority w:val="99"/>
    <w:rsid w:val="00F2197C"/>
    <w:rPr>
      <w:lang w:val="id-ID"/>
    </w:rPr>
  </w:style>
  <w:style w:type="paragraph" w:styleId="BodyText">
    <w:name w:val="Body Text"/>
    <w:basedOn w:val="Normal"/>
    <w:link w:val="BodyTextChar"/>
    <w:uiPriority w:val="99"/>
    <w:unhideWhenUsed/>
    <w:rsid w:val="00850A80"/>
    <w:pPr>
      <w:spacing w:after="120"/>
    </w:pPr>
  </w:style>
  <w:style w:type="character" w:customStyle="1" w:styleId="BodyTextChar">
    <w:name w:val="Body Text Char"/>
    <w:basedOn w:val="DefaultParagraphFont"/>
    <w:link w:val="BodyText"/>
    <w:uiPriority w:val="99"/>
    <w:rsid w:val="00850A80"/>
    <w:rPr>
      <w:rFonts w:ascii="Times New Roman" w:hAnsi="Times New Roman" w:cs="Akhbar MT"/>
      <w:szCs w:val="30"/>
      <w:lang w:val="en-GB"/>
    </w:rPr>
  </w:style>
  <w:style w:type="paragraph" w:styleId="NormalWeb">
    <w:name w:val="Normal (Web)"/>
    <w:basedOn w:val="Normal"/>
    <w:uiPriority w:val="99"/>
    <w:unhideWhenUsed/>
    <w:rsid w:val="00530067"/>
    <w:pPr>
      <w:spacing w:before="100" w:beforeAutospacing="1" w:after="100" w:afterAutospacing="1"/>
    </w:pPr>
    <w:rPr>
      <w:rFonts w:eastAsiaTheme="minorEastAsia" w:cs="Times New Roman"/>
      <w:sz w:val="24"/>
      <w:szCs w:val="24"/>
      <w:lang w:val="en-US"/>
    </w:rPr>
  </w:style>
  <w:style w:type="character" w:customStyle="1" w:styleId="hps">
    <w:name w:val="hps"/>
    <w:basedOn w:val="DefaultParagraphFont"/>
    <w:rsid w:val="00530067"/>
  </w:style>
  <w:style w:type="paragraph" w:customStyle="1" w:styleId="Default">
    <w:name w:val="Default"/>
    <w:rsid w:val="0053006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story">
    <w:name w:val="story"/>
    <w:basedOn w:val="Normal"/>
    <w:rsid w:val="003E78C6"/>
    <w:pPr>
      <w:spacing w:before="100" w:beforeAutospacing="1" w:after="100" w:afterAutospacing="1"/>
    </w:pPr>
    <w:rPr>
      <w:rFonts w:eastAsia="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441">
      <w:bodyDiv w:val="1"/>
      <w:marLeft w:val="0"/>
      <w:marRight w:val="0"/>
      <w:marTop w:val="0"/>
      <w:marBottom w:val="0"/>
      <w:divBdr>
        <w:top w:val="none" w:sz="0" w:space="0" w:color="auto"/>
        <w:left w:val="none" w:sz="0" w:space="0" w:color="auto"/>
        <w:bottom w:val="none" w:sz="0" w:space="0" w:color="auto"/>
        <w:right w:val="none" w:sz="0" w:space="0" w:color="auto"/>
      </w:divBdr>
    </w:div>
    <w:div w:id="812059566">
      <w:bodyDiv w:val="1"/>
      <w:marLeft w:val="0"/>
      <w:marRight w:val="0"/>
      <w:marTop w:val="0"/>
      <w:marBottom w:val="0"/>
      <w:divBdr>
        <w:top w:val="none" w:sz="0" w:space="0" w:color="auto"/>
        <w:left w:val="none" w:sz="0" w:space="0" w:color="auto"/>
        <w:bottom w:val="none" w:sz="0" w:space="0" w:color="auto"/>
        <w:right w:val="none" w:sz="0" w:space="0" w:color="auto"/>
      </w:divBdr>
    </w:div>
    <w:div w:id="850725152">
      <w:bodyDiv w:val="1"/>
      <w:marLeft w:val="0"/>
      <w:marRight w:val="0"/>
      <w:marTop w:val="0"/>
      <w:marBottom w:val="0"/>
      <w:divBdr>
        <w:top w:val="none" w:sz="0" w:space="0" w:color="auto"/>
        <w:left w:val="none" w:sz="0" w:space="0" w:color="auto"/>
        <w:bottom w:val="none" w:sz="0" w:space="0" w:color="auto"/>
        <w:right w:val="none" w:sz="0" w:space="0" w:color="auto"/>
      </w:divBdr>
    </w:div>
    <w:div w:id="1060250848">
      <w:bodyDiv w:val="1"/>
      <w:marLeft w:val="0"/>
      <w:marRight w:val="0"/>
      <w:marTop w:val="0"/>
      <w:marBottom w:val="0"/>
      <w:divBdr>
        <w:top w:val="none" w:sz="0" w:space="0" w:color="auto"/>
        <w:left w:val="none" w:sz="0" w:space="0" w:color="auto"/>
        <w:bottom w:val="none" w:sz="0" w:space="0" w:color="auto"/>
        <w:right w:val="none" w:sz="0" w:space="0" w:color="auto"/>
      </w:divBdr>
    </w:div>
    <w:div w:id="18977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31CC0-BFEF-4A65-A20C-5B26E1AA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Margarita Brattlof (EST)</cp:lastModifiedBy>
  <cp:revision>2</cp:revision>
  <dcterms:created xsi:type="dcterms:W3CDTF">2016-05-13T06:39:00Z</dcterms:created>
  <dcterms:modified xsi:type="dcterms:W3CDTF">2016-05-13T06:39:00Z</dcterms:modified>
</cp:coreProperties>
</file>