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FD1C0B">
      <w:pPr>
        <w:pStyle w:val="Hidden"/>
        <w:spacing w:after="0" w:line="240" w:lineRule="auto"/>
      </w:pPr>
    </w:p>
    <w:p w:rsidR="00012386" w:rsidRPr="003F76E2" w:rsidRDefault="00012386" w:rsidP="00FD1C0B">
      <w:pPr>
        <w:pStyle w:val="DocTitle"/>
        <w:spacing w:before="0" w:after="0"/>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FD1C0B">
          <w:pPr>
            <w:pStyle w:val="MeetingInfo"/>
            <w:spacing w:after="0"/>
          </w:pPr>
          <w:r w:rsidRPr="00F56629">
            <w:t xml:space="preserve">INTERGOVERNMENTAL GROUP ON </w:t>
          </w:r>
          <w:r>
            <w:t>TEA</w:t>
          </w:r>
        </w:p>
        <w:p w:rsidR="002116A8" w:rsidRDefault="002116A8" w:rsidP="00FD1C0B">
          <w:pPr>
            <w:pStyle w:val="MeetingInfo"/>
            <w:spacing w:after="0"/>
          </w:pPr>
          <w:r>
            <w:t>Twenty-second Session</w:t>
          </w:r>
        </w:p>
        <w:p w:rsidR="002116A8" w:rsidRDefault="00C867A0" w:rsidP="00FD1C0B">
          <w:pPr>
            <w:pStyle w:val="MeetingInfo"/>
            <w:spacing w:after="0"/>
          </w:pPr>
          <w:proofErr w:type="spellStart"/>
          <w:r>
            <w:t>Naivasha</w:t>
          </w:r>
          <w:proofErr w:type="spellEnd"/>
          <w:r>
            <w:t>, Kenya, 25-27 May 2016</w:t>
          </w:r>
        </w:p>
        <w:p w:rsidR="002116A8" w:rsidRPr="00F56629" w:rsidRDefault="00D320BC" w:rsidP="00FD1C0B">
          <w:pPr>
            <w:pStyle w:val="MeetingInfo"/>
            <w:spacing w:after="0"/>
          </w:pPr>
          <w:r>
            <w:t>INDIA TEA OUTLOOK</w:t>
          </w:r>
        </w:p>
      </w:sdtContent>
    </w:sdt>
    <w:p w:rsidR="00687F71" w:rsidRDefault="00687F71" w:rsidP="00FD1C0B">
      <w:pPr>
        <w:spacing w:after="0"/>
      </w:pPr>
    </w:p>
    <w:p w:rsidR="00D320BC" w:rsidRDefault="00D320BC" w:rsidP="00FD1C0B">
      <w:pPr>
        <w:spacing w:after="0"/>
      </w:pPr>
    </w:p>
    <w:p w:rsidR="00D320BC" w:rsidRPr="00BF19D4" w:rsidRDefault="00D320BC" w:rsidP="00D320BC">
      <w:pPr>
        <w:spacing w:after="0"/>
        <w:rPr>
          <w:rFonts w:cs="Times New Roman"/>
          <w:b/>
          <w:bCs/>
          <w:sz w:val="24"/>
          <w:szCs w:val="24"/>
        </w:rPr>
      </w:pPr>
      <w:r w:rsidRPr="00BF19D4">
        <w:rPr>
          <w:rFonts w:cs="Times New Roman"/>
          <w:b/>
          <w:bCs/>
          <w:sz w:val="24"/>
          <w:szCs w:val="24"/>
        </w:rPr>
        <w:t xml:space="preserve">1. </w:t>
      </w:r>
      <w:r w:rsidRPr="00BF19D4">
        <w:rPr>
          <w:rFonts w:cs="Times New Roman"/>
          <w:b/>
          <w:bCs/>
          <w:sz w:val="24"/>
          <w:szCs w:val="24"/>
          <w:u w:val="single"/>
        </w:rPr>
        <w:t>Review of 201</w:t>
      </w:r>
      <w:r>
        <w:rPr>
          <w:rFonts w:cs="Times New Roman"/>
          <w:b/>
          <w:bCs/>
          <w:sz w:val="24"/>
          <w:szCs w:val="24"/>
          <w:u w:val="single"/>
        </w:rPr>
        <w:t>4</w:t>
      </w:r>
      <w:r w:rsidRPr="00BF19D4">
        <w:rPr>
          <w:rFonts w:cs="Times New Roman"/>
          <w:b/>
          <w:bCs/>
          <w:sz w:val="24"/>
          <w:szCs w:val="24"/>
          <w:u w:val="single"/>
        </w:rPr>
        <w:t xml:space="preserve"> Tea Season</w:t>
      </w:r>
      <w:r w:rsidRPr="00BF19D4">
        <w:rPr>
          <w:rFonts w:cs="Times New Roman"/>
          <w:b/>
          <w:bCs/>
          <w:sz w:val="24"/>
          <w:szCs w:val="24"/>
        </w:rPr>
        <w:t>:</w:t>
      </w:r>
    </w:p>
    <w:p w:rsidR="00D320BC" w:rsidRDefault="00D320BC" w:rsidP="00D320BC">
      <w:pPr>
        <w:spacing w:after="0"/>
        <w:rPr>
          <w:rFonts w:cs="Times New Roman"/>
          <w:sz w:val="24"/>
          <w:szCs w:val="24"/>
        </w:rPr>
      </w:pPr>
    </w:p>
    <w:p w:rsidR="00D320BC" w:rsidRDefault="00D320BC" w:rsidP="00D320BC">
      <w:pPr>
        <w:pStyle w:val="ListParagraph"/>
        <w:numPr>
          <w:ilvl w:val="0"/>
          <w:numId w:val="33"/>
        </w:numPr>
        <w:spacing w:after="0"/>
        <w:jc w:val="both"/>
        <w:rPr>
          <w:rFonts w:cs="Times New Roman"/>
          <w:sz w:val="24"/>
          <w:szCs w:val="24"/>
        </w:rPr>
      </w:pPr>
      <w:r w:rsidRPr="005E4314">
        <w:rPr>
          <w:rFonts w:cs="Times New Roman"/>
          <w:sz w:val="24"/>
          <w:szCs w:val="24"/>
        </w:rPr>
        <w:t>Tea Production in 201</w:t>
      </w:r>
      <w:r>
        <w:rPr>
          <w:rFonts w:cs="Times New Roman"/>
          <w:sz w:val="24"/>
          <w:szCs w:val="24"/>
        </w:rPr>
        <w:t>4</w:t>
      </w:r>
      <w:r w:rsidRPr="005E4314">
        <w:rPr>
          <w:rFonts w:cs="Times New Roman"/>
          <w:sz w:val="24"/>
          <w:szCs w:val="24"/>
        </w:rPr>
        <w:t xml:space="preserve"> arrived at 120</w:t>
      </w:r>
      <w:r>
        <w:rPr>
          <w:rFonts w:cs="Times New Roman"/>
          <w:sz w:val="24"/>
          <w:szCs w:val="24"/>
        </w:rPr>
        <w:t>7.31</w:t>
      </w:r>
      <w:r w:rsidRPr="005E4314">
        <w:rPr>
          <w:rFonts w:cs="Times New Roman"/>
          <w:sz w:val="24"/>
          <w:szCs w:val="24"/>
        </w:rPr>
        <w:t xml:space="preserve"> </w:t>
      </w:r>
      <w:proofErr w:type="spellStart"/>
      <w:proofErr w:type="gramStart"/>
      <w:r w:rsidRPr="005E4314">
        <w:rPr>
          <w:rFonts w:cs="Times New Roman"/>
          <w:sz w:val="24"/>
          <w:szCs w:val="24"/>
        </w:rPr>
        <w:t>M.Kgs</w:t>
      </w:r>
      <w:proofErr w:type="spellEnd"/>
      <w:r w:rsidRPr="005E4314">
        <w:rPr>
          <w:rFonts w:cs="Times New Roman"/>
          <w:sz w:val="24"/>
          <w:szCs w:val="24"/>
        </w:rPr>
        <w:t>.,</w:t>
      </w:r>
      <w:proofErr w:type="gramEnd"/>
      <w:r w:rsidRPr="005E4314">
        <w:rPr>
          <w:rFonts w:cs="Times New Roman"/>
          <w:sz w:val="24"/>
          <w:szCs w:val="24"/>
        </w:rPr>
        <w:t xml:space="preserve"> a record achievement for the Indian Tea Industry. </w:t>
      </w:r>
      <w:r>
        <w:rPr>
          <w:rFonts w:cs="Times New Roman"/>
          <w:sz w:val="24"/>
          <w:szCs w:val="24"/>
        </w:rPr>
        <w:t xml:space="preserve">Out of the total production, small growers share accounted for 33% (398.04 </w:t>
      </w:r>
      <w:proofErr w:type="spellStart"/>
      <w:r>
        <w:rPr>
          <w:rFonts w:cs="Times New Roman"/>
          <w:sz w:val="24"/>
          <w:szCs w:val="24"/>
        </w:rPr>
        <w:t>M.Kgs</w:t>
      </w:r>
      <w:proofErr w:type="spellEnd"/>
      <w:r>
        <w:rPr>
          <w:rFonts w:cs="Times New Roman"/>
          <w:sz w:val="24"/>
          <w:szCs w:val="24"/>
        </w:rPr>
        <w:t>). It is expected that the small growers play a key role in overall production in the coming years too.</w:t>
      </w:r>
    </w:p>
    <w:p w:rsidR="00D320BC" w:rsidRDefault="00D320BC" w:rsidP="00D320BC">
      <w:pPr>
        <w:pStyle w:val="ListParagraph"/>
        <w:numPr>
          <w:ilvl w:val="0"/>
          <w:numId w:val="33"/>
        </w:numPr>
        <w:spacing w:after="0"/>
        <w:jc w:val="both"/>
        <w:rPr>
          <w:rFonts w:cs="Times New Roman"/>
          <w:sz w:val="24"/>
          <w:szCs w:val="24"/>
        </w:rPr>
      </w:pPr>
      <w:r>
        <w:rPr>
          <w:rFonts w:cs="Times New Roman"/>
          <w:sz w:val="24"/>
          <w:szCs w:val="24"/>
        </w:rPr>
        <w:t xml:space="preserve">India’s tea exports in 2014 stood at 207.44 </w:t>
      </w:r>
      <w:proofErr w:type="spellStart"/>
      <w:r>
        <w:rPr>
          <w:rFonts w:cs="Times New Roman"/>
          <w:sz w:val="24"/>
          <w:szCs w:val="24"/>
        </w:rPr>
        <w:t>M.Kgs</w:t>
      </w:r>
      <w:proofErr w:type="spellEnd"/>
      <w:r>
        <w:rPr>
          <w:rFonts w:cs="Times New Roman"/>
          <w:sz w:val="24"/>
          <w:szCs w:val="24"/>
        </w:rPr>
        <w:t xml:space="preserve">., with FOB value of </w:t>
      </w:r>
      <w:proofErr w:type="spellStart"/>
      <w:r>
        <w:rPr>
          <w:rFonts w:cs="Times New Roman"/>
          <w:sz w:val="24"/>
          <w:szCs w:val="24"/>
        </w:rPr>
        <w:t>Rs</w:t>
      </w:r>
      <w:proofErr w:type="spellEnd"/>
      <w:r>
        <w:rPr>
          <w:rFonts w:cs="Times New Roman"/>
          <w:sz w:val="24"/>
          <w:szCs w:val="24"/>
        </w:rPr>
        <w:t xml:space="preserve">. 4054.02 Crores, (Mill </w:t>
      </w:r>
      <w:r w:rsidR="00656A3E">
        <w:rPr>
          <w:rFonts w:cs="Times New Roman"/>
          <w:sz w:val="24"/>
          <w:szCs w:val="24"/>
        </w:rPr>
        <w:t>USD</w:t>
      </w:r>
      <w:r>
        <w:rPr>
          <w:rFonts w:cs="Times New Roman"/>
          <w:sz w:val="24"/>
          <w:szCs w:val="24"/>
        </w:rPr>
        <w:t xml:space="preserve">  664.26) with unit price realisation at </w:t>
      </w:r>
      <w:proofErr w:type="spellStart"/>
      <w:r>
        <w:rPr>
          <w:rFonts w:cs="Times New Roman"/>
          <w:sz w:val="24"/>
          <w:szCs w:val="24"/>
        </w:rPr>
        <w:t>Rs</w:t>
      </w:r>
      <w:proofErr w:type="spellEnd"/>
      <w:r>
        <w:rPr>
          <w:rFonts w:cs="Times New Roman"/>
          <w:sz w:val="24"/>
          <w:szCs w:val="24"/>
        </w:rPr>
        <w:t>. 195.43 per Kg (</w:t>
      </w:r>
      <w:r w:rsidR="00656A3E">
        <w:rPr>
          <w:rFonts w:cs="Times New Roman"/>
          <w:sz w:val="24"/>
          <w:szCs w:val="24"/>
        </w:rPr>
        <w:t>USD</w:t>
      </w:r>
      <w:r>
        <w:rPr>
          <w:rFonts w:cs="Times New Roman"/>
          <w:sz w:val="24"/>
          <w:szCs w:val="24"/>
        </w:rPr>
        <w:t xml:space="preserve"> 3.20)</w:t>
      </w:r>
    </w:p>
    <w:p w:rsidR="00D320BC" w:rsidRDefault="00D320BC" w:rsidP="00D320BC">
      <w:pPr>
        <w:pStyle w:val="ListParagraph"/>
        <w:numPr>
          <w:ilvl w:val="0"/>
          <w:numId w:val="33"/>
        </w:numPr>
        <w:spacing w:after="0"/>
        <w:jc w:val="both"/>
        <w:rPr>
          <w:rFonts w:cs="Times New Roman"/>
          <w:sz w:val="24"/>
          <w:szCs w:val="24"/>
        </w:rPr>
      </w:pPr>
      <w:r>
        <w:rPr>
          <w:rFonts w:cs="Times New Roman"/>
          <w:sz w:val="24"/>
          <w:szCs w:val="24"/>
        </w:rPr>
        <w:t xml:space="preserve">India’s tea imports in 2014 stood at 20.59 </w:t>
      </w:r>
      <w:proofErr w:type="spellStart"/>
      <w:r>
        <w:rPr>
          <w:rFonts w:cs="Times New Roman"/>
          <w:sz w:val="24"/>
          <w:szCs w:val="24"/>
        </w:rPr>
        <w:t>M.Kgs</w:t>
      </w:r>
      <w:proofErr w:type="spellEnd"/>
      <w:r>
        <w:rPr>
          <w:rFonts w:cs="Times New Roman"/>
          <w:sz w:val="24"/>
          <w:szCs w:val="24"/>
        </w:rPr>
        <w:t xml:space="preserve">., with CIF value of </w:t>
      </w:r>
      <w:proofErr w:type="spellStart"/>
      <w:r>
        <w:rPr>
          <w:rFonts w:cs="Times New Roman"/>
          <w:sz w:val="24"/>
          <w:szCs w:val="24"/>
        </w:rPr>
        <w:t>Rs</w:t>
      </w:r>
      <w:proofErr w:type="spellEnd"/>
      <w:r>
        <w:rPr>
          <w:rFonts w:cs="Times New Roman"/>
          <w:sz w:val="24"/>
          <w:szCs w:val="24"/>
        </w:rPr>
        <w:t xml:space="preserve">. 272.63 Crores,(Mill </w:t>
      </w:r>
      <w:r w:rsidR="00656A3E">
        <w:rPr>
          <w:rFonts w:cs="Times New Roman"/>
          <w:sz w:val="24"/>
          <w:szCs w:val="24"/>
        </w:rPr>
        <w:t>USD</w:t>
      </w:r>
      <w:r>
        <w:rPr>
          <w:rFonts w:cs="Times New Roman"/>
          <w:sz w:val="24"/>
          <w:szCs w:val="24"/>
        </w:rPr>
        <w:t xml:space="preserve"> 44.67) with unit price of </w:t>
      </w:r>
      <w:proofErr w:type="spellStart"/>
      <w:r>
        <w:rPr>
          <w:rFonts w:cs="Times New Roman"/>
          <w:sz w:val="24"/>
          <w:szCs w:val="24"/>
        </w:rPr>
        <w:t>Rs</w:t>
      </w:r>
      <w:proofErr w:type="spellEnd"/>
      <w:r>
        <w:rPr>
          <w:rFonts w:cs="Times New Roman"/>
          <w:sz w:val="24"/>
          <w:szCs w:val="24"/>
        </w:rPr>
        <w:t>. 132.41 per kg.(</w:t>
      </w:r>
      <w:r w:rsidR="00656A3E">
        <w:rPr>
          <w:rFonts w:cs="Times New Roman"/>
          <w:sz w:val="24"/>
          <w:szCs w:val="24"/>
        </w:rPr>
        <w:t>USD</w:t>
      </w:r>
      <w:r>
        <w:rPr>
          <w:rFonts w:cs="Times New Roman"/>
          <w:sz w:val="24"/>
          <w:szCs w:val="24"/>
        </w:rPr>
        <w:t xml:space="preserve"> 2.17)</w:t>
      </w:r>
    </w:p>
    <w:p w:rsidR="00D320BC" w:rsidRPr="009C1F0C" w:rsidRDefault="00D320BC" w:rsidP="00D320BC">
      <w:pPr>
        <w:pStyle w:val="ListParagraph"/>
        <w:numPr>
          <w:ilvl w:val="0"/>
          <w:numId w:val="33"/>
        </w:numPr>
        <w:spacing w:after="0"/>
        <w:jc w:val="both"/>
        <w:rPr>
          <w:rFonts w:cs="Times New Roman"/>
          <w:sz w:val="24"/>
          <w:szCs w:val="24"/>
        </w:rPr>
      </w:pPr>
      <w:r>
        <w:rPr>
          <w:rFonts w:cs="Times New Roman"/>
          <w:sz w:val="24"/>
          <w:szCs w:val="24"/>
        </w:rPr>
        <w:t xml:space="preserve">Tea auction centres in India sold a quantity of 541.73 </w:t>
      </w:r>
      <w:proofErr w:type="spellStart"/>
      <w:r>
        <w:rPr>
          <w:rFonts w:cs="Times New Roman"/>
          <w:sz w:val="24"/>
          <w:szCs w:val="24"/>
        </w:rPr>
        <w:t>M.Kgs</w:t>
      </w:r>
      <w:proofErr w:type="spellEnd"/>
      <w:r>
        <w:rPr>
          <w:rFonts w:cs="Times New Roman"/>
          <w:sz w:val="24"/>
          <w:szCs w:val="24"/>
        </w:rPr>
        <w:t xml:space="preserve">., with average auction price of </w:t>
      </w:r>
      <w:proofErr w:type="spellStart"/>
      <w:r>
        <w:rPr>
          <w:rFonts w:cs="Times New Roman"/>
          <w:sz w:val="24"/>
          <w:szCs w:val="24"/>
        </w:rPr>
        <w:t>Rs</w:t>
      </w:r>
      <w:proofErr w:type="spellEnd"/>
      <w:r>
        <w:rPr>
          <w:rFonts w:cs="Times New Roman"/>
          <w:sz w:val="24"/>
          <w:szCs w:val="24"/>
        </w:rPr>
        <w:t>. 126.88 per Kg (</w:t>
      </w:r>
      <w:r w:rsidR="00656A3E">
        <w:rPr>
          <w:rFonts w:cs="Times New Roman"/>
          <w:sz w:val="24"/>
          <w:szCs w:val="24"/>
        </w:rPr>
        <w:t>USD</w:t>
      </w:r>
      <w:r w:rsidRPr="009C1F0C">
        <w:rPr>
          <w:rFonts w:cs="Times New Roman"/>
          <w:sz w:val="24"/>
          <w:szCs w:val="24"/>
        </w:rPr>
        <w:t xml:space="preserve"> 2.08) </w:t>
      </w:r>
    </w:p>
    <w:p w:rsidR="00D320BC" w:rsidRDefault="00D320BC" w:rsidP="00D320BC">
      <w:pPr>
        <w:pStyle w:val="ListParagraph"/>
        <w:numPr>
          <w:ilvl w:val="0"/>
          <w:numId w:val="34"/>
        </w:numPr>
        <w:spacing w:after="0"/>
        <w:jc w:val="both"/>
        <w:rPr>
          <w:rFonts w:cs="Times New Roman"/>
          <w:sz w:val="24"/>
          <w:szCs w:val="24"/>
        </w:rPr>
      </w:pPr>
      <w:r>
        <w:rPr>
          <w:rFonts w:cs="Times New Roman"/>
          <w:sz w:val="24"/>
          <w:szCs w:val="24"/>
        </w:rPr>
        <w:t xml:space="preserve">North India auction centres sold a quantity of 395.95 </w:t>
      </w:r>
      <w:proofErr w:type="spellStart"/>
      <w:r>
        <w:rPr>
          <w:rFonts w:cs="Times New Roman"/>
          <w:sz w:val="24"/>
          <w:szCs w:val="24"/>
        </w:rPr>
        <w:t>M.Kgs</w:t>
      </w:r>
      <w:proofErr w:type="spellEnd"/>
      <w:r>
        <w:rPr>
          <w:rFonts w:cs="Times New Roman"/>
          <w:sz w:val="24"/>
          <w:szCs w:val="24"/>
        </w:rPr>
        <w:t xml:space="preserve">., with average auction price of </w:t>
      </w:r>
      <w:proofErr w:type="spellStart"/>
      <w:r>
        <w:rPr>
          <w:rFonts w:cs="Times New Roman"/>
          <w:sz w:val="24"/>
          <w:szCs w:val="24"/>
        </w:rPr>
        <w:t>Rs</w:t>
      </w:r>
      <w:proofErr w:type="spellEnd"/>
      <w:r>
        <w:rPr>
          <w:rFonts w:cs="Times New Roman"/>
          <w:sz w:val="24"/>
          <w:szCs w:val="24"/>
        </w:rPr>
        <w:t>. 143.07 per Kg, (</w:t>
      </w:r>
      <w:r w:rsidR="00656A3E">
        <w:rPr>
          <w:rFonts w:cs="Times New Roman"/>
          <w:sz w:val="24"/>
          <w:szCs w:val="24"/>
        </w:rPr>
        <w:t>USD</w:t>
      </w:r>
      <w:r w:rsidRPr="009C1F0C">
        <w:rPr>
          <w:rFonts w:cs="Times New Roman"/>
          <w:sz w:val="24"/>
          <w:szCs w:val="24"/>
        </w:rPr>
        <w:t xml:space="preserve"> 2.34) while</w:t>
      </w:r>
    </w:p>
    <w:p w:rsidR="00D320BC" w:rsidRDefault="00D320BC" w:rsidP="00D320BC">
      <w:pPr>
        <w:pStyle w:val="ListParagraph"/>
        <w:numPr>
          <w:ilvl w:val="0"/>
          <w:numId w:val="34"/>
        </w:numPr>
        <w:spacing w:after="0"/>
        <w:jc w:val="both"/>
        <w:rPr>
          <w:rFonts w:cs="Times New Roman"/>
          <w:sz w:val="24"/>
          <w:szCs w:val="24"/>
        </w:rPr>
      </w:pPr>
      <w:r>
        <w:rPr>
          <w:rFonts w:cs="Times New Roman"/>
          <w:sz w:val="24"/>
          <w:szCs w:val="24"/>
        </w:rPr>
        <w:t xml:space="preserve">South India auction centres sold a quantity of 145.78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with average auction price of </w:t>
      </w:r>
      <w:proofErr w:type="spellStart"/>
      <w:r>
        <w:rPr>
          <w:rFonts w:cs="Times New Roman"/>
          <w:sz w:val="24"/>
          <w:szCs w:val="24"/>
        </w:rPr>
        <w:t>Rs</w:t>
      </w:r>
      <w:proofErr w:type="spellEnd"/>
      <w:r>
        <w:rPr>
          <w:rFonts w:cs="Times New Roman"/>
          <w:sz w:val="24"/>
          <w:szCs w:val="24"/>
        </w:rPr>
        <w:t>. 82.</w:t>
      </w:r>
      <w:r w:rsidRPr="009C1F0C">
        <w:rPr>
          <w:rFonts w:cs="Times New Roman"/>
          <w:sz w:val="24"/>
          <w:szCs w:val="24"/>
        </w:rPr>
        <w:t>89 (</w:t>
      </w:r>
      <w:r w:rsidR="00656A3E">
        <w:rPr>
          <w:rFonts w:cs="Times New Roman"/>
          <w:sz w:val="24"/>
          <w:szCs w:val="24"/>
        </w:rPr>
        <w:t>USD</w:t>
      </w:r>
      <w:r w:rsidRPr="009C1F0C">
        <w:rPr>
          <w:rFonts w:cs="Times New Roman"/>
          <w:sz w:val="24"/>
          <w:szCs w:val="24"/>
        </w:rPr>
        <w:t xml:space="preserve"> 1.36) per Kg</w:t>
      </w:r>
      <w:r>
        <w:rPr>
          <w:rFonts w:cs="Times New Roman"/>
          <w:sz w:val="24"/>
          <w:szCs w:val="24"/>
        </w:rPr>
        <w:t>.</w:t>
      </w:r>
    </w:p>
    <w:p w:rsidR="00D320BC" w:rsidRDefault="00D320BC" w:rsidP="00D320BC">
      <w:pPr>
        <w:pStyle w:val="ListParagraph"/>
        <w:numPr>
          <w:ilvl w:val="0"/>
          <w:numId w:val="38"/>
        </w:numPr>
        <w:spacing w:after="0"/>
        <w:jc w:val="both"/>
        <w:rPr>
          <w:rFonts w:cs="Times New Roman"/>
          <w:sz w:val="24"/>
          <w:szCs w:val="24"/>
        </w:rPr>
      </w:pPr>
      <w:r>
        <w:rPr>
          <w:rFonts w:cs="Times New Roman"/>
          <w:sz w:val="24"/>
          <w:szCs w:val="24"/>
        </w:rPr>
        <w:t xml:space="preserve">Apparent domestic consumption during 2014 was 927 </w:t>
      </w:r>
      <w:proofErr w:type="spellStart"/>
      <w:r>
        <w:rPr>
          <w:rFonts w:cs="Times New Roman"/>
          <w:sz w:val="24"/>
          <w:szCs w:val="24"/>
        </w:rPr>
        <w:t>M.Kgs</w:t>
      </w:r>
      <w:proofErr w:type="spellEnd"/>
      <w:r>
        <w:rPr>
          <w:rFonts w:cs="Times New Roman"/>
          <w:sz w:val="24"/>
          <w:szCs w:val="24"/>
        </w:rPr>
        <w:t>.</w:t>
      </w:r>
    </w:p>
    <w:p w:rsidR="00D320BC" w:rsidRDefault="00D320BC" w:rsidP="00D320BC">
      <w:pPr>
        <w:spacing w:after="0"/>
        <w:rPr>
          <w:rFonts w:cs="Times New Roman"/>
          <w:sz w:val="24"/>
          <w:szCs w:val="24"/>
        </w:rPr>
      </w:pPr>
    </w:p>
    <w:p w:rsidR="00D320BC" w:rsidRPr="00BF19D4" w:rsidRDefault="00D320BC" w:rsidP="00D320BC">
      <w:pPr>
        <w:spacing w:after="0"/>
        <w:rPr>
          <w:rFonts w:cs="Times New Roman"/>
          <w:b/>
          <w:bCs/>
          <w:sz w:val="24"/>
          <w:szCs w:val="24"/>
        </w:rPr>
      </w:pPr>
      <w:r w:rsidRPr="00BF19D4">
        <w:rPr>
          <w:rFonts w:cs="Times New Roman"/>
          <w:b/>
          <w:bCs/>
          <w:sz w:val="24"/>
          <w:szCs w:val="24"/>
        </w:rPr>
        <w:t xml:space="preserve">2. </w:t>
      </w:r>
      <w:r w:rsidRPr="00590DAC">
        <w:rPr>
          <w:rFonts w:cs="Times New Roman"/>
          <w:b/>
          <w:bCs/>
          <w:sz w:val="24"/>
          <w:szCs w:val="24"/>
          <w:u w:val="single"/>
        </w:rPr>
        <w:t>Estimates for 2015 tea season:</w:t>
      </w:r>
    </w:p>
    <w:p w:rsidR="00D320BC" w:rsidRDefault="00D320BC" w:rsidP="00D320BC">
      <w:pPr>
        <w:spacing w:after="0"/>
        <w:rPr>
          <w:rFonts w:cs="Times New Roman"/>
          <w:sz w:val="24"/>
          <w:szCs w:val="24"/>
        </w:rPr>
      </w:pPr>
    </w:p>
    <w:p w:rsidR="00D320BC" w:rsidRDefault="00D320BC" w:rsidP="00D320BC">
      <w:pPr>
        <w:pStyle w:val="ListParagraph"/>
        <w:numPr>
          <w:ilvl w:val="0"/>
          <w:numId w:val="35"/>
        </w:numPr>
        <w:spacing w:after="0"/>
        <w:ind w:left="1418" w:hanging="284"/>
        <w:jc w:val="both"/>
        <w:rPr>
          <w:rFonts w:cs="Times New Roman"/>
          <w:sz w:val="24"/>
          <w:szCs w:val="24"/>
        </w:rPr>
      </w:pPr>
      <w:r>
        <w:rPr>
          <w:rFonts w:cs="Times New Roman"/>
          <w:sz w:val="24"/>
          <w:szCs w:val="24"/>
        </w:rPr>
        <w:t xml:space="preserve">Tea Production Estimates during 2015 stood at 1191.10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a decline of 16.21 </w:t>
      </w:r>
      <w:proofErr w:type="spellStart"/>
      <w:r>
        <w:rPr>
          <w:rFonts w:cs="Times New Roman"/>
          <w:sz w:val="24"/>
          <w:szCs w:val="24"/>
        </w:rPr>
        <w:t>M.Kgs</w:t>
      </w:r>
      <w:proofErr w:type="spellEnd"/>
      <w:r>
        <w:rPr>
          <w:rFonts w:cs="Times New Roman"/>
          <w:sz w:val="24"/>
          <w:szCs w:val="24"/>
        </w:rPr>
        <w:t xml:space="preserve">., compared to corresponding period of 2014. It is expected that at the time of finalisation of data, India’s tea production in 2015 will be nearer to 1200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and thereby a marginal decline as compared to 2014.</w:t>
      </w:r>
    </w:p>
    <w:p w:rsidR="00D320BC" w:rsidRDefault="00D320BC" w:rsidP="00D320BC">
      <w:pPr>
        <w:pStyle w:val="ListParagraph"/>
        <w:numPr>
          <w:ilvl w:val="0"/>
          <w:numId w:val="35"/>
        </w:numPr>
        <w:spacing w:after="0"/>
        <w:ind w:left="1418" w:hanging="284"/>
        <w:jc w:val="both"/>
        <w:rPr>
          <w:rFonts w:cs="Times New Roman"/>
          <w:sz w:val="24"/>
          <w:szCs w:val="24"/>
        </w:rPr>
      </w:pPr>
      <w:r>
        <w:rPr>
          <w:rFonts w:cs="Times New Roman"/>
          <w:sz w:val="24"/>
          <w:szCs w:val="24"/>
        </w:rPr>
        <w:t xml:space="preserve">Provisional tea Exports during 2015 stood at 217.67 </w:t>
      </w:r>
      <w:proofErr w:type="spellStart"/>
      <w:r>
        <w:rPr>
          <w:rFonts w:cs="Times New Roman"/>
          <w:sz w:val="24"/>
          <w:szCs w:val="24"/>
        </w:rPr>
        <w:t>M.Kgs</w:t>
      </w:r>
      <w:proofErr w:type="spellEnd"/>
      <w:r>
        <w:rPr>
          <w:rFonts w:cs="Times New Roman"/>
          <w:sz w:val="24"/>
          <w:szCs w:val="24"/>
        </w:rPr>
        <w:t xml:space="preserve"> with FOB value of </w:t>
      </w:r>
      <w:proofErr w:type="spellStart"/>
      <w:r>
        <w:rPr>
          <w:rFonts w:cs="Times New Roman"/>
          <w:sz w:val="24"/>
          <w:szCs w:val="24"/>
        </w:rPr>
        <w:t>Rs</w:t>
      </w:r>
      <w:proofErr w:type="spellEnd"/>
      <w:r>
        <w:rPr>
          <w:rFonts w:cs="Times New Roman"/>
          <w:sz w:val="24"/>
          <w:szCs w:val="24"/>
        </w:rPr>
        <w:t xml:space="preserve">. 4085.93 Crores (Mill </w:t>
      </w:r>
      <w:r w:rsidR="00656A3E">
        <w:rPr>
          <w:rFonts w:cs="Times New Roman"/>
          <w:sz w:val="24"/>
          <w:szCs w:val="24"/>
        </w:rPr>
        <w:t>USD</w:t>
      </w:r>
      <w:r>
        <w:rPr>
          <w:rFonts w:cs="Times New Roman"/>
          <w:sz w:val="24"/>
          <w:szCs w:val="24"/>
        </w:rPr>
        <w:t xml:space="preserve"> 637.16), an increase of 10.23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in quantity and  </w:t>
      </w:r>
      <w:proofErr w:type="spellStart"/>
      <w:r>
        <w:rPr>
          <w:rFonts w:cs="Times New Roman"/>
          <w:sz w:val="24"/>
          <w:szCs w:val="24"/>
        </w:rPr>
        <w:t>Rs</w:t>
      </w:r>
      <w:proofErr w:type="spellEnd"/>
      <w:r>
        <w:rPr>
          <w:rFonts w:cs="Times New Roman"/>
          <w:sz w:val="24"/>
          <w:szCs w:val="24"/>
        </w:rPr>
        <w:t xml:space="preserve">. 31.91 Crores in value over corresponding period. It is expected that the final data on tea exports during 2015 would remain around 225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which indicates a significant growth as compared to 2014.</w:t>
      </w:r>
    </w:p>
    <w:p w:rsidR="00D320BC" w:rsidRDefault="00D320BC" w:rsidP="00D320BC">
      <w:pPr>
        <w:pStyle w:val="ListParagraph"/>
        <w:numPr>
          <w:ilvl w:val="0"/>
          <w:numId w:val="35"/>
        </w:numPr>
        <w:spacing w:after="0"/>
        <w:ind w:left="1418" w:hanging="284"/>
        <w:jc w:val="both"/>
        <w:rPr>
          <w:rFonts w:cs="Times New Roman"/>
          <w:sz w:val="24"/>
          <w:szCs w:val="24"/>
        </w:rPr>
      </w:pPr>
      <w:r>
        <w:rPr>
          <w:rFonts w:cs="Times New Roman"/>
          <w:sz w:val="24"/>
          <w:szCs w:val="24"/>
        </w:rPr>
        <w:lastRenderedPageBreak/>
        <w:t xml:space="preserve">India’s tea imports during 2015 stands at 18.61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with CIF value of </w:t>
      </w:r>
      <w:proofErr w:type="spellStart"/>
      <w:r>
        <w:rPr>
          <w:rFonts w:cs="Times New Roman"/>
          <w:sz w:val="24"/>
          <w:szCs w:val="24"/>
        </w:rPr>
        <w:t>Rs</w:t>
      </w:r>
      <w:proofErr w:type="spellEnd"/>
      <w:r>
        <w:rPr>
          <w:rFonts w:cs="Times New Roman"/>
          <w:sz w:val="24"/>
          <w:szCs w:val="24"/>
        </w:rPr>
        <w:t xml:space="preserve">. 235.96 crores (Mill </w:t>
      </w:r>
      <w:r w:rsidR="00656A3E">
        <w:rPr>
          <w:rFonts w:cs="Times New Roman"/>
          <w:sz w:val="24"/>
          <w:szCs w:val="24"/>
        </w:rPr>
        <w:t>USD</w:t>
      </w:r>
      <w:r>
        <w:rPr>
          <w:rFonts w:cs="Times New Roman"/>
          <w:sz w:val="24"/>
          <w:szCs w:val="24"/>
        </w:rPr>
        <w:t xml:space="preserve"> 36.80). The import quantity is declined in 2015as compared to 2014.</w:t>
      </w:r>
    </w:p>
    <w:p w:rsidR="00D320BC" w:rsidRDefault="00D320BC" w:rsidP="00D320BC">
      <w:pPr>
        <w:pStyle w:val="ListParagraph"/>
        <w:numPr>
          <w:ilvl w:val="0"/>
          <w:numId w:val="35"/>
        </w:numPr>
        <w:spacing w:after="0"/>
        <w:ind w:left="1418" w:hanging="284"/>
        <w:jc w:val="both"/>
        <w:rPr>
          <w:rFonts w:cs="Times New Roman"/>
          <w:sz w:val="24"/>
          <w:szCs w:val="24"/>
        </w:rPr>
      </w:pPr>
      <w:r>
        <w:rPr>
          <w:rFonts w:cs="Times New Roman"/>
          <w:sz w:val="24"/>
          <w:szCs w:val="24"/>
        </w:rPr>
        <w:t xml:space="preserve">Tea auction centres in India sold during 2015 a </w:t>
      </w:r>
      <w:proofErr w:type="gramStart"/>
      <w:r>
        <w:rPr>
          <w:rFonts w:cs="Times New Roman"/>
          <w:sz w:val="24"/>
          <w:szCs w:val="24"/>
        </w:rPr>
        <w:t>quantity  of</w:t>
      </w:r>
      <w:proofErr w:type="gramEnd"/>
      <w:r>
        <w:rPr>
          <w:rFonts w:cs="Times New Roman"/>
          <w:sz w:val="24"/>
          <w:szCs w:val="24"/>
        </w:rPr>
        <w:t xml:space="preserve"> 561.99 </w:t>
      </w:r>
      <w:proofErr w:type="spellStart"/>
      <w:r>
        <w:rPr>
          <w:rFonts w:cs="Times New Roman"/>
          <w:sz w:val="24"/>
          <w:szCs w:val="24"/>
        </w:rPr>
        <w:t>M.Kgs</w:t>
      </w:r>
      <w:proofErr w:type="spellEnd"/>
      <w:r>
        <w:rPr>
          <w:rFonts w:cs="Times New Roman"/>
          <w:sz w:val="24"/>
          <w:szCs w:val="24"/>
        </w:rPr>
        <w:t xml:space="preserve">., with average auction price of </w:t>
      </w:r>
      <w:proofErr w:type="spellStart"/>
      <w:r>
        <w:rPr>
          <w:rFonts w:cs="Times New Roman"/>
          <w:sz w:val="24"/>
          <w:szCs w:val="24"/>
        </w:rPr>
        <w:t>Rs</w:t>
      </w:r>
      <w:proofErr w:type="spellEnd"/>
      <w:r>
        <w:rPr>
          <w:rFonts w:cs="Times New Roman"/>
          <w:sz w:val="24"/>
          <w:szCs w:val="24"/>
        </w:rPr>
        <w:t>. 124.48 per Kg (</w:t>
      </w:r>
      <w:r w:rsidR="00656A3E">
        <w:rPr>
          <w:rFonts w:cs="Times New Roman"/>
          <w:sz w:val="24"/>
          <w:szCs w:val="24"/>
        </w:rPr>
        <w:t>USD</w:t>
      </w:r>
      <w:r>
        <w:rPr>
          <w:rFonts w:cs="Times New Roman"/>
          <w:sz w:val="24"/>
          <w:szCs w:val="24"/>
        </w:rPr>
        <w:t xml:space="preserve"> 1.94).</w:t>
      </w:r>
    </w:p>
    <w:p w:rsidR="00D320BC" w:rsidRDefault="00D320BC" w:rsidP="00D320BC">
      <w:pPr>
        <w:pStyle w:val="ListParagraph"/>
        <w:numPr>
          <w:ilvl w:val="0"/>
          <w:numId w:val="37"/>
        </w:numPr>
        <w:spacing w:after="0"/>
        <w:ind w:left="1843" w:hanging="108"/>
        <w:jc w:val="both"/>
        <w:rPr>
          <w:rFonts w:cs="Times New Roman"/>
          <w:sz w:val="24"/>
          <w:szCs w:val="24"/>
        </w:rPr>
      </w:pPr>
      <w:r>
        <w:rPr>
          <w:rFonts w:cs="Times New Roman"/>
          <w:sz w:val="24"/>
          <w:szCs w:val="24"/>
        </w:rPr>
        <w:t xml:space="preserve">North India auction centres sold a quantity of 414.63 </w:t>
      </w:r>
      <w:proofErr w:type="spellStart"/>
      <w:r>
        <w:rPr>
          <w:rFonts w:cs="Times New Roman"/>
          <w:sz w:val="24"/>
          <w:szCs w:val="24"/>
        </w:rPr>
        <w:t>M.Kgs</w:t>
      </w:r>
      <w:proofErr w:type="spellEnd"/>
      <w:r>
        <w:rPr>
          <w:rFonts w:cs="Times New Roman"/>
          <w:sz w:val="24"/>
          <w:szCs w:val="24"/>
        </w:rPr>
        <w:t xml:space="preserve">., with average auction price of </w:t>
      </w:r>
      <w:proofErr w:type="spellStart"/>
      <w:r>
        <w:rPr>
          <w:rFonts w:cs="Times New Roman"/>
          <w:sz w:val="24"/>
          <w:szCs w:val="24"/>
        </w:rPr>
        <w:t>Rs</w:t>
      </w:r>
      <w:proofErr w:type="spellEnd"/>
      <w:r>
        <w:rPr>
          <w:rFonts w:cs="Times New Roman"/>
          <w:sz w:val="24"/>
          <w:szCs w:val="24"/>
        </w:rPr>
        <w:t>. 139.79 per Kg,(</w:t>
      </w:r>
      <w:r w:rsidR="00656A3E">
        <w:rPr>
          <w:rFonts w:cs="Times New Roman"/>
          <w:sz w:val="24"/>
          <w:szCs w:val="24"/>
        </w:rPr>
        <w:t>USD</w:t>
      </w:r>
      <w:r>
        <w:rPr>
          <w:rFonts w:cs="Times New Roman"/>
          <w:sz w:val="24"/>
          <w:szCs w:val="24"/>
        </w:rPr>
        <w:t xml:space="preserve"> 2.18) while</w:t>
      </w:r>
    </w:p>
    <w:p w:rsidR="00D320BC" w:rsidRDefault="00D320BC" w:rsidP="00D320BC">
      <w:pPr>
        <w:pStyle w:val="ListParagraph"/>
        <w:numPr>
          <w:ilvl w:val="0"/>
          <w:numId w:val="36"/>
        </w:numPr>
        <w:spacing w:after="0"/>
        <w:jc w:val="both"/>
        <w:rPr>
          <w:rFonts w:cs="Times New Roman"/>
          <w:sz w:val="24"/>
          <w:szCs w:val="24"/>
        </w:rPr>
      </w:pPr>
      <w:r w:rsidRPr="007506AA">
        <w:rPr>
          <w:rFonts w:cs="Times New Roman"/>
          <w:sz w:val="24"/>
          <w:szCs w:val="24"/>
        </w:rPr>
        <w:t xml:space="preserve">South India auction centres sold a quantity of </w:t>
      </w:r>
      <w:r>
        <w:rPr>
          <w:rFonts w:cs="Times New Roman"/>
          <w:sz w:val="24"/>
          <w:szCs w:val="24"/>
        </w:rPr>
        <w:t>147.36</w:t>
      </w:r>
      <w:r w:rsidRPr="007506AA">
        <w:rPr>
          <w:rFonts w:cs="Times New Roman"/>
          <w:sz w:val="24"/>
          <w:szCs w:val="24"/>
        </w:rPr>
        <w:t xml:space="preserve"> </w:t>
      </w:r>
      <w:proofErr w:type="spellStart"/>
      <w:proofErr w:type="gramStart"/>
      <w:r w:rsidRPr="007506AA">
        <w:rPr>
          <w:rFonts w:cs="Times New Roman"/>
          <w:sz w:val="24"/>
          <w:szCs w:val="24"/>
        </w:rPr>
        <w:t>M.Kgs</w:t>
      </w:r>
      <w:proofErr w:type="spellEnd"/>
      <w:r w:rsidRPr="007506AA">
        <w:rPr>
          <w:rFonts w:cs="Times New Roman"/>
          <w:sz w:val="24"/>
          <w:szCs w:val="24"/>
        </w:rPr>
        <w:t>.,</w:t>
      </w:r>
      <w:proofErr w:type="gramEnd"/>
      <w:r w:rsidRPr="007506AA">
        <w:rPr>
          <w:rFonts w:cs="Times New Roman"/>
          <w:sz w:val="24"/>
          <w:szCs w:val="24"/>
        </w:rPr>
        <w:t xml:space="preserve"> with average auction price of </w:t>
      </w:r>
      <w:proofErr w:type="spellStart"/>
      <w:r w:rsidRPr="007506AA">
        <w:rPr>
          <w:rFonts w:cs="Times New Roman"/>
          <w:sz w:val="24"/>
          <w:szCs w:val="24"/>
        </w:rPr>
        <w:t>Rs</w:t>
      </w:r>
      <w:proofErr w:type="spellEnd"/>
      <w:r w:rsidRPr="007506AA">
        <w:rPr>
          <w:rFonts w:cs="Times New Roman"/>
          <w:sz w:val="24"/>
          <w:szCs w:val="24"/>
        </w:rPr>
        <w:t>. 8</w:t>
      </w:r>
      <w:r>
        <w:rPr>
          <w:rFonts w:cs="Times New Roman"/>
          <w:sz w:val="24"/>
          <w:szCs w:val="24"/>
        </w:rPr>
        <w:t>1.40</w:t>
      </w:r>
      <w:r w:rsidRPr="007506AA">
        <w:rPr>
          <w:rFonts w:cs="Times New Roman"/>
          <w:sz w:val="24"/>
          <w:szCs w:val="24"/>
        </w:rPr>
        <w:t xml:space="preserve"> </w:t>
      </w:r>
      <w:r>
        <w:rPr>
          <w:rFonts w:cs="Times New Roman"/>
          <w:sz w:val="24"/>
          <w:szCs w:val="24"/>
        </w:rPr>
        <w:t xml:space="preserve"> (</w:t>
      </w:r>
      <w:r w:rsidR="00656A3E">
        <w:rPr>
          <w:rFonts w:cs="Times New Roman"/>
          <w:sz w:val="24"/>
          <w:szCs w:val="24"/>
        </w:rPr>
        <w:t>USD</w:t>
      </w:r>
      <w:r>
        <w:rPr>
          <w:rFonts w:cs="Times New Roman"/>
          <w:sz w:val="24"/>
          <w:szCs w:val="24"/>
        </w:rPr>
        <w:t xml:space="preserve"> 1.27) </w:t>
      </w:r>
      <w:r w:rsidRPr="007506AA">
        <w:rPr>
          <w:rFonts w:cs="Times New Roman"/>
          <w:sz w:val="24"/>
          <w:szCs w:val="24"/>
        </w:rPr>
        <w:t>per Kg.</w:t>
      </w:r>
    </w:p>
    <w:p w:rsidR="00D320BC" w:rsidRDefault="00D320BC" w:rsidP="00D320BC">
      <w:pPr>
        <w:pStyle w:val="ListParagraph"/>
        <w:numPr>
          <w:ilvl w:val="0"/>
          <w:numId w:val="39"/>
        </w:numPr>
        <w:spacing w:after="0"/>
        <w:jc w:val="both"/>
        <w:rPr>
          <w:rFonts w:cs="Times New Roman"/>
          <w:sz w:val="24"/>
          <w:szCs w:val="24"/>
        </w:rPr>
      </w:pPr>
      <w:r>
        <w:rPr>
          <w:rFonts w:cs="Times New Roman"/>
          <w:sz w:val="24"/>
          <w:szCs w:val="24"/>
        </w:rPr>
        <w:t xml:space="preserve">Apparent domestic consumption during 2015 was 948 </w:t>
      </w:r>
      <w:proofErr w:type="spellStart"/>
      <w:r>
        <w:rPr>
          <w:rFonts w:cs="Times New Roman"/>
          <w:sz w:val="24"/>
          <w:szCs w:val="24"/>
        </w:rPr>
        <w:t>M.Kgs</w:t>
      </w:r>
      <w:proofErr w:type="spellEnd"/>
      <w:r>
        <w:rPr>
          <w:rFonts w:cs="Times New Roman"/>
          <w:sz w:val="24"/>
          <w:szCs w:val="24"/>
        </w:rPr>
        <w:t>.</w:t>
      </w:r>
    </w:p>
    <w:p w:rsidR="00D320BC" w:rsidRDefault="00D320BC" w:rsidP="00D320BC">
      <w:pPr>
        <w:spacing w:after="0"/>
        <w:jc w:val="both"/>
        <w:rPr>
          <w:rFonts w:cs="Times New Roman"/>
          <w:sz w:val="24"/>
          <w:szCs w:val="24"/>
        </w:rPr>
      </w:pPr>
      <w:r>
        <w:rPr>
          <w:rFonts w:cs="Times New Roman"/>
          <w:sz w:val="24"/>
          <w:szCs w:val="24"/>
        </w:rPr>
        <w:br w:type="page"/>
      </w:r>
      <w:bookmarkStart w:id="2" w:name="_GoBack"/>
      <w:bookmarkEnd w:id="2"/>
    </w:p>
    <w:p w:rsidR="00D320BC" w:rsidRPr="00BF19D4" w:rsidRDefault="00D320BC" w:rsidP="00D320BC">
      <w:pPr>
        <w:spacing w:after="0"/>
        <w:jc w:val="both"/>
        <w:rPr>
          <w:rFonts w:cs="Times New Roman"/>
          <w:b/>
          <w:bCs/>
          <w:sz w:val="24"/>
          <w:szCs w:val="24"/>
        </w:rPr>
      </w:pPr>
      <w:r w:rsidRPr="00BF19D4">
        <w:rPr>
          <w:rFonts w:cs="Times New Roman"/>
          <w:b/>
          <w:bCs/>
          <w:sz w:val="24"/>
          <w:szCs w:val="24"/>
        </w:rPr>
        <w:lastRenderedPageBreak/>
        <w:t xml:space="preserve">3. </w:t>
      </w:r>
      <w:r w:rsidRPr="00BF19D4">
        <w:rPr>
          <w:rFonts w:cs="Times New Roman"/>
          <w:b/>
          <w:bCs/>
          <w:sz w:val="24"/>
          <w:szCs w:val="24"/>
          <w:u w:val="single"/>
        </w:rPr>
        <w:t>Outlook for 201</w:t>
      </w:r>
      <w:r>
        <w:rPr>
          <w:rFonts w:cs="Times New Roman"/>
          <w:b/>
          <w:bCs/>
          <w:sz w:val="24"/>
          <w:szCs w:val="24"/>
          <w:u w:val="single"/>
        </w:rPr>
        <w:t>6</w:t>
      </w:r>
      <w:r w:rsidRPr="00BF19D4">
        <w:rPr>
          <w:rFonts w:cs="Times New Roman"/>
          <w:b/>
          <w:bCs/>
          <w:sz w:val="24"/>
          <w:szCs w:val="24"/>
          <w:u w:val="single"/>
        </w:rPr>
        <w:t xml:space="preserve"> tea season</w:t>
      </w:r>
      <w:r w:rsidRPr="00BF19D4">
        <w:rPr>
          <w:rFonts w:cs="Times New Roman"/>
          <w:b/>
          <w:bCs/>
          <w:sz w:val="24"/>
          <w:szCs w:val="24"/>
        </w:rPr>
        <w:t>:</w:t>
      </w:r>
    </w:p>
    <w:p w:rsidR="00D320BC" w:rsidRDefault="00D320BC" w:rsidP="00D320BC">
      <w:pPr>
        <w:spacing w:after="0"/>
        <w:jc w:val="both"/>
        <w:rPr>
          <w:rFonts w:cs="Times New Roman"/>
          <w:sz w:val="24"/>
          <w:szCs w:val="24"/>
        </w:rPr>
      </w:pPr>
    </w:p>
    <w:p w:rsidR="00D320BC" w:rsidRDefault="00D320BC" w:rsidP="00D320BC">
      <w:pPr>
        <w:spacing w:after="0"/>
        <w:jc w:val="both"/>
        <w:rPr>
          <w:rFonts w:cs="Times New Roman"/>
          <w:sz w:val="24"/>
          <w:szCs w:val="24"/>
        </w:rPr>
      </w:pPr>
      <w:r>
        <w:rPr>
          <w:rFonts w:cs="Times New Roman"/>
          <w:sz w:val="24"/>
          <w:szCs w:val="24"/>
        </w:rPr>
        <w:tab/>
        <w:t>It is too early to precise the estimates for 2016, as the production depends on various agro climatic conditions. However, considering the trend over previous years, it is expected that production, exports and import maintain upward trend which are likely as follows:</w:t>
      </w:r>
    </w:p>
    <w:p w:rsidR="00D320BC" w:rsidRDefault="00D320BC" w:rsidP="00D320BC">
      <w:pPr>
        <w:spacing w:after="0"/>
        <w:jc w:val="both"/>
        <w:rPr>
          <w:rFonts w:cs="Times New Roman"/>
          <w:sz w:val="24"/>
          <w:szCs w:val="24"/>
        </w:rPr>
      </w:pPr>
    </w:p>
    <w:p w:rsidR="00D320BC" w:rsidRDefault="00D320BC" w:rsidP="00D320BC">
      <w:pPr>
        <w:spacing w:after="0"/>
        <w:ind w:firstLine="720"/>
        <w:jc w:val="both"/>
        <w:rPr>
          <w:rFonts w:cs="Times New Roman"/>
          <w:sz w:val="24"/>
          <w:szCs w:val="24"/>
        </w:rPr>
      </w:pPr>
      <w:r>
        <w:rPr>
          <w:rFonts w:cs="Times New Roman"/>
          <w:sz w:val="24"/>
          <w:szCs w:val="24"/>
        </w:rPr>
        <w:t>Production</w:t>
      </w:r>
      <w:r>
        <w:rPr>
          <w:rFonts w:cs="Times New Roman"/>
          <w:sz w:val="24"/>
          <w:szCs w:val="24"/>
        </w:rPr>
        <w:tab/>
      </w:r>
      <w:r>
        <w:rPr>
          <w:rFonts w:cs="Times New Roman"/>
          <w:sz w:val="24"/>
          <w:szCs w:val="24"/>
        </w:rPr>
        <w:tab/>
        <w:t>:</w:t>
      </w:r>
      <w:r>
        <w:rPr>
          <w:rFonts w:cs="Times New Roman"/>
          <w:sz w:val="24"/>
          <w:szCs w:val="24"/>
        </w:rPr>
        <w:tab/>
        <w:t xml:space="preserve">1210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w:t>
      </w:r>
    </w:p>
    <w:p w:rsidR="00D320BC" w:rsidRDefault="00D320BC" w:rsidP="00D320BC">
      <w:pPr>
        <w:spacing w:after="0"/>
        <w:ind w:firstLine="720"/>
        <w:jc w:val="both"/>
        <w:rPr>
          <w:rFonts w:cs="Times New Roman"/>
          <w:sz w:val="24"/>
          <w:szCs w:val="24"/>
        </w:rPr>
      </w:pPr>
      <w:r>
        <w:rPr>
          <w:rFonts w:cs="Times New Roman"/>
          <w:sz w:val="24"/>
          <w:szCs w:val="24"/>
        </w:rPr>
        <w:t>Exports</w:t>
      </w:r>
      <w:r>
        <w:rPr>
          <w:rFonts w:cs="Times New Roman"/>
          <w:sz w:val="24"/>
          <w:szCs w:val="24"/>
        </w:rPr>
        <w:tab/>
      </w:r>
      <w:r>
        <w:rPr>
          <w:rFonts w:cs="Times New Roman"/>
          <w:sz w:val="24"/>
          <w:szCs w:val="24"/>
        </w:rPr>
        <w:tab/>
        <w:t>:</w:t>
      </w:r>
      <w:r>
        <w:rPr>
          <w:rFonts w:cs="Times New Roman"/>
          <w:sz w:val="24"/>
          <w:szCs w:val="24"/>
        </w:rPr>
        <w:tab/>
      </w:r>
      <w:proofErr w:type="gramStart"/>
      <w:r>
        <w:rPr>
          <w:rFonts w:cs="Times New Roman"/>
          <w:sz w:val="24"/>
          <w:szCs w:val="24"/>
        </w:rPr>
        <w:t xml:space="preserve">227 </w:t>
      </w:r>
      <w:proofErr w:type="spellStart"/>
      <w:r>
        <w:rPr>
          <w:rFonts w:cs="Times New Roman"/>
          <w:sz w:val="24"/>
          <w:szCs w:val="24"/>
        </w:rPr>
        <w:t>M.Kgs</w:t>
      </w:r>
      <w:proofErr w:type="spellEnd"/>
      <w:proofErr w:type="gramEnd"/>
      <w:r>
        <w:rPr>
          <w:rFonts w:cs="Times New Roman"/>
          <w:sz w:val="24"/>
          <w:szCs w:val="24"/>
        </w:rPr>
        <w:t xml:space="preserve"> </w:t>
      </w:r>
    </w:p>
    <w:p w:rsidR="00D320BC" w:rsidRDefault="00D320BC" w:rsidP="00D320BC">
      <w:pPr>
        <w:spacing w:after="0"/>
        <w:ind w:firstLine="720"/>
        <w:jc w:val="both"/>
        <w:rPr>
          <w:rFonts w:cs="Times New Roman"/>
          <w:sz w:val="24"/>
          <w:szCs w:val="24"/>
        </w:rPr>
      </w:pPr>
      <w:r>
        <w:rPr>
          <w:rFonts w:cs="Times New Roman"/>
          <w:sz w:val="24"/>
          <w:szCs w:val="24"/>
        </w:rPr>
        <w:t>Imports</w:t>
      </w:r>
      <w:r>
        <w:rPr>
          <w:rFonts w:cs="Times New Roman"/>
          <w:sz w:val="24"/>
          <w:szCs w:val="24"/>
        </w:rPr>
        <w:tab/>
      </w:r>
      <w:r>
        <w:rPr>
          <w:rFonts w:cs="Times New Roman"/>
          <w:sz w:val="24"/>
          <w:szCs w:val="24"/>
        </w:rPr>
        <w:tab/>
        <w:t>:</w:t>
      </w:r>
      <w:r>
        <w:rPr>
          <w:rFonts w:cs="Times New Roman"/>
          <w:sz w:val="24"/>
          <w:szCs w:val="24"/>
        </w:rPr>
        <w:tab/>
        <w:t xml:space="preserve">20 </w:t>
      </w:r>
      <w:proofErr w:type="spellStart"/>
      <w:proofErr w:type="gramStart"/>
      <w:r>
        <w:rPr>
          <w:rFonts w:cs="Times New Roman"/>
          <w:sz w:val="24"/>
          <w:szCs w:val="24"/>
        </w:rPr>
        <w:t>M.Kgs</w:t>
      </w:r>
      <w:proofErr w:type="spellEnd"/>
      <w:r>
        <w:rPr>
          <w:rFonts w:cs="Times New Roman"/>
          <w:sz w:val="24"/>
          <w:szCs w:val="24"/>
        </w:rPr>
        <w:t>.,</w:t>
      </w:r>
      <w:proofErr w:type="gramEnd"/>
      <w:r>
        <w:rPr>
          <w:rFonts w:cs="Times New Roman"/>
          <w:sz w:val="24"/>
          <w:szCs w:val="24"/>
        </w:rPr>
        <w:t xml:space="preserve"> </w:t>
      </w:r>
    </w:p>
    <w:p w:rsidR="00D320BC" w:rsidRPr="00BF19D4" w:rsidRDefault="00D320BC" w:rsidP="00D320BC">
      <w:pPr>
        <w:spacing w:after="0"/>
        <w:ind w:firstLine="720"/>
        <w:jc w:val="both"/>
        <w:rPr>
          <w:rFonts w:cs="Times New Roman"/>
          <w:sz w:val="24"/>
          <w:szCs w:val="24"/>
        </w:rPr>
      </w:pPr>
      <w:r>
        <w:rPr>
          <w:rFonts w:cs="Times New Roman"/>
          <w:sz w:val="24"/>
          <w:szCs w:val="24"/>
        </w:rPr>
        <w:t>Apparent consumption:</w:t>
      </w:r>
      <w:r>
        <w:rPr>
          <w:rFonts w:cs="Times New Roman"/>
          <w:sz w:val="24"/>
          <w:szCs w:val="24"/>
        </w:rPr>
        <w:tab/>
        <w:t xml:space="preserve">974 </w:t>
      </w:r>
      <w:proofErr w:type="spellStart"/>
      <w:r>
        <w:rPr>
          <w:rFonts w:cs="Times New Roman"/>
          <w:sz w:val="24"/>
          <w:szCs w:val="24"/>
        </w:rPr>
        <w:t>M.Kgs</w:t>
      </w:r>
      <w:proofErr w:type="spellEnd"/>
      <w:r>
        <w:rPr>
          <w:rFonts w:cs="Times New Roman"/>
          <w:sz w:val="24"/>
          <w:szCs w:val="24"/>
        </w:rPr>
        <w:t xml:space="preserve">. </w:t>
      </w:r>
    </w:p>
    <w:p w:rsidR="00D320BC" w:rsidRDefault="00D320BC" w:rsidP="00FD1C0B">
      <w:pPr>
        <w:spacing w:after="0"/>
      </w:pPr>
    </w:p>
    <w:sectPr w:rsidR="00D320BC" w:rsidSect="00140F94">
      <w:headerReference w:type="even" r:id="rId9"/>
      <w:headerReference w:type="default" r:id="rId10"/>
      <w:headerReference w:type="first" r:id="rId11"/>
      <w:footerReference w:type="first" r:id="rId12"/>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656A3E">
      <w:rPr>
        <w:noProof/>
      </w:rPr>
      <w:t>2</w:t>
    </w:r>
    <w:r>
      <w:rPr>
        <w:noProof/>
      </w:rPr>
      <w:fldChar w:fldCharType="end"/>
    </w:r>
    <w:r>
      <w:ptab w:relativeTo="margin" w:alignment="right" w:leader="none"/>
    </w:r>
    <w:r w:rsidRPr="00172E88">
      <w:t xml:space="preserve"> </w:t>
    </w:r>
    <w:bookmarkStart w:id="3" w:name="EvenIdentificationBookmark"/>
    <w:r>
      <w:t>CCP</w:t>
    </w:r>
    <w:proofErr w:type="gramStart"/>
    <w:r>
      <w:t>:TE</w:t>
    </w:r>
    <w:proofErr w:type="gramEnd"/>
    <w:r>
      <w:t xml:space="preserve"> 16/</w:t>
    </w:r>
    <w:bookmarkEnd w:id="3"/>
    <w:r w:rsidR="00687F71">
      <w:t>CRS</w:t>
    </w:r>
    <w:r w:rsidR="00D320BC">
      <w:t>8</w:t>
    </w:r>
  </w:p>
  <w:p w:rsidR="003E6ECD" w:rsidRPr="00502C1C" w:rsidRDefault="003E6ECD"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bookmarkStart w:id="4" w:name="OddIdentificationBookmark"/>
    <w:r>
      <w:t>CCP</w:t>
    </w:r>
    <w:proofErr w:type="gramStart"/>
    <w:r>
      <w:t>:TE</w:t>
    </w:r>
    <w:proofErr w:type="gramEnd"/>
    <w:r>
      <w:t xml:space="preserve"> 16/</w:t>
    </w:r>
    <w:bookmarkEnd w:id="4"/>
    <w:r w:rsidR="009D0364">
      <w:t>CRS</w:t>
    </w:r>
    <w:r w:rsidR="00850A80">
      <w:t>7</w:t>
    </w:r>
    <w:r>
      <w:ptab w:relativeTo="margin" w:alignment="right" w:leader="none"/>
    </w:r>
    <w:r>
      <w:fldChar w:fldCharType="begin"/>
    </w:r>
    <w:r>
      <w:instrText xml:space="preserve"> PAGE  \* Arabic  \* MERGEFORMAT </w:instrText>
    </w:r>
    <w:r>
      <w:fldChar w:fldCharType="separate"/>
    </w:r>
    <w:r w:rsidR="00656A3E">
      <w:rPr>
        <w:noProof/>
      </w:rPr>
      <w:t>3</w:t>
    </w:r>
    <w:r>
      <w:rPr>
        <w:noProof/>
      </w:rPr>
      <w:fldChar w:fldCharType="end"/>
    </w:r>
  </w:p>
  <w:p w:rsidR="003E6ECD" w:rsidRPr="00502C1C" w:rsidRDefault="003E6ECD"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5"/>
        <w:p w:rsidR="003E6ECD" w:rsidRDefault="009D0364" w:rsidP="003E6ECD">
          <w:r>
            <w:t>May</w:t>
          </w:r>
          <w:r w:rsidR="003E6ECD">
            <w:t xml:space="preserve"> 2016</w:t>
          </w:r>
        </w:p>
      </w:tc>
      <w:tc>
        <w:tcPr>
          <w:tcW w:w="2500" w:type="pct"/>
          <w:noWrap/>
          <w:tcMar>
            <w:right w:w="0" w:type="dxa"/>
          </w:tcMar>
        </w:tcPr>
        <w:p w:rsidR="003E6ECD" w:rsidRDefault="003E6ECD" w:rsidP="00D320BC">
          <w:pPr>
            <w:jc w:val="right"/>
          </w:pPr>
          <w:bookmarkStart w:id="6" w:name="FirstCoverIdentificationBookmark"/>
          <w:r>
            <w:t>CCP:TE 16/</w:t>
          </w:r>
          <w:bookmarkEnd w:id="6"/>
          <w:r w:rsidR="009D0364">
            <w:t>CRS</w:t>
          </w:r>
          <w:r w:rsidR="00D320BC">
            <w:t>8</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7" w:name="LogoBookmark"/>
    <w:r>
      <w:rPr>
        <w:noProof/>
        <w:lang w:eastAsia="en-GB"/>
      </w:rPr>
      <w:drawing>
        <wp:inline distT="0" distB="0" distL="0" distR="0" wp14:anchorId="75A52D24" wp14:editId="5CC1C04D">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0C77135"/>
    <w:multiLevelType w:val="multilevel"/>
    <w:tmpl w:val="9CC0184C"/>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9DB4B70"/>
    <w:multiLevelType w:val="hybridMultilevel"/>
    <w:tmpl w:val="B4244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E27F14"/>
    <w:multiLevelType w:val="multilevel"/>
    <w:tmpl w:val="D7323622"/>
    <w:lvl w:ilvl="0">
      <w:start w:val="3"/>
      <w:numFmt w:val="decimal"/>
      <w:lvlText w:val="%1"/>
      <w:lvlJc w:val="left"/>
      <w:pPr>
        <w:ind w:left="375" w:hanging="375"/>
      </w:pPr>
      <w:rPr>
        <w:rFonts w:hint="default"/>
      </w:rPr>
    </w:lvl>
    <w:lvl w:ilvl="1">
      <w:start w:val="4"/>
      <w:numFmt w:val="decimal"/>
      <w:lvlText w:val="%1.%2"/>
      <w:lvlJc w:val="left"/>
      <w:pPr>
        <w:ind w:left="2878" w:hanging="720"/>
      </w:pPr>
      <w:rPr>
        <w:rFonts w:hint="default"/>
      </w:rPr>
    </w:lvl>
    <w:lvl w:ilvl="2">
      <w:start w:val="1"/>
      <w:numFmt w:val="decimal"/>
      <w:lvlText w:val="%1.%2.%3"/>
      <w:lvlJc w:val="left"/>
      <w:pPr>
        <w:ind w:left="5036" w:hanging="720"/>
      </w:pPr>
      <w:rPr>
        <w:rFonts w:hint="default"/>
      </w:rPr>
    </w:lvl>
    <w:lvl w:ilvl="3">
      <w:start w:val="1"/>
      <w:numFmt w:val="decimal"/>
      <w:lvlText w:val="%1.%2.%3.%4"/>
      <w:lvlJc w:val="left"/>
      <w:pPr>
        <w:ind w:left="7554" w:hanging="1080"/>
      </w:pPr>
      <w:rPr>
        <w:rFonts w:hint="default"/>
      </w:rPr>
    </w:lvl>
    <w:lvl w:ilvl="4">
      <w:start w:val="1"/>
      <w:numFmt w:val="decimal"/>
      <w:lvlText w:val="%1.%2.%3.%4.%5"/>
      <w:lvlJc w:val="left"/>
      <w:pPr>
        <w:ind w:left="9712" w:hanging="1080"/>
      </w:pPr>
      <w:rPr>
        <w:rFonts w:hint="default"/>
      </w:rPr>
    </w:lvl>
    <w:lvl w:ilvl="5">
      <w:start w:val="1"/>
      <w:numFmt w:val="decimal"/>
      <w:lvlText w:val="%1.%2.%3.%4.%5.%6"/>
      <w:lvlJc w:val="left"/>
      <w:pPr>
        <w:ind w:left="12230" w:hanging="1440"/>
      </w:pPr>
      <w:rPr>
        <w:rFonts w:hint="default"/>
      </w:rPr>
    </w:lvl>
    <w:lvl w:ilvl="6">
      <w:start w:val="1"/>
      <w:numFmt w:val="decimal"/>
      <w:lvlText w:val="%1.%2.%3.%4.%5.%6.%7"/>
      <w:lvlJc w:val="left"/>
      <w:pPr>
        <w:ind w:left="14748" w:hanging="1800"/>
      </w:pPr>
      <w:rPr>
        <w:rFonts w:hint="default"/>
      </w:rPr>
    </w:lvl>
    <w:lvl w:ilvl="7">
      <w:start w:val="1"/>
      <w:numFmt w:val="decimal"/>
      <w:lvlText w:val="%1.%2.%3.%4.%5.%6.%7.%8"/>
      <w:lvlJc w:val="left"/>
      <w:pPr>
        <w:ind w:left="16906" w:hanging="1800"/>
      </w:pPr>
      <w:rPr>
        <w:rFonts w:hint="default"/>
      </w:rPr>
    </w:lvl>
    <w:lvl w:ilvl="8">
      <w:start w:val="1"/>
      <w:numFmt w:val="decimal"/>
      <w:lvlText w:val="%1.%2.%3.%4.%5.%6.%7.%8.%9"/>
      <w:lvlJc w:val="left"/>
      <w:pPr>
        <w:ind w:left="19424" w:hanging="2160"/>
      </w:pPr>
      <w:rPr>
        <w:rFonts w:hint="default"/>
      </w:rPr>
    </w:lvl>
  </w:abstractNum>
  <w:abstractNum w:abstractNumId="5">
    <w:nsid w:val="0E56291E"/>
    <w:multiLevelType w:val="multilevel"/>
    <w:tmpl w:val="4D4E1C7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EBA154D"/>
    <w:multiLevelType w:val="hybridMultilevel"/>
    <w:tmpl w:val="C04E02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293E5A"/>
    <w:multiLevelType w:val="hybridMultilevel"/>
    <w:tmpl w:val="7B4CA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1EFA2217"/>
    <w:multiLevelType w:val="hybridMultilevel"/>
    <w:tmpl w:val="0EFE9876"/>
    <w:lvl w:ilvl="0" w:tplc="B9F0BDA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4D2209"/>
    <w:multiLevelType w:val="multilevel"/>
    <w:tmpl w:val="FD181E9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ED97ED5"/>
    <w:multiLevelType w:val="hybridMultilevel"/>
    <w:tmpl w:val="11868D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330C0D06"/>
    <w:multiLevelType w:val="multilevel"/>
    <w:tmpl w:val="9E7C9446"/>
    <w:lvl w:ilvl="0">
      <w:start w:val="1"/>
      <w:numFmt w:val="decimal"/>
      <w:lvlText w:val="%1.0"/>
      <w:lvlJc w:val="left"/>
      <w:pPr>
        <w:ind w:left="21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280" w:hanging="1440"/>
      </w:pPr>
      <w:rPr>
        <w:rFonts w:hint="default"/>
      </w:rPr>
    </w:lvl>
    <w:lvl w:ilvl="8">
      <w:start w:val="1"/>
      <w:numFmt w:val="decimal"/>
      <w:lvlText w:val="%1.%2.%3.%4.%5.%6.%7.%8.%9"/>
      <w:lvlJc w:val="left"/>
      <w:pPr>
        <w:ind w:left="9360" w:hanging="1800"/>
      </w:pPr>
      <w:rPr>
        <w:rFonts w:hint="default"/>
      </w:rPr>
    </w:lvl>
  </w:abstractNum>
  <w:abstractNum w:abstractNumId="12">
    <w:nsid w:val="3EDE0E91"/>
    <w:multiLevelType w:val="hybridMultilevel"/>
    <w:tmpl w:val="2970F94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40D8B"/>
    <w:multiLevelType w:val="hybridMultilevel"/>
    <w:tmpl w:val="A0AA0F0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6">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8">
    <w:nsid w:val="63586BEB"/>
    <w:multiLevelType w:val="hybridMultilevel"/>
    <w:tmpl w:val="FCB8E370"/>
    <w:lvl w:ilvl="0" w:tplc="40090003">
      <w:start w:val="1"/>
      <w:numFmt w:val="bullet"/>
      <w:lvlText w:val="o"/>
      <w:lvlJc w:val="left"/>
      <w:pPr>
        <w:ind w:left="2520" w:hanging="360"/>
      </w:pPr>
      <w:rPr>
        <w:rFonts w:ascii="Courier New" w:hAnsi="Courier New" w:cs="Courier New"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9">
    <w:nsid w:val="6BD939F8"/>
    <w:multiLevelType w:val="hybridMultilevel"/>
    <w:tmpl w:val="51EC55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70B9274F"/>
    <w:multiLevelType w:val="hybridMultilevel"/>
    <w:tmpl w:val="05DE7A24"/>
    <w:lvl w:ilvl="0" w:tplc="45FC4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9F3BE4"/>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13"/>
  </w:num>
  <w:num w:numId="3">
    <w:abstractNumId w:val="16"/>
  </w:num>
  <w:num w:numId="4">
    <w:abstractNumId w:val="1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lvlOverride w:ilvl="0">
      <w:startOverride w:val="10"/>
    </w:lvlOverride>
  </w:num>
  <w:num w:numId="8">
    <w:abstractNumId w:val="17"/>
  </w:num>
  <w:num w:numId="9">
    <w:abstractNumId w:val="2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7"/>
  </w:num>
  <w:num w:numId="23">
    <w:abstractNumId w:val="17"/>
  </w:num>
  <w:num w:numId="24">
    <w:abstractNumId w:val="22"/>
  </w:num>
  <w:num w:numId="25">
    <w:abstractNumId w:val="20"/>
  </w:num>
  <w:num w:numId="26">
    <w:abstractNumId w:val="8"/>
  </w:num>
  <w:num w:numId="27">
    <w:abstractNumId w:val="6"/>
  </w:num>
  <w:num w:numId="28">
    <w:abstractNumId w:val="5"/>
  </w:num>
  <w:num w:numId="29">
    <w:abstractNumId w:val="11"/>
  </w:num>
  <w:num w:numId="30">
    <w:abstractNumId w:val="1"/>
  </w:num>
  <w:num w:numId="31">
    <w:abstractNumId w:val="4"/>
  </w:num>
  <w:num w:numId="32">
    <w:abstractNumId w:val="9"/>
  </w:num>
  <w:num w:numId="33">
    <w:abstractNumId w:val="19"/>
  </w:num>
  <w:num w:numId="34">
    <w:abstractNumId w:val="12"/>
  </w:num>
  <w:num w:numId="35">
    <w:abstractNumId w:val="3"/>
  </w:num>
  <w:num w:numId="36">
    <w:abstractNumId w:val="14"/>
  </w:num>
  <w:num w:numId="37">
    <w:abstractNumId w:val="18"/>
  </w:num>
  <w:num w:numId="38">
    <w:abstractNumId w:val="10"/>
  </w:num>
  <w:num w:numId="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167AC"/>
    <w:rsid w:val="00550E3C"/>
    <w:rsid w:val="005640C0"/>
    <w:rsid w:val="0057792E"/>
    <w:rsid w:val="00587B7E"/>
    <w:rsid w:val="0059329E"/>
    <w:rsid w:val="005B4535"/>
    <w:rsid w:val="005D12FF"/>
    <w:rsid w:val="005E58CB"/>
    <w:rsid w:val="005E5E43"/>
    <w:rsid w:val="00642FFA"/>
    <w:rsid w:val="00645246"/>
    <w:rsid w:val="0065200C"/>
    <w:rsid w:val="00656A3E"/>
    <w:rsid w:val="00665EC2"/>
    <w:rsid w:val="00681ED9"/>
    <w:rsid w:val="00687F71"/>
    <w:rsid w:val="006A1985"/>
    <w:rsid w:val="006E2227"/>
    <w:rsid w:val="006E2712"/>
    <w:rsid w:val="006F4AC9"/>
    <w:rsid w:val="00701D7D"/>
    <w:rsid w:val="00732938"/>
    <w:rsid w:val="007571D8"/>
    <w:rsid w:val="00780964"/>
    <w:rsid w:val="0078197B"/>
    <w:rsid w:val="0079532D"/>
    <w:rsid w:val="007A13C4"/>
    <w:rsid w:val="00813207"/>
    <w:rsid w:val="0083552C"/>
    <w:rsid w:val="00850A80"/>
    <w:rsid w:val="00857D15"/>
    <w:rsid w:val="00876E75"/>
    <w:rsid w:val="00880F56"/>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57966"/>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320BC"/>
    <w:rsid w:val="00D5308B"/>
    <w:rsid w:val="00DA2951"/>
    <w:rsid w:val="00DA454E"/>
    <w:rsid w:val="00DA47DD"/>
    <w:rsid w:val="00DC60D2"/>
    <w:rsid w:val="00DE1B33"/>
    <w:rsid w:val="00E1379E"/>
    <w:rsid w:val="00E54538"/>
    <w:rsid w:val="00E7018D"/>
    <w:rsid w:val="00E965BB"/>
    <w:rsid w:val="00EB00DA"/>
    <w:rsid w:val="00EE1F0C"/>
    <w:rsid w:val="00F2197C"/>
    <w:rsid w:val="00F33270"/>
    <w:rsid w:val="00F63B0E"/>
    <w:rsid w:val="00F86BC7"/>
    <w:rsid w:val="00FD058A"/>
    <w:rsid w:val="00FD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AC94-1463-4E5E-8B5F-4ED628CD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2016-05-11T13:58:00Z</dcterms:created>
  <dcterms:modified xsi:type="dcterms:W3CDTF">2016-05-11T13:58:00Z</dcterms:modified>
</cp:coreProperties>
</file>